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B" w:rsidRPr="00B25ABB" w:rsidRDefault="00B25ABB" w:rsidP="002D13E2">
      <w:pPr>
        <w:spacing w:line="360" w:lineRule="auto"/>
        <w:jc w:val="center"/>
        <w:rPr>
          <w:rFonts w:cs="Times New Roman"/>
          <w:b/>
        </w:rPr>
      </w:pPr>
      <w:r w:rsidRPr="00B25ABB">
        <w:rPr>
          <w:rFonts w:cs="Times New Roman"/>
          <w:b/>
        </w:rPr>
        <w:t>MERITO DI CREDITO E CARTOLARIZZAZIONE DEI CREDITI</w:t>
      </w:r>
    </w:p>
    <w:p w:rsidR="002D13E2" w:rsidRDefault="002D13E2" w:rsidP="008C2B72">
      <w:pPr>
        <w:spacing w:line="360" w:lineRule="auto"/>
        <w:jc w:val="both"/>
        <w:rPr>
          <w:rFonts w:cs="Times New Roman"/>
        </w:rPr>
      </w:pPr>
    </w:p>
    <w:p w:rsidR="00566DAB" w:rsidRDefault="00566DAB" w:rsidP="008C2B72">
      <w:pPr>
        <w:spacing w:line="360" w:lineRule="auto"/>
        <w:jc w:val="both"/>
        <w:rPr>
          <w:rFonts w:cs="Times New Roman"/>
        </w:rPr>
      </w:pPr>
    </w:p>
    <w:p w:rsidR="00B25ABB" w:rsidRDefault="002D13E2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Relatore: Chiar.mo Prof. Daniele Maffeis</w:t>
      </w:r>
    </w:p>
    <w:p w:rsidR="002D13E2" w:rsidRDefault="002D13E2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Correlatore: </w:t>
      </w:r>
      <w:proofErr w:type="spellStart"/>
      <w:r>
        <w:rPr>
          <w:rFonts w:cs="Times New Roman"/>
        </w:rPr>
        <w:t>Chiar.ma</w:t>
      </w:r>
      <w:proofErr w:type="spellEnd"/>
      <w:r>
        <w:rPr>
          <w:rFonts w:cs="Times New Roman"/>
        </w:rPr>
        <w:t xml:space="preserve"> Prof.ssa Vera </w:t>
      </w:r>
      <w:proofErr w:type="spellStart"/>
      <w:r>
        <w:rPr>
          <w:rFonts w:cs="Times New Roman"/>
        </w:rPr>
        <w:t>Tagliaferri</w:t>
      </w:r>
      <w:proofErr w:type="spellEnd"/>
    </w:p>
    <w:p w:rsidR="002D13E2" w:rsidRDefault="002D13E2" w:rsidP="008C2B72">
      <w:pPr>
        <w:spacing w:line="360" w:lineRule="auto"/>
        <w:jc w:val="both"/>
        <w:rPr>
          <w:rFonts w:cs="Times New Roman"/>
        </w:rPr>
      </w:pPr>
    </w:p>
    <w:p w:rsidR="00566DAB" w:rsidRDefault="00566DAB" w:rsidP="008C2B72">
      <w:pPr>
        <w:spacing w:line="360" w:lineRule="auto"/>
        <w:jc w:val="both"/>
        <w:rPr>
          <w:rFonts w:cs="Times New Roman"/>
        </w:rPr>
      </w:pPr>
    </w:p>
    <w:p w:rsidR="00566DAB" w:rsidRDefault="00566DAB" w:rsidP="00566DAB">
      <w:pPr>
        <w:spacing w:line="360" w:lineRule="auto"/>
        <w:ind w:left="4248"/>
        <w:jc w:val="right"/>
        <w:rPr>
          <w:rFonts w:cs="Times New Roman"/>
        </w:rPr>
      </w:pPr>
      <w:r>
        <w:rPr>
          <w:rFonts w:cs="Times New Roman"/>
        </w:rPr>
        <w:t>Tesi di Laurea di:</w:t>
      </w:r>
    </w:p>
    <w:p w:rsidR="00966B19" w:rsidRPr="00966B19" w:rsidRDefault="00966B19" w:rsidP="00566DAB">
      <w:pPr>
        <w:spacing w:line="360" w:lineRule="auto"/>
        <w:ind w:left="4248"/>
        <w:jc w:val="right"/>
        <w:rPr>
          <w:rFonts w:cs="Times New Roman"/>
        </w:rPr>
      </w:pPr>
      <w:r w:rsidRPr="00966B19">
        <w:rPr>
          <w:rFonts w:cs="Times New Roman"/>
        </w:rPr>
        <w:t>Emanuele Pradella</w:t>
      </w:r>
    </w:p>
    <w:p w:rsidR="009870E2" w:rsidRDefault="009870E2" w:rsidP="00566DAB">
      <w:pPr>
        <w:spacing w:line="360" w:lineRule="auto"/>
        <w:jc w:val="right"/>
        <w:rPr>
          <w:rFonts w:cs="Times New Roman"/>
        </w:rPr>
      </w:pPr>
    </w:p>
    <w:p w:rsidR="005C09B1" w:rsidRDefault="005C09B1" w:rsidP="008C2B72">
      <w:pPr>
        <w:spacing w:line="360" w:lineRule="auto"/>
        <w:jc w:val="both"/>
        <w:rPr>
          <w:rFonts w:cs="Times New Roman"/>
        </w:rPr>
      </w:pPr>
    </w:p>
    <w:p w:rsidR="009870E2" w:rsidRDefault="009870E2" w:rsidP="008C2B72">
      <w:pPr>
        <w:spacing w:line="360" w:lineRule="auto"/>
        <w:jc w:val="both"/>
        <w:rPr>
          <w:rFonts w:cs="Times New Roman"/>
        </w:rPr>
      </w:pPr>
    </w:p>
    <w:p w:rsidR="008C2B72" w:rsidRPr="001A58B2" w:rsidRDefault="00F00791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</w:t>
      </w:r>
      <w:r w:rsidR="00D011AB">
        <w:rPr>
          <w:rFonts w:cs="Times New Roman"/>
        </w:rPr>
        <w:t xml:space="preserve"> d.lgs. 141/2010 </w:t>
      </w:r>
      <w:r>
        <w:rPr>
          <w:rFonts w:cs="Times New Roman"/>
        </w:rPr>
        <w:t>ha</w:t>
      </w:r>
      <w:r w:rsidR="00D011AB">
        <w:rPr>
          <w:rFonts w:cs="Times New Roman"/>
        </w:rPr>
        <w:t xml:space="preserve"> introdotto</w:t>
      </w:r>
      <w:r>
        <w:rPr>
          <w:rFonts w:cs="Times New Roman"/>
        </w:rPr>
        <w:t xml:space="preserve"> nell’ordinamento</w:t>
      </w:r>
      <w:r w:rsidR="00D011AB">
        <w:rPr>
          <w:rFonts w:cs="Times New Roman"/>
        </w:rPr>
        <w:t xml:space="preserve"> l’art. 124-bis</w:t>
      </w:r>
      <w:r>
        <w:rPr>
          <w:rFonts w:cs="Times New Roman"/>
        </w:rPr>
        <w:t xml:space="preserve"> TUB</w:t>
      </w:r>
      <w:r w:rsidR="008C2B72" w:rsidRPr="001A58B2">
        <w:rPr>
          <w:rFonts w:cs="Times New Roman"/>
        </w:rPr>
        <w:t xml:space="preserve"> (“Verifica del merito creditizio”) che, imponendo al finanziatore di valutare il merito di credito del consumatore prima della conclusione del contratto di credito, ha riportato al centro dell’attenzione il </w:t>
      </w:r>
      <w:r w:rsidR="008C2B72" w:rsidRPr="001A58B2">
        <w:rPr>
          <w:rFonts w:cs="Times New Roman"/>
          <w:i/>
        </w:rPr>
        <w:t>modus operandi</w:t>
      </w:r>
      <w:r w:rsidR="006E7C77">
        <w:rPr>
          <w:rFonts w:cs="Times New Roman"/>
        </w:rPr>
        <w:t xml:space="preserve"> d</w:t>
      </w:r>
      <w:r w:rsidR="006C79C0">
        <w:rPr>
          <w:rFonts w:cs="Times New Roman"/>
        </w:rPr>
        <w:t>elle banche</w:t>
      </w:r>
      <w:r w:rsidR="008C2B72" w:rsidRPr="001A58B2">
        <w:rPr>
          <w:rFonts w:cs="Times New Roman"/>
        </w:rPr>
        <w:t xml:space="preserve"> nella concessione di finanziamenti.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>Tradizionalmente la verifica della capacità restitutoria del debitore viene svolta nell’interesse del finanziatore stesso, ma l’avvento delle operazioni di cartolarizzazione dei crediti ha messo in crisi tale dogma dell’attività creditizia.</w:t>
      </w:r>
    </w:p>
    <w:p w:rsidR="008C2B72" w:rsidRPr="001A58B2" w:rsidRDefault="006E7C77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="008C2B72" w:rsidRPr="001A58B2">
        <w:rPr>
          <w:rFonts w:cs="Times New Roman"/>
        </w:rPr>
        <w:t xml:space="preserve">l presente lavoro </w:t>
      </w:r>
      <w:r>
        <w:rPr>
          <w:rFonts w:cs="Times New Roman"/>
        </w:rPr>
        <w:t xml:space="preserve">intende allora </w:t>
      </w:r>
      <w:r w:rsidR="008C2B72" w:rsidRPr="001A58B2">
        <w:rPr>
          <w:rFonts w:cs="Times New Roman"/>
        </w:rPr>
        <w:t xml:space="preserve">studiare le due anime della cartolarizzazione dei crediti: da una parte lo sviluppo fisiologico di un’operazione che trasformando attività finanziarie in titoli negoziabili genera liquidità per il soggetto </w:t>
      </w:r>
      <w:r w:rsidR="008C2B72" w:rsidRPr="001A58B2">
        <w:rPr>
          <w:rFonts w:cs="Times New Roman"/>
          <w:i/>
        </w:rPr>
        <w:t xml:space="preserve">originator </w:t>
      </w:r>
      <w:r w:rsidR="008C2B72" w:rsidRPr="001A58B2">
        <w:rPr>
          <w:rFonts w:cs="Times New Roman"/>
        </w:rPr>
        <w:t xml:space="preserve">e offre agli investitori un impiego profittevole del capitale, dall’altra l’utilizzo patologico dell’operazione </w:t>
      </w:r>
      <w:r>
        <w:rPr>
          <w:rFonts w:cs="Times New Roman"/>
        </w:rPr>
        <w:t>nel momento in cui</w:t>
      </w:r>
      <w:r w:rsidR="008C2B72" w:rsidRPr="001A58B2">
        <w:rPr>
          <w:rFonts w:cs="Times New Roman"/>
        </w:rPr>
        <w:t xml:space="preserve"> permette al finanziatore di concedere credito disinteressandosi del merito del prenditore.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>Il legislatore però, con la consapevolezza che l’operazione &lt;&lt;resta in linea di principio uno strumento delle forze del bene e non del male&gt;&gt;</w:t>
      </w:r>
      <w:r w:rsidRPr="001A58B2">
        <w:rPr>
          <w:rStyle w:val="Rimandonotaapidipagina"/>
          <w:rFonts w:cs="Times New Roman"/>
        </w:rPr>
        <w:footnoteReference w:id="1"/>
      </w:r>
      <w:r w:rsidRPr="001A58B2">
        <w:rPr>
          <w:rFonts w:cs="Times New Roman"/>
        </w:rPr>
        <w:t xml:space="preserve">, è già intervenuto per contrastare la degenerazione del modello </w:t>
      </w:r>
      <w:r w:rsidRPr="001A58B2">
        <w:rPr>
          <w:rFonts w:cs="Times New Roman"/>
          <w:i/>
        </w:rPr>
        <w:t xml:space="preserve">originate to distribute </w:t>
      </w:r>
      <w:r w:rsidRPr="001A58B2">
        <w:rPr>
          <w:rFonts w:cs="Times New Roman"/>
        </w:rPr>
        <w:t xml:space="preserve">dell’attività creditizia (concessione del credito – cartolarizzazione – concessione del credito), il quale di per sé è complementare e non confliggente con il modello di intermediazione classica </w:t>
      </w:r>
      <w:r w:rsidRPr="001A58B2">
        <w:rPr>
          <w:rFonts w:cs="Times New Roman"/>
          <w:i/>
        </w:rPr>
        <w:lastRenderedPageBreak/>
        <w:t xml:space="preserve">originate to hold </w:t>
      </w:r>
      <w:r w:rsidRPr="001A58B2">
        <w:rPr>
          <w:rFonts w:cs="Times New Roman"/>
        </w:rPr>
        <w:t>(concessione del credito – restituzione – concessione del credito).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>Più nel dettaglio, con il primo</w:t>
      </w:r>
      <w:r>
        <w:rPr>
          <w:rFonts w:cs="Times New Roman"/>
        </w:rPr>
        <w:t xml:space="preserve"> capitolo del lavoro si pongono</w:t>
      </w:r>
      <w:r w:rsidRPr="001A58B2">
        <w:rPr>
          <w:rFonts w:cs="Times New Roman"/>
        </w:rPr>
        <w:t xml:space="preserve"> le basi dell’intero studio, illustrando i soggetti ed i meccanismi delle operazioni di finanziamento, prestando attenzione tanto alle procedure di valutazione del merito creditizio quanto agli effetti degli accordi di Basilea sulla concessione di credito.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>Nel seco</w:t>
      </w:r>
      <w:r>
        <w:rPr>
          <w:rFonts w:cs="Times New Roman"/>
        </w:rPr>
        <w:t>ndo capitolo si entra</w:t>
      </w:r>
      <w:r w:rsidRPr="001A58B2">
        <w:rPr>
          <w:rFonts w:cs="Times New Roman"/>
        </w:rPr>
        <w:t xml:space="preserve"> nel vivo della trattazione, introducendo la cartolarizzazione dei crediti (</w:t>
      </w:r>
      <w:r w:rsidRPr="001A58B2">
        <w:rPr>
          <w:rFonts w:cs="Times New Roman"/>
          <w:i/>
        </w:rPr>
        <w:t>securitization</w:t>
      </w:r>
      <w:r w:rsidRPr="001A58B2">
        <w:rPr>
          <w:rFonts w:cs="Times New Roman"/>
        </w:rPr>
        <w:t>) come operazione che negli anni ’70 risolse le difficoltà di finanziamento del mercato immobiliare statunitense e illustrando, consequenzialmente, la sua naturale configurazione come operazione utile per il sistema finanziario.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>In Italia tale tecnica finanziaria è stata recepita con la l</w:t>
      </w:r>
      <w:r>
        <w:rPr>
          <w:rFonts w:cs="Times New Roman"/>
        </w:rPr>
        <w:t xml:space="preserve">egge 130/1999, ma </w:t>
      </w:r>
      <w:r w:rsidRPr="001A58B2">
        <w:rPr>
          <w:rFonts w:cs="Times New Roman"/>
        </w:rPr>
        <w:t>nella prassi era già presente dall’inizio degli anni ’90, nonostante le difficoltà derivanti da un ordinamento giuridico non predisposto.</w:t>
      </w:r>
    </w:p>
    <w:p w:rsidR="008C2B72" w:rsidRPr="001A58B2" w:rsidRDefault="009778F4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Alla dottrina si riconosce</w:t>
      </w:r>
      <w:r w:rsidR="008C2B72" w:rsidRPr="001A58B2">
        <w:rPr>
          <w:rFonts w:cs="Times New Roman"/>
        </w:rPr>
        <w:t xml:space="preserve"> il merito di aver sollecitato l’intervento normativo attraverso la redazione di progetti di legge (progetto Rucellai e progetto ABI) nonché di aver guidato il legislatore nell’approvazione della legge 130/1999 la quale, negli anni, ha subito modificazioni senza perdere l’impianto originario ed è stata arricchita con l’introduzione di due nuovi articoli (art. 7-bis e art. 7-ter) in tema di obbligazioni bancarie garantite (c.d. </w:t>
      </w:r>
      <w:r w:rsidR="008C2B72" w:rsidRPr="001A58B2">
        <w:rPr>
          <w:rFonts w:cs="Times New Roman"/>
          <w:i/>
        </w:rPr>
        <w:t>covered bonds</w:t>
      </w:r>
      <w:r w:rsidR="008C2B72" w:rsidRPr="001A58B2">
        <w:rPr>
          <w:rFonts w:cs="Times New Roman"/>
        </w:rPr>
        <w:t>).</w:t>
      </w:r>
    </w:p>
    <w:p w:rsidR="008C2B72" w:rsidRPr="001A58B2" w:rsidRDefault="008C2B72" w:rsidP="008C2B72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 xml:space="preserve">Dopo aver ricordato l’uso sapiente della normativa fiscale per incentivare la realizzazione di operazioni di cartolarizzazione nei primi due anni di vigore della legge, </w:t>
      </w:r>
      <w:r w:rsidR="00D011AB">
        <w:rPr>
          <w:rFonts w:cs="Times New Roman"/>
        </w:rPr>
        <w:t xml:space="preserve">si analizzano </w:t>
      </w:r>
      <w:r w:rsidR="00CC2FC7" w:rsidRPr="00CC2FC7">
        <w:rPr>
          <w:rFonts w:cs="Times New Roman"/>
        </w:rPr>
        <w:t xml:space="preserve">nel terzo capitolo </w:t>
      </w:r>
      <w:r w:rsidR="00D011AB">
        <w:rPr>
          <w:rFonts w:cs="Times New Roman"/>
        </w:rPr>
        <w:t>i</w:t>
      </w:r>
      <w:r w:rsidRPr="001A58B2">
        <w:rPr>
          <w:rFonts w:cs="Times New Roman"/>
        </w:rPr>
        <w:t xml:space="preserve"> tre modelli operativi introdotti dalla legge 130: mediante cessione di crediti a favore di una società veicolo, mediante erogazione di un finanziamento, mediante fondo comune di investimento.</w:t>
      </w:r>
    </w:p>
    <w:p w:rsidR="00D011AB" w:rsidRDefault="00D011AB" w:rsidP="00D011A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Al centro del quart</w:t>
      </w:r>
      <w:r w:rsidR="006C79C0">
        <w:rPr>
          <w:rFonts w:cs="Times New Roman"/>
        </w:rPr>
        <w:t xml:space="preserve">o capitolo vi è infine </w:t>
      </w:r>
      <w:r w:rsidR="008C2B72" w:rsidRPr="001A58B2">
        <w:rPr>
          <w:rFonts w:cs="Times New Roman"/>
        </w:rPr>
        <w:t xml:space="preserve">l’utilizzo patologico della cartolarizzazione dei crediti nell’ambito del modello </w:t>
      </w:r>
      <w:r w:rsidR="008C2B72" w:rsidRPr="001A58B2">
        <w:rPr>
          <w:rFonts w:cs="Times New Roman"/>
          <w:i/>
        </w:rPr>
        <w:t>originate to distribute</w:t>
      </w:r>
      <w:r w:rsidR="008C2B72">
        <w:rPr>
          <w:rFonts w:cs="Times New Roman"/>
        </w:rPr>
        <w:t xml:space="preserve">, reso palese dalla </w:t>
      </w:r>
      <w:r w:rsidR="008C2B72" w:rsidRPr="001A58B2">
        <w:rPr>
          <w:rFonts w:cs="Times New Roman"/>
        </w:rPr>
        <w:t>crisi</w:t>
      </w:r>
      <w:r w:rsidR="008C2B72">
        <w:rPr>
          <w:rFonts w:cs="Times New Roman"/>
        </w:rPr>
        <w:t xml:space="preserve"> dei mutui</w:t>
      </w:r>
      <w:r w:rsidR="008C2B72" w:rsidRPr="001A58B2">
        <w:rPr>
          <w:rFonts w:cs="Times New Roman"/>
        </w:rPr>
        <w:t xml:space="preserve"> </w:t>
      </w:r>
      <w:r w:rsidR="008C2B72" w:rsidRPr="001A58B2">
        <w:rPr>
          <w:rFonts w:cs="Times New Roman"/>
          <w:i/>
        </w:rPr>
        <w:t xml:space="preserve">sub-prime </w:t>
      </w:r>
      <w:r w:rsidR="008C2B72" w:rsidRPr="001A58B2">
        <w:rPr>
          <w:rFonts w:cs="Times New Roman"/>
        </w:rPr>
        <w:t>del 2007</w:t>
      </w:r>
      <w:r>
        <w:rPr>
          <w:rFonts w:cs="Times New Roman"/>
        </w:rPr>
        <w:t>.</w:t>
      </w:r>
    </w:p>
    <w:p w:rsidR="008C2B72" w:rsidRPr="001A58B2" w:rsidRDefault="00D011AB" w:rsidP="00D011A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L’attenzione è posta sui</w:t>
      </w:r>
      <w:r w:rsidR="008C2B72" w:rsidRPr="001A58B2">
        <w:rPr>
          <w:rFonts w:cs="Times New Roman"/>
        </w:rPr>
        <w:t xml:space="preserve"> provvedimenti adottati per contrastare la tendenza alla concessione di credito senza meri</w:t>
      </w:r>
      <w:r>
        <w:rPr>
          <w:rFonts w:cs="Times New Roman"/>
        </w:rPr>
        <w:t>to e relativa cartolarizzazione, tra cui si ricordano la revisione delle</w:t>
      </w:r>
      <w:r w:rsidR="008C2B72" w:rsidRPr="001A58B2">
        <w:rPr>
          <w:rFonts w:cs="Times New Roman"/>
        </w:rPr>
        <w:t xml:space="preserve"> regole prudenziali</w:t>
      </w:r>
      <w:r w:rsidR="009778F4">
        <w:rPr>
          <w:rFonts w:cs="Times New Roman"/>
        </w:rPr>
        <w:t xml:space="preserve"> per le banche</w:t>
      </w:r>
      <w:r w:rsidR="008C2B72" w:rsidRPr="001A58B2">
        <w:rPr>
          <w:rFonts w:cs="Times New Roman"/>
        </w:rPr>
        <w:t xml:space="preserve">, </w:t>
      </w:r>
      <w:r>
        <w:rPr>
          <w:rFonts w:cs="Times New Roman"/>
        </w:rPr>
        <w:t xml:space="preserve">la </w:t>
      </w:r>
      <w:r w:rsidR="009778F4">
        <w:rPr>
          <w:rFonts w:cs="Times New Roman"/>
        </w:rPr>
        <w:t>regolamentazione</w:t>
      </w:r>
      <w:r>
        <w:rPr>
          <w:rFonts w:cs="Times New Roman"/>
        </w:rPr>
        <w:t xml:space="preserve"> del</w:t>
      </w:r>
      <w:r w:rsidR="008C2B72" w:rsidRPr="001A58B2">
        <w:rPr>
          <w:rFonts w:cs="Times New Roman"/>
        </w:rPr>
        <w:t xml:space="preserve">le agenzie di </w:t>
      </w:r>
      <w:r w:rsidR="008C2B72" w:rsidRPr="001A58B2">
        <w:rPr>
          <w:rFonts w:cs="Times New Roman"/>
          <w:i/>
        </w:rPr>
        <w:t xml:space="preserve">rating, </w:t>
      </w:r>
      <w:r>
        <w:rPr>
          <w:rFonts w:cs="Times New Roman"/>
        </w:rPr>
        <w:t xml:space="preserve">l’introduzione di </w:t>
      </w:r>
      <w:r w:rsidR="008C2B72" w:rsidRPr="001A58B2">
        <w:rPr>
          <w:rFonts w:cs="Times New Roman"/>
        </w:rPr>
        <w:t xml:space="preserve">meccanismi volti all’allineamento degli interessi di </w:t>
      </w:r>
      <w:r w:rsidR="008C2B72" w:rsidRPr="001A58B2">
        <w:rPr>
          <w:rFonts w:cs="Times New Roman"/>
          <w:i/>
        </w:rPr>
        <w:t>originator</w:t>
      </w:r>
      <w:r w:rsidR="008C2B72" w:rsidRPr="001A58B2">
        <w:rPr>
          <w:rFonts w:cs="Times New Roman"/>
        </w:rPr>
        <w:t xml:space="preserve"> e investitori nell’operazione di </w:t>
      </w:r>
      <w:r w:rsidR="008C2B72" w:rsidRPr="001A58B2">
        <w:rPr>
          <w:rFonts w:cs="Times New Roman"/>
          <w:i/>
        </w:rPr>
        <w:t>securitization</w:t>
      </w:r>
      <w:r w:rsidR="008C2B72" w:rsidRPr="001A58B2">
        <w:rPr>
          <w:rFonts w:cs="Times New Roman"/>
        </w:rPr>
        <w:t xml:space="preserve"> (c.d. </w:t>
      </w:r>
      <w:proofErr w:type="spellStart"/>
      <w:r w:rsidR="008C2B72" w:rsidRPr="001A58B2">
        <w:rPr>
          <w:rFonts w:cs="Times New Roman"/>
          <w:i/>
        </w:rPr>
        <w:t>retention</w:t>
      </w:r>
      <w:proofErr w:type="spellEnd"/>
      <w:r w:rsidR="008C2B72" w:rsidRPr="001A58B2">
        <w:rPr>
          <w:rFonts w:cs="Times New Roman"/>
          <w:i/>
        </w:rPr>
        <w:t xml:space="preserve"> </w:t>
      </w:r>
      <w:proofErr w:type="spellStart"/>
      <w:r w:rsidR="008C2B72" w:rsidRPr="001A58B2">
        <w:rPr>
          <w:rFonts w:cs="Times New Roman"/>
          <w:i/>
        </w:rPr>
        <w:t>rule</w:t>
      </w:r>
      <w:proofErr w:type="spellEnd"/>
      <w:r w:rsidR="008C2B72" w:rsidRPr="001A58B2">
        <w:rPr>
          <w:rFonts w:cs="Times New Roman"/>
        </w:rPr>
        <w:t>).</w:t>
      </w:r>
    </w:p>
    <w:p w:rsidR="008C2B72" w:rsidRPr="001A58B2" w:rsidRDefault="00D011AB" w:rsidP="008C2B7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L</w:t>
      </w:r>
      <w:r w:rsidR="008C2B72" w:rsidRPr="001A58B2">
        <w:rPr>
          <w:rFonts w:cs="Times New Roman"/>
        </w:rPr>
        <w:t xml:space="preserve">a nuova frontiera del trasferimento del rischio di credito è </w:t>
      </w:r>
      <w:r>
        <w:rPr>
          <w:rFonts w:cs="Times New Roman"/>
        </w:rPr>
        <w:t>però</w:t>
      </w:r>
      <w:r w:rsidR="00B46A3A">
        <w:rPr>
          <w:rFonts w:cs="Times New Roman"/>
        </w:rPr>
        <w:t xml:space="preserve"> oggi</w:t>
      </w:r>
      <w:r>
        <w:rPr>
          <w:rFonts w:cs="Times New Roman"/>
        </w:rPr>
        <w:t xml:space="preserve"> </w:t>
      </w:r>
      <w:r w:rsidR="00B46A3A">
        <w:rPr>
          <w:rFonts w:cs="Times New Roman"/>
        </w:rPr>
        <w:t xml:space="preserve">rappresentata </w:t>
      </w:r>
      <w:r w:rsidR="008C2B72" w:rsidRPr="001A58B2">
        <w:rPr>
          <w:rFonts w:cs="Times New Roman"/>
        </w:rPr>
        <w:t xml:space="preserve">dalla c.d. cartolarizzazione sintetica la quale, ripresentando la possibilità di deresponsabilizzazione del finanziatore ossia della concessione di credito senza merito, </w:t>
      </w:r>
      <w:r>
        <w:rPr>
          <w:rFonts w:cs="Times New Roman"/>
        </w:rPr>
        <w:t>viene esaminata</w:t>
      </w:r>
      <w:r w:rsidR="008C2B72" w:rsidRPr="001A58B2">
        <w:rPr>
          <w:rFonts w:cs="Times New Roman"/>
        </w:rPr>
        <w:t xml:space="preserve"> </w:t>
      </w:r>
      <w:r w:rsidR="00CC2FC7">
        <w:rPr>
          <w:rFonts w:cs="Times New Roman"/>
        </w:rPr>
        <w:t>contestualmente a</w:t>
      </w:r>
      <w:r w:rsidR="008C2B72" w:rsidRPr="001A58B2">
        <w:rPr>
          <w:rFonts w:cs="Times New Roman"/>
        </w:rPr>
        <w:t xml:space="preserve"> certa dottrina “per un divieto della cartolarizzazione del rischio di credito”.</w:t>
      </w:r>
    </w:p>
    <w:p w:rsidR="00CC2FC7" w:rsidRDefault="008C2B72" w:rsidP="00D011AB">
      <w:pPr>
        <w:spacing w:line="360" w:lineRule="auto"/>
        <w:jc w:val="both"/>
        <w:rPr>
          <w:rFonts w:cs="Times New Roman"/>
        </w:rPr>
      </w:pPr>
      <w:r w:rsidRPr="001A58B2">
        <w:rPr>
          <w:rFonts w:cs="Times New Roman"/>
        </w:rPr>
        <w:t xml:space="preserve">In chiusura del lavoro, </w:t>
      </w:r>
      <w:r w:rsidR="00CC2FC7">
        <w:rPr>
          <w:rFonts w:cs="Times New Roman"/>
        </w:rPr>
        <w:t>nella convinzione che</w:t>
      </w:r>
      <w:r w:rsidRPr="001A58B2">
        <w:rPr>
          <w:rFonts w:cs="Times New Roman"/>
        </w:rPr>
        <w:t xml:space="preserve"> dall’utilizzo virtuoso della cartolarizzaz</w:t>
      </w:r>
      <w:r w:rsidR="00D011AB">
        <w:rPr>
          <w:rFonts w:cs="Times New Roman"/>
        </w:rPr>
        <w:t>ione dei crediti</w:t>
      </w:r>
      <w:r w:rsidR="00CC2FC7">
        <w:rPr>
          <w:rFonts w:cs="Times New Roman"/>
        </w:rPr>
        <w:t xml:space="preserve"> possano derivare benefici per il sistema e</w:t>
      </w:r>
      <w:r w:rsidR="000C1BDE">
        <w:rPr>
          <w:rFonts w:cs="Times New Roman"/>
        </w:rPr>
        <w:t>conomico-finanziario</w:t>
      </w:r>
      <w:r w:rsidR="00CC2FC7">
        <w:rPr>
          <w:rFonts w:cs="Times New Roman"/>
        </w:rPr>
        <w:t>, si ipotizza</w:t>
      </w:r>
      <w:r w:rsidR="00D011AB">
        <w:rPr>
          <w:rFonts w:cs="Times New Roman"/>
        </w:rPr>
        <w:t xml:space="preserve"> </w:t>
      </w:r>
      <w:r w:rsidR="00CC2FC7">
        <w:rPr>
          <w:rFonts w:cs="Times New Roman"/>
        </w:rPr>
        <w:t xml:space="preserve">un intervento normativo </w:t>
      </w:r>
      <w:r w:rsidR="000C1BDE">
        <w:rPr>
          <w:rFonts w:cs="Times New Roman"/>
        </w:rPr>
        <w:t>che attraverso lo strumento della garanzia statale</w:t>
      </w:r>
      <w:r w:rsidR="00CC2FC7">
        <w:rPr>
          <w:rFonts w:cs="Times New Roman"/>
        </w:rPr>
        <w:t xml:space="preserve"> </w:t>
      </w:r>
      <w:r w:rsidR="00D8008C">
        <w:rPr>
          <w:rFonts w:cs="Times New Roman"/>
        </w:rPr>
        <w:t>crei</w:t>
      </w:r>
      <w:r w:rsidR="00CC2FC7">
        <w:rPr>
          <w:rFonts w:cs="Times New Roman"/>
        </w:rPr>
        <w:t xml:space="preserve"> </w:t>
      </w:r>
      <w:r w:rsidRPr="001A58B2">
        <w:rPr>
          <w:rFonts w:cs="Times New Roman"/>
        </w:rPr>
        <w:t>un mercato della cartola</w:t>
      </w:r>
      <w:r w:rsidR="00CC2FC7">
        <w:rPr>
          <w:rFonts w:cs="Times New Roman"/>
        </w:rPr>
        <w:t>rizzazione dei crediti alle PMI, sulla scia dell’esperienza spagnola.</w:t>
      </w:r>
    </w:p>
    <w:p w:rsidR="002F38B0" w:rsidRPr="00D011AB" w:rsidRDefault="00CC2FC7" w:rsidP="00D011A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Tale </w:t>
      </w:r>
      <w:r w:rsidR="00D8008C">
        <w:rPr>
          <w:rFonts w:cs="Times New Roman"/>
        </w:rPr>
        <w:t>provvedimento</w:t>
      </w:r>
      <w:r w:rsidR="008C2B72" w:rsidRPr="001A58B2">
        <w:rPr>
          <w:rFonts w:cs="Times New Roman"/>
        </w:rPr>
        <w:t xml:space="preserve"> potrebbe rivitalizzare il mercato del credito e </w:t>
      </w:r>
      <w:r w:rsidR="00D8008C">
        <w:rPr>
          <w:rFonts w:cs="Times New Roman"/>
        </w:rPr>
        <w:t>quindi stimolare l’</w:t>
      </w:r>
      <w:r w:rsidR="003F6D21">
        <w:rPr>
          <w:rFonts w:cs="Times New Roman"/>
        </w:rPr>
        <w:t>economia del p</w:t>
      </w:r>
      <w:bookmarkStart w:id="0" w:name="_GoBack"/>
      <w:bookmarkEnd w:id="0"/>
      <w:r w:rsidR="00D8008C">
        <w:rPr>
          <w:rFonts w:cs="Times New Roman"/>
        </w:rPr>
        <w:t>aese</w:t>
      </w:r>
      <w:r w:rsidR="00520FBF">
        <w:rPr>
          <w:rFonts w:cs="Times New Roman"/>
        </w:rPr>
        <w:t>, senza un</w:t>
      </w:r>
      <w:r>
        <w:rPr>
          <w:rFonts w:cs="Times New Roman"/>
        </w:rPr>
        <w:t xml:space="preserve"> immediato impegno di cassa a carico del bilancio statale</w:t>
      </w:r>
      <w:r w:rsidR="008C2B72">
        <w:rPr>
          <w:rFonts w:cs="Times New Roman"/>
        </w:rPr>
        <w:t>.</w:t>
      </w:r>
    </w:p>
    <w:sectPr w:rsidR="002F38B0" w:rsidRPr="00D011AB" w:rsidSect="00B25ABB">
      <w:footerReference w:type="default" r:id="rId6"/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48" w:rsidRDefault="00E30D48" w:rsidP="008C2B72">
      <w:r>
        <w:separator/>
      </w:r>
    </w:p>
  </w:endnote>
  <w:endnote w:type="continuationSeparator" w:id="0">
    <w:p w:rsidR="00E30D48" w:rsidRDefault="00E30D48" w:rsidP="008C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889867"/>
      <w:docPartObj>
        <w:docPartGallery w:val="Page Numbers (Bottom of Page)"/>
        <w:docPartUnique/>
      </w:docPartObj>
    </w:sdtPr>
    <w:sdtContent>
      <w:p w:rsidR="002D13E2" w:rsidRDefault="00DB7B08">
        <w:pPr>
          <w:pStyle w:val="Pidipagina"/>
          <w:jc w:val="center"/>
        </w:pPr>
        <w:r>
          <w:fldChar w:fldCharType="begin"/>
        </w:r>
        <w:r w:rsidR="002D13E2">
          <w:instrText>PAGE   \* MERGEFORMAT</w:instrText>
        </w:r>
        <w:r>
          <w:fldChar w:fldCharType="separate"/>
        </w:r>
        <w:r w:rsidR="00076DD4">
          <w:rPr>
            <w:noProof/>
          </w:rPr>
          <w:t>1</w:t>
        </w:r>
        <w:r>
          <w:fldChar w:fldCharType="end"/>
        </w:r>
      </w:p>
    </w:sdtContent>
  </w:sdt>
  <w:p w:rsidR="002D13E2" w:rsidRDefault="002D13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48" w:rsidRDefault="00E30D48" w:rsidP="008C2B72">
      <w:r>
        <w:separator/>
      </w:r>
    </w:p>
  </w:footnote>
  <w:footnote w:type="continuationSeparator" w:id="0">
    <w:p w:rsidR="00E30D48" w:rsidRDefault="00E30D48" w:rsidP="008C2B72">
      <w:r>
        <w:continuationSeparator/>
      </w:r>
    </w:p>
  </w:footnote>
  <w:footnote w:id="1">
    <w:p w:rsidR="008C2B72" w:rsidRPr="00BB4F87" w:rsidRDefault="008C2B72" w:rsidP="008C2B72">
      <w:pPr>
        <w:pStyle w:val="Testonotaapidipagina"/>
        <w:ind w:firstLine="284"/>
        <w:jc w:val="both"/>
      </w:pPr>
      <w:r>
        <w:rPr>
          <w:rStyle w:val="Rimandonotaapidipagina"/>
        </w:rPr>
        <w:footnoteRef/>
      </w:r>
      <w:r>
        <w:t xml:space="preserve"> A. Carretta, </w:t>
      </w:r>
      <w:r>
        <w:rPr>
          <w:i/>
        </w:rPr>
        <w:t xml:space="preserve">La fiducia nel sistema finanziario tra norme e comportamenti: la sfida ancora da vincere, </w:t>
      </w:r>
      <w:r w:rsidR="006E7C77">
        <w:t>in “Bancaria”, 01/2013, p. 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72"/>
    <w:rsid w:val="00076DD4"/>
    <w:rsid w:val="000C1BDE"/>
    <w:rsid w:val="000D7583"/>
    <w:rsid w:val="00283B32"/>
    <w:rsid w:val="002D13E2"/>
    <w:rsid w:val="002F38B0"/>
    <w:rsid w:val="003F6D21"/>
    <w:rsid w:val="004838D8"/>
    <w:rsid w:val="005165F1"/>
    <w:rsid w:val="00520FBF"/>
    <w:rsid w:val="00566DAB"/>
    <w:rsid w:val="005C09B1"/>
    <w:rsid w:val="006C79C0"/>
    <w:rsid w:val="006E7C77"/>
    <w:rsid w:val="00767415"/>
    <w:rsid w:val="00772CF0"/>
    <w:rsid w:val="008C2B72"/>
    <w:rsid w:val="00966B19"/>
    <w:rsid w:val="009778F4"/>
    <w:rsid w:val="009870E2"/>
    <w:rsid w:val="00B25ABB"/>
    <w:rsid w:val="00B46A3A"/>
    <w:rsid w:val="00CC2FC7"/>
    <w:rsid w:val="00D011AB"/>
    <w:rsid w:val="00D74525"/>
    <w:rsid w:val="00D8008C"/>
    <w:rsid w:val="00DB7B08"/>
    <w:rsid w:val="00E30D48"/>
    <w:rsid w:val="00F0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8C2B72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8C2B7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2B7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25AB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A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25AB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A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AB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AB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8C2B72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8C2B7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2B7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25AB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A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25AB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A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AB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AB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Andrea</cp:lastModifiedBy>
  <cp:revision>2</cp:revision>
  <dcterms:created xsi:type="dcterms:W3CDTF">2013-07-26T10:28:00Z</dcterms:created>
  <dcterms:modified xsi:type="dcterms:W3CDTF">2013-07-26T10:28:00Z</dcterms:modified>
</cp:coreProperties>
</file>