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BF" w:rsidRPr="00B737B5" w:rsidRDefault="00B737B5" w:rsidP="00B737B5">
      <w:pPr>
        <w:widowControl w:val="0"/>
        <w:spacing w:after="0" w:line="240" w:lineRule="auto"/>
        <w:jc w:val="center"/>
        <w:rPr>
          <w:rFonts w:ascii="Times New Roman" w:hAnsi="Times New Roman"/>
          <w:b/>
          <w:sz w:val="24"/>
          <w:szCs w:val="24"/>
          <w:u w:val="single"/>
        </w:rPr>
      </w:pPr>
      <w:r w:rsidRPr="00B737B5">
        <w:rPr>
          <w:rFonts w:ascii="Times New Roman" w:hAnsi="Times New Roman"/>
          <w:b/>
          <w:sz w:val="24"/>
          <w:szCs w:val="24"/>
          <w:u w:val="single"/>
        </w:rPr>
        <w:t>I requisiti di non fallibilità alla luce della Sentenza della Corte di Cassazione n. 18667 del 27.12.2013: brevi considerazioni sui ricavi di cui all’art. 1 della Legge Fallimentare</w:t>
      </w:r>
    </w:p>
    <w:p w:rsidR="00B737B5" w:rsidRDefault="00B737B5" w:rsidP="00FB66BF">
      <w:pPr>
        <w:widowControl w:val="0"/>
        <w:spacing w:after="0" w:line="240" w:lineRule="auto"/>
        <w:jc w:val="both"/>
        <w:rPr>
          <w:rFonts w:ascii="Times New Roman" w:hAnsi="Times New Roman"/>
          <w:sz w:val="24"/>
          <w:szCs w:val="24"/>
          <w:u w:val="single"/>
        </w:rPr>
      </w:pPr>
    </w:p>
    <w:p w:rsidR="00B737B5" w:rsidRPr="00FB66BF" w:rsidRDefault="00B737B5" w:rsidP="00FB66BF">
      <w:pPr>
        <w:widowControl w:val="0"/>
        <w:spacing w:after="0" w:line="240" w:lineRule="auto"/>
        <w:jc w:val="both"/>
        <w:rPr>
          <w:rFonts w:ascii="Times New Roman" w:hAnsi="Times New Roman"/>
          <w:sz w:val="24"/>
          <w:szCs w:val="24"/>
          <w:u w:val="single"/>
        </w:rPr>
      </w:pPr>
    </w:p>
    <w:p w:rsidR="00645CF3" w:rsidRPr="00FB66BF" w:rsidRDefault="00645CF3" w:rsidP="00FB66BF">
      <w:pPr>
        <w:widowControl w:val="0"/>
        <w:spacing w:after="0" w:line="240" w:lineRule="auto"/>
        <w:jc w:val="both"/>
        <w:rPr>
          <w:rFonts w:ascii="Times New Roman" w:hAnsi="Times New Roman"/>
          <w:sz w:val="24"/>
          <w:szCs w:val="24"/>
        </w:rPr>
      </w:pPr>
      <w:r w:rsidRPr="00FB66BF">
        <w:rPr>
          <w:rFonts w:ascii="Times New Roman" w:hAnsi="Times New Roman"/>
          <w:sz w:val="24"/>
          <w:szCs w:val="24"/>
        </w:rPr>
        <w:tab/>
        <w:t xml:space="preserve">La recente pronuncia della Corte di Cassazione </w:t>
      </w:r>
      <w:r w:rsidR="00FB66BF">
        <w:rPr>
          <w:rFonts w:ascii="Times New Roman" w:hAnsi="Times New Roman"/>
          <w:sz w:val="24"/>
          <w:szCs w:val="24"/>
        </w:rPr>
        <w:t xml:space="preserve">n. </w:t>
      </w:r>
      <w:r w:rsidR="0042108A">
        <w:rPr>
          <w:rFonts w:ascii="Times New Roman" w:hAnsi="Times New Roman"/>
          <w:sz w:val="24"/>
          <w:szCs w:val="24"/>
        </w:rPr>
        <w:t>28667 del 27.12.2013 fornisce l’occasione per ri</w:t>
      </w:r>
      <w:r w:rsidR="00596C3E">
        <w:rPr>
          <w:rFonts w:ascii="Times New Roman" w:hAnsi="Times New Roman"/>
          <w:sz w:val="24"/>
          <w:szCs w:val="24"/>
        </w:rPr>
        <w:t>vedere</w:t>
      </w:r>
      <w:r w:rsidR="0042108A">
        <w:rPr>
          <w:rFonts w:ascii="Times New Roman" w:hAnsi="Times New Roman"/>
          <w:sz w:val="24"/>
          <w:szCs w:val="24"/>
        </w:rPr>
        <w:t xml:space="preserve"> la </w:t>
      </w:r>
      <w:r w:rsidRPr="00FB66BF">
        <w:rPr>
          <w:rFonts w:ascii="Times New Roman" w:hAnsi="Times New Roman"/>
          <w:sz w:val="24"/>
          <w:szCs w:val="24"/>
        </w:rPr>
        <w:t>disciplina disegnata dall’art.</w:t>
      </w:r>
      <w:r w:rsidR="001A2652" w:rsidRPr="00FB66BF">
        <w:rPr>
          <w:rFonts w:ascii="Times New Roman" w:hAnsi="Times New Roman"/>
          <w:sz w:val="24"/>
          <w:szCs w:val="24"/>
        </w:rPr>
        <w:t xml:space="preserve"> 1 della </w:t>
      </w:r>
      <w:r w:rsidR="00B737B5">
        <w:rPr>
          <w:rFonts w:ascii="Times New Roman" w:hAnsi="Times New Roman"/>
          <w:sz w:val="24"/>
          <w:szCs w:val="24"/>
        </w:rPr>
        <w:t>L</w:t>
      </w:r>
      <w:r w:rsidR="001A2652" w:rsidRPr="00FB66BF">
        <w:rPr>
          <w:rFonts w:ascii="Times New Roman" w:hAnsi="Times New Roman"/>
          <w:sz w:val="24"/>
          <w:szCs w:val="24"/>
        </w:rPr>
        <w:t xml:space="preserve">egge </w:t>
      </w:r>
      <w:r w:rsidR="00B737B5">
        <w:rPr>
          <w:rFonts w:ascii="Times New Roman" w:hAnsi="Times New Roman"/>
          <w:sz w:val="24"/>
          <w:szCs w:val="24"/>
        </w:rPr>
        <w:t>F</w:t>
      </w:r>
      <w:r w:rsidR="001A2652" w:rsidRPr="00FB66BF">
        <w:rPr>
          <w:rFonts w:ascii="Times New Roman" w:hAnsi="Times New Roman"/>
          <w:sz w:val="24"/>
          <w:szCs w:val="24"/>
        </w:rPr>
        <w:t>allimentare e</w:t>
      </w:r>
      <w:r w:rsidRPr="00FB66BF">
        <w:rPr>
          <w:rFonts w:ascii="Times New Roman" w:hAnsi="Times New Roman"/>
          <w:sz w:val="24"/>
          <w:szCs w:val="24"/>
        </w:rPr>
        <w:t xml:space="preserve"> di definire </w:t>
      </w:r>
      <w:r w:rsidR="0042108A">
        <w:rPr>
          <w:rFonts w:ascii="Times New Roman" w:hAnsi="Times New Roman"/>
          <w:sz w:val="24"/>
          <w:szCs w:val="24"/>
        </w:rPr>
        <w:t xml:space="preserve">con più precisione </w:t>
      </w:r>
      <w:r w:rsidRPr="00FB66BF">
        <w:rPr>
          <w:rFonts w:ascii="Times New Roman" w:hAnsi="Times New Roman"/>
          <w:sz w:val="24"/>
          <w:szCs w:val="24"/>
        </w:rPr>
        <w:t>i requisiti previsti per la non fallibilità che, comportando una deroga alla disciplina generale</w:t>
      </w:r>
      <w:r w:rsidR="00FB45B8" w:rsidRPr="00FB66BF">
        <w:rPr>
          <w:rFonts w:ascii="Times New Roman" w:hAnsi="Times New Roman"/>
          <w:sz w:val="24"/>
          <w:szCs w:val="24"/>
        </w:rPr>
        <w:t xml:space="preserve"> che assoggetta gli imprenditori alle procedure concorsuali</w:t>
      </w:r>
      <w:r w:rsidRPr="00FB66BF">
        <w:rPr>
          <w:rFonts w:ascii="Times New Roman" w:hAnsi="Times New Roman"/>
          <w:sz w:val="24"/>
          <w:szCs w:val="24"/>
        </w:rPr>
        <w:t>, devono essere inquadrati in modo particolarmente attento</w:t>
      </w:r>
      <w:r w:rsidR="001A2652" w:rsidRPr="00FB66BF">
        <w:rPr>
          <w:rFonts w:ascii="Times New Roman" w:hAnsi="Times New Roman"/>
          <w:sz w:val="24"/>
          <w:szCs w:val="24"/>
        </w:rPr>
        <w:t xml:space="preserve"> </w:t>
      </w:r>
      <w:r w:rsidR="00B737B5">
        <w:rPr>
          <w:rFonts w:ascii="Times New Roman" w:hAnsi="Times New Roman"/>
          <w:sz w:val="24"/>
          <w:szCs w:val="24"/>
        </w:rPr>
        <w:t>in</w:t>
      </w:r>
      <w:r w:rsidR="001A2652" w:rsidRPr="00FB66BF">
        <w:rPr>
          <w:rFonts w:ascii="Times New Roman" w:hAnsi="Times New Roman"/>
          <w:sz w:val="24"/>
          <w:szCs w:val="24"/>
        </w:rPr>
        <w:t xml:space="preserve"> </w:t>
      </w:r>
      <w:r w:rsidR="0042108A">
        <w:rPr>
          <w:rFonts w:ascii="Times New Roman" w:hAnsi="Times New Roman"/>
          <w:sz w:val="24"/>
          <w:szCs w:val="24"/>
        </w:rPr>
        <w:t xml:space="preserve">considerazione </w:t>
      </w:r>
      <w:r w:rsidR="00B737B5">
        <w:rPr>
          <w:rFonts w:ascii="Times New Roman" w:hAnsi="Times New Roman"/>
          <w:sz w:val="24"/>
          <w:szCs w:val="24"/>
        </w:rPr>
        <w:t>de</w:t>
      </w:r>
      <w:r w:rsidR="001A2652" w:rsidRPr="00FB66BF">
        <w:rPr>
          <w:rFonts w:ascii="Times New Roman" w:hAnsi="Times New Roman"/>
          <w:sz w:val="24"/>
          <w:szCs w:val="24"/>
        </w:rPr>
        <w:t>lla definizi</w:t>
      </w:r>
      <w:r w:rsidR="0042108A">
        <w:rPr>
          <w:rFonts w:ascii="Times New Roman" w:hAnsi="Times New Roman"/>
          <w:sz w:val="24"/>
          <w:szCs w:val="24"/>
        </w:rPr>
        <w:t xml:space="preserve">one dei “ricavi” </w:t>
      </w:r>
      <w:r w:rsidR="00B737B5">
        <w:rPr>
          <w:rFonts w:ascii="Times New Roman" w:hAnsi="Times New Roman"/>
          <w:sz w:val="24"/>
          <w:szCs w:val="24"/>
        </w:rPr>
        <w:t>fornita dalla Suprema Corte</w:t>
      </w:r>
      <w:r w:rsidRPr="00FB66BF">
        <w:rPr>
          <w:rFonts w:ascii="Times New Roman" w:hAnsi="Times New Roman"/>
          <w:sz w:val="24"/>
          <w:szCs w:val="24"/>
        </w:rPr>
        <w:t>.</w:t>
      </w:r>
    </w:p>
    <w:p w:rsidR="00645CF3" w:rsidRPr="00FB66BF" w:rsidRDefault="00645CF3" w:rsidP="00FB66BF">
      <w:pPr>
        <w:widowControl w:val="0"/>
        <w:spacing w:after="0" w:line="240" w:lineRule="auto"/>
        <w:jc w:val="both"/>
        <w:rPr>
          <w:rFonts w:ascii="Times New Roman" w:hAnsi="Times New Roman"/>
          <w:i/>
          <w:sz w:val="24"/>
          <w:szCs w:val="24"/>
        </w:rPr>
      </w:pPr>
      <w:r w:rsidRPr="00FB66BF">
        <w:rPr>
          <w:rFonts w:ascii="Times New Roman" w:hAnsi="Times New Roman"/>
          <w:sz w:val="24"/>
          <w:szCs w:val="24"/>
        </w:rPr>
        <w:tab/>
        <w:t xml:space="preserve">Dispone </w:t>
      </w:r>
      <w:r w:rsidR="0042108A">
        <w:rPr>
          <w:rFonts w:ascii="Times New Roman" w:hAnsi="Times New Roman"/>
          <w:sz w:val="24"/>
          <w:szCs w:val="24"/>
        </w:rPr>
        <w:t>il citato a</w:t>
      </w:r>
      <w:r w:rsidRPr="00FB66BF">
        <w:rPr>
          <w:rFonts w:ascii="Times New Roman" w:hAnsi="Times New Roman"/>
          <w:sz w:val="24"/>
          <w:szCs w:val="24"/>
        </w:rPr>
        <w:t xml:space="preserve">rt. 1 </w:t>
      </w:r>
      <w:r w:rsidR="0042108A">
        <w:rPr>
          <w:rFonts w:ascii="Times New Roman" w:hAnsi="Times New Roman"/>
          <w:sz w:val="24"/>
          <w:szCs w:val="24"/>
        </w:rPr>
        <w:t xml:space="preserve">(rubricato </w:t>
      </w:r>
      <w:r w:rsidR="0042108A">
        <w:rPr>
          <w:rFonts w:ascii="Times New Roman" w:hAnsi="Times New Roman"/>
          <w:i/>
          <w:sz w:val="24"/>
          <w:szCs w:val="24"/>
        </w:rPr>
        <w:t>Imprese soggette al fallimento e al concordato preventivo</w:t>
      </w:r>
      <w:r w:rsidR="0042108A">
        <w:rPr>
          <w:rFonts w:ascii="Times New Roman" w:hAnsi="Times New Roman"/>
          <w:sz w:val="24"/>
          <w:szCs w:val="24"/>
        </w:rPr>
        <w:t>)</w:t>
      </w:r>
      <w:r w:rsidRPr="00FB66BF">
        <w:rPr>
          <w:rFonts w:ascii="Times New Roman" w:hAnsi="Times New Roman"/>
          <w:sz w:val="24"/>
          <w:szCs w:val="24"/>
        </w:rPr>
        <w:t xml:space="preserve"> che: “</w:t>
      </w:r>
      <w:r w:rsidRPr="00FB66BF">
        <w:rPr>
          <w:rFonts w:ascii="Times New Roman" w:hAnsi="Times New Roman"/>
          <w:i/>
          <w:sz w:val="24"/>
          <w:szCs w:val="24"/>
        </w:rPr>
        <w:t>Sono soggetti alle disposizioni sul fallimento e sul concordato preventivo gli imprenditori che esercitano una attività commerciale, esclusi gli enti pubblici.</w:t>
      </w:r>
    </w:p>
    <w:p w:rsidR="00645CF3" w:rsidRPr="00FB66BF" w:rsidRDefault="00645CF3" w:rsidP="00FB66BF">
      <w:pPr>
        <w:widowControl w:val="0"/>
        <w:spacing w:after="0" w:line="240" w:lineRule="auto"/>
        <w:jc w:val="both"/>
        <w:rPr>
          <w:rFonts w:ascii="Times New Roman" w:hAnsi="Times New Roman"/>
          <w:i/>
          <w:sz w:val="24"/>
          <w:szCs w:val="24"/>
        </w:rPr>
      </w:pPr>
      <w:r w:rsidRPr="00FB66BF">
        <w:rPr>
          <w:rFonts w:ascii="Times New Roman" w:hAnsi="Times New Roman"/>
          <w:i/>
          <w:sz w:val="24"/>
          <w:szCs w:val="24"/>
        </w:rPr>
        <w:t>Non sono soggetti alle disposizioni sul fallimento e sul concordato preventivo gli imprenditori di cui al primo comma, i quali dimostrino il possesso congiunto dei seguenti requisiti:</w:t>
      </w:r>
    </w:p>
    <w:p w:rsidR="00645CF3" w:rsidRPr="00FB66BF" w:rsidRDefault="00645CF3" w:rsidP="00FB66BF">
      <w:pPr>
        <w:widowControl w:val="0"/>
        <w:spacing w:after="0" w:line="240" w:lineRule="auto"/>
        <w:jc w:val="both"/>
        <w:rPr>
          <w:rFonts w:ascii="Times New Roman" w:hAnsi="Times New Roman"/>
          <w:i/>
          <w:sz w:val="24"/>
          <w:szCs w:val="24"/>
        </w:rPr>
      </w:pPr>
      <w:r w:rsidRPr="00FB66BF">
        <w:rPr>
          <w:rFonts w:ascii="Times New Roman" w:hAnsi="Times New Roman"/>
          <w:i/>
          <w:sz w:val="24"/>
          <w:szCs w:val="24"/>
        </w:rPr>
        <w:t>a) aver avuto, nei tre esercizi antecedenti la data di deposito della istanza di fallimento o dall'inizio dell'attività se di durata inferiore, un attivo patrimoniale di ammontare complessivo annuo non superiore ad euro trecentomila;</w:t>
      </w:r>
    </w:p>
    <w:p w:rsidR="00645CF3" w:rsidRPr="00FB66BF" w:rsidRDefault="00645CF3" w:rsidP="00FB66BF">
      <w:pPr>
        <w:widowControl w:val="0"/>
        <w:spacing w:after="0" w:line="240" w:lineRule="auto"/>
        <w:jc w:val="both"/>
        <w:rPr>
          <w:rFonts w:ascii="Times New Roman" w:hAnsi="Times New Roman"/>
          <w:i/>
          <w:sz w:val="24"/>
          <w:szCs w:val="24"/>
        </w:rPr>
      </w:pPr>
      <w:r w:rsidRPr="00FB66BF">
        <w:rPr>
          <w:rFonts w:ascii="Times New Roman" w:hAnsi="Times New Roman"/>
          <w:i/>
          <w:sz w:val="24"/>
          <w:szCs w:val="24"/>
        </w:rPr>
        <w:t>b) aver realizzato, in qualunque modo risulti, nei tre esercizi antecedenti la data di deposito dell'istanza di fallimento o dall'inizio dell'attività se di durata inferiore, ricavi lordi per un ammontare complessivo annuo non superiore ad euro duecentomila;</w:t>
      </w:r>
    </w:p>
    <w:p w:rsidR="00645CF3" w:rsidRPr="00FB66BF" w:rsidRDefault="00645CF3" w:rsidP="00FB66BF">
      <w:pPr>
        <w:widowControl w:val="0"/>
        <w:spacing w:after="0" w:line="240" w:lineRule="auto"/>
        <w:jc w:val="both"/>
        <w:rPr>
          <w:rFonts w:ascii="Times New Roman" w:hAnsi="Times New Roman"/>
          <w:i/>
          <w:sz w:val="24"/>
          <w:szCs w:val="24"/>
        </w:rPr>
      </w:pPr>
      <w:r w:rsidRPr="00FB66BF">
        <w:rPr>
          <w:rFonts w:ascii="Times New Roman" w:hAnsi="Times New Roman"/>
          <w:i/>
          <w:sz w:val="24"/>
          <w:szCs w:val="24"/>
        </w:rPr>
        <w:t>c) avere un ammontare di debiti anche non scaduti non superiore ad euro cinquecentomila.</w:t>
      </w:r>
      <w:r w:rsidR="00FB45B8" w:rsidRPr="00FB66BF">
        <w:rPr>
          <w:rFonts w:ascii="Times New Roman" w:hAnsi="Times New Roman"/>
          <w:i/>
          <w:sz w:val="24"/>
          <w:szCs w:val="24"/>
        </w:rPr>
        <w:t xml:space="preserve"> </w:t>
      </w:r>
      <w:r w:rsidRPr="00FB66BF">
        <w:rPr>
          <w:rFonts w:ascii="Times New Roman" w:hAnsi="Times New Roman"/>
          <w:i/>
          <w:sz w:val="24"/>
          <w:szCs w:val="24"/>
        </w:rPr>
        <w:t>…</w:t>
      </w:r>
      <w:r w:rsidRPr="00FB66BF">
        <w:rPr>
          <w:rFonts w:ascii="Times New Roman" w:hAnsi="Times New Roman"/>
          <w:sz w:val="24"/>
          <w:szCs w:val="24"/>
        </w:rPr>
        <w:t>”.</w:t>
      </w:r>
    </w:p>
    <w:p w:rsidR="00CD08E6" w:rsidRPr="00FB66BF" w:rsidRDefault="00645CF3" w:rsidP="00FB66BF">
      <w:pPr>
        <w:widowControl w:val="0"/>
        <w:spacing w:after="0" w:line="240" w:lineRule="auto"/>
        <w:jc w:val="both"/>
        <w:rPr>
          <w:rFonts w:ascii="Times New Roman" w:hAnsi="Times New Roman"/>
          <w:sz w:val="24"/>
          <w:szCs w:val="24"/>
        </w:rPr>
      </w:pPr>
      <w:r w:rsidRPr="00FB66BF">
        <w:rPr>
          <w:rFonts w:ascii="Times New Roman" w:hAnsi="Times New Roman"/>
          <w:sz w:val="24"/>
          <w:szCs w:val="24"/>
        </w:rPr>
        <w:tab/>
      </w:r>
      <w:r w:rsidR="004A0202" w:rsidRPr="00FB66BF">
        <w:rPr>
          <w:rFonts w:ascii="Times New Roman" w:hAnsi="Times New Roman"/>
          <w:sz w:val="24"/>
          <w:szCs w:val="24"/>
        </w:rPr>
        <w:t>L</w:t>
      </w:r>
      <w:r w:rsidR="0084076E" w:rsidRPr="00FB66BF">
        <w:rPr>
          <w:rFonts w:ascii="Times New Roman" w:hAnsi="Times New Roman"/>
          <w:sz w:val="24"/>
          <w:szCs w:val="24"/>
        </w:rPr>
        <w:t>a scelta di reintrodurre l’originario meccanismo</w:t>
      </w:r>
      <w:r w:rsidR="004A0202" w:rsidRPr="00FB66BF">
        <w:rPr>
          <w:rStyle w:val="Rimandonotaapidipagina"/>
          <w:rFonts w:ascii="Times New Roman" w:hAnsi="Times New Roman"/>
          <w:sz w:val="24"/>
          <w:szCs w:val="24"/>
        </w:rPr>
        <w:footnoteReference w:id="1"/>
      </w:r>
      <w:r w:rsidR="004A0202" w:rsidRPr="00FB66BF">
        <w:rPr>
          <w:rFonts w:ascii="Times New Roman" w:hAnsi="Times New Roman"/>
          <w:sz w:val="24"/>
          <w:szCs w:val="24"/>
        </w:rPr>
        <w:t xml:space="preserve"> delle</w:t>
      </w:r>
      <w:r w:rsidR="0084076E" w:rsidRPr="00FB66BF">
        <w:rPr>
          <w:rFonts w:ascii="Times New Roman" w:hAnsi="Times New Roman"/>
          <w:sz w:val="24"/>
          <w:szCs w:val="24"/>
        </w:rPr>
        <w:t xml:space="preserve"> soglie quantitative di fallibilità, </w:t>
      </w:r>
      <w:r w:rsidR="00FB45B8" w:rsidRPr="00FB66BF">
        <w:rPr>
          <w:rFonts w:ascii="Times New Roman" w:hAnsi="Times New Roman"/>
          <w:sz w:val="24"/>
          <w:szCs w:val="24"/>
        </w:rPr>
        <w:t>dopo un periodo in cui l’esonero era collegato al tipo giuridico prescelto dall’imprenditore e dal settore economico di operatività</w:t>
      </w:r>
      <w:r w:rsidR="00596C3E">
        <w:rPr>
          <w:rFonts w:ascii="Times New Roman" w:hAnsi="Times New Roman"/>
          <w:sz w:val="24"/>
          <w:szCs w:val="24"/>
        </w:rPr>
        <w:t xml:space="preserve"> </w:t>
      </w:r>
      <w:r w:rsidR="00B737B5">
        <w:rPr>
          <w:rFonts w:ascii="Times New Roman" w:hAnsi="Times New Roman"/>
          <w:sz w:val="24"/>
          <w:szCs w:val="24"/>
        </w:rPr>
        <w:t>(</w:t>
      </w:r>
      <w:r w:rsidR="00FB45B8" w:rsidRPr="00FB66BF">
        <w:rPr>
          <w:rFonts w:ascii="Times New Roman" w:hAnsi="Times New Roman"/>
          <w:sz w:val="24"/>
          <w:szCs w:val="24"/>
        </w:rPr>
        <w:t>soglie</w:t>
      </w:r>
      <w:r w:rsidR="00596C3E">
        <w:rPr>
          <w:rFonts w:ascii="Times New Roman" w:hAnsi="Times New Roman"/>
          <w:sz w:val="24"/>
          <w:szCs w:val="24"/>
        </w:rPr>
        <w:t xml:space="preserve"> </w:t>
      </w:r>
      <w:r w:rsidR="00FB45B8" w:rsidRPr="00FB66BF">
        <w:rPr>
          <w:rFonts w:ascii="Times New Roman" w:hAnsi="Times New Roman"/>
          <w:sz w:val="24"/>
          <w:szCs w:val="24"/>
        </w:rPr>
        <w:t xml:space="preserve">che erano </w:t>
      </w:r>
      <w:r w:rsidR="0084076E" w:rsidRPr="00FB66BF">
        <w:rPr>
          <w:rFonts w:ascii="Times New Roman" w:hAnsi="Times New Roman"/>
          <w:sz w:val="24"/>
          <w:szCs w:val="24"/>
        </w:rPr>
        <w:t>volte a sottrarre all’apertura delle procedure concorsuali le imprese che non supera</w:t>
      </w:r>
      <w:r w:rsidR="00596C3E">
        <w:rPr>
          <w:rFonts w:ascii="Times New Roman" w:hAnsi="Times New Roman"/>
          <w:sz w:val="24"/>
          <w:szCs w:val="24"/>
        </w:rPr>
        <w:t>va</w:t>
      </w:r>
      <w:r w:rsidR="00A10A50" w:rsidRPr="00FB66BF">
        <w:rPr>
          <w:rFonts w:ascii="Times New Roman" w:hAnsi="Times New Roman"/>
          <w:sz w:val="24"/>
          <w:szCs w:val="24"/>
        </w:rPr>
        <w:t>n</w:t>
      </w:r>
      <w:r w:rsidR="0084076E" w:rsidRPr="00FB66BF">
        <w:rPr>
          <w:rFonts w:ascii="Times New Roman" w:hAnsi="Times New Roman"/>
          <w:sz w:val="24"/>
          <w:szCs w:val="24"/>
        </w:rPr>
        <w:t>o determinate dimensioni</w:t>
      </w:r>
      <w:r w:rsidR="00B737B5">
        <w:rPr>
          <w:rFonts w:ascii="Times New Roman" w:hAnsi="Times New Roman"/>
          <w:sz w:val="24"/>
          <w:szCs w:val="24"/>
        </w:rPr>
        <w:t>),</w:t>
      </w:r>
      <w:r w:rsidR="00596C3E">
        <w:rPr>
          <w:rFonts w:ascii="Times New Roman" w:hAnsi="Times New Roman"/>
          <w:sz w:val="24"/>
          <w:szCs w:val="24"/>
        </w:rPr>
        <w:t xml:space="preserve"> </w:t>
      </w:r>
      <w:r w:rsidR="00CD08E6" w:rsidRPr="00FB66BF">
        <w:rPr>
          <w:rFonts w:ascii="Times New Roman" w:hAnsi="Times New Roman"/>
          <w:sz w:val="24"/>
          <w:szCs w:val="24"/>
        </w:rPr>
        <w:t>è</w:t>
      </w:r>
      <w:r w:rsidR="00596C3E">
        <w:rPr>
          <w:rFonts w:ascii="Times New Roman" w:hAnsi="Times New Roman"/>
          <w:sz w:val="24"/>
          <w:szCs w:val="24"/>
        </w:rPr>
        <w:t xml:space="preserve"> </w:t>
      </w:r>
      <w:r w:rsidR="00CD08E6" w:rsidRPr="00FB66BF">
        <w:rPr>
          <w:rFonts w:ascii="Times New Roman" w:hAnsi="Times New Roman"/>
          <w:sz w:val="24"/>
          <w:szCs w:val="24"/>
        </w:rPr>
        <w:t>finalizzata a ricostruire “</w:t>
      </w:r>
      <w:r w:rsidR="00CD08E6" w:rsidRPr="00FB66BF">
        <w:rPr>
          <w:rFonts w:ascii="Times New Roman" w:hAnsi="Times New Roman"/>
          <w:i/>
          <w:sz w:val="24"/>
          <w:szCs w:val="24"/>
        </w:rPr>
        <w:t>l’ambito soggettivo di estensione della procedura fallimentare</w:t>
      </w:r>
      <w:r w:rsidR="00CD08E6" w:rsidRPr="00FB66BF">
        <w:rPr>
          <w:rFonts w:ascii="Times New Roman" w:hAnsi="Times New Roman"/>
          <w:sz w:val="24"/>
          <w:szCs w:val="24"/>
        </w:rPr>
        <w:t>”, tanto perché “</w:t>
      </w:r>
      <w:r w:rsidR="00CD08E6" w:rsidRPr="00FB66BF">
        <w:rPr>
          <w:rFonts w:ascii="Times New Roman" w:hAnsi="Times New Roman"/>
          <w:i/>
          <w:sz w:val="24"/>
          <w:szCs w:val="24"/>
        </w:rPr>
        <w:t xml:space="preserve">l’ampliamento dei soggetti esonerati è stato inteso in senso quantitativo e non meramente qualitativo. In altri termini, benché vengano assoggettati a fallimento tutti gli imprenditori commerciali, qualunque sia l’attività esercitata. Restano quindi esclusi dall’assoggettabilità alle procedure concorsuali, oltre agli imprenditori agricoli ed agli enti pubblici che esercitano in via esclusiva o prevalente un’attività economica, anche tutti i piccoli imprenditori, siano essi imprenditori individuali che collettivi . In questo modo </w:t>
      </w:r>
      <w:r w:rsidR="00B737B5">
        <w:rPr>
          <w:rFonts w:ascii="Times New Roman" w:hAnsi="Times New Roman"/>
          <w:i/>
          <w:sz w:val="24"/>
          <w:szCs w:val="24"/>
        </w:rPr>
        <w:t>(</w:t>
      </w:r>
      <w:r w:rsidR="00A161D4" w:rsidRPr="00FB66BF">
        <w:rPr>
          <w:rFonts w:ascii="Times New Roman" w:hAnsi="Times New Roman"/>
          <w:i/>
          <w:sz w:val="24"/>
          <w:szCs w:val="24"/>
        </w:rPr>
        <w:t>…</w:t>
      </w:r>
      <w:r w:rsidR="00B737B5">
        <w:rPr>
          <w:rFonts w:ascii="Times New Roman" w:hAnsi="Times New Roman"/>
          <w:i/>
          <w:sz w:val="24"/>
          <w:szCs w:val="24"/>
        </w:rPr>
        <w:t>)</w:t>
      </w:r>
      <w:r w:rsidR="00CD08E6" w:rsidRPr="00FB66BF">
        <w:rPr>
          <w:rFonts w:ascii="Times New Roman" w:hAnsi="Times New Roman"/>
          <w:i/>
          <w:sz w:val="24"/>
          <w:szCs w:val="24"/>
        </w:rPr>
        <w:t xml:space="preserve"> si è inteso risolvere nel senso dell’esclusione la </w:t>
      </w:r>
      <w:proofErr w:type="spellStart"/>
      <w:r w:rsidR="00CD08E6" w:rsidRPr="00FB66BF">
        <w:rPr>
          <w:rFonts w:ascii="Times New Roman" w:hAnsi="Times New Roman"/>
          <w:sz w:val="24"/>
          <w:szCs w:val="24"/>
        </w:rPr>
        <w:t>vexata</w:t>
      </w:r>
      <w:proofErr w:type="spellEnd"/>
      <w:r w:rsidR="00CD08E6" w:rsidRPr="00FB66BF">
        <w:rPr>
          <w:rFonts w:ascii="Times New Roman" w:hAnsi="Times New Roman"/>
          <w:sz w:val="24"/>
          <w:szCs w:val="24"/>
        </w:rPr>
        <w:t xml:space="preserve"> quaestio</w:t>
      </w:r>
      <w:r w:rsidR="00CD08E6" w:rsidRPr="00FB66BF">
        <w:rPr>
          <w:rFonts w:ascii="Times New Roman" w:hAnsi="Times New Roman"/>
          <w:i/>
          <w:sz w:val="24"/>
          <w:szCs w:val="24"/>
        </w:rPr>
        <w:t xml:space="preserve"> concernente la fallibilità delle piccole società commerciali. Tale dato va, poi, letto in collegamento con gli accresciuti nuovi limiti dimensionali delle imprese non assoggettate al fallimento di cui appresso</w:t>
      </w:r>
      <w:r w:rsidR="001A2652" w:rsidRPr="00FB66BF">
        <w:rPr>
          <w:rFonts w:ascii="Times New Roman" w:hAnsi="Times New Roman"/>
          <w:sz w:val="24"/>
          <w:szCs w:val="24"/>
        </w:rPr>
        <w:t>”</w:t>
      </w:r>
      <w:r w:rsidR="00FA14F7">
        <w:rPr>
          <w:rStyle w:val="Rimandonotaapidipagina"/>
          <w:rFonts w:ascii="Times New Roman" w:hAnsi="Times New Roman"/>
          <w:sz w:val="24"/>
          <w:szCs w:val="24"/>
        </w:rPr>
        <w:footnoteReference w:id="2"/>
      </w:r>
      <w:r w:rsidR="00FA14F7">
        <w:rPr>
          <w:rFonts w:ascii="Times New Roman" w:hAnsi="Times New Roman"/>
          <w:sz w:val="24"/>
          <w:szCs w:val="24"/>
        </w:rPr>
        <w:t>.</w:t>
      </w:r>
      <w:r w:rsidR="001A2652" w:rsidRPr="00FB66BF">
        <w:rPr>
          <w:rFonts w:ascii="Times New Roman" w:hAnsi="Times New Roman"/>
          <w:sz w:val="24"/>
          <w:szCs w:val="24"/>
        </w:rPr>
        <w:t xml:space="preserve"> </w:t>
      </w:r>
    </w:p>
    <w:p w:rsidR="00645CF3" w:rsidRPr="00FB66BF" w:rsidRDefault="00A161D4" w:rsidP="00FB66BF">
      <w:pPr>
        <w:widowControl w:val="0"/>
        <w:spacing w:after="0" w:line="240" w:lineRule="auto"/>
        <w:jc w:val="both"/>
        <w:rPr>
          <w:rFonts w:ascii="Times New Roman" w:hAnsi="Times New Roman"/>
          <w:sz w:val="24"/>
          <w:szCs w:val="24"/>
        </w:rPr>
      </w:pPr>
      <w:r w:rsidRPr="00FB66BF">
        <w:rPr>
          <w:rFonts w:ascii="Times New Roman" w:hAnsi="Times New Roman"/>
          <w:sz w:val="24"/>
          <w:szCs w:val="24"/>
        </w:rPr>
        <w:tab/>
        <w:t xml:space="preserve">Chiarita la </w:t>
      </w:r>
      <w:r w:rsidRPr="00FB66BF">
        <w:rPr>
          <w:rFonts w:ascii="Times New Roman" w:hAnsi="Times New Roman"/>
          <w:i/>
          <w:sz w:val="24"/>
          <w:szCs w:val="24"/>
        </w:rPr>
        <w:t>ratio</w:t>
      </w:r>
      <w:r w:rsidRPr="00FB66BF">
        <w:rPr>
          <w:rFonts w:ascii="Times New Roman" w:hAnsi="Times New Roman"/>
          <w:sz w:val="24"/>
          <w:szCs w:val="24"/>
        </w:rPr>
        <w:t xml:space="preserve"> e la genesi della norma nella sua versione attuale (tale a seguito dei </w:t>
      </w:r>
      <w:r w:rsidRPr="00FB66BF">
        <w:rPr>
          <w:rFonts w:ascii="Times New Roman" w:hAnsi="Times New Roman"/>
          <w:sz w:val="24"/>
          <w:szCs w:val="24"/>
        </w:rPr>
        <w:lastRenderedPageBreak/>
        <w:t>correttivi previsti dal D.Lgs. 12</w:t>
      </w:r>
      <w:r w:rsidR="00596C3E">
        <w:rPr>
          <w:rFonts w:ascii="Times New Roman" w:hAnsi="Times New Roman"/>
          <w:sz w:val="24"/>
          <w:szCs w:val="24"/>
        </w:rPr>
        <w:t>.09.</w:t>
      </w:r>
      <w:r w:rsidRPr="00FB66BF">
        <w:rPr>
          <w:rFonts w:ascii="Times New Roman" w:hAnsi="Times New Roman"/>
          <w:sz w:val="24"/>
          <w:szCs w:val="24"/>
        </w:rPr>
        <w:t>2007 n.</w:t>
      </w:r>
      <w:r w:rsidR="00596C3E">
        <w:rPr>
          <w:rFonts w:ascii="Times New Roman" w:hAnsi="Times New Roman"/>
          <w:sz w:val="24"/>
          <w:szCs w:val="24"/>
        </w:rPr>
        <w:t xml:space="preserve"> </w:t>
      </w:r>
      <w:r w:rsidRPr="00FB66BF">
        <w:rPr>
          <w:rFonts w:ascii="Times New Roman" w:hAnsi="Times New Roman"/>
          <w:sz w:val="24"/>
          <w:szCs w:val="24"/>
        </w:rPr>
        <w:t>169</w:t>
      </w:r>
      <w:r w:rsidRPr="00FB66BF">
        <w:rPr>
          <w:rStyle w:val="Rimandonotaapidipagina"/>
          <w:rFonts w:ascii="Times New Roman" w:hAnsi="Times New Roman"/>
          <w:sz w:val="24"/>
          <w:szCs w:val="24"/>
        </w:rPr>
        <w:footnoteReference w:id="3"/>
      </w:r>
      <w:r w:rsidRPr="00FB66BF">
        <w:rPr>
          <w:rFonts w:ascii="Times New Roman" w:hAnsi="Times New Roman"/>
          <w:sz w:val="24"/>
          <w:szCs w:val="24"/>
        </w:rPr>
        <w:t xml:space="preserve">), occorre anche sottolineare come i criteri ivi previsti </w:t>
      </w:r>
      <w:r w:rsidR="004A6288" w:rsidRPr="00FB66BF">
        <w:rPr>
          <w:rFonts w:ascii="Times New Roman" w:hAnsi="Times New Roman"/>
          <w:sz w:val="24"/>
          <w:szCs w:val="24"/>
        </w:rPr>
        <w:t xml:space="preserve">debbano essere posseduti congiuntamente: in altri termini, </w:t>
      </w:r>
      <w:r w:rsidR="000B0562" w:rsidRPr="00FB66BF">
        <w:rPr>
          <w:rFonts w:ascii="Times New Roman" w:hAnsi="Times New Roman"/>
          <w:sz w:val="24"/>
          <w:szCs w:val="24"/>
        </w:rPr>
        <w:t>devono essere tutti posseduti affinché operi l’esclusione dall’assoggettabilità alle procedure concorsuali; viceversa, ove anche uno solo dei tre requisiti dimensionali non sia rispettato, l’area di fallibilità tornerà ad espandersi.</w:t>
      </w:r>
    </w:p>
    <w:p w:rsidR="000B0562" w:rsidRPr="00FB66BF" w:rsidRDefault="000B0562" w:rsidP="00FB66BF">
      <w:pPr>
        <w:widowControl w:val="0"/>
        <w:spacing w:after="0" w:line="240" w:lineRule="auto"/>
        <w:jc w:val="both"/>
        <w:rPr>
          <w:rFonts w:ascii="Times New Roman" w:hAnsi="Times New Roman"/>
          <w:sz w:val="24"/>
          <w:szCs w:val="24"/>
        </w:rPr>
      </w:pPr>
      <w:r w:rsidRPr="00FB66BF">
        <w:rPr>
          <w:rFonts w:ascii="Times New Roman" w:hAnsi="Times New Roman"/>
          <w:sz w:val="24"/>
          <w:szCs w:val="24"/>
        </w:rPr>
        <w:tab/>
        <w:t>Riportati, sebbene sommariamente, i tratti fondamentali della disciplina di cui all’art. 1, comm</w:t>
      </w:r>
      <w:r w:rsidR="001A2652" w:rsidRPr="00FB66BF">
        <w:rPr>
          <w:rFonts w:ascii="Times New Roman" w:hAnsi="Times New Roman"/>
          <w:sz w:val="24"/>
          <w:szCs w:val="24"/>
        </w:rPr>
        <w:t xml:space="preserve">a 2, </w:t>
      </w:r>
      <w:r w:rsidR="00FA14F7">
        <w:rPr>
          <w:rFonts w:ascii="Times New Roman" w:hAnsi="Times New Roman"/>
          <w:sz w:val="24"/>
          <w:szCs w:val="24"/>
        </w:rPr>
        <w:t>Legge Fallimentare</w:t>
      </w:r>
      <w:r w:rsidR="001A2652" w:rsidRPr="00FB66BF">
        <w:rPr>
          <w:rFonts w:ascii="Times New Roman" w:hAnsi="Times New Roman"/>
          <w:sz w:val="24"/>
          <w:szCs w:val="24"/>
        </w:rPr>
        <w:t>, occorre ripercorrere</w:t>
      </w:r>
      <w:r w:rsidRPr="00FB66BF">
        <w:rPr>
          <w:rFonts w:ascii="Times New Roman" w:hAnsi="Times New Roman"/>
          <w:sz w:val="24"/>
          <w:szCs w:val="24"/>
        </w:rPr>
        <w:t xml:space="preserve"> quanto precisato dalla Corte di Cassazione nella pronuncia </w:t>
      </w:r>
      <w:r w:rsidR="00596C3E">
        <w:rPr>
          <w:rFonts w:ascii="Times New Roman" w:hAnsi="Times New Roman"/>
          <w:sz w:val="24"/>
          <w:szCs w:val="24"/>
        </w:rPr>
        <w:t>in esame</w:t>
      </w:r>
      <w:r w:rsidRPr="00FB66BF">
        <w:rPr>
          <w:rFonts w:ascii="Times New Roman" w:hAnsi="Times New Roman"/>
          <w:sz w:val="24"/>
          <w:szCs w:val="24"/>
        </w:rPr>
        <w:t>.</w:t>
      </w:r>
    </w:p>
    <w:p w:rsidR="00645CF3" w:rsidRPr="00FB66BF" w:rsidRDefault="000B0562" w:rsidP="00FB66BF">
      <w:pPr>
        <w:widowControl w:val="0"/>
        <w:spacing w:after="0" w:line="240" w:lineRule="auto"/>
        <w:jc w:val="both"/>
        <w:rPr>
          <w:rFonts w:ascii="Times New Roman" w:hAnsi="Times New Roman"/>
          <w:sz w:val="24"/>
          <w:szCs w:val="24"/>
        </w:rPr>
      </w:pPr>
      <w:r w:rsidRPr="00FB66BF">
        <w:rPr>
          <w:rFonts w:ascii="Times New Roman" w:hAnsi="Times New Roman"/>
          <w:sz w:val="24"/>
          <w:szCs w:val="24"/>
        </w:rPr>
        <w:tab/>
        <w:t>La questione controversa attiene all’interpretazione del requisito di fallibilità sub lett. b)</w:t>
      </w:r>
      <w:r w:rsidR="001A2652" w:rsidRPr="00FB66BF">
        <w:rPr>
          <w:rFonts w:ascii="Times New Roman" w:hAnsi="Times New Roman"/>
          <w:sz w:val="24"/>
          <w:szCs w:val="24"/>
        </w:rPr>
        <w:t>, art. cit.</w:t>
      </w:r>
      <w:r w:rsidRPr="00FB66BF">
        <w:rPr>
          <w:rFonts w:ascii="Times New Roman" w:hAnsi="Times New Roman"/>
          <w:sz w:val="24"/>
          <w:szCs w:val="24"/>
        </w:rPr>
        <w:t xml:space="preserve"> (</w:t>
      </w:r>
      <w:r w:rsidRPr="00FB66BF">
        <w:rPr>
          <w:rFonts w:ascii="Times New Roman" w:hAnsi="Times New Roman"/>
          <w:i/>
          <w:sz w:val="24"/>
          <w:szCs w:val="24"/>
        </w:rPr>
        <w:t>“aver realizzato, in qualunque modo risulti, nei tre esercizi antecedenti la data di deposito dell'istanza di fallimento o dall'inizio dell'attività se di durata inferiore, ricavi lordi per un ammontare complessivo annuo non superiore ad euro duecentomila”</w:t>
      </w:r>
      <w:r w:rsidRPr="00FB66BF">
        <w:rPr>
          <w:rFonts w:ascii="Times New Roman" w:hAnsi="Times New Roman"/>
          <w:sz w:val="24"/>
          <w:szCs w:val="24"/>
        </w:rPr>
        <w:t xml:space="preserve">): la Corte del merito aveva interpretato, attraverso un meccanismo </w:t>
      </w:r>
      <w:proofErr w:type="spellStart"/>
      <w:r w:rsidRPr="00FB66BF">
        <w:rPr>
          <w:rFonts w:ascii="Times New Roman" w:hAnsi="Times New Roman"/>
          <w:sz w:val="24"/>
          <w:szCs w:val="24"/>
        </w:rPr>
        <w:t>estensivo</w:t>
      </w:r>
      <w:r w:rsidR="00F15184">
        <w:rPr>
          <w:rFonts w:ascii="Times New Roman" w:hAnsi="Times New Roman"/>
          <w:sz w:val="24"/>
          <w:szCs w:val="24"/>
        </w:rPr>
        <w:t>–</w:t>
      </w:r>
      <w:r w:rsidRPr="00FB66BF">
        <w:rPr>
          <w:rFonts w:ascii="Times New Roman" w:hAnsi="Times New Roman"/>
          <w:sz w:val="24"/>
          <w:szCs w:val="24"/>
        </w:rPr>
        <w:t>analogico</w:t>
      </w:r>
      <w:proofErr w:type="spellEnd"/>
      <w:r w:rsidRPr="00FB66BF">
        <w:rPr>
          <w:rFonts w:ascii="Times New Roman" w:hAnsi="Times New Roman"/>
          <w:sz w:val="24"/>
          <w:szCs w:val="24"/>
        </w:rPr>
        <w:t>, il termine “ricavo” non in senso tecnico (ricavi dalle vendite di merci), bensì in relazione al valore della produzione, così come descritta dall’art. 2425, lett. A</w:t>
      </w:r>
      <w:r w:rsidR="00F15184">
        <w:rPr>
          <w:rFonts w:ascii="Times New Roman" w:hAnsi="Times New Roman"/>
          <w:sz w:val="24"/>
          <w:szCs w:val="24"/>
        </w:rPr>
        <w:t>)</w:t>
      </w:r>
      <w:r w:rsidRPr="00FB66BF">
        <w:rPr>
          <w:rFonts w:ascii="Times New Roman" w:hAnsi="Times New Roman"/>
          <w:sz w:val="24"/>
          <w:szCs w:val="24"/>
        </w:rPr>
        <w:t>, c.c.</w:t>
      </w:r>
      <w:r w:rsidRPr="00FB66BF">
        <w:rPr>
          <w:rStyle w:val="Rimandonotaapidipagina"/>
          <w:rFonts w:ascii="Times New Roman" w:hAnsi="Times New Roman"/>
          <w:sz w:val="24"/>
          <w:szCs w:val="24"/>
        </w:rPr>
        <w:footnoteReference w:id="4"/>
      </w:r>
      <w:r w:rsidR="00F15184">
        <w:rPr>
          <w:rFonts w:ascii="Times New Roman" w:hAnsi="Times New Roman"/>
          <w:sz w:val="24"/>
          <w:szCs w:val="24"/>
        </w:rPr>
        <w:t>.</w:t>
      </w:r>
    </w:p>
    <w:p w:rsidR="00612668" w:rsidRPr="00FB66BF" w:rsidRDefault="000B0562" w:rsidP="00FB66BF">
      <w:pPr>
        <w:widowControl w:val="0"/>
        <w:spacing w:after="0" w:line="240" w:lineRule="auto"/>
        <w:jc w:val="both"/>
        <w:rPr>
          <w:rFonts w:ascii="Times New Roman" w:hAnsi="Times New Roman"/>
          <w:sz w:val="24"/>
          <w:szCs w:val="24"/>
        </w:rPr>
      </w:pPr>
      <w:r w:rsidRPr="00FB66BF">
        <w:rPr>
          <w:rFonts w:ascii="Times New Roman" w:hAnsi="Times New Roman"/>
          <w:sz w:val="24"/>
          <w:szCs w:val="24"/>
        </w:rPr>
        <w:tab/>
        <w:t>La Corte di Cassazione, attraverso un percorso logico assolutamente condivisibile, ha censurato l’interpretazione fornita dalla Corte di merito, sottolineando che “</w:t>
      </w:r>
      <w:r w:rsidRPr="00FB66BF">
        <w:rPr>
          <w:rFonts w:ascii="Times New Roman" w:hAnsi="Times New Roman"/>
          <w:i/>
          <w:sz w:val="24"/>
          <w:szCs w:val="24"/>
        </w:rPr>
        <w:t xml:space="preserve">il legislatore, </w:t>
      </w:r>
      <w:r w:rsidR="00AB71F3" w:rsidRPr="00FB66BF">
        <w:rPr>
          <w:rFonts w:ascii="Times New Roman" w:hAnsi="Times New Roman"/>
          <w:i/>
          <w:sz w:val="24"/>
          <w:szCs w:val="24"/>
        </w:rPr>
        <w:t>n</w:t>
      </w:r>
      <w:r w:rsidRPr="00FB66BF">
        <w:rPr>
          <w:rFonts w:ascii="Times New Roman" w:hAnsi="Times New Roman"/>
          <w:i/>
          <w:sz w:val="24"/>
          <w:szCs w:val="24"/>
        </w:rPr>
        <w:t xml:space="preserve">el riferirsi ai “ricavi”, non può che avere considerato gli stessi in senso tecnico, non potendosi ragionevolmente presumersi il contrario, deve ritenersi di piana evidenza il riferimento ai “ricavi delle vendite e delle prestazioni” sub n. 1, ed altresì la </w:t>
      </w:r>
      <w:proofErr w:type="spellStart"/>
      <w:r w:rsidRPr="00FB66BF">
        <w:rPr>
          <w:rFonts w:ascii="Times New Roman" w:hAnsi="Times New Roman"/>
          <w:i/>
          <w:sz w:val="24"/>
          <w:szCs w:val="24"/>
        </w:rPr>
        <w:t>ricomprensione</w:t>
      </w:r>
      <w:proofErr w:type="spellEnd"/>
      <w:r w:rsidRPr="00FB66BF">
        <w:rPr>
          <w:rFonts w:ascii="Times New Roman" w:hAnsi="Times New Roman"/>
          <w:i/>
          <w:sz w:val="24"/>
          <w:szCs w:val="24"/>
        </w:rPr>
        <w:t xml:space="preserve"> della voce sub n. 5</w:t>
      </w:r>
      <w:r w:rsidR="00612668" w:rsidRPr="00FB66BF">
        <w:rPr>
          <w:rFonts w:ascii="Times New Roman" w:hAnsi="Times New Roman"/>
          <w:i/>
          <w:sz w:val="24"/>
          <w:szCs w:val="24"/>
        </w:rPr>
        <w:t xml:space="preserve">, “altri ricavi e proventi”, per l’assimilazione della seconda voce alla prima, trattandosi di componenti positive, quali ricavi accessori, dividendi, </w:t>
      </w:r>
      <w:proofErr w:type="spellStart"/>
      <w:r w:rsidR="00612668" w:rsidRPr="00FB66BF">
        <w:rPr>
          <w:rFonts w:ascii="Times New Roman" w:hAnsi="Times New Roman"/>
          <w:sz w:val="24"/>
          <w:szCs w:val="24"/>
        </w:rPr>
        <w:t>royalties</w:t>
      </w:r>
      <w:proofErr w:type="spellEnd"/>
      <w:r w:rsidR="00612668" w:rsidRPr="00FB66BF">
        <w:rPr>
          <w:rFonts w:ascii="Times New Roman" w:hAnsi="Times New Roman"/>
          <w:i/>
          <w:sz w:val="24"/>
          <w:szCs w:val="24"/>
        </w:rPr>
        <w:t>, canoni attivi, sempre generati dall’attività d’impresa</w:t>
      </w:r>
      <w:r w:rsidR="00612668" w:rsidRPr="00FB66BF">
        <w:rPr>
          <w:rFonts w:ascii="Times New Roman" w:hAnsi="Times New Roman"/>
          <w:sz w:val="24"/>
          <w:szCs w:val="24"/>
        </w:rPr>
        <w:t>”; “</w:t>
      </w:r>
      <w:r w:rsidR="00612668" w:rsidRPr="00FB66BF">
        <w:rPr>
          <w:rFonts w:ascii="Times New Roman" w:hAnsi="Times New Roman"/>
          <w:i/>
          <w:sz w:val="24"/>
          <w:szCs w:val="24"/>
        </w:rPr>
        <w:t>la logica valutativa delle rimanenze e dei lavori in corso trova il suo fondamento nel rappresentare la corretta correlazione tra costi e ricavi, sì da non penalizzare economicamente l’esercizio in cui sono stati sostenuti i costi di acquisizione e/o produzione, a fronte di quelli in cui vengono realizzati i correlativi ricavi</w:t>
      </w:r>
      <w:r w:rsidR="00612668" w:rsidRPr="00FB66BF">
        <w:rPr>
          <w:rFonts w:ascii="Times New Roman" w:hAnsi="Times New Roman"/>
          <w:sz w:val="24"/>
          <w:szCs w:val="24"/>
        </w:rPr>
        <w:t>”.</w:t>
      </w:r>
    </w:p>
    <w:p w:rsidR="00612668" w:rsidRPr="00FB66BF" w:rsidRDefault="00612668" w:rsidP="00FB66BF">
      <w:pPr>
        <w:widowControl w:val="0"/>
        <w:spacing w:after="0" w:line="240" w:lineRule="auto"/>
        <w:jc w:val="both"/>
        <w:rPr>
          <w:rFonts w:ascii="Times New Roman" w:hAnsi="Times New Roman"/>
          <w:sz w:val="24"/>
          <w:szCs w:val="24"/>
        </w:rPr>
      </w:pPr>
      <w:r w:rsidRPr="00FB66BF">
        <w:rPr>
          <w:rFonts w:ascii="Times New Roman" w:hAnsi="Times New Roman"/>
          <w:sz w:val="24"/>
          <w:szCs w:val="24"/>
        </w:rPr>
        <w:tab/>
        <w:t xml:space="preserve">Alla disamina effettuata dalla Corte, si ritiene opportuno aggiungere che tale </w:t>
      </w:r>
      <w:r w:rsidR="00A10A50" w:rsidRPr="00FB66BF">
        <w:rPr>
          <w:rFonts w:ascii="Times New Roman" w:hAnsi="Times New Roman"/>
          <w:sz w:val="24"/>
          <w:szCs w:val="24"/>
        </w:rPr>
        <w:t>interpretazione</w:t>
      </w:r>
      <w:r w:rsidRPr="00FB66BF">
        <w:rPr>
          <w:rFonts w:ascii="Times New Roman" w:hAnsi="Times New Roman"/>
          <w:sz w:val="24"/>
          <w:szCs w:val="24"/>
        </w:rPr>
        <w:t xml:space="preserve"> </w:t>
      </w:r>
      <w:r w:rsidR="00F15184">
        <w:rPr>
          <w:rFonts w:ascii="Times New Roman" w:hAnsi="Times New Roman"/>
          <w:sz w:val="24"/>
          <w:szCs w:val="24"/>
        </w:rPr>
        <w:t xml:space="preserve">– meritevole di condivisione – </w:t>
      </w:r>
      <w:r w:rsidRPr="00FB66BF">
        <w:rPr>
          <w:rFonts w:ascii="Times New Roman" w:hAnsi="Times New Roman"/>
          <w:sz w:val="24"/>
          <w:szCs w:val="24"/>
        </w:rPr>
        <w:t>risponde</w:t>
      </w:r>
      <w:r w:rsidR="00F15184">
        <w:rPr>
          <w:rFonts w:ascii="Times New Roman" w:hAnsi="Times New Roman"/>
          <w:sz w:val="24"/>
          <w:szCs w:val="24"/>
        </w:rPr>
        <w:t xml:space="preserve"> </w:t>
      </w:r>
      <w:r w:rsidRPr="00FB66BF">
        <w:rPr>
          <w:rFonts w:ascii="Times New Roman" w:hAnsi="Times New Roman"/>
          <w:sz w:val="24"/>
          <w:szCs w:val="24"/>
        </w:rPr>
        <w:t>piename</w:t>
      </w:r>
      <w:r w:rsidR="00FA14F7">
        <w:rPr>
          <w:rFonts w:ascii="Times New Roman" w:hAnsi="Times New Roman"/>
          <w:sz w:val="24"/>
          <w:szCs w:val="24"/>
        </w:rPr>
        <w:t>nte alla scelta effettuata dal L</w:t>
      </w:r>
      <w:r w:rsidRPr="00FB66BF">
        <w:rPr>
          <w:rFonts w:ascii="Times New Roman" w:hAnsi="Times New Roman"/>
          <w:sz w:val="24"/>
          <w:szCs w:val="24"/>
        </w:rPr>
        <w:t>egislatore: i criteri elencati, e in particolare quello afferente ai “ricavi”, hanno ra</w:t>
      </w:r>
      <w:r w:rsidR="00A10A50" w:rsidRPr="00FB66BF">
        <w:rPr>
          <w:rFonts w:ascii="Times New Roman" w:hAnsi="Times New Roman"/>
          <w:sz w:val="24"/>
          <w:szCs w:val="24"/>
        </w:rPr>
        <w:t>gion d’essere nella logica dell’</w:t>
      </w:r>
      <w:r w:rsidRPr="00FB66BF">
        <w:rPr>
          <w:rFonts w:ascii="Times New Roman" w:hAnsi="Times New Roman"/>
          <w:sz w:val="24"/>
          <w:szCs w:val="24"/>
        </w:rPr>
        <w:t>esatta individuazione quantitativa del volume economico dell’impresa, volume in relazione al quale l’impresa viene valutata sul profilo della fallibilità.</w:t>
      </w:r>
    </w:p>
    <w:p w:rsidR="00612668" w:rsidRPr="00FB66BF" w:rsidRDefault="00612668" w:rsidP="00FB66BF">
      <w:pPr>
        <w:widowControl w:val="0"/>
        <w:spacing w:after="0" w:line="240" w:lineRule="auto"/>
        <w:jc w:val="both"/>
        <w:rPr>
          <w:rFonts w:ascii="Times New Roman" w:hAnsi="Times New Roman"/>
          <w:sz w:val="24"/>
          <w:szCs w:val="24"/>
        </w:rPr>
      </w:pPr>
      <w:r w:rsidRPr="00FB66BF">
        <w:rPr>
          <w:rFonts w:ascii="Times New Roman" w:hAnsi="Times New Roman"/>
          <w:sz w:val="24"/>
          <w:szCs w:val="24"/>
        </w:rPr>
        <w:tab/>
        <w:t>Secondo autorevole dottrina</w:t>
      </w:r>
      <w:r w:rsidRPr="00FB66BF">
        <w:rPr>
          <w:rStyle w:val="Rimandonotaapidipagina"/>
          <w:rFonts w:ascii="Times New Roman" w:hAnsi="Times New Roman"/>
          <w:sz w:val="24"/>
          <w:szCs w:val="24"/>
        </w:rPr>
        <w:footnoteReference w:id="5"/>
      </w:r>
      <w:r w:rsidRPr="00FB66BF">
        <w:rPr>
          <w:rFonts w:ascii="Times New Roman" w:hAnsi="Times New Roman"/>
          <w:sz w:val="24"/>
          <w:szCs w:val="24"/>
        </w:rPr>
        <w:t xml:space="preserve">, la </w:t>
      </w:r>
      <w:r w:rsidRPr="00FB66BF">
        <w:rPr>
          <w:rFonts w:ascii="Times New Roman" w:hAnsi="Times New Roman"/>
          <w:i/>
          <w:sz w:val="24"/>
          <w:szCs w:val="24"/>
        </w:rPr>
        <w:t>ratio</w:t>
      </w:r>
      <w:r w:rsidRPr="00FB66BF">
        <w:rPr>
          <w:rFonts w:ascii="Times New Roman" w:hAnsi="Times New Roman"/>
          <w:sz w:val="24"/>
          <w:szCs w:val="24"/>
        </w:rPr>
        <w:t xml:space="preserve"> dell’introduzione di questo parametro (i “ricavi”) è correlata alla necessità di colpire le imprese che, pur essendo scarsamente patrimonializzate, hanno estesi rapporti commerciali o impiegano molta forza lavoro</w:t>
      </w:r>
      <w:r w:rsidR="001A38BB" w:rsidRPr="00FB66BF">
        <w:rPr>
          <w:rFonts w:ascii="Times New Roman" w:hAnsi="Times New Roman"/>
          <w:sz w:val="24"/>
          <w:szCs w:val="24"/>
        </w:rPr>
        <w:t>: a tal fine, deve sottolinearsi che norma richiede che i ricavi lordi siano “realizzati”</w:t>
      </w:r>
      <w:r w:rsidR="002B2D44" w:rsidRPr="00FB66BF">
        <w:rPr>
          <w:rFonts w:ascii="Times New Roman" w:hAnsi="Times New Roman"/>
          <w:sz w:val="24"/>
          <w:szCs w:val="24"/>
        </w:rPr>
        <w:t xml:space="preserve">. Questa precisazione impone di riferirsi ai soli ricavi effettivamente </w:t>
      </w:r>
      <w:r w:rsidR="00F15184" w:rsidRPr="00FB66BF">
        <w:rPr>
          <w:rFonts w:ascii="Times New Roman" w:hAnsi="Times New Roman"/>
          <w:sz w:val="24"/>
          <w:szCs w:val="24"/>
        </w:rPr>
        <w:t>conseguiti</w:t>
      </w:r>
      <w:r w:rsidR="002B2D44" w:rsidRPr="00FB66BF">
        <w:rPr>
          <w:rFonts w:ascii="Times New Roman" w:hAnsi="Times New Roman"/>
          <w:sz w:val="24"/>
          <w:szCs w:val="24"/>
        </w:rPr>
        <w:t>, rivolgendosi precipuamente al concetto di trasferimento o di cessione di beni a terzi mediante un contratto a prestazioni corrispettive in cui sorga, in capo all’impresa, un credito.</w:t>
      </w:r>
    </w:p>
    <w:p w:rsidR="002B2D44" w:rsidRDefault="002B2D44" w:rsidP="00FB66BF">
      <w:pPr>
        <w:widowControl w:val="0"/>
        <w:spacing w:after="0" w:line="240" w:lineRule="auto"/>
        <w:jc w:val="both"/>
        <w:rPr>
          <w:rFonts w:ascii="Times New Roman" w:hAnsi="Times New Roman"/>
          <w:sz w:val="24"/>
          <w:szCs w:val="24"/>
        </w:rPr>
      </w:pPr>
      <w:r w:rsidRPr="00FB66BF">
        <w:rPr>
          <w:rFonts w:ascii="Times New Roman" w:hAnsi="Times New Roman"/>
          <w:sz w:val="24"/>
          <w:szCs w:val="24"/>
        </w:rPr>
        <w:tab/>
        <w:t>Tale conclusione porta agevolmente a escludere le voci di cui all’art. 2425, lett. A</w:t>
      </w:r>
      <w:r w:rsidR="00F15184">
        <w:rPr>
          <w:rFonts w:ascii="Times New Roman" w:hAnsi="Times New Roman"/>
          <w:sz w:val="24"/>
          <w:szCs w:val="24"/>
        </w:rPr>
        <w:t>)</w:t>
      </w:r>
      <w:r w:rsidRPr="00FB66BF">
        <w:rPr>
          <w:rFonts w:ascii="Times New Roman" w:hAnsi="Times New Roman"/>
          <w:sz w:val="24"/>
          <w:szCs w:val="24"/>
        </w:rPr>
        <w:t xml:space="preserve">, c.c. che </w:t>
      </w:r>
      <w:r w:rsidRPr="00FB66BF">
        <w:rPr>
          <w:rFonts w:ascii="Times New Roman" w:hAnsi="Times New Roman"/>
          <w:sz w:val="24"/>
          <w:szCs w:val="24"/>
        </w:rPr>
        <w:lastRenderedPageBreak/>
        <w:t xml:space="preserve">non corrispondano in senso tecnico al concetto di “ricavi” come descritto: così come chiarito nella sentenza </w:t>
      </w:r>
      <w:r w:rsidR="00F15184">
        <w:rPr>
          <w:rFonts w:ascii="Times New Roman" w:hAnsi="Times New Roman"/>
          <w:sz w:val="24"/>
          <w:szCs w:val="24"/>
        </w:rPr>
        <w:t>in esame</w:t>
      </w:r>
      <w:r w:rsidRPr="00FB66BF">
        <w:rPr>
          <w:rFonts w:ascii="Times New Roman" w:hAnsi="Times New Roman"/>
          <w:sz w:val="24"/>
          <w:szCs w:val="24"/>
        </w:rPr>
        <w:t>, le sole voci da considerare sono quelle sub 1</w:t>
      </w:r>
      <w:r w:rsidR="00F15184">
        <w:rPr>
          <w:rFonts w:ascii="Times New Roman" w:hAnsi="Times New Roman"/>
          <w:sz w:val="24"/>
          <w:szCs w:val="24"/>
        </w:rPr>
        <w:t>)</w:t>
      </w:r>
      <w:r w:rsidRPr="00FB66BF">
        <w:rPr>
          <w:rFonts w:ascii="Times New Roman" w:hAnsi="Times New Roman"/>
          <w:sz w:val="24"/>
          <w:szCs w:val="24"/>
        </w:rPr>
        <w:t xml:space="preserve"> e sub 5</w:t>
      </w:r>
      <w:r w:rsidR="00F15184">
        <w:rPr>
          <w:rFonts w:ascii="Times New Roman" w:hAnsi="Times New Roman"/>
          <w:sz w:val="24"/>
          <w:szCs w:val="24"/>
        </w:rPr>
        <w:t>)</w:t>
      </w:r>
      <w:r w:rsidRPr="00FB66BF">
        <w:rPr>
          <w:rFonts w:ascii="Times New Roman" w:hAnsi="Times New Roman"/>
          <w:sz w:val="24"/>
          <w:szCs w:val="24"/>
        </w:rPr>
        <w:t>, che consentono di avere un panorama corretto ed oggettivo delle condizioni economiche dell’impresa.</w:t>
      </w:r>
    </w:p>
    <w:p w:rsidR="00FA14F7" w:rsidRDefault="00FA14F7" w:rsidP="00FB66BF">
      <w:pPr>
        <w:widowControl w:val="0"/>
        <w:spacing w:after="0" w:line="240" w:lineRule="auto"/>
        <w:jc w:val="both"/>
        <w:rPr>
          <w:rFonts w:ascii="Times New Roman" w:hAnsi="Times New Roman"/>
          <w:sz w:val="24"/>
          <w:szCs w:val="24"/>
        </w:rPr>
      </w:pPr>
    </w:p>
    <w:p w:rsidR="00FA14F7" w:rsidRPr="00FB66BF" w:rsidRDefault="00FA14F7" w:rsidP="00FB66BF">
      <w:pPr>
        <w:widowControl w:val="0"/>
        <w:spacing w:after="0" w:line="240" w:lineRule="auto"/>
        <w:jc w:val="both"/>
        <w:rPr>
          <w:rFonts w:ascii="Times New Roman" w:hAnsi="Times New Roman"/>
          <w:sz w:val="24"/>
          <w:szCs w:val="24"/>
        </w:rPr>
      </w:pPr>
    </w:p>
    <w:sectPr w:rsidR="00FA14F7" w:rsidRPr="00FB66BF" w:rsidSect="00FB66BF">
      <w:footerReference w:type="default" r:id="rId6"/>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F34" w:rsidRDefault="00075F34" w:rsidP="004A0202">
      <w:pPr>
        <w:spacing w:after="0" w:line="240" w:lineRule="auto"/>
      </w:pPr>
      <w:r>
        <w:separator/>
      </w:r>
    </w:p>
  </w:endnote>
  <w:endnote w:type="continuationSeparator" w:id="0">
    <w:p w:rsidR="00075F34" w:rsidRDefault="00075F34" w:rsidP="004A0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F0" w:rsidRPr="00365FF0" w:rsidRDefault="00365FF0">
    <w:pPr>
      <w:pStyle w:val="Pidipagina"/>
      <w:jc w:val="right"/>
      <w:rPr>
        <w:sz w:val="24"/>
      </w:rPr>
    </w:pPr>
  </w:p>
  <w:p w:rsidR="00365FF0" w:rsidRDefault="00365FF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F34" w:rsidRDefault="00075F34" w:rsidP="004A0202">
      <w:pPr>
        <w:spacing w:after="0" w:line="240" w:lineRule="auto"/>
      </w:pPr>
      <w:r>
        <w:separator/>
      </w:r>
    </w:p>
  </w:footnote>
  <w:footnote w:type="continuationSeparator" w:id="0">
    <w:p w:rsidR="00075F34" w:rsidRDefault="00075F34" w:rsidP="004A0202">
      <w:pPr>
        <w:spacing w:after="0" w:line="240" w:lineRule="auto"/>
      </w:pPr>
      <w:r>
        <w:continuationSeparator/>
      </w:r>
    </w:p>
  </w:footnote>
  <w:footnote w:id="1">
    <w:p w:rsidR="004A0202" w:rsidRPr="00365FF0" w:rsidRDefault="004A0202" w:rsidP="003C0C94">
      <w:pPr>
        <w:pStyle w:val="Testonotaapidipagina"/>
        <w:spacing w:after="0" w:line="240" w:lineRule="auto"/>
        <w:jc w:val="both"/>
        <w:rPr>
          <w:rFonts w:ascii="Times New Roman" w:hAnsi="Times New Roman"/>
        </w:rPr>
      </w:pPr>
      <w:r w:rsidRPr="00365FF0">
        <w:rPr>
          <w:rStyle w:val="Rimandonotaapidipagina"/>
          <w:rFonts w:ascii="Times New Roman" w:hAnsi="Times New Roman"/>
        </w:rPr>
        <w:footnoteRef/>
      </w:r>
      <w:r w:rsidRPr="00365FF0">
        <w:rPr>
          <w:rFonts w:ascii="Times New Roman" w:hAnsi="Times New Roman"/>
        </w:rPr>
        <w:t xml:space="preserve"> Il </w:t>
      </w:r>
      <w:r w:rsidR="00FA14F7">
        <w:rPr>
          <w:rFonts w:ascii="Times New Roman" w:hAnsi="Times New Roman"/>
        </w:rPr>
        <w:t>L</w:t>
      </w:r>
      <w:r w:rsidRPr="00365FF0">
        <w:rPr>
          <w:rFonts w:ascii="Times New Roman" w:hAnsi="Times New Roman"/>
        </w:rPr>
        <w:t>egis</w:t>
      </w:r>
      <w:r w:rsidR="00456A38" w:rsidRPr="00365FF0">
        <w:rPr>
          <w:rFonts w:ascii="Times New Roman" w:hAnsi="Times New Roman"/>
        </w:rPr>
        <w:t>latore del 1942 aveva stabilito che il fallimento fosse riservato all’imprenditore commerciale, con l’esonero -accanto agli imprenditori agricoli</w:t>
      </w:r>
      <w:r w:rsidR="00FA14F7">
        <w:rPr>
          <w:rFonts w:ascii="Times New Roman" w:hAnsi="Times New Roman"/>
        </w:rPr>
        <w:t xml:space="preserve"> </w:t>
      </w:r>
      <w:r w:rsidR="00456A38" w:rsidRPr="00365FF0">
        <w:rPr>
          <w:rFonts w:ascii="Times New Roman" w:hAnsi="Times New Roman"/>
        </w:rPr>
        <w:t>- dei piccoli imprenditori, di cui l’art. 2083 c.c. forniva una n</w:t>
      </w:r>
      <w:r w:rsidR="00FA14F7">
        <w:rPr>
          <w:rFonts w:ascii="Times New Roman" w:hAnsi="Times New Roman"/>
        </w:rPr>
        <w:t>ozione di carattere qualitativo;</w:t>
      </w:r>
      <w:r w:rsidR="00456A38" w:rsidRPr="00365FF0">
        <w:rPr>
          <w:rFonts w:ascii="Times New Roman" w:hAnsi="Times New Roman"/>
        </w:rPr>
        <w:t xml:space="preserve"> tale nozione era però “sterilizzata” (si legga, AA.VV., </w:t>
      </w:r>
      <w:r w:rsidR="00456A38" w:rsidRPr="00365FF0">
        <w:rPr>
          <w:rFonts w:ascii="Times New Roman" w:hAnsi="Times New Roman"/>
          <w:i/>
        </w:rPr>
        <w:t>La riforma organica delle procedure concorsuali</w:t>
      </w:r>
      <w:r w:rsidR="00456A38" w:rsidRPr="00365FF0">
        <w:rPr>
          <w:rFonts w:ascii="Times New Roman" w:hAnsi="Times New Roman"/>
        </w:rPr>
        <w:t xml:space="preserve">, a cura di S. </w:t>
      </w:r>
      <w:proofErr w:type="spellStart"/>
      <w:r w:rsidR="00456A38" w:rsidRPr="00365FF0">
        <w:rPr>
          <w:rFonts w:ascii="Times New Roman" w:hAnsi="Times New Roman"/>
        </w:rPr>
        <w:t>Bonfatti</w:t>
      </w:r>
      <w:proofErr w:type="spellEnd"/>
      <w:r w:rsidR="00456A38" w:rsidRPr="00365FF0">
        <w:rPr>
          <w:rFonts w:ascii="Times New Roman" w:hAnsi="Times New Roman"/>
        </w:rPr>
        <w:t xml:space="preserve"> e L. </w:t>
      </w:r>
      <w:proofErr w:type="spellStart"/>
      <w:r w:rsidR="00456A38" w:rsidRPr="00365FF0">
        <w:rPr>
          <w:rFonts w:ascii="Times New Roman" w:hAnsi="Times New Roman"/>
        </w:rPr>
        <w:t>Panzani</w:t>
      </w:r>
      <w:proofErr w:type="spellEnd"/>
      <w:r w:rsidR="00456A38" w:rsidRPr="00365FF0">
        <w:rPr>
          <w:rFonts w:ascii="Times New Roman" w:hAnsi="Times New Roman"/>
        </w:rPr>
        <w:t xml:space="preserve">, </w:t>
      </w:r>
      <w:r w:rsidR="00FA14F7">
        <w:rPr>
          <w:rFonts w:ascii="Times New Roman" w:hAnsi="Times New Roman"/>
        </w:rPr>
        <w:t>Milano, 2008) nella L</w:t>
      </w:r>
      <w:r w:rsidR="00456A38" w:rsidRPr="00365FF0">
        <w:rPr>
          <w:rFonts w:ascii="Times New Roman" w:hAnsi="Times New Roman"/>
        </w:rPr>
        <w:t xml:space="preserve">egge </w:t>
      </w:r>
      <w:r w:rsidR="00FA14F7">
        <w:rPr>
          <w:rFonts w:ascii="Times New Roman" w:hAnsi="Times New Roman"/>
        </w:rPr>
        <w:t>F</w:t>
      </w:r>
      <w:r w:rsidR="00456A38" w:rsidRPr="00365FF0">
        <w:rPr>
          <w:rFonts w:ascii="Times New Roman" w:hAnsi="Times New Roman"/>
        </w:rPr>
        <w:t xml:space="preserve">allimentare, all’art. 1, </w:t>
      </w:r>
      <w:r w:rsidR="00CD08E6" w:rsidRPr="00365FF0">
        <w:rPr>
          <w:rFonts w:ascii="Times New Roman" w:hAnsi="Times New Roman"/>
        </w:rPr>
        <w:t>laddove stabiliva che erano considerati tali gli imprenditori che fossero “</w:t>
      </w:r>
      <w:r w:rsidR="00CD08E6" w:rsidRPr="00365FF0">
        <w:rPr>
          <w:rFonts w:ascii="Times New Roman" w:hAnsi="Times New Roman"/>
          <w:i/>
          <w:shd w:val="clear" w:color="auto" w:fill="FFFFFF"/>
        </w:rPr>
        <w:t>stati riconosciuti, in sede di accertamento ai fini dell'imposta di ricchezza mobile, titolari di un reddito inferiore al minimo imponibile. Quando è mancato l'accertamento ai fini dell'imposta di ricchezza mobile sono considerati piccoli imprenditori gli imprenditori esercenti un'attività commerciale nella cui azienda risulta essere stato investito un capitale non superiore a lire trentamila. In nessun caso sono considerate piccoli imprenditori le società commerciali</w:t>
      </w:r>
      <w:r w:rsidR="00CD08E6" w:rsidRPr="00365FF0">
        <w:rPr>
          <w:rFonts w:ascii="Times New Roman" w:hAnsi="Times New Roman"/>
          <w:shd w:val="clear" w:color="auto" w:fill="FFFFFF"/>
        </w:rPr>
        <w:t>”.</w:t>
      </w:r>
    </w:p>
  </w:footnote>
  <w:footnote w:id="2">
    <w:p w:rsidR="00FA14F7" w:rsidRPr="00FA14F7" w:rsidRDefault="00FA14F7">
      <w:pPr>
        <w:pStyle w:val="Testonotaapidipagina"/>
        <w:rPr>
          <w:rFonts w:ascii="Times New Roman" w:hAnsi="Times New Roman"/>
        </w:rPr>
      </w:pPr>
      <w:r w:rsidRPr="00FA14F7">
        <w:rPr>
          <w:rStyle w:val="Rimandonotaapidipagina"/>
          <w:rFonts w:ascii="Times New Roman" w:hAnsi="Times New Roman"/>
        </w:rPr>
        <w:footnoteRef/>
      </w:r>
      <w:r w:rsidRPr="00FA14F7">
        <w:rPr>
          <w:rFonts w:ascii="Times New Roman" w:hAnsi="Times New Roman"/>
        </w:rPr>
        <w:t xml:space="preserve"> </w:t>
      </w:r>
      <w:r>
        <w:rPr>
          <w:rFonts w:ascii="Times New Roman" w:hAnsi="Times New Roman"/>
        </w:rPr>
        <w:t xml:space="preserve">Cfr. </w:t>
      </w:r>
      <w:r w:rsidRPr="00FA14F7">
        <w:rPr>
          <w:rFonts w:ascii="Times New Roman" w:hAnsi="Times New Roman"/>
        </w:rPr>
        <w:t xml:space="preserve">Relazione </w:t>
      </w:r>
      <w:r>
        <w:rPr>
          <w:rFonts w:ascii="Times New Roman" w:hAnsi="Times New Roman"/>
        </w:rPr>
        <w:t>G</w:t>
      </w:r>
      <w:r w:rsidRPr="00FA14F7">
        <w:rPr>
          <w:rFonts w:ascii="Times New Roman" w:hAnsi="Times New Roman"/>
        </w:rPr>
        <w:t>overnativa al D.</w:t>
      </w:r>
      <w:r>
        <w:rPr>
          <w:rFonts w:ascii="Times New Roman" w:hAnsi="Times New Roman"/>
        </w:rPr>
        <w:t>L</w:t>
      </w:r>
      <w:r w:rsidRPr="00FA14F7">
        <w:rPr>
          <w:rFonts w:ascii="Times New Roman" w:hAnsi="Times New Roman"/>
        </w:rPr>
        <w:t>gs. 9</w:t>
      </w:r>
      <w:r>
        <w:rPr>
          <w:rFonts w:ascii="Times New Roman" w:hAnsi="Times New Roman"/>
        </w:rPr>
        <w:t>.09.</w:t>
      </w:r>
      <w:r w:rsidRPr="00FA14F7">
        <w:rPr>
          <w:rFonts w:ascii="Times New Roman" w:hAnsi="Times New Roman"/>
        </w:rPr>
        <w:t>2006, n. 5.</w:t>
      </w:r>
    </w:p>
  </w:footnote>
  <w:footnote w:id="3">
    <w:p w:rsidR="00A161D4" w:rsidRPr="00365FF0" w:rsidRDefault="00A161D4" w:rsidP="003C0C94">
      <w:pPr>
        <w:pStyle w:val="Testonotaapidipagina"/>
        <w:spacing w:after="0" w:line="240" w:lineRule="auto"/>
        <w:jc w:val="both"/>
        <w:rPr>
          <w:rFonts w:ascii="Times New Roman" w:hAnsi="Times New Roman"/>
        </w:rPr>
      </w:pPr>
      <w:r w:rsidRPr="00365FF0">
        <w:rPr>
          <w:rStyle w:val="Rimandonotaapidipagina"/>
          <w:rFonts w:ascii="Times New Roman" w:hAnsi="Times New Roman"/>
        </w:rPr>
        <w:footnoteRef/>
      </w:r>
      <w:r w:rsidRPr="00365FF0">
        <w:rPr>
          <w:rFonts w:ascii="Times New Roman" w:hAnsi="Times New Roman"/>
        </w:rPr>
        <w:t xml:space="preserve"> Nella versione del D.</w:t>
      </w:r>
      <w:r w:rsidR="00FA14F7">
        <w:rPr>
          <w:rFonts w:ascii="Times New Roman" w:hAnsi="Times New Roman"/>
        </w:rPr>
        <w:t>L</w:t>
      </w:r>
      <w:r w:rsidRPr="00365FF0">
        <w:rPr>
          <w:rFonts w:ascii="Times New Roman" w:hAnsi="Times New Roman"/>
        </w:rPr>
        <w:t xml:space="preserve">gs. 5/2006 i criteri erano solo due e assolutamente alternativi tra loro ma anche </w:t>
      </w:r>
      <w:r w:rsidR="002E0E2B" w:rsidRPr="00365FF0">
        <w:rPr>
          <w:rFonts w:ascii="Times New Roman" w:hAnsi="Times New Roman"/>
        </w:rPr>
        <w:t>c</w:t>
      </w:r>
      <w:r w:rsidRPr="00365FF0">
        <w:rPr>
          <w:rFonts w:ascii="Times New Roman" w:hAnsi="Times New Roman"/>
        </w:rPr>
        <w:t>omplementari, “</w:t>
      </w:r>
      <w:r w:rsidRPr="00365FF0">
        <w:rPr>
          <w:rFonts w:ascii="Times New Roman" w:hAnsi="Times New Roman"/>
          <w:i/>
        </w:rPr>
        <w:t xml:space="preserve">nel senso che bastava il superamento di una delle due soglie per essere considerati imprenditori non piccoli, ma per essere escludi dall’area di operatività delle procedure concorsuali era necessario mantenersi al di sotto dei limiti </w:t>
      </w:r>
      <w:r w:rsidR="002E0E2B" w:rsidRPr="00365FF0">
        <w:rPr>
          <w:rFonts w:ascii="Times New Roman" w:hAnsi="Times New Roman"/>
          <w:i/>
        </w:rPr>
        <w:t xml:space="preserve">per entrambi i criteri” </w:t>
      </w:r>
      <w:r w:rsidR="002E0E2B" w:rsidRPr="00365FF0">
        <w:rPr>
          <w:rFonts w:ascii="Times New Roman" w:hAnsi="Times New Roman"/>
        </w:rPr>
        <w:t xml:space="preserve">(vedi commento di A. </w:t>
      </w:r>
      <w:proofErr w:type="spellStart"/>
      <w:r w:rsidR="002E0E2B" w:rsidRPr="00365FF0">
        <w:rPr>
          <w:rFonts w:ascii="Times New Roman" w:hAnsi="Times New Roman"/>
        </w:rPr>
        <w:t>Paluchowski</w:t>
      </w:r>
      <w:proofErr w:type="spellEnd"/>
      <w:r w:rsidR="002E0E2B" w:rsidRPr="00365FF0">
        <w:rPr>
          <w:rFonts w:ascii="Times New Roman" w:hAnsi="Times New Roman"/>
        </w:rPr>
        <w:t xml:space="preserve"> in </w:t>
      </w:r>
      <w:r w:rsidR="002E0E2B" w:rsidRPr="00FA14F7">
        <w:rPr>
          <w:rFonts w:ascii="Times New Roman" w:hAnsi="Times New Roman"/>
          <w:i/>
        </w:rPr>
        <w:t>Codice del Fallimento</w:t>
      </w:r>
      <w:r w:rsidR="002E0E2B" w:rsidRPr="00365FF0">
        <w:rPr>
          <w:rFonts w:ascii="Times New Roman" w:hAnsi="Times New Roman"/>
        </w:rPr>
        <w:t xml:space="preserve">, a cura di M. </w:t>
      </w:r>
      <w:proofErr w:type="spellStart"/>
      <w:r w:rsidR="002E0E2B" w:rsidRPr="00365FF0">
        <w:rPr>
          <w:rFonts w:ascii="Times New Roman" w:hAnsi="Times New Roman"/>
        </w:rPr>
        <w:t>Bocchiola</w:t>
      </w:r>
      <w:proofErr w:type="spellEnd"/>
      <w:r w:rsidR="002E0E2B" w:rsidRPr="00365FF0">
        <w:rPr>
          <w:rFonts w:ascii="Times New Roman" w:hAnsi="Times New Roman"/>
        </w:rPr>
        <w:t xml:space="preserve">, A. </w:t>
      </w:r>
      <w:proofErr w:type="spellStart"/>
      <w:r w:rsidR="002E0E2B" w:rsidRPr="00365FF0">
        <w:rPr>
          <w:rFonts w:ascii="Times New Roman" w:hAnsi="Times New Roman"/>
        </w:rPr>
        <w:t>Paluchowski</w:t>
      </w:r>
      <w:proofErr w:type="spellEnd"/>
      <w:r w:rsidR="002E0E2B" w:rsidRPr="00365FF0">
        <w:rPr>
          <w:rFonts w:ascii="Times New Roman" w:hAnsi="Times New Roman"/>
        </w:rPr>
        <w:t xml:space="preserve">, VII edizione, Giuffrè, </w:t>
      </w:r>
      <w:r w:rsidR="004A6288" w:rsidRPr="00365FF0">
        <w:rPr>
          <w:rFonts w:ascii="Times New Roman" w:hAnsi="Times New Roman"/>
        </w:rPr>
        <w:t>2013).</w:t>
      </w:r>
    </w:p>
  </w:footnote>
  <w:footnote w:id="4">
    <w:p w:rsidR="000B0562" w:rsidRPr="00365FF0" w:rsidRDefault="000B0562" w:rsidP="003C0C94">
      <w:pPr>
        <w:pStyle w:val="Testonotaapidipagina"/>
        <w:spacing w:after="0" w:line="240" w:lineRule="auto"/>
        <w:rPr>
          <w:rFonts w:ascii="Times New Roman" w:hAnsi="Times New Roman"/>
        </w:rPr>
      </w:pPr>
      <w:r w:rsidRPr="00365FF0">
        <w:rPr>
          <w:rStyle w:val="Rimandonotaapidipagina"/>
          <w:rFonts w:ascii="Times New Roman" w:hAnsi="Times New Roman"/>
        </w:rPr>
        <w:footnoteRef/>
      </w:r>
      <w:r w:rsidRPr="00365FF0">
        <w:rPr>
          <w:rFonts w:ascii="Times New Roman" w:hAnsi="Times New Roman"/>
        </w:rPr>
        <w:t xml:space="preserve"> Art. 2425, lett. A, c.c.: “</w:t>
      </w:r>
      <w:r w:rsidRPr="00365FF0">
        <w:rPr>
          <w:rFonts w:ascii="Times New Roman" w:hAnsi="Times New Roman"/>
          <w:bCs/>
          <w:i/>
        </w:rPr>
        <w:t>Valore della produzione:</w:t>
      </w:r>
      <w:r w:rsidRPr="00365FF0">
        <w:rPr>
          <w:rFonts w:ascii="Times New Roman" w:hAnsi="Times New Roman"/>
          <w:bCs/>
          <w:i/>
        </w:rPr>
        <w:br/>
        <w:t> 1) ricavi del</w:t>
      </w:r>
      <w:r w:rsidR="003C0C94" w:rsidRPr="00365FF0">
        <w:rPr>
          <w:rFonts w:ascii="Times New Roman" w:hAnsi="Times New Roman"/>
          <w:bCs/>
          <w:i/>
        </w:rPr>
        <w:t>le vendite e delle prestazioni</w:t>
      </w:r>
      <w:r w:rsidR="003C0C94" w:rsidRPr="00365FF0">
        <w:rPr>
          <w:rFonts w:ascii="Times New Roman" w:hAnsi="Times New Roman"/>
          <w:bCs/>
          <w:i/>
        </w:rPr>
        <w:br/>
      </w:r>
      <w:r w:rsidRPr="00365FF0">
        <w:rPr>
          <w:rFonts w:ascii="Times New Roman" w:hAnsi="Times New Roman"/>
          <w:bCs/>
          <w:i/>
        </w:rPr>
        <w:t xml:space="preserve"> 2) variazioni delle rimanenze di prodotti in corso di lavorazione, semilavorati e finiti</w:t>
      </w:r>
      <w:r w:rsidRPr="00365FF0">
        <w:rPr>
          <w:rFonts w:ascii="Times New Roman" w:hAnsi="Times New Roman"/>
          <w:bCs/>
          <w:i/>
        </w:rPr>
        <w:br/>
        <w:t xml:space="preserve"> 3) variazioni dei lavori in corso su ordinazione</w:t>
      </w:r>
      <w:r w:rsidRPr="00365FF0">
        <w:rPr>
          <w:rFonts w:ascii="Times New Roman" w:hAnsi="Times New Roman"/>
          <w:bCs/>
          <w:i/>
        </w:rPr>
        <w:br/>
        <w:t xml:space="preserve"> 4) incrementi di immobilizzazioni per lavori interni</w:t>
      </w:r>
      <w:r w:rsidRPr="00365FF0">
        <w:rPr>
          <w:rFonts w:ascii="Times New Roman" w:hAnsi="Times New Roman"/>
          <w:bCs/>
          <w:i/>
        </w:rPr>
        <w:br/>
        <w:t xml:space="preserve"> 5) altri ricavi e proventi, con separata indicazione dei contributi in conto esercizio</w:t>
      </w:r>
      <w:r w:rsidRPr="00365FF0">
        <w:rPr>
          <w:rFonts w:ascii="Times New Roman" w:hAnsi="Times New Roman"/>
          <w:b/>
          <w:bCs/>
        </w:rPr>
        <w:t>”</w:t>
      </w:r>
      <w:r w:rsidR="003C0C94" w:rsidRPr="00365FF0">
        <w:rPr>
          <w:rFonts w:ascii="Times New Roman" w:hAnsi="Times New Roman"/>
          <w:b/>
          <w:bCs/>
        </w:rPr>
        <w:t>.</w:t>
      </w:r>
    </w:p>
  </w:footnote>
  <w:footnote w:id="5">
    <w:p w:rsidR="00612668" w:rsidRPr="00365FF0" w:rsidRDefault="00612668" w:rsidP="003C0C94">
      <w:pPr>
        <w:pStyle w:val="Testonotaapidipagina"/>
        <w:spacing w:after="0" w:line="240" w:lineRule="auto"/>
        <w:jc w:val="both"/>
        <w:rPr>
          <w:rFonts w:ascii="Times New Roman" w:hAnsi="Times New Roman"/>
        </w:rPr>
      </w:pPr>
      <w:r w:rsidRPr="00365FF0">
        <w:rPr>
          <w:rStyle w:val="Rimandonotaapidipagina"/>
          <w:rFonts w:ascii="Times New Roman" w:hAnsi="Times New Roman"/>
        </w:rPr>
        <w:footnoteRef/>
      </w:r>
      <w:r w:rsidR="00215E18" w:rsidRPr="00365FF0">
        <w:rPr>
          <w:rFonts w:ascii="Times New Roman" w:hAnsi="Times New Roman"/>
        </w:rPr>
        <w:t xml:space="preserve"> M.</w:t>
      </w:r>
      <w:r w:rsidRPr="00365FF0">
        <w:rPr>
          <w:rFonts w:ascii="Times New Roman" w:hAnsi="Times New Roman"/>
        </w:rPr>
        <w:t xml:space="preserve"> </w:t>
      </w:r>
      <w:r w:rsidR="00E97750" w:rsidRPr="00365FF0">
        <w:rPr>
          <w:rFonts w:ascii="Times New Roman" w:hAnsi="Times New Roman"/>
        </w:rPr>
        <w:t>Fabiani</w:t>
      </w:r>
      <w:r w:rsidR="00B757C5" w:rsidRPr="00365FF0">
        <w:rPr>
          <w:rFonts w:ascii="Times New Roman" w:hAnsi="Times New Roman"/>
        </w:rPr>
        <w:t xml:space="preserve">, </w:t>
      </w:r>
      <w:r w:rsidR="00B757C5" w:rsidRPr="00365FF0">
        <w:rPr>
          <w:rFonts w:ascii="Times New Roman" w:hAnsi="Times New Roman"/>
          <w:i/>
        </w:rPr>
        <w:t>L’impresa fallibile</w:t>
      </w:r>
      <w:r w:rsidR="00B757C5" w:rsidRPr="00365FF0">
        <w:rPr>
          <w:rFonts w:ascii="Times New Roman" w:hAnsi="Times New Roman"/>
        </w:rPr>
        <w:t xml:space="preserve">, </w:t>
      </w:r>
      <w:r w:rsidR="00FA14F7">
        <w:rPr>
          <w:rFonts w:ascii="Times New Roman" w:hAnsi="Times New Roman"/>
        </w:rPr>
        <w:t xml:space="preserve">in </w:t>
      </w:r>
      <w:r w:rsidR="00B757C5" w:rsidRPr="00FA14F7">
        <w:rPr>
          <w:rFonts w:ascii="Times New Roman" w:hAnsi="Times New Roman"/>
          <w:i/>
        </w:rPr>
        <w:t>Il Fallimento</w:t>
      </w:r>
      <w:r w:rsidR="00B757C5" w:rsidRPr="00365FF0">
        <w:rPr>
          <w:rFonts w:ascii="Times New Roman" w:hAnsi="Times New Roman"/>
        </w:rPr>
        <w:t>, 2007, n.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283"/>
  <w:characterSpacingControl w:val="doNotCompress"/>
  <w:footnotePr>
    <w:footnote w:id="-1"/>
    <w:footnote w:id="0"/>
  </w:footnotePr>
  <w:endnotePr>
    <w:endnote w:id="-1"/>
    <w:endnote w:id="0"/>
  </w:endnotePr>
  <w:compat/>
  <w:rsids>
    <w:rsidRoot w:val="00645CF3"/>
    <w:rsid w:val="000434A7"/>
    <w:rsid w:val="00074C93"/>
    <w:rsid w:val="00075F34"/>
    <w:rsid w:val="000A4D3A"/>
    <w:rsid w:val="000B0562"/>
    <w:rsid w:val="001666F8"/>
    <w:rsid w:val="001A2652"/>
    <w:rsid w:val="001A38BB"/>
    <w:rsid w:val="001A4A80"/>
    <w:rsid w:val="001A79F9"/>
    <w:rsid w:val="00215E18"/>
    <w:rsid w:val="00224735"/>
    <w:rsid w:val="002368B1"/>
    <w:rsid w:val="002861EF"/>
    <w:rsid w:val="002A445F"/>
    <w:rsid w:val="002B1FFD"/>
    <w:rsid w:val="002B2D44"/>
    <w:rsid w:val="002E0E2B"/>
    <w:rsid w:val="00365FF0"/>
    <w:rsid w:val="003754DB"/>
    <w:rsid w:val="0037775F"/>
    <w:rsid w:val="003C0C94"/>
    <w:rsid w:val="0042108A"/>
    <w:rsid w:val="0042500D"/>
    <w:rsid w:val="00456A38"/>
    <w:rsid w:val="0049290C"/>
    <w:rsid w:val="004A0202"/>
    <w:rsid w:val="004A6288"/>
    <w:rsid w:val="00596C3E"/>
    <w:rsid w:val="00604AE8"/>
    <w:rsid w:val="00612668"/>
    <w:rsid w:val="00613384"/>
    <w:rsid w:val="00645CF3"/>
    <w:rsid w:val="006C6F76"/>
    <w:rsid w:val="0084076E"/>
    <w:rsid w:val="00A10A50"/>
    <w:rsid w:val="00A161D4"/>
    <w:rsid w:val="00AB71F3"/>
    <w:rsid w:val="00B737B5"/>
    <w:rsid w:val="00B757C5"/>
    <w:rsid w:val="00C66399"/>
    <w:rsid w:val="00C77C70"/>
    <w:rsid w:val="00CD08E6"/>
    <w:rsid w:val="00DB3D0A"/>
    <w:rsid w:val="00E81668"/>
    <w:rsid w:val="00E8709E"/>
    <w:rsid w:val="00E97750"/>
    <w:rsid w:val="00F15184"/>
    <w:rsid w:val="00FA14F7"/>
    <w:rsid w:val="00FB45B8"/>
    <w:rsid w:val="00FB66BF"/>
    <w:rsid w:val="00FD5D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D68"/>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D5D68"/>
    <w:rPr>
      <w:sz w:val="22"/>
      <w:szCs w:val="22"/>
      <w:lang w:eastAsia="en-US"/>
    </w:rPr>
  </w:style>
  <w:style w:type="paragraph" w:styleId="Testonotaapidipagina">
    <w:name w:val="footnote text"/>
    <w:basedOn w:val="Normale"/>
    <w:link w:val="TestonotaapidipaginaCarattere"/>
    <w:uiPriority w:val="99"/>
    <w:semiHidden/>
    <w:unhideWhenUsed/>
    <w:rsid w:val="004A0202"/>
    <w:rPr>
      <w:sz w:val="20"/>
      <w:szCs w:val="20"/>
    </w:rPr>
  </w:style>
  <w:style w:type="character" w:customStyle="1" w:styleId="TestonotaapidipaginaCarattere">
    <w:name w:val="Testo nota a piè di pagina Carattere"/>
    <w:basedOn w:val="Carpredefinitoparagrafo"/>
    <w:link w:val="Testonotaapidipagina"/>
    <w:uiPriority w:val="99"/>
    <w:semiHidden/>
    <w:rsid w:val="004A0202"/>
    <w:rPr>
      <w:lang w:eastAsia="en-US"/>
    </w:rPr>
  </w:style>
  <w:style w:type="character" w:styleId="Rimandonotaapidipagina">
    <w:name w:val="footnote reference"/>
    <w:basedOn w:val="Carpredefinitoparagrafo"/>
    <w:uiPriority w:val="99"/>
    <w:semiHidden/>
    <w:unhideWhenUsed/>
    <w:rsid w:val="004A0202"/>
    <w:rPr>
      <w:vertAlign w:val="superscript"/>
    </w:rPr>
  </w:style>
  <w:style w:type="paragraph" w:styleId="NormaleWeb">
    <w:name w:val="Normal (Web)"/>
    <w:basedOn w:val="Normale"/>
    <w:uiPriority w:val="99"/>
    <w:semiHidden/>
    <w:unhideWhenUsed/>
    <w:rsid w:val="00CD08E6"/>
    <w:rPr>
      <w:rFonts w:ascii="Times New Roman" w:hAnsi="Times New Roman"/>
      <w:sz w:val="24"/>
      <w:szCs w:val="24"/>
    </w:rPr>
  </w:style>
  <w:style w:type="paragraph" w:styleId="Intestazione">
    <w:name w:val="header"/>
    <w:basedOn w:val="Normale"/>
    <w:link w:val="IntestazioneCarattere"/>
    <w:uiPriority w:val="99"/>
    <w:semiHidden/>
    <w:unhideWhenUsed/>
    <w:rsid w:val="00365FF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65FF0"/>
    <w:rPr>
      <w:sz w:val="22"/>
      <w:szCs w:val="22"/>
      <w:lang w:eastAsia="en-US"/>
    </w:rPr>
  </w:style>
  <w:style w:type="paragraph" w:styleId="Pidipagina">
    <w:name w:val="footer"/>
    <w:basedOn w:val="Normale"/>
    <w:link w:val="PidipaginaCarattere"/>
    <w:uiPriority w:val="99"/>
    <w:unhideWhenUsed/>
    <w:rsid w:val="00365FF0"/>
    <w:pPr>
      <w:tabs>
        <w:tab w:val="center" w:pos="4819"/>
        <w:tab w:val="right" w:pos="9638"/>
      </w:tabs>
    </w:pPr>
  </w:style>
  <w:style w:type="character" w:customStyle="1" w:styleId="PidipaginaCarattere">
    <w:name w:val="Piè di pagina Carattere"/>
    <w:basedOn w:val="Carpredefinitoparagrafo"/>
    <w:link w:val="Pidipagina"/>
    <w:uiPriority w:val="99"/>
    <w:rsid w:val="00365FF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21305046">
      <w:bodyDiv w:val="1"/>
      <w:marLeft w:val="0"/>
      <w:marRight w:val="0"/>
      <w:marTop w:val="0"/>
      <w:marBottom w:val="0"/>
      <w:divBdr>
        <w:top w:val="none" w:sz="0" w:space="0" w:color="auto"/>
        <w:left w:val="none" w:sz="0" w:space="0" w:color="auto"/>
        <w:bottom w:val="none" w:sz="0" w:space="0" w:color="auto"/>
        <w:right w:val="none" w:sz="0" w:space="0" w:color="auto"/>
      </w:divBdr>
    </w:div>
    <w:div w:id="14089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2014-04-11T07:08:00Z</dcterms:created>
  <dcterms:modified xsi:type="dcterms:W3CDTF">2014-04-11T07:08:00Z</dcterms:modified>
</cp:coreProperties>
</file>