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8DC70" w14:textId="77777777" w:rsidR="00563C84" w:rsidRPr="00E4489E" w:rsidRDefault="008F61BC" w:rsidP="00C23E57">
      <w:pPr>
        <w:overflowPunct/>
        <w:adjustRightInd/>
        <w:jc w:val="center"/>
        <w:textAlignment w:val="auto"/>
      </w:pPr>
      <w:r w:rsidRPr="00E4489E">
        <w:rPr>
          <w:noProof/>
          <w:lang w:val="en-US" w:eastAsia="en-US" w:bidi="ar-SA"/>
        </w:rPr>
        <w:drawing>
          <wp:inline distT="0" distB="0" distL="0" distR="0" wp14:anchorId="351D2686" wp14:editId="3A5BC1D7">
            <wp:extent cx="1792800" cy="1242000"/>
            <wp:effectExtent l="0" t="0" r="0" b="0"/>
            <wp:docPr id="2" name="Picture 2" title="EESCLogo_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ESC-vertical-positive-it-quadri_M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489E">
        <w:rPr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D2822CE" wp14:editId="37CC208A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018D3" w14:textId="77777777" w:rsidR="00103F0D" w:rsidRPr="00260E65" w:rsidRDefault="00103F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822C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xj8wEAAMcDAAAOAAAAZHJzL2Uyb0RvYy54bWysU9tu2zAMfR+wfxD0vthJs2Q14hRdiw4D&#10;um5Auw9gZDkWZosapcTOvn6UnGbp+jbsRRAvOjw8pFZXQ9eKvSZv0JZyOsml0FZhZey2lN+f7t59&#10;kMIHsBW0aHUpD9rLq/XbN6veFXqGDbaVJsEg1he9K2UTgiuyzKtGd+An6LTlYI3UQWCTtllF0DN6&#10;12azPF9kPVLlCJX2nr23Y1CuE35daxW+1rXXQbSlZG4hnZTOTTyz9QqKLYFrjDrSgH9g0YGxXPQE&#10;dQsBxI7MK6jOKEKPdZgo7DKsa6N06oG7meZ/dfPYgNOpFxbHu5NM/v/Bqof9NxKm4tnNpbDQ8Yye&#10;9BDERxzE7CLq0ztfcNqj48QwsJ9zU6/e3aP64YXFmwbsVl8TYd9oqJjfNL7Mzp6OOD6CbPovWHEd&#10;2AVMQENNXRSP5RCMznM6nGYTuSh2LubLZc4RxaGLy8VsnmaXQfH82JEPnzR2Il5KSTz6BA77ex8i&#10;GSieU2Iti3embdP4W/vCwYnRk8hHviPzMGyGoxgbrA7cBuG4Tbz9fGmQfknR8yaV0v/cAWkp2s+W&#10;pbiczpmsCMmYv1/O2KDzyOY8AlYxVCmDFOP1JozrunNktg1XGsW3eM3y1Sa1FnUeWR1587akjo+b&#10;Hdfx3E5Zf/7f+jcAAAD//wMAUEsDBBQABgAIAAAAIQDrVDFa3gAAAA8BAAAPAAAAZHJzL2Rvd25y&#10;ZXYueG1sTE9BTsMwELwj8QdrkbhRu4iYEOJUCMQVRIFKvbnxNomI11HsNuH3bE/0NrMzmp0pV7Pv&#10;xRHH2AUysFwoEEh1cB01Br4+X29yEDFZcrYPhAZ+McKqurwobeHCRB94XKdGcAjFwhpoUxoKKWPd&#10;ordxEQYk1vZh9DYxHRvpRjtxuO/lrVJaetsRf2jtgM8t1j/rgzfw/bbfbu7Ue/Pis2EKs5LkH6Qx&#10;11fz0yOIhHP6N8OpPleHijvtwoFcFD1zpTWPSYyy/F6DOHmWOufbjpHOlAJZlfJ8R/UHAAD//wMA&#10;UEsBAi0AFAAGAAgAAAAhALaDOJL+AAAA4QEAABMAAAAAAAAAAAAAAAAAAAAAAFtDb250ZW50X1R5&#10;cGVzXS54bWxQSwECLQAUAAYACAAAACEAOP0h/9YAAACUAQAACwAAAAAAAAAAAAAAAAAvAQAAX3Jl&#10;bHMvLnJlbHNQSwECLQAUAAYACAAAACEAuAwsY/MBAADHAwAADgAAAAAAAAAAAAAAAAAuAgAAZHJz&#10;L2Uyb0RvYy54bWxQSwECLQAUAAYACAAAACEA61QxWt4AAAAPAQAADwAAAAAAAAAAAAAAAABNBAAA&#10;ZHJzL2Rvd25yZXYueG1sUEsFBgAAAAAEAAQA8wAAAFgFAAAAAA==&#10;" o:allowincell="f" filled="f" stroked="f">
                <v:textbox>
                  <w:txbxContent>
                    <w:p w14:paraId="6DE018D3" w14:textId="77777777" w:rsidR="00103F0D" w:rsidRPr="00260E65" w:rsidRDefault="00103F0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CBD7BCB" w14:textId="77777777" w:rsidR="00646AC2" w:rsidRPr="00E4489E" w:rsidRDefault="00646AC2" w:rsidP="00C23E57">
      <w:pPr>
        <w:overflowPunct/>
        <w:adjustRightInd/>
        <w:textAlignment w:val="auto"/>
      </w:pPr>
    </w:p>
    <w:p w14:paraId="3C43030C" w14:textId="77777777" w:rsidR="00646AC2" w:rsidRPr="00E4489E" w:rsidRDefault="009A2C8A" w:rsidP="00C23E57">
      <w:pPr>
        <w:overflowPunct/>
        <w:adjustRightInd/>
        <w:jc w:val="right"/>
        <w:textAlignment w:val="auto"/>
      </w:pPr>
      <w:r w:rsidRPr="00E4489E">
        <w:rPr>
          <w:b/>
        </w:rPr>
        <w:t>ECO</w:t>
      </w:r>
      <w:r w:rsidR="00011D33" w:rsidRPr="00E4489E">
        <w:rPr>
          <w:b/>
        </w:rPr>
        <w:t>/</w:t>
      </w:r>
      <w:r w:rsidRPr="00E4489E">
        <w:rPr>
          <w:b/>
        </w:rPr>
        <w:t>529</w:t>
      </w:r>
    </w:p>
    <w:p w14:paraId="21F9298C" w14:textId="6A44659E" w:rsidR="00563C84" w:rsidRPr="00E4489E" w:rsidRDefault="00024B11" w:rsidP="00C23E57">
      <w:pPr>
        <w:overflowPunct/>
        <w:adjustRightInd/>
        <w:jc w:val="right"/>
        <w:textAlignment w:val="auto"/>
        <w:rPr>
          <w:b/>
        </w:rPr>
      </w:pPr>
      <w:r w:rsidRPr="00E4489E">
        <w:rPr>
          <w:b/>
        </w:rPr>
        <w:t xml:space="preserve">Modifiche del Regolamento finanziario per </w:t>
      </w:r>
      <w:r w:rsidR="00B04457" w:rsidRPr="00E4489E">
        <w:rPr>
          <w:b/>
        </w:rPr>
        <w:br/>
      </w:r>
      <w:r w:rsidRPr="00E4489E">
        <w:rPr>
          <w:b/>
        </w:rPr>
        <w:t>facilitare la ripresa economica dopo la Covid-19</w:t>
      </w:r>
    </w:p>
    <w:p w14:paraId="6EBBA9D0" w14:textId="77777777" w:rsidR="009B30AA" w:rsidRPr="00E4489E" w:rsidRDefault="009B30AA" w:rsidP="00C23E57">
      <w:pPr>
        <w:overflowPunct/>
        <w:adjustRightInd/>
        <w:textAlignment w:val="auto"/>
      </w:pPr>
    </w:p>
    <w:p w14:paraId="306E751E" w14:textId="77777777" w:rsidR="009B30AA" w:rsidRPr="00E4489E" w:rsidRDefault="009B30AA" w:rsidP="00C23E57">
      <w:pPr>
        <w:overflowPunct/>
        <w:adjustRightInd/>
        <w:textAlignment w:val="auto"/>
      </w:pPr>
    </w:p>
    <w:p w14:paraId="46886864" w14:textId="24E060AB" w:rsidR="00AA7895" w:rsidRPr="00E4489E" w:rsidRDefault="00BB307B" w:rsidP="00AA7895">
      <w:pPr>
        <w:overflowPunct/>
        <w:adjustRightInd/>
        <w:jc w:val="center"/>
        <w:textAlignment w:val="auto"/>
      </w:pPr>
      <w:r w:rsidRPr="00E4489E">
        <w:rPr>
          <w:b/>
          <w:sz w:val="28"/>
        </w:rPr>
        <w:t xml:space="preserve">PARERE </w:t>
      </w:r>
      <w:r w:rsidRPr="00E4489E">
        <w:br/>
      </w:r>
      <w:r w:rsidR="00FF3759" w:rsidRPr="00E4489E">
        <w:t xml:space="preserve"> </w:t>
      </w:r>
      <w:r w:rsidR="00FF3759" w:rsidRPr="00E4489E">
        <w:br/>
      </w:r>
      <w:r w:rsidR="00250530" w:rsidRPr="00E4489E">
        <w:t>Comitato economico e sociale europeo</w:t>
      </w:r>
      <w:r w:rsidR="00D934CB" w:rsidRPr="00E4489E">
        <w:t xml:space="preserve"> </w:t>
      </w:r>
      <w:r w:rsidR="00FF3759" w:rsidRPr="00E4489E">
        <w:br/>
        <w:t xml:space="preserve"> </w:t>
      </w:r>
      <w:r w:rsidR="00FF3759" w:rsidRPr="00E4489E">
        <w:br/>
      </w:r>
      <w:r w:rsidR="00AA7895" w:rsidRPr="00E4489E">
        <w:rPr>
          <w:b/>
        </w:rPr>
        <w:t xml:space="preserve">Proposta di regolamento del Parlamento europeo e del Consiglio che modifica il regolamento (UE) 2017/1129 per quanto riguarda il prospetto UE della ripresa e adeguamenti mirati per gli intermediari finanziari per sostenere </w:t>
      </w:r>
      <w:r w:rsidR="00496162" w:rsidRPr="00E4489E">
        <w:rPr>
          <w:b/>
        </w:rPr>
        <w:t>l</w:t>
      </w:r>
      <w:r w:rsidR="00AA7895" w:rsidRPr="00E4489E">
        <w:rPr>
          <w:b/>
        </w:rPr>
        <w:t>a ripresa dal</w:t>
      </w:r>
      <w:r w:rsidR="009D68F1" w:rsidRPr="00E4489E">
        <w:rPr>
          <w:b/>
        </w:rPr>
        <w:t>l</w:t>
      </w:r>
      <w:r w:rsidR="00AA7895" w:rsidRPr="00E4489E">
        <w:rPr>
          <w:b/>
        </w:rPr>
        <w:t>a pandemia di COVID-19</w:t>
      </w:r>
      <w:r w:rsidR="006779D9" w:rsidRPr="00E4489E">
        <w:rPr>
          <w:b/>
        </w:rPr>
        <w:br/>
      </w:r>
      <w:r w:rsidR="00AA7895" w:rsidRPr="00E4489E">
        <w:t>[</w:t>
      </w:r>
      <w:proofErr w:type="gramStart"/>
      <w:r w:rsidR="00AA7895" w:rsidRPr="00E4489E">
        <w:t>COM(</w:t>
      </w:r>
      <w:proofErr w:type="gramEnd"/>
      <w:r w:rsidR="00AA7895" w:rsidRPr="00E4489E">
        <w:t xml:space="preserve">2020) 281 </w:t>
      </w:r>
      <w:proofErr w:type="spellStart"/>
      <w:r w:rsidR="00AA7895" w:rsidRPr="00E4489E">
        <w:t>final</w:t>
      </w:r>
      <w:proofErr w:type="spellEnd"/>
      <w:r w:rsidR="00AA7895" w:rsidRPr="00E4489E">
        <w:t xml:space="preserve"> – 2020/0155 (COD)]</w:t>
      </w:r>
    </w:p>
    <w:p w14:paraId="7A198BF5" w14:textId="77777777" w:rsidR="009B30AA" w:rsidRPr="00E4489E" w:rsidRDefault="009B30AA" w:rsidP="00C23E57">
      <w:pPr>
        <w:overflowPunct/>
        <w:adjustRightInd/>
        <w:jc w:val="center"/>
        <w:textAlignment w:val="auto"/>
      </w:pPr>
    </w:p>
    <w:p w14:paraId="411B28B8" w14:textId="733832AC" w:rsidR="009A18E4" w:rsidRPr="00E4489E" w:rsidRDefault="009A18E4" w:rsidP="009A18E4">
      <w:pPr>
        <w:overflowPunct/>
        <w:adjustRightInd/>
        <w:jc w:val="center"/>
        <w:textAlignment w:val="auto"/>
      </w:pPr>
      <w:r w:rsidRPr="00E4489E">
        <w:rPr>
          <w:b/>
        </w:rPr>
        <w:t>Proposta di regolamento del Parlamento europeo e del Consiglio che modifica il regolamento (UE) 2017/2402 che stabilisce un quadro generale per la cartolarizzazione e instaura un quadro specifico per cartolarizzazio</w:t>
      </w:r>
      <w:r w:rsidR="00854901" w:rsidRPr="00E4489E">
        <w:rPr>
          <w:b/>
        </w:rPr>
        <w:t>n</w:t>
      </w:r>
      <w:r w:rsidRPr="00E4489E">
        <w:rPr>
          <w:b/>
        </w:rPr>
        <w:t>i semplici, trasparenti e standardizzate per sostenere la r</w:t>
      </w:r>
      <w:r w:rsidR="009D68F1" w:rsidRPr="00E4489E">
        <w:rPr>
          <w:b/>
        </w:rPr>
        <w:t>i</w:t>
      </w:r>
      <w:r w:rsidRPr="00E4489E">
        <w:rPr>
          <w:b/>
        </w:rPr>
        <w:t>presa dalla pandemia di COVID-19</w:t>
      </w:r>
      <w:r w:rsidR="006779D9" w:rsidRPr="00E4489E">
        <w:rPr>
          <w:b/>
        </w:rPr>
        <w:br/>
      </w:r>
      <w:r w:rsidRPr="00E4489E">
        <w:t>[</w:t>
      </w:r>
      <w:proofErr w:type="gramStart"/>
      <w:r w:rsidRPr="00E4489E">
        <w:t>COM(</w:t>
      </w:r>
      <w:proofErr w:type="gramEnd"/>
      <w:r w:rsidRPr="00E4489E">
        <w:t xml:space="preserve">2020) 282 </w:t>
      </w:r>
      <w:proofErr w:type="spellStart"/>
      <w:r w:rsidRPr="00E4489E">
        <w:t>final</w:t>
      </w:r>
      <w:proofErr w:type="spellEnd"/>
      <w:r w:rsidRPr="00E4489E">
        <w:t xml:space="preserve"> – 2020/0151 (COD)]</w:t>
      </w:r>
    </w:p>
    <w:p w14:paraId="49F5F847" w14:textId="77777777" w:rsidR="009A18E4" w:rsidRPr="00E4489E" w:rsidRDefault="009A18E4" w:rsidP="00C23E57">
      <w:pPr>
        <w:overflowPunct/>
        <w:adjustRightInd/>
        <w:jc w:val="center"/>
        <w:textAlignment w:val="auto"/>
      </w:pPr>
    </w:p>
    <w:p w14:paraId="7C42A909" w14:textId="0D52036C" w:rsidR="00F540CE" w:rsidRPr="00E4489E" w:rsidRDefault="00F540CE" w:rsidP="00F540CE">
      <w:pPr>
        <w:overflowPunct/>
        <w:adjustRightInd/>
        <w:jc w:val="center"/>
        <w:textAlignment w:val="auto"/>
      </w:pPr>
      <w:r w:rsidRPr="00E4489E">
        <w:rPr>
          <w:b/>
        </w:rPr>
        <w:t>Proposta di regolamento del Parlamento europeo e del Consiglio che modifica il regolamento (UE) n. 575/2013 per quanto riguarda adeguamenti del quadro sulle cartolarizzazioni per sostenere la ripresa economica</w:t>
      </w:r>
      <w:r w:rsidR="005B681E" w:rsidRPr="00E4489E">
        <w:rPr>
          <w:b/>
        </w:rPr>
        <w:t xml:space="preserve"> </w:t>
      </w:r>
      <w:r w:rsidRPr="00E4489E">
        <w:rPr>
          <w:b/>
        </w:rPr>
        <w:t>dalla pandemia di COVID-19</w:t>
      </w:r>
      <w:r w:rsidR="006779D9" w:rsidRPr="00E4489E">
        <w:rPr>
          <w:b/>
        </w:rPr>
        <w:br/>
      </w:r>
      <w:r w:rsidRPr="00E4489E">
        <w:t>[</w:t>
      </w:r>
      <w:proofErr w:type="gramStart"/>
      <w:r w:rsidRPr="00E4489E">
        <w:t>COM(</w:t>
      </w:r>
      <w:proofErr w:type="gramEnd"/>
      <w:r w:rsidRPr="00E4489E">
        <w:t>2020)</w:t>
      </w:r>
      <w:r w:rsidR="005B681E" w:rsidRPr="00E4489E">
        <w:t xml:space="preserve"> 283</w:t>
      </w:r>
      <w:r w:rsidRPr="00E4489E">
        <w:t xml:space="preserve"> </w:t>
      </w:r>
      <w:proofErr w:type="spellStart"/>
      <w:r w:rsidRPr="00E4489E">
        <w:t>final</w:t>
      </w:r>
      <w:proofErr w:type="spellEnd"/>
      <w:r w:rsidRPr="00E4489E">
        <w:t xml:space="preserve"> – 2020/015</w:t>
      </w:r>
      <w:r w:rsidR="005B681E" w:rsidRPr="00E4489E">
        <w:t>6</w:t>
      </w:r>
      <w:r w:rsidRPr="00E4489E">
        <w:t xml:space="preserve"> (COD)]</w:t>
      </w:r>
    </w:p>
    <w:p w14:paraId="245BB808" w14:textId="77777777" w:rsidR="006B59B7" w:rsidRPr="00E4489E" w:rsidRDefault="006B59B7" w:rsidP="00F540CE">
      <w:pPr>
        <w:overflowPunct/>
        <w:adjustRightInd/>
        <w:jc w:val="center"/>
        <w:textAlignment w:val="auto"/>
      </w:pPr>
    </w:p>
    <w:p w14:paraId="0FC21594" w14:textId="65E3B0AC" w:rsidR="00704FBB" w:rsidRPr="00E4489E" w:rsidRDefault="003D22EB" w:rsidP="00C23E57">
      <w:pPr>
        <w:overflowPunct/>
        <w:adjustRightInd/>
        <w:jc w:val="center"/>
        <w:textAlignment w:val="auto"/>
      </w:pPr>
      <w:r w:rsidRPr="00E4489E">
        <w:t>Relatore generale</w:t>
      </w:r>
      <w:r w:rsidR="007F5E0D" w:rsidRPr="00E4489E">
        <w:t xml:space="preserve">: </w:t>
      </w:r>
      <w:r w:rsidR="009A2C8A" w:rsidRPr="00E4489E">
        <w:rPr>
          <w:b/>
        </w:rPr>
        <w:t>Giuseppe GUERINI</w:t>
      </w:r>
      <w:r w:rsidR="009A2C8A" w:rsidRPr="00E4489E">
        <w:t xml:space="preserve"> </w:t>
      </w:r>
    </w:p>
    <w:p w14:paraId="23C27C53" w14:textId="77777777" w:rsidR="00E32DC6" w:rsidRPr="00E4489E" w:rsidRDefault="00E32DC6" w:rsidP="00C23E57">
      <w:pPr>
        <w:rPr>
          <w:sz w:val="16"/>
        </w:rPr>
      </w:pPr>
    </w:p>
    <w:p w14:paraId="77284069" w14:textId="77777777" w:rsidR="00E32DC6" w:rsidRPr="00E4489E" w:rsidRDefault="00E32DC6" w:rsidP="00C23E57">
      <w:pPr>
        <w:rPr>
          <w:sz w:val="14"/>
        </w:rPr>
      </w:pPr>
    </w:p>
    <w:p w14:paraId="5E3BE831" w14:textId="3432D8D8" w:rsidR="00E32DC6" w:rsidRPr="00E4489E" w:rsidRDefault="00E32DC6" w:rsidP="00C23E57">
      <w:pPr>
        <w:rPr>
          <w:sz w:val="16"/>
        </w:rPr>
        <w:sectPr w:rsidR="00E32DC6" w:rsidRPr="00E4489E" w:rsidSect="00E4489E">
          <w:footerReference w:type="default" r:id="rId12"/>
          <w:pgSz w:w="11907" w:h="16839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7"/>
        <w:gridCol w:w="5596"/>
      </w:tblGrid>
      <w:tr w:rsidR="0011656A" w:rsidRPr="00E4489E" w14:paraId="7774203F" w14:textId="77777777" w:rsidTr="00B419B4">
        <w:tc>
          <w:tcPr>
            <w:tcW w:w="3477" w:type="dxa"/>
          </w:tcPr>
          <w:p w14:paraId="300D7DF6" w14:textId="77777777" w:rsidR="0011656A" w:rsidRPr="00E4489E" w:rsidRDefault="0090053A" w:rsidP="00C23E57">
            <w:pPr>
              <w:overflowPunct/>
              <w:adjustRightInd/>
              <w:jc w:val="left"/>
              <w:textAlignment w:val="auto"/>
            </w:pPr>
            <w:r w:rsidRPr="00E4489E">
              <w:lastRenderedPageBreak/>
              <w:t xml:space="preserve">Consultazione </w:t>
            </w:r>
          </w:p>
        </w:tc>
        <w:tc>
          <w:tcPr>
            <w:tcW w:w="5596" w:type="dxa"/>
          </w:tcPr>
          <w:p w14:paraId="10A61618" w14:textId="118BCD0A" w:rsidR="0011656A" w:rsidRPr="00E4489E" w:rsidRDefault="0062317D">
            <w:pPr>
              <w:overflowPunct/>
              <w:adjustRightInd/>
              <w:jc w:val="left"/>
              <w:textAlignment w:val="auto"/>
            </w:pPr>
            <w:r w:rsidRPr="00E4489E">
              <w:t>Consiglio dell'</w:t>
            </w:r>
            <w:r w:rsidR="00524166" w:rsidRPr="00E4489E">
              <w:t>U</w:t>
            </w:r>
            <w:r w:rsidRPr="00E4489E">
              <w:t>nione europea</w:t>
            </w:r>
            <w:r w:rsidR="004130F7" w:rsidRPr="00E4489E">
              <w:t xml:space="preserve">, </w:t>
            </w:r>
            <w:r w:rsidRPr="00E4489E">
              <w:t>27</w:t>
            </w:r>
            <w:r w:rsidR="004130F7" w:rsidRPr="00E4489E">
              <w:t>/</w:t>
            </w:r>
            <w:r w:rsidRPr="00E4489E">
              <w:t>08</w:t>
            </w:r>
            <w:r w:rsidR="004130F7" w:rsidRPr="00E4489E">
              <w:t>/</w:t>
            </w:r>
            <w:r w:rsidRPr="00E4489E">
              <w:t>2020</w:t>
            </w:r>
          </w:p>
          <w:p w14:paraId="4EAA5462" w14:textId="7361D864" w:rsidR="0062317D" w:rsidRPr="00E4489E" w:rsidRDefault="0062317D">
            <w:pPr>
              <w:overflowPunct/>
              <w:adjustRightInd/>
              <w:jc w:val="left"/>
              <w:textAlignment w:val="auto"/>
            </w:pPr>
            <w:r w:rsidRPr="00E4489E">
              <w:t xml:space="preserve">Parlamento europeo, </w:t>
            </w:r>
            <w:r w:rsidR="00455644" w:rsidRPr="00E4489E">
              <w:t>14</w:t>
            </w:r>
            <w:r w:rsidRPr="00E4489E">
              <w:t>/</w:t>
            </w:r>
            <w:r w:rsidR="00455644" w:rsidRPr="00E4489E">
              <w:t>09</w:t>
            </w:r>
            <w:r w:rsidRPr="00E4489E">
              <w:t>/2020</w:t>
            </w:r>
          </w:p>
        </w:tc>
      </w:tr>
      <w:tr w:rsidR="0016503F" w:rsidRPr="00E4489E" w14:paraId="71EA4992" w14:textId="77777777" w:rsidTr="00B419B4">
        <w:trPr>
          <w:trHeight w:val="251"/>
        </w:trPr>
        <w:tc>
          <w:tcPr>
            <w:tcW w:w="3477" w:type="dxa"/>
          </w:tcPr>
          <w:p w14:paraId="3D05F943" w14:textId="77777777" w:rsidR="0016503F" w:rsidRPr="00E4489E" w:rsidRDefault="0016503F" w:rsidP="00C23E57">
            <w:pPr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E4489E">
              <w:t>Base giuridica</w:t>
            </w:r>
          </w:p>
        </w:tc>
        <w:tc>
          <w:tcPr>
            <w:tcW w:w="5596" w:type="dxa"/>
          </w:tcPr>
          <w:p w14:paraId="29385A3B" w14:textId="3612B545" w:rsidR="0016503F" w:rsidRPr="00E4489E" w:rsidRDefault="0016503F" w:rsidP="008760BB">
            <w:pPr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E4489E">
              <w:t>Articol</w:t>
            </w:r>
            <w:r w:rsidR="008760BB" w:rsidRPr="00E4489E">
              <w:t>o</w:t>
            </w:r>
            <w:r w:rsidR="0062317D" w:rsidRPr="00E4489E">
              <w:t xml:space="preserve"> 114</w:t>
            </w:r>
            <w:r w:rsidRPr="00E4489E">
              <w:t xml:space="preserve"> del Trattato sul funzionamento dell'Unione europea</w:t>
            </w:r>
          </w:p>
        </w:tc>
      </w:tr>
      <w:tr w:rsidR="00DF5B64" w:rsidRPr="00E4489E" w14:paraId="3748C8B0" w14:textId="77777777" w:rsidTr="00B419B4">
        <w:tc>
          <w:tcPr>
            <w:tcW w:w="3477" w:type="dxa"/>
          </w:tcPr>
          <w:p w14:paraId="17265F2D" w14:textId="77777777" w:rsidR="00DF5B64" w:rsidRPr="00E4489E" w:rsidRDefault="00AD4B4F" w:rsidP="00C23E57">
            <w:pPr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E4489E">
              <w:t>Sezione competente</w:t>
            </w:r>
          </w:p>
        </w:tc>
        <w:tc>
          <w:tcPr>
            <w:tcW w:w="5596" w:type="dxa"/>
          </w:tcPr>
          <w:p w14:paraId="361DFB91" w14:textId="77777777" w:rsidR="00DF5B64" w:rsidRPr="00E4489E" w:rsidRDefault="00B419B4" w:rsidP="00C23E57">
            <w:pPr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E4489E">
              <w:t>Unione economica e monetaria, coesione economica e sociale</w:t>
            </w:r>
          </w:p>
        </w:tc>
      </w:tr>
      <w:tr w:rsidR="00A156E6" w:rsidRPr="00E4489E" w14:paraId="27938AF1" w14:textId="77777777" w:rsidTr="00B419B4">
        <w:tc>
          <w:tcPr>
            <w:tcW w:w="3477" w:type="dxa"/>
          </w:tcPr>
          <w:p w14:paraId="6545D5AA" w14:textId="77777777" w:rsidR="00A156E6" w:rsidRPr="00E4489E" w:rsidRDefault="00A156E6" w:rsidP="00C23E57">
            <w:pPr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E4489E">
              <w:t>Adozione in sessione plenaria</w:t>
            </w:r>
          </w:p>
        </w:tc>
        <w:tc>
          <w:tcPr>
            <w:tcW w:w="5596" w:type="dxa"/>
          </w:tcPr>
          <w:p w14:paraId="4322C2AF" w14:textId="03198007" w:rsidR="00A156E6" w:rsidRPr="00E4489E" w:rsidRDefault="00CB3A8E">
            <w:pPr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E4489E">
              <w:t>29</w:t>
            </w:r>
            <w:r w:rsidR="003439AB" w:rsidRPr="00E4489E">
              <w:t>/</w:t>
            </w:r>
            <w:r w:rsidRPr="00E4489E">
              <w:t>10</w:t>
            </w:r>
            <w:r w:rsidR="003439AB" w:rsidRPr="00E4489E">
              <w:t>/</w:t>
            </w:r>
            <w:r w:rsidRPr="00E4489E">
              <w:t>2020</w:t>
            </w:r>
          </w:p>
        </w:tc>
      </w:tr>
      <w:tr w:rsidR="00BA1290" w:rsidRPr="00E4489E" w14:paraId="7C1177FA" w14:textId="77777777" w:rsidTr="00B419B4">
        <w:tc>
          <w:tcPr>
            <w:tcW w:w="3477" w:type="dxa"/>
          </w:tcPr>
          <w:p w14:paraId="62461172" w14:textId="77777777" w:rsidR="00BA1290" w:rsidRPr="00E4489E" w:rsidRDefault="00BA1290" w:rsidP="00C23E57">
            <w:pPr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E4489E">
              <w:t>Sessione plenaria n.</w:t>
            </w:r>
          </w:p>
        </w:tc>
        <w:tc>
          <w:tcPr>
            <w:tcW w:w="5596" w:type="dxa"/>
          </w:tcPr>
          <w:p w14:paraId="351830B6" w14:textId="0451342F" w:rsidR="00BA1290" w:rsidRPr="00E4489E" w:rsidRDefault="00CB3A8E" w:rsidP="00C23E57">
            <w:pPr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E4489E">
              <w:t>555</w:t>
            </w:r>
          </w:p>
        </w:tc>
      </w:tr>
      <w:tr w:rsidR="00A156E6" w:rsidRPr="00E4489E" w14:paraId="7E8CF23D" w14:textId="77777777" w:rsidTr="00B419B4">
        <w:tc>
          <w:tcPr>
            <w:tcW w:w="3477" w:type="dxa"/>
          </w:tcPr>
          <w:p w14:paraId="4534A50F" w14:textId="77777777" w:rsidR="00D423D4" w:rsidRPr="00E4489E" w:rsidRDefault="0043024C" w:rsidP="00C23E57">
            <w:pPr>
              <w:overflowPunct/>
              <w:adjustRightInd/>
              <w:jc w:val="left"/>
            </w:pPr>
            <w:r w:rsidRPr="00E4489E">
              <w:t xml:space="preserve">Esito della votazione </w:t>
            </w:r>
            <w:r w:rsidRPr="00E4489E">
              <w:br/>
              <w:t>(favorevoli/contrari/astenuti)</w:t>
            </w:r>
          </w:p>
        </w:tc>
        <w:tc>
          <w:tcPr>
            <w:tcW w:w="5596" w:type="dxa"/>
            <w:vAlign w:val="bottom"/>
          </w:tcPr>
          <w:p w14:paraId="0FAD1861" w14:textId="603EFFF2" w:rsidR="00A156E6" w:rsidRPr="00E4489E" w:rsidRDefault="004A4AD3">
            <w:pPr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D10CF0">
              <w:t>245</w:t>
            </w:r>
            <w:r w:rsidR="00A156E6" w:rsidRPr="00E4489E">
              <w:t>/</w:t>
            </w:r>
            <w:r w:rsidRPr="00D10CF0">
              <w:t>0</w:t>
            </w:r>
            <w:r w:rsidR="00A156E6" w:rsidRPr="00E4489E">
              <w:t>/</w:t>
            </w:r>
            <w:r w:rsidRPr="00D10CF0">
              <w:t>8</w:t>
            </w:r>
          </w:p>
        </w:tc>
      </w:tr>
    </w:tbl>
    <w:p w14:paraId="0036066D" w14:textId="77777777" w:rsidR="0090053A" w:rsidRPr="00E4489E" w:rsidRDefault="0090053A" w:rsidP="00C23E57">
      <w:pPr>
        <w:overflowPunct/>
        <w:adjustRightInd/>
        <w:textAlignment w:val="auto"/>
      </w:pPr>
    </w:p>
    <w:p w14:paraId="33A1253E" w14:textId="77777777" w:rsidR="00646AC2" w:rsidRPr="00E4489E" w:rsidRDefault="00646AC2" w:rsidP="00C23E57">
      <w:pPr>
        <w:overflowPunct/>
        <w:adjustRightInd/>
        <w:textAlignment w:val="auto"/>
      </w:pPr>
      <w:r w:rsidRPr="00E4489E">
        <w:br w:type="page"/>
      </w:r>
    </w:p>
    <w:p w14:paraId="481E845B" w14:textId="77777777" w:rsidR="00011D33" w:rsidRPr="00E4489E" w:rsidRDefault="00011D33" w:rsidP="00C23E57">
      <w:pPr>
        <w:pStyle w:val="Titolo1"/>
        <w:keepNext/>
        <w:ind w:left="567" w:hanging="567"/>
        <w:rPr>
          <w:b/>
        </w:rPr>
      </w:pPr>
      <w:r w:rsidRPr="00E4489E">
        <w:rPr>
          <w:b/>
        </w:rPr>
        <w:lastRenderedPageBreak/>
        <w:t>Conclusioni e raccomandazioni</w:t>
      </w:r>
    </w:p>
    <w:p w14:paraId="55C86E33" w14:textId="77777777" w:rsidR="00011D33" w:rsidRPr="00E4489E" w:rsidRDefault="00011D33" w:rsidP="00C23E57">
      <w:pPr>
        <w:keepNext/>
      </w:pPr>
    </w:p>
    <w:p w14:paraId="66C86810" w14:textId="652CDC64" w:rsidR="00C1490D" w:rsidRPr="00E4489E" w:rsidRDefault="007C6FE4" w:rsidP="006E4C91">
      <w:pPr>
        <w:pStyle w:val="Titolo2"/>
        <w:ind w:left="567" w:hanging="567"/>
      </w:pPr>
      <w:r w:rsidRPr="00E4489E">
        <w:t>Il CESE condivide e sostiene l</w:t>
      </w:r>
      <w:r w:rsidR="00C1490D" w:rsidRPr="00E4489E">
        <w:t>e proposte</w:t>
      </w:r>
      <w:r w:rsidRPr="00E4489E">
        <w:t xml:space="preserve"> di emendamento alla direttiva sulla regolazione </w:t>
      </w:r>
      <w:r w:rsidR="0056176F" w:rsidRPr="00E4489E">
        <w:t>dei mercati</w:t>
      </w:r>
      <w:r w:rsidRPr="00E4489E">
        <w:t xml:space="preserve"> </w:t>
      </w:r>
      <w:r w:rsidR="0056176F" w:rsidRPr="00E4489E">
        <w:t>finanziari</w:t>
      </w:r>
      <w:r w:rsidR="00346D5E" w:rsidRPr="00E4489E">
        <w:t>,</w:t>
      </w:r>
      <w:r w:rsidR="00524166" w:rsidRPr="00E4489E">
        <w:t xml:space="preserve"> </w:t>
      </w:r>
      <w:r w:rsidR="00346D5E" w:rsidRPr="00E4489E">
        <w:t>contenute nel pacchetto sulla ripres</w:t>
      </w:r>
      <w:r w:rsidR="00AB1274" w:rsidRPr="00E4489E">
        <w:t>a</w:t>
      </w:r>
      <w:r w:rsidR="00346D5E" w:rsidRPr="00E4489E">
        <w:t xml:space="preserve"> dei mercati dei capitali, </w:t>
      </w:r>
      <w:r w:rsidR="00C1490D" w:rsidRPr="00E4489E">
        <w:t>oggetto del presente</w:t>
      </w:r>
      <w:r w:rsidR="00524166" w:rsidRPr="00E4489E">
        <w:t xml:space="preserve"> parere</w:t>
      </w:r>
      <w:r w:rsidR="00346D5E" w:rsidRPr="00E4489E">
        <w:t xml:space="preserve">. Le modifiche ivi contenute sono </w:t>
      </w:r>
      <w:r w:rsidRPr="00E4489E">
        <w:t xml:space="preserve">rivolte ad </w:t>
      </w:r>
      <w:r w:rsidR="0056176F" w:rsidRPr="00E4489E">
        <w:t>una sostanziale</w:t>
      </w:r>
      <w:r w:rsidR="00C1490D" w:rsidRPr="00E4489E">
        <w:t xml:space="preserve"> semplificazione della documentazione </w:t>
      </w:r>
      <w:r w:rsidRPr="00E4489E">
        <w:t xml:space="preserve">e </w:t>
      </w:r>
      <w:r w:rsidR="0056176F" w:rsidRPr="00E4489E">
        <w:t>degli</w:t>
      </w:r>
      <w:r w:rsidRPr="00E4489E">
        <w:t xml:space="preserve"> adempimenti che regolano i mercati finanziari, </w:t>
      </w:r>
      <w:r w:rsidR="00346D5E" w:rsidRPr="00E4489E">
        <w:t xml:space="preserve">e specificatamente </w:t>
      </w:r>
      <w:r w:rsidRPr="00E4489E">
        <w:t>qu</w:t>
      </w:r>
      <w:r w:rsidR="0056176F" w:rsidRPr="00E4489E">
        <w:t>anto previsto</w:t>
      </w:r>
      <w:r w:rsidR="00524166" w:rsidRPr="00E4489E">
        <w:t xml:space="preserve"> </w:t>
      </w:r>
      <w:r w:rsidR="0056176F" w:rsidRPr="00E4489E">
        <w:t>dalla normativa Mi</w:t>
      </w:r>
      <w:r w:rsidRPr="00E4489E">
        <w:t>FID</w:t>
      </w:r>
      <w:r w:rsidR="00CF7A5D" w:rsidRPr="00E4489E">
        <w:t xml:space="preserve"> II</w:t>
      </w:r>
      <w:r w:rsidRPr="00E4489E">
        <w:t>. Tuttavia</w:t>
      </w:r>
      <w:r w:rsidR="00524166" w:rsidRPr="00E4489E">
        <w:t>,</w:t>
      </w:r>
      <w:r w:rsidRPr="00E4489E">
        <w:t xml:space="preserve"> </w:t>
      </w:r>
      <w:r w:rsidR="0056176F" w:rsidRPr="00E4489E">
        <w:t>poiché</w:t>
      </w:r>
      <w:r w:rsidRPr="00E4489E">
        <w:t xml:space="preserve"> in origine il pacchetto di modifica comprendeva </w:t>
      </w:r>
      <w:r w:rsidR="005A3678" w:rsidRPr="00E4489E">
        <w:t>quattro</w:t>
      </w:r>
      <w:r w:rsidRPr="00E4489E">
        <w:t xml:space="preserve"> diversi provvedimenti di emendamento, questo parere ritiene comunque opportuno prendere in considerazione complessivamente il disegno di </w:t>
      </w:r>
      <w:r w:rsidR="0056176F" w:rsidRPr="00E4489E">
        <w:t>semplificazione</w:t>
      </w:r>
      <w:r w:rsidRPr="00E4489E">
        <w:t xml:space="preserve">, </w:t>
      </w:r>
      <w:r w:rsidR="00346D5E" w:rsidRPr="00E4489E">
        <w:t xml:space="preserve">che è stato concepito non solo per una semplificazione della normativa MiFID II, ma più in generale per </w:t>
      </w:r>
      <w:r w:rsidR="00C1490D" w:rsidRPr="00E4489E">
        <w:t>ridurre gli oneri amministrativi degli operatori bancari e finanziari, l</w:t>
      </w:r>
      <w:r w:rsidR="00F02FB6" w:rsidRPr="00E4489E">
        <w:t>ibera</w:t>
      </w:r>
      <w:r w:rsidR="00C1490D" w:rsidRPr="00E4489E">
        <w:t xml:space="preserve">ndo così risorse da investire nella ripresa economica. </w:t>
      </w:r>
    </w:p>
    <w:p w14:paraId="6F111FFC" w14:textId="77777777" w:rsidR="00C1490D" w:rsidRPr="00E4489E" w:rsidRDefault="00C1490D" w:rsidP="006E4C91">
      <w:pPr>
        <w:ind w:left="720" w:hanging="720"/>
      </w:pPr>
    </w:p>
    <w:p w14:paraId="7F2002A6" w14:textId="5838FE1C" w:rsidR="00C1490D" w:rsidRPr="00E4489E" w:rsidRDefault="00C1490D" w:rsidP="006E4C91">
      <w:pPr>
        <w:pStyle w:val="Titolo2"/>
        <w:ind w:left="567" w:hanging="567"/>
      </w:pPr>
      <w:r w:rsidRPr="00E4489E">
        <w:t xml:space="preserve">Il CESE supporta le proposte della Commissione </w:t>
      </w:r>
      <w:r w:rsidR="002D01D6" w:rsidRPr="00E4489E">
        <w:t xml:space="preserve">e </w:t>
      </w:r>
      <w:r w:rsidRPr="00E4489E">
        <w:t>condivide gli obiettivi</w:t>
      </w:r>
      <w:r w:rsidR="002D01D6" w:rsidRPr="00E4489E">
        <w:t xml:space="preserve"> del pacchetto di riforma da essa proposto</w:t>
      </w:r>
      <w:r w:rsidRPr="00E4489E">
        <w:t xml:space="preserve">. </w:t>
      </w:r>
      <w:r w:rsidR="001C6BF0" w:rsidRPr="00E4489E">
        <w:t>È</w:t>
      </w:r>
      <w:r w:rsidRPr="00E4489E">
        <w:t xml:space="preserve"> infatti necessario condurre ogni sforzo </w:t>
      </w:r>
      <w:r w:rsidR="004D3FBE" w:rsidRPr="00E4489E">
        <w:t>di innovazione delle regole</w:t>
      </w:r>
      <w:r w:rsidRPr="00E4489E">
        <w:t xml:space="preserve"> per: i)</w:t>
      </w:r>
      <w:r w:rsidR="00D84559" w:rsidRPr="00E4489E">
        <w:t> </w:t>
      </w:r>
      <w:r w:rsidRPr="00E4489E">
        <w:t>facilitare gli investimenti nell'economia reale; ii) favorire l</w:t>
      </w:r>
      <w:r w:rsidR="001C6BF0" w:rsidRPr="00E4489E">
        <w:t>'</w:t>
      </w:r>
      <w:r w:rsidRPr="00E4489E">
        <w:t>erogazione di prestiti a favore di persone e PMI; iii) incoraggiare la ricapitalizzazione delle imprese europee e il rafforzamento del ruolo dei mercati mobiliari.</w:t>
      </w:r>
    </w:p>
    <w:p w14:paraId="7451CA07" w14:textId="77777777" w:rsidR="00C1490D" w:rsidRPr="00E4489E" w:rsidRDefault="00C1490D" w:rsidP="00CE1DEB"/>
    <w:p w14:paraId="4D2C72B6" w14:textId="2831736B" w:rsidR="00C1490D" w:rsidRPr="00E4489E" w:rsidRDefault="00C1490D">
      <w:pPr>
        <w:pStyle w:val="Titolo2"/>
        <w:ind w:left="567" w:hanging="567"/>
      </w:pPr>
      <w:r w:rsidRPr="00E4489E">
        <w:t>Il CESE accoglie con favore la semplificazione di alcuni</w:t>
      </w:r>
      <w:r w:rsidR="002B479C" w:rsidRPr="00E4489E">
        <w:t xml:space="preserve"> oneri </w:t>
      </w:r>
      <w:r w:rsidRPr="00E4489E">
        <w:t xml:space="preserve">imposti dalla regolazione finanziaria in capo alle controparti qualificate e agli investitori professionali, aderendo al supporto già manifestato in questo senso dagli operatori del settore bancario. </w:t>
      </w:r>
    </w:p>
    <w:p w14:paraId="3D3985C3" w14:textId="77777777" w:rsidR="00C1490D" w:rsidRPr="00E4489E" w:rsidRDefault="00C1490D" w:rsidP="00C1490D">
      <w:pPr>
        <w:pStyle w:val="Titolo2"/>
        <w:numPr>
          <w:ilvl w:val="0"/>
          <w:numId w:val="0"/>
        </w:numPr>
        <w:ind w:left="567"/>
      </w:pPr>
    </w:p>
    <w:p w14:paraId="62CD54EB" w14:textId="13EA9EF3" w:rsidR="00C1490D" w:rsidRPr="00E4489E" w:rsidRDefault="00C1490D" w:rsidP="006E4C91">
      <w:pPr>
        <w:pStyle w:val="Titolo2"/>
        <w:ind w:left="567" w:hanging="567"/>
      </w:pPr>
      <w:r w:rsidRPr="00E4489E">
        <w:t>Nel suo ruolo di rappresentanza dei consumatori e della società civile il CESE</w:t>
      </w:r>
      <w:r w:rsidR="001C6BF0" w:rsidRPr="00E4489E">
        <w:t>,</w:t>
      </w:r>
      <w:r w:rsidRPr="00E4489E">
        <w:t xml:space="preserve"> </w:t>
      </w:r>
      <w:r w:rsidR="002B479C" w:rsidRPr="00E4489E">
        <w:t>richiama</w:t>
      </w:r>
      <w:r w:rsidR="007C6FE4" w:rsidRPr="00E4489E">
        <w:t>ndo</w:t>
      </w:r>
      <w:r w:rsidR="00F02FB6" w:rsidRPr="00E4489E">
        <w:t xml:space="preserve"> </w:t>
      </w:r>
      <w:r w:rsidRPr="00E4489E">
        <w:t>la necessità di tutelare</w:t>
      </w:r>
      <w:r w:rsidR="00F02FB6" w:rsidRPr="00E4489E">
        <w:t xml:space="preserve"> </w:t>
      </w:r>
      <w:r w:rsidRPr="00E4489E">
        <w:t xml:space="preserve">anche i risparmiatori e gli investitori non professionali, </w:t>
      </w:r>
      <w:r w:rsidR="007C6FE4" w:rsidRPr="00E4489E">
        <w:t>apprezza la scelta della Commissione</w:t>
      </w:r>
      <w:r w:rsidR="004D3FBE" w:rsidRPr="00E4489E">
        <w:t xml:space="preserve"> che</w:t>
      </w:r>
      <w:r w:rsidR="00EC6BB8" w:rsidRPr="00E4489E">
        <w:t>,</w:t>
      </w:r>
      <w:r w:rsidR="004D3FBE" w:rsidRPr="00E4489E">
        <w:t xml:space="preserve"> con le modifiche mirate, punta a</w:t>
      </w:r>
      <w:r w:rsidR="007C6FE4" w:rsidRPr="00E4489E">
        <w:t xml:space="preserve"> mantenere alta la soglia di attenzione</w:t>
      </w:r>
      <w:r w:rsidR="00D23349" w:rsidRPr="00E4489E">
        <w:t xml:space="preserve"> sulla regolazione</w:t>
      </w:r>
      <w:r w:rsidR="004D3FBE" w:rsidRPr="00E4489E">
        <w:t xml:space="preserve"> finanziaria</w:t>
      </w:r>
      <w:r w:rsidR="001C6BF0" w:rsidRPr="00E4489E">
        <w:t>,</w:t>
      </w:r>
      <w:r w:rsidR="00D23349" w:rsidRPr="00E4489E">
        <w:t xml:space="preserve"> </w:t>
      </w:r>
      <w:r w:rsidRPr="00E4489E">
        <w:t xml:space="preserve">perseguendo un corretto bilanciamento tra </w:t>
      </w:r>
      <w:r w:rsidR="001C6BF0" w:rsidRPr="00E4489E">
        <w:t xml:space="preserve">le </w:t>
      </w:r>
      <w:r w:rsidRPr="00E4489E">
        <w:t xml:space="preserve">esigenze </w:t>
      </w:r>
      <w:r w:rsidR="00D23349" w:rsidRPr="00E4489E">
        <w:t xml:space="preserve">delle </w:t>
      </w:r>
      <w:r w:rsidRPr="00E4489E">
        <w:t>differenti</w:t>
      </w:r>
      <w:r w:rsidR="00D23349" w:rsidRPr="00E4489E">
        <w:t xml:space="preserve"> categorie di investitori</w:t>
      </w:r>
      <w:r w:rsidRPr="00E4489E">
        <w:t xml:space="preserve">. </w:t>
      </w:r>
      <w:r w:rsidR="002B479C" w:rsidRPr="00E4489E">
        <w:t>L</w:t>
      </w:r>
      <w:r w:rsidRPr="00E4489E">
        <w:t xml:space="preserve">a semplificazione </w:t>
      </w:r>
      <w:r w:rsidR="004D3FBE" w:rsidRPr="00E4489E">
        <w:t xml:space="preserve">normativa </w:t>
      </w:r>
      <w:r w:rsidRPr="00E4489E">
        <w:t>non deve</w:t>
      </w:r>
      <w:r w:rsidR="002B479C" w:rsidRPr="00E4489E">
        <w:t xml:space="preserve"> infatti</w:t>
      </w:r>
      <w:r w:rsidRPr="00E4489E">
        <w:t xml:space="preserve"> ridurre le tutele </w:t>
      </w:r>
      <w:r w:rsidR="001C6BF0" w:rsidRPr="00E4489E">
        <w:t>a</w:t>
      </w:r>
      <w:r w:rsidRPr="00E4489E">
        <w:t xml:space="preserve"> favore dei risparmiatori e degli investitori meno esperti, che vanno puntualmente distinti dagli operatori professionali.</w:t>
      </w:r>
    </w:p>
    <w:p w14:paraId="0A9C8999" w14:textId="77777777" w:rsidR="00C1490D" w:rsidRPr="00E4489E" w:rsidRDefault="00C1490D" w:rsidP="00CE1DEB"/>
    <w:p w14:paraId="6592EE81" w14:textId="00AD05FD" w:rsidR="00C1490D" w:rsidRPr="00E4489E" w:rsidRDefault="00C1490D" w:rsidP="00C1490D">
      <w:pPr>
        <w:pStyle w:val="Titolo2"/>
        <w:ind w:left="567" w:hanging="567"/>
      </w:pPr>
      <w:r w:rsidRPr="00E4489E">
        <w:t xml:space="preserve">Il CESE </w:t>
      </w:r>
      <w:r w:rsidR="002B479C" w:rsidRPr="00E4489E">
        <w:t>aderisce</w:t>
      </w:r>
      <w:r w:rsidRPr="00E4489E">
        <w:t xml:space="preserve"> </w:t>
      </w:r>
      <w:r w:rsidR="002B479C" w:rsidRPr="00E4489E">
        <w:t>al</w:t>
      </w:r>
      <w:r w:rsidRPr="00E4489E">
        <w:t>l</w:t>
      </w:r>
      <w:r w:rsidR="006D5C0B" w:rsidRPr="00E4489E">
        <w:t>'</w:t>
      </w:r>
      <w:r w:rsidRPr="00E4489E">
        <w:t xml:space="preserve">obiettivo della Commissione di ridurre i costi di </w:t>
      </w:r>
      <w:r w:rsidRPr="00E4489E">
        <w:rPr>
          <w:i/>
        </w:rPr>
        <w:t>compliance</w:t>
      </w:r>
      <w:r w:rsidRPr="00E4489E">
        <w:t xml:space="preserve"> </w:t>
      </w:r>
      <w:r w:rsidR="004D3FBE" w:rsidRPr="00E4489E">
        <w:t>ed evitare</w:t>
      </w:r>
      <w:r w:rsidRPr="00E4489E">
        <w:t xml:space="preserve"> lo spreco di risorse </w:t>
      </w:r>
      <w:r w:rsidR="0056176F" w:rsidRPr="00E4489E">
        <w:t>materiali, riducendo</w:t>
      </w:r>
      <w:r w:rsidRPr="00E4489E">
        <w:t xml:space="preserve"> sensibilmente la produzione di documentazione cartacea</w:t>
      </w:r>
      <w:r w:rsidR="002B479C" w:rsidRPr="00E4489E">
        <w:t xml:space="preserve"> relativa agli investimenti</w:t>
      </w:r>
      <w:r w:rsidRPr="00E4489E">
        <w:t xml:space="preserve"> in favore </w:t>
      </w:r>
      <w:r w:rsidR="002B479C" w:rsidRPr="00E4489E">
        <w:t>degli</w:t>
      </w:r>
      <w:r w:rsidRPr="00E4489E">
        <w:t xml:space="preserve"> strumenti digitali</w:t>
      </w:r>
      <w:r w:rsidR="002B479C" w:rsidRPr="00E4489E">
        <w:t xml:space="preserve">, che garantiscono </w:t>
      </w:r>
      <w:r w:rsidRPr="00E4489E">
        <w:t>un</w:t>
      </w:r>
      <w:r w:rsidR="006D5C0B" w:rsidRPr="00E4489E">
        <w:t>'</w:t>
      </w:r>
      <w:r w:rsidRPr="00E4489E">
        <w:t>interazione fra operatori e clienti più rapida e più certa, rendendo la documentazione meglio conservabile</w:t>
      </w:r>
      <w:r w:rsidR="002B479C" w:rsidRPr="00E4489E">
        <w:t xml:space="preserve"> </w:t>
      </w:r>
      <w:r w:rsidRPr="00E4489E">
        <w:t xml:space="preserve">e garantendo una migliore sostenibilità ambientale. </w:t>
      </w:r>
    </w:p>
    <w:p w14:paraId="632AB36A" w14:textId="77777777" w:rsidR="00C1490D" w:rsidRPr="00E4489E" w:rsidRDefault="00C1490D" w:rsidP="00CE1DEB"/>
    <w:p w14:paraId="2616E2C4" w14:textId="75B2ADB0" w:rsidR="002B479C" w:rsidRPr="00E4489E" w:rsidRDefault="00C1490D" w:rsidP="006E4C91">
      <w:pPr>
        <w:pStyle w:val="Titolo2"/>
        <w:ind w:left="567" w:hanging="567"/>
      </w:pPr>
      <w:r w:rsidRPr="00E4489E">
        <w:t>Il CESE apprezza</w:t>
      </w:r>
      <w:r w:rsidR="002B479C" w:rsidRPr="00E4489E">
        <w:t>, in particolare,</w:t>
      </w:r>
      <w:r w:rsidRPr="00E4489E">
        <w:t xml:space="preserve"> l'obiettivo di rendere più semplici le cartolarizzazioni </w:t>
      </w:r>
      <w:r w:rsidR="002B479C" w:rsidRPr="00E4489E">
        <w:t xml:space="preserve">riguardanti </w:t>
      </w:r>
      <w:r w:rsidR="004D3FBE" w:rsidRPr="00E4489E">
        <w:t xml:space="preserve">esposizioni </w:t>
      </w:r>
      <w:r w:rsidR="002B479C" w:rsidRPr="00E4489E">
        <w:t>deteriorat</w:t>
      </w:r>
      <w:r w:rsidR="004D3FBE" w:rsidRPr="00E4489E">
        <w:t>e</w:t>
      </w:r>
      <w:r w:rsidR="002B479C" w:rsidRPr="00E4489E">
        <w:t xml:space="preserve">. Tale sviluppo </w:t>
      </w:r>
      <w:r w:rsidR="004D3FBE" w:rsidRPr="00E4489E">
        <w:t xml:space="preserve">normativo </w:t>
      </w:r>
      <w:r w:rsidR="002B479C" w:rsidRPr="00E4489E">
        <w:t>consente infatti</w:t>
      </w:r>
      <w:r w:rsidRPr="00E4489E">
        <w:t xml:space="preserve"> alle banche di alleggerire i propri bilanci, </w:t>
      </w:r>
      <w:r w:rsidR="002B479C" w:rsidRPr="00E4489E">
        <w:t>aumentando</w:t>
      </w:r>
      <w:r w:rsidRPr="00E4489E">
        <w:t xml:space="preserve"> </w:t>
      </w:r>
      <w:r w:rsidR="002B479C" w:rsidRPr="00E4489E">
        <w:t>la</w:t>
      </w:r>
      <w:r w:rsidRPr="00E4489E">
        <w:t xml:space="preserve"> loro capacità di prestito</w:t>
      </w:r>
      <w:r w:rsidR="002B479C" w:rsidRPr="00E4489E">
        <w:t xml:space="preserve"> in un momento in cui tale capacità risulta vitale.</w:t>
      </w:r>
    </w:p>
    <w:p w14:paraId="283F6396" w14:textId="77777777" w:rsidR="002B479C" w:rsidRPr="00E4489E" w:rsidRDefault="002B479C">
      <w:pPr>
        <w:pStyle w:val="Titolo2"/>
        <w:numPr>
          <w:ilvl w:val="0"/>
          <w:numId w:val="0"/>
        </w:numPr>
      </w:pPr>
    </w:p>
    <w:p w14:paraId="6E5157F4" w14:textId="61663BF2" w:rsidR="002B479C" w:rsidRPr="00E4489E" w:rsidRDefault="002B479C" w:rsidP="006E4C91">
      <w:pPr>
        <w:pStyle w:val="Titolo2"/>
        <w:ind w:left="567" w:hanging="567"/>
      </w:pPr>
      <w:r w:rsidRPr="00E4489E">
        <w:t xml:space="preserve">Il CESE ritiene quindi che l'intervento della Commissione dovrebbe essere addirittura più ampio </w:t>
      </w:r>
      <w:r w:rsidR="00F02FB6" w:rsidRPr="00E4489E">
        <w:t xml:space="preserve">e incisivo </w:t>
      </w:r>
      <w:r w:rsidRPr="00E4489E">
        <w:t xml:space="preserve">rispetto a quello proposto. Il quadro normativo </w:t>
      </w:r>
      <w:r w:rsidR="004D3FBE" w:rsidRPr="00E4489E">
        <w:t xml:space="preserve">di </w:t>
      </w:r>
      <w:proofErr w:type="spellStart"/>
      <w:r w:rsidR="004D3FBE" w:rsidRPr="00E4489E">
        <w:t>securizzazione</w:t>
      </w:r>
      <w:proofErr w:type="spellEnd"/>
      <w:r w:rsidR="004D3FBE" w:rsidRPr="00E4489E">
        <w:t xml:space="preserve"> dei </w:t>
      </w:r>
      <w:r w:rsidRPr="00E4489E">
        <w:t>crediti deteriorati</w:t>
      </w:r>
      <w:r w:rsidR="004D3FBE" w:rsidRPr="00E4489E">
        <w:t xml:space="preserve">, </w:t>
      </w:r>
      <w:r w:rsidRPr="00E4489E">
        <w:t xml:space="preserve">oggi vigente, </w:t>
      </w:r>
      <w:r w:rsidR="004D3FBE" w:rsidRPr="00E4489E">
        <w:t xml:space="preserve">è stato </w:t>
      </w:r>
      <w:r w:rsidRPr="00E4489E">
        <w:t xml:space="preserve">strutturato precedentemente alla pandemia, </w:t>
      </w:r>
      <w:r w:rsidR="004D3FBE" w:rsidRPr="00E4489E">
        <w:t xml:space="preserve">e </w:t>
      </w:r>
      <w:r w:rsidRPr="00E4489E">
        <w:t xml:space="preserve">presenta delle </w:t>
      </w:r>
      <w:r w:rsidRPr="00E4489E">
        <w:lastRenderedPageBreak/>
        <w:t xml:space="preserve">rigidità che possono impattare </w:t>
      </w:r>
      <w:r w:rsidR="004D3FBE" w:rsidRPr="00E4489E">
        <w:t xml:space="preserve">negativamente </w:t>
      </w:r>
      <w:r w:rsidRPr="00E4489E">
        <w:t>sull'economia reale e, in particolare</w:t>
      </w:r>
      <w:r w:rsidR="00F02FB6" w:rsidRPr="00E4489E">
        <w:t>,</w:t>
      </w:r>
      <w:r w:rsidRPr="00E4489E">
        <w:t xml:space="preserve"> sulle PMI</w:t>
      </w:r>
      <w:r w:rsidR="00F02FB6" w:rsidRPr="00E4489E">
        <w:t xml:space="preserve"> </w:t>
      </w:r>
      <w:r w:rsidRPr="00E4489E">
        <w:t>nel</w:t>
      </w:r>
      <w:r w:rsidR="00F02FB6" w:rsidRPr="00E4489E">
        <w:t>l</w:t>
      </w:r>
      <w:r w:rsidR="006D5C0B" w:rsidRPr="00E4489E">
        <w:t>'</w:t>
      </w:r>
      <w:r w:rsidR="00F02FB6" w:rsidRPr="00E4489E">
        <w:t>attuale</w:t>
      </w:r>
      <w:r w:rsidRPr="00E4489E">
        <w:t xml:space="preserve"> contesto economico minato dalla pandemia.</w:t>
      </w:r>
      <w:r w:rsidRPr="00E4489E" w:rsidDel="00C1490D">
        <w:t xml:space="preserve"> </w:t>
      </w:r>
    </w:p>
    <w:p w14:paraId="6EDEAB9E" w14:textId="77777777" w:rsidR="002B479C" w:rsidRPr="00E4489E" w:rsidRDefault="002B479C" w:rsidP="00CE1DEB"/>
    <w:p w14:paraId="1118C163" w14:textId="10023FA6" w:rsidR="00C1490D" w:rsidRPr="00E4489E" w:rsidRDefault="00924734" w:rsidP="006E4C91">
      <w:pPr>
        <w:pStyle w:val="Titolo2"/>
        <w:ind w:left="567" w:hanging="567"/>
      </w:pPr>
      <w:r w:rsidRPr="00E4489E">
        <w:t xml:space="preserve">Queste rigidità, in particolare quelle relative ai tempi di esecuzione delle operazioni di cessione delle esposizioni deteriorate da parte delle banche, devono essere gestite con </w:t>
      </w:r>
      <w:r w:rsidR="00C1490D" w:rsidRPr="00E4489E">
        <w:t xml:space="preserve">molta attenzione affinché </w:t>
      </w:r>
      <w:r w:rsidR="00F02FB6" w:rsidRPr="00E4489E">
        <w:t>la</w:t>
      </w:r>
      <w:r w:rsidR="00C1490D" w:rsidRPr="00E4489E">
        <w:t xml:space="preserve"> semplificazione </w:t>
      </w:r>
      <w:r w:rsidR="00F02FB6" w:rsidRPr="00E4489E">
        <w:t xml:space="preserve">proposta </w:t>
      </w:r>
      <w:r w:rsidR="002B479C" w:rsidRPr="00E4489E">
        <w:t>non avvantaggi</w:t>
      </w:r>
      <w:r w:rsidR="00C1490D" w:rsidRPr="00E4489E">
        <w:t xml:space="preserve"> </w:t>
      </w:r>
      <w:r w:rsidR="00F02FB6" w:rsidRPr="00E4489E">
        <w:t>eccessivamente</w:t>
      </w:r>
      <w:r w:rsidR="00C1490D" w:rsidRPr="00E4489E">
        <w:t xml:space="preserve"> </w:t>
      </w:r>
      <w:r w:rsidR="00F02FB6" w:rsidRPr="00E4489E">
        <w:t>gli operatori specializzati</w:t>
      </w:r>
      <w:r w:rsidR="00C1490D" w:rsidRPr="00E4489E">
        <w:t xml:space="preserve"> nel trattamento di crediti deteriorati,</w:t>
      </w:r>
      <w:r w:rsidR="002B479C" w:rsidRPr="00E4489E">
        <w:t xml:space="preserve"> mettendo </w:t>
      </w:r>
      <w:r w:rsidR="00C1490D" w:rsidRPr="00E4489E">
        <w:t xml:space="preserve">in </w:t>
      </w:r>
      <w:r w:rsidR="002B479C" w:rsidRPr="00E4489E">
        <w:t xml:space="preserve">(ulteriore) </w:t>
      </w:r>
      <w:r w:rsidR="00C1490D" w:rsidRPr="00E4489E">
        <w:t>difficoltà</w:t>
      </w:r>
      <w:r w:rsidR="002B479C" w:rsidRPr="00E4489E">
        <w:t xml:space="preserve"> </w:t>
      </w:r>
      <w:r w:rsidR="00F02FB6" w:rsidRPr="00E4489E">
        <w:t xml:space="preserve">le imprese </w:t>
      </w:r>
      <w:r w:rsidR="002B479C" w:rsidRPr="00E4489E">
        <w:t>dell</w:t>
      </w:r>
      <w:r w:rsidR="006D5C0B" w:rsidRPr="00E4489E">
        <w:t>'</w:t>
      </w:r>
      <w:r w:rsidR="002B479C" w:rsidRPr="00E4489E">
        <w:t>economia reale,</w:t>
      </w:r>
      <w:r w:rsidR="00C1490D" w:rsidRPr="00E4489E">
        <w:t xml:space="preserve"> qualora le banche </w:t>
      </w:r>
      <w:r w:rsidRPr="00E4489E">
        <w:t>siano indott</w:t>
      </w:r>
      <w:r w:rsidR="002950EF" w:rsidRPr="00E4489E">
        <w:t>e</w:t>
      </w:r>
      <w:r w:rsidRPr="00E4489E">
        <w:t xml:space="preserve"> a liberarsi di questi</w:t>
      </w:r>
      <w:r w:rsidR="00C1490D" w:rsidRPr="00E4489E">
        <w:t xml:space="preserve"> crediti</w:t>
      </w:r>
      <w:r w:rsidR="00F02FB6" w:rsidRPr="00E4489E">
        <w:t xml:space="preserve"> </w:t>
      </w:r>
      <w:r w:rsidRPr="00E4489E">
        <w:t>in tempi troppo stretti</w:t>
      </w:r>
      <w:r w:rsidR="00C1490D" w:rsidRPr="00E4489E">
        <w:t xml:space="preserve">. </w:t>
      </w:r>
    </w:p>
    <w:p w14:paraId="63421B65" w14:textId="77777777" w:rsidR="00011D33" w:rsidRPr="00E4489E" w:rsidRDefault="00011D33" w:rsidP="00C23E57"/>
    <w:p w14:paraId="7A21D8CA" w14:textId="77777777" w:rsidR="00011D33" w:rsidRPr="00E4489E" w:rsidRDefault="00011D33" w:rsidP="006779D9">
      <w:pPr>
        <w:pStyle w:val="Titolo1"/>
        <w:ind w:left="567" w:hanging="567"/>
        <w:rPr>
          <w:b/>
        </w:rPr>
      </w:pPr>
      <w:r w:rsidRPr="00E4489E">
        <w:rPr>
          <w:b/>
        </w:rPr>
        <w:t>Osservazioni generali</w:t>
      </w:r>
    </w:p>
    <w:p w14:paraId="7F86BB2F" w14:textId="77777777" w:rsidR="00011D33" w:rsidRPr="00E4489E" w:rsidRDefault="00011D33" w:rsidP="00C23E57">
      <w:pPr>
        <w:keepNext/>
        <w:overflowPunct/>
        <w:adjustRightInd/>
        <w:textAlignment w:val="auto"/>
      </w:pPr>
    </w:p>
    <w:p w14:paraId="6EC7F960" w14:textId="59675F6D" w:rsidR="00EF443B" w:rsidRPr="00E4489E" w:rsidRDefault="00534485" w:rsidP="006779D9">
      <w:pPr>
        <w:pStyle w:val="Titolo2"/>
        <w:ind w:left="567" w:hanging="567"/>
      </w:pPr>
      <w:r w:rsidRPr="00E4489E">
        <w:t xml:space="preserve">Il pacchetto </w:t>
      </w:r>
      <w:r w:rsidR="00E86EC9" w:rsidRPr="00E4489E">
        <w:t xml:space="preserve">che contiene </w:t>
      </w:r>
      <w:r w:rsidRPr="00E4489E">
        <w:t>le proposte di modifica alla regolazione finanziaria</w:t>
      </w:r>
      <w:r w:rsidR="00E86EC9" w:rsidRPr="00E4489E">
        <w:t>,</w:t>
      </w:r>
      <w:r w:rsidRPr="00E4489E">
        <w:t xml:space="preserve"> proposto dalla Commis</w:t>
      </w:r>
      <w:r w:rsidR="0009404E" w:rsidRPr="00E4489E">
        <w:t xml:space="preserve">sione </w:t>
      </w:r>
      <w:r w:rsidR="005969AE" w:rsidRPr="00E4489E">
        <w:t>e</w:t>
      </w:r>
      <w:r w:rsidR="0009404E" w:rsidRPr="00E4489E">
        <w:t>uropea il 24 luglio 2020</w:t>
      </w:r>
      <w:r w:rsidR="00EF1F38" w:rsidRPr="00E4489E">
        <w:t>,</w:t>
      </w:r>
      <w:r w:rsidRPr="00E4489E">
        <w:t xml:space="preserve"> si aggiunge a una</w:t>
      </w:r>
      <w:r w:rsidR="0009404E" w:rsidRPr="00E4489E">
        <w:t xml:space="preserve"> serie di provvedimenti </w:t>
      </w:r>
      <w:r w:rsidRPr="00E4489E">
        <w:t xml:space="preserve">adottati nei mesi scorsi </w:t>
      </w:r>
      <w:r w:rsidR="003A0B86" w:rsidRPr="00E4489E">
        <w:t xml:space="preserve">in materia bancaria e finanziaria </w:t>
      </w:r>
      <w:r w:rsidR="00F02FB6" w:rsidRPr="00E4489E">
        <w:t>al fine di</w:t>
      </w:r>
      <w:r w:rsidRPr="00E4489E">
        <w:t xml:space="preserve"> stimolare </w:t>
      </w:r>
      <w:r w:rsidR="0017714E" w:rsidRPr="00E4489E">
        <w:t>un</w:t>
      </w:r>
      <w:r w:rsidR="00F55762" w:rsidRPr="00E4489E">
        <w:t>'</w:t>
      </w:r>
      <w:r w:rsidR="003A0B86" w:rsidRPr="00E4489E">
        <w:t>effettiva</w:t>
      </w:r>
      <w:r w:rsidRPr="00E4489E">
        <w:t xml:space="preserve"> ripresa dalla crisi innescata dalla pandemia </w:t>
      </w:r>
      <w:r w:rsidR="00790029" w:rsidRPr="00E4489E">
        <w:t>di</w:t>
      </w:r>
      <w:r w:rsidR="00F55762" w:rsidRPr="00E4489E">
        <w:t xml:space="preserve"> </w:t>
      </w:r>
      <w:r w:rsidR="009314CF" w:rsidRPr="00E4489E">
        <w:t>Covid</w:t>
      </w:r>
      <w:r w:rsidRPr="00E4489E">
        <w:t xml:space="preserve">-19. </w:t>
      </w:r>
    </w:p>
    <w:p w14:paraId="08B6C918" w14:textId="77777777" w:rsidR="00EF443B" w:rsidRPr="00E4489E" w:rsidRDefault="00EF443B" w:rsidP="00CE1DEB">
      <w:pPr>
        <w:pStyle w:val="Titolo2"/>
        <w:numPr>
          <w:ilvl w:val="0"/>
          <w:numId w:val="0"/>
        </w:numPr>
        <w:ind w:left="567"/>
      </w:pPr>
    </w:p>
    <w:p w14:paraId="674D62E0" w14:textId="37914EDB" w:rsidR="00534485" w:rsidRPr="00E4489E" w:rsidRDefault="0009404E" w:rsidP="006779D9">
      <w:pPr>
        <w:pStyle w:val="Titolo2"/>
        <w:ind w:left="567" w:hanging="567"/>
      </w:pPr>
      <w:r w:rsidRPr="00E4489E">
        <w:t>La prima serie di provvedimenti</w:t>
      </w:r>
      <w:r w:rsidR="00534485" w:rsidRPr="00E4489E">
        <w:t xml:space="preserve"> che compongono questa strategia ha riguardato il settore bancario e si proponeva di sostenere l'erogazione di prestiti bancari a famiglie e imprese in tutta l'UE</w:t>
      </w:r>
      <w:r w:rsidR="00EF443B" w:rsidRPr="00E4489E">
        <w:t xml:space="preserve"> per rimediare agli effetti avversi</w:t>
      </w:r>
      <w:r w:rsidR="00F02FB6" w:rsidRPr="00E4489E">
        <w:t xml:space="preserve"> </w:t>
      </w:r>
      <w:r w:rsidR="00EF443B" w:rsidRPr="00E4489E">
        <w:t>sul versante della domanda e dell</w:t>
      </w:r>
      <w:r w:rsidR="00E23654" w:rsidRPr="00E4489E">
        <w:t>'</w:t>
      </w:r>
      <w:r w:rsidR="00EF443B" w:rsidRPr="00E4489E">
        <w:t>offerta determinati dall</w:t>
      </w:r>
      <w:r w:rsidR="00E23654" w:rsidRPr="00E4489E">
        <w:t>'</w:t>
      </w:r>
      <w:r w:rsidR="00EF443B" w:rsidRPr="00E4489E">
        <w:t>i</w:t>
      </w:r>
      <w:r w:rsidR="00F02FB6" w:rsidRPr="00E4489E">
        <w:t>mpatto della pandemia in diverse</w:t>
      </w:r>
      <w:r w:rsidR="00EF443B" w:rsidRPr="00E4489E">
        <w:t xml:space="preserve"> </w:t>
      </w:r>
      <w:r w:rsidR="00F02FB6" w:rsidRPr="00E4489E">
        <w:t>filiere produttive</w:t>
      </w:r>
      <w:r w:rsidR="00534485" w:rsidRPr="00E4489E">
        <w:t>.</w:t>
      </w:r>
    </w:p>
    <w:p w14:paraId="1ED71E51" w14:textId="77777777" w:rsidR="00534485" w:rsidRPr="00E4489E" w:rsidRDefault="00534485" w:rsidP="006779D9">
      <w:pPr>
        <w:ind w:left="567" w:hanging="567"/>
      </w:pPr>
    </w:p>
    <w:p w14:paraId="3DB2D554" w14:textId="3B86F75A" w:rsidR="00534485" w:rsidRPr="00E4489E" w:rsidRDefault="0056176F" w:rsidP="006779D9">
      <w:pPr>
        <w:pStyle w:val="Titolo2"/>
        <w:ind w:left="567" w:hanging="567"/>
      </w:pPr>
      <w:r w:rsidRPr="00E4489E">
        <w:t xml:space="preserve">Le modifiche </w:t>
      </w:r>
      <w:r w:rsidR="00D23349" w:rsidRPr="00E4489E">
        <w:t xml:space="preserve">contenute nel </w:t>
      </w:r>
      <w:r w:rsidR="00534485" w:rsidRPr="00E4489E">
        <w:t>pacchetto</w:t>
      </w:r>
      <w:r w:rsidR="00CA0268" w:rsidRPr="00E4489E">
        <w:t xml:space="preserve"> di misure</w:t>
      </w:r>
      <w:r w:rsidR="00534485" w:rsidRPr="00E4489E">
        <w:t xml:space="preserve"> proposto il 24 luglio si </w:t>
      </w:r>
      <w:r w:rsidR="005072C9" w:rsidRPr="00E4489E">
        <w:t xml:space="preserve">rivolgono </w:t>
      </w:r>
      <w:r w:rsidR="00534485" w:rsidRPr="00E4489E">
        <w:t>invece ai mer</w:t>
      </w:r>
      <w:r w:rsidR="0009404E" w:rsidRPr="00E4489E">
        <w:t>cati di capitali</w:t>
      </w:r>
      <w:r w:rsidR="00CA0268" w:rsidRPr="00E4489E">
        <w:t xml:space="preserve">, con </w:t>
      </w:r>
      <w:r w:rsidR="0009404E" w:rsidRPr="00E4489E">
        <w:t>l'</w:t>
      </w:r>
      <w:r w:rsidR="00534485" w:rsidRPr="00E4489E">
        <w:t xml:space="preserve">obiettivo di </w:t>
      </w:r>
      <w:r w:rsidR="00CA0268" w:rsidRPr="00E4489E">
        <w:t>promuovere</w:t>
      </w:r>
      <w:r w:rsidR="00EF443B" w:rsidRPr="00E4489E">
        <w:t xml:space="preserve"> gli</w:t>
      </w:r>
      <w:r w:rsidR="00534485" w:rsidRPr="00E4489E">
        <w:t xml:space="preserve"> investimenti, incrementa</w:t>
      </w:r>
      <w:r w:rsidR="00CA0268" w:rsidRPr="00E4489E">
        <w:t>re</w:t>
      </w:r>
      <w:r w:rsidR="00EF443B" w:rsidRPr="00E4489E">
        <w:t xml:space="preserve"> </w:t>
      </w:r>
      <w:r w:rsidR="00534485" w:rsidRPr="00E4489E">
        <w:t>la capitalizzazione delle imprese</w:t>
      </w:r>
      <w:r w:rsidR="00CA0268" w:rsidRPr="00E4489E">
        <w:t xml:space="preserve"> </w:t>
      </w:r>
      <w:r w:rsidR="00EF443B" w:rsidRPr="00E4489E">
        <w:t xml:space="preserve">e </w:t>
      </w:r>
      <w:r w:rsidR="00534485" w:rsidRPr="00E4489E">
        <w:t>aumenta</w:t>
      </w:r>
      <w:r w:rsidR="00CA0268" w:rsidRPr="00E4489E">
        <w:t xml:space="preserve">re </w:t>
      </w:r>
      <w:r w:rsidR="00534485" w:rsidRPr="00E4489E">
        <w:t>la capacità delle banche di finanziare la ripresa</w:t>
      </w:r>
      <w:r w:rsidR="00CA0268" w:rsidRPr="00E4489E">
        <w:t xml:space="preserve"> economica</w:t>
      </w:r>
      <w:r w:rsidR="00534485" w:rsidRPr="00E4489E">
        <w:t xml:space="preserve">. </w:t>
      </w:r>
    </w:p>
    <w:p w14:paraId="10AED16F" w14:textId="77777777" w:rsidR="00534485" w:rsidRPr="00E4489E" w:rsidRDefault="00534485" w:rsidP="006779D9">
      <w:pPr>
        <w:pStyle w:val="Titolo2"/>
        <w:numPr>
          <w:ilvl w:val="0"/>
          <w:numId w:val="0"/>
        </w:numPr>
        <w:ind w:left="567" w:hanging="567"/>
      </w:pPr>
    </w:p>
    <w:p w14:paraId="1DA5419B" w14:textId="1AED9145" w:rsidR="00DF7E95" w:rsidRPr="00E4489E" w:rsidRDefault="00534485" w:rsidP="006E4C91">
      <w:pPr>
        <w:pStyle w:val="Titolo2"/>
        <w:ind w:left="567" w:hanging="567"/>
      </w:pPr>
      <w:r w:rsidRPr="00E4489E">
        <w:t>Il pacchetto proposto dalla Commission</w:t>
      </w:r>
      <w:r w:rsidR="00024B11" w:rsidRPr="00E4489E">
        <w:t xml:space="preserve">e interviene con modifiche </w:t>
      </w:r>
      <w:r w:rsidR="003A0B86" w:rsidRPr="00E4489E">
        <w:t xml:space="preserve">specifiche e semplificatorie </w:t>
      </w:r>
      <w:r w:rsidR="0017714E" w:rsidRPr="00E4489E">
        <w:t xml:space="preserve">su </w:t>
      </w:r>
      <w:r w:rsidR="00ED29DA" w:rsidRPr="00E4489E">
        <w:t xml:space="preserve">quattro </w:t>
      </w:r>
      <w:r w:rsidRPr="00E4489E">
        <w:t>importanti provvedimenti di regolazione</w:t>
      </w:r>
      <w:r w:rsidR="00EF443B" w:rsidRPr="00E4489E">
        <w:t xml:space="preserve"> bancaria e finanziaria</w:t>
      </w:r>
      <w:r w:rsidRPr="00E4489E">
        <w:t xml:space="preserve">: </w:t>
      </w:r>
      <w:r w:rsidR="00E86EC9" w:rsidRPr="00E4489E">
        <w:t xml:space="preserve">la </w:t>
      </w:r>
      <w:r w:rsidR="00EF1F38" w:rsidRPr="00E4489E">
        <w:t>d</w:t>
      </w:r>
      <w:r w:rsidR="00E86EC9" w:rsidRPr="00E4489E">
        <w:t xml:space="preserve">irettiva sugli strumenti finanziari (MiFID II), </w:t>
      </w:r>
      <w:r w:rsidR="00D8307E" w:rsidRPr="00E4489E">
        <w:t>il</w:t>
      </w:r>
      <w:r w:rsidR="00E86EC9" w:rsidRPr="00E4489E">
        <w:t xml:space="preserve"> </w:t>
      </w:r>
      <w:r w:rsidR="00EF1F38" w:rsidRPr="00E4489E">
        <w:t>r</w:t>
      </w:r>
      <w:r w:rsidR="00E86EC9" w:rsidRPr="00E4489E">
        <w:t xml:space="preserve">egolamento sul prospetto, </w:t>
      </w:r>
      <w:r w:rsidR="00D8307E" w:rsidRPr="00E4489E">
        <w:t>il</w:t>
      </w:r>
      <w:r w:rsidR="00E86EC9" w:rsidRPr="00E4489E">
        <w:t xml:space="preserve"> </w:t>
      </w:r>
      <w:r w:rsidR="00EF1F38" w:rsidRPr="00E4489E">
        <w:t>r</w:t>
      </w:r>
      <w:r w:rsidR="00E86EC9" w:rsidRPr="00E4489E">
        <w:t xml:space="preserve">egolamento sulle cartolarizzazioni e </w:t>
      </w:r>
      <w:r w:rsidR="00D8307E" w:rsidRPr="00E4489E">
        <w:t>il</w:t>
      </w:r>
      <w:r w:rsidR="00E86EC9" w:rsidRPr="00E4489E">
        <w:t xml:space="preserve"> </w:t>
      </w:r>
      <w:r w:rsidR="00EF1F38" w:rsidRPr="00E4489E">
        <w:t>r</w:t>
      </w:r>
      <w:r w:rsidR="00E86EC9" w:rsidRPr="00E4489E">
        <w:t>egolamento sui requisiti patrimoniali (CRR)</w:t>
      </w:r>
      <w:r w:rsidR="001D3593" w:rsidRPr="00E4489E">
        <w:t>.</w:t>
      </w:r>
      <w:r w:rsidR="00DF7E95" w:rsidRPr="00E4489E">
        <w:t xml:space="preserve"> </w:t>
      </w:r>
      <w:r w:rsidR="00D23349" w:rsidRPr="00E4489E">
        <w:t>Per questo motivo, sebbene l</w:t>
      </w:r>
      <w:r w:rsidR="006A27BA" w:rsidRPr="00E4489E">
        <w:t>'</w:t>
      </w:r>
      <w:r w:rsidR="00D23349" w:rsidRPr="00E4489E">
        <w:t xml:space="preserve">oggetto principale di questo parere sia la </w:t>
      </w:r>
      <w:r w:rsidR="006A27BA" w:rsidRPr="00E4489E">
        <w:t>d</w:t>
      </w:r>
      <w:r w:rsidR="00D23349" w:rsidRPr="00E4489E">
        <w:t>irettiva M</w:t>
      </w:r>
      <w:r w:rsidR="00E23654" w:rsidRPr="00E4489E">
        <w:t>i</w:t>
      </w:r>
      <w:r w:rsidR="00D23349" w:rsidRPr="00E4489E">
        <w:t>FID</w:t>
      </w:r>
      <w:r w:rsidR="00E23654" w:rsidRPr="00E4489E">
        <w:t xml:space="preserve"> </w:t>
      </w:r>
      <w:r w:rsidR="00D23349" w:rsidRPr="00E4489E">
        <w:t>II</w:t>
      </w:r>
      <w:r w:rsidR="006A27BA" w:rsidRPr="00E4489E">
        <w:t>,</w:t>
      </w:r>
      <w:r w:rsidR="00D23349" w:rsidRPr="00E4489E">
        <w:t xml:space="preserve"> si è r</w:t>
      </w:r>
      <w:r w:rsidR="0056176F" w:rsidRPr="00E4489E">
        <w:t>i</w:t>
      </w:r>
      <w:r w:rsidR="00D23349" w:rsidRPr="00E4489E">
        <w:t xml:space="preserve">tenuto comunque importante </w:t>
      </w:r>
      <w:r w:rsidR="0056176F" w:rsidRPr="00E4489E">
        <w:t>e</w:t>
      </w:r>
      <w:r w:rsidR="00D23349" w:rsidRPr="00E4489E">
        <w:t>sprimere un parere sull</w:t>
      </w:r>
      <w:r w:rsidR="006A27BA" w:rsidRPr="00E4489E">
        <w:t>'</w:t>
      </w:r>
      <w:r w:rsidR="00D23349" w:rsidRPr="00E4489E">
        <w:t>intero pacchetto, poiché l</w:t>
      </w:r>
      <w:r w:rsidR="006A27BA" w:rsidRPr="00E4489E">
        <w:t>'</w:t>
      </w:r>
      <w:r w:rsidR="00D23349" w:rsidRPr="00E4489E">
        <w:t>efficacia e l</w:t>
      </w:r>
      <w:r w:rsidR="006A27BA" w:rsidRPr="00E4489E">
        <w:t>'</w:t>
      </w:r>
      <w:r w:rsidR="00D23349" w:rsidRPr="00E4489E">
        <w:t>utilità dell</w:t>
      </w:r>
      <w:r w:rsidR="006A27BA" w:rsidRPr="00E4489E">
        <w:t>'</w:t>
      </w:r>
      <w:r w:rsidR="00D23349" w:rsidRPr="00E4489E">
        <w:t>iniziativa della Commissione appa</w:t>
      </w:r>
      <w:r w:rsidR="006A27BA" w:rsidRPr="00E4489E">
        <w:t>iono</w:t>
      </w:r>
      <w:r w:rsidR="00D23349" w:rsidRPr="00E4489E">
        <w:t xml:space="preserve"> più evident</w:t>
      </w:r>
      <w:r w:rsidR="006A27BA" w:rsidRPr="00E4489E">
        <w:t>i</w:t>
      </w:r>
      <w:r w:rsidR="00D23349" w:rsidRPr="00E4489E">
        <w:t xml:space="preserve"> se collocat</w:t>
      </w:r>
      <w:r w:rsidR="006A27BA" w:rsidRPr="00E4489E">
        <w:t>e</w:t>
      </w:r>
      <w:r w:rsidR="00D23349" w:rsidRPr="00E4489E">
        <w:t xml:space="preserve"> nella prospettiva di un quadro di modifiche complessivo. </w:t>
      </w:r>
    </w:p>
    <w:p w14:paraId="67D28636" w14:textId="77777777" w:rsidR="00DF7E95" w:rsidRPr="00E4489E" w:rsidRDefault="00DF7E95"/>
    <w:p w14:paraId="79EB8468" w14:textId="26EAB6A5" w:rsidR="0070667F" w:rsidRPr="00E4489E" w:rsidRDefault="009A25DC" w:rsidP="006E4C91">
      <w:pPr>
        <w:pStyle w:val="Titolo2"/>
        <w:ind w:left="567" w:hanging="567"/>
      </w:pPr>
      <w:r w:rsidRPr="00E4489E">
        <w:t xml:space="preserve">Le </w:t>
      </w:r>
      <w:r w:rsidR="00CA0268" w:rsidRPr="00E4489E">
        <w:t xml:space="preserve">misure di semplificazione degli oneri informativi </w:t>
      </w:r>
      <w:r w:rsidR="00F95AD8" w:rsidRPr="00E4489E">
        <w:t xml:space="preserve">stabilite dalla </w:t>
      </w:r>
      <w:r w:rsidRPr="00E4489E">
        <w:t>d</w:t>
      </w:r>
      <w:r w:rsidR="00DF7E95" w:rsidRPr="00E4489E">
        <w:t>irettiva MiFID</w:t>
      </w:r>
      <w:r w:rsidR="00E23654" w:rsidRPr="00E4489E">
        <w:t xml:space="preserve"> </w:t>
      </w:r>
      <w:r w:rsidR="00DF7E95" w:rsidRPr="00E4489E">
        <w:t>II erano già programmate</w:t>
      </w:r>
      <w:r w:rsidR="003A0B86" w:rsidRPr="00E4489E">
        <w:t xml:space="preserve"> </w:t>
      </w:r>
      <w:r w:rsidR="00DF7E95" w:rsidRPr="00E4489E">
        <w:t xml:space="preserve">per il 2021 e il 2022, tant'è che la Commissione aveva già </w:t>
      </w:r>
      <w:r w:rsidR="0017714E" w:rsidRPr="00E4489E">
        <w:t>condotto</w:t>
      </w:r>
      <w:r w:rsidR="00DF7E95" w:rsidRPr="00E4489E">
        <w:t xml:space="preserve"> una consultazione </w:t>
      </w:r>
      <w:r w:rsidR="0017714E" w:rsidRPr="00E4489E">
        <w:t xml:space="preserve">pubblica </w:t>
      </w:r>
      <w:r w:rsidR="00DF7E95" w:rsidRPr="00E4489E">
        <w:t xml:space="preserve">a questo fine. </w:t>
      </w:r>
      <w:r w:rsidR="00CA0268" w:rsidRPr="00E4489E">
        <w:t>Il CESE ritiene</w:t>
      </w:r>
      <w:r w:rsidR="00DF7E95" w:rsidRPr="00E4489E">
        <w:t xml:space="preserve"> opportuna l'anticipazione di </w:t>
      </w:r>
      <w:r w:rsidR="00CA0268" w:rsidRPr="00E4489E">
        <w:t>tali</w:t>
      </w:r>
      <w:r w:rsidR="00DF7E95" w:rsidRPr="00E4489E">
        <w:t xml:space="preserve"> modifiche </w:t>
      </w:r>
      <w:r w:rsidR="00CA0268" w:rsidRPr="00E4489E">
        <w:t>al fine di ridurre rapidamente, in una fase critica per l</w:t>
      </w:r>
      <w:r w:rsidRPr="00E4489E">
        <w:t>'</w:t>
      </w:r>
      <w:r w:rsidR="00CA0268" w:rsidRPr="00E4489E">
        <w:t xml:space="preserve">economia europea, i costi </w:t>
      </w:r>
      <w:r w:rsidR="00DF7E95" w:rsidRPr="00E4489E">
        <w:t xml:space="preserve">di </w:t>
      </w:r>
      <w:r w:rsidR="00DF7E95" w:rsidRPr="00E4489E">
        <w:rPr>
          <w:i/>
        </w:rPr>
        <w:t>compliance</w:t>
      </w:r>
      <w:r w:rsidR="00DF7E95" w:rsidRPr="00E4489E">
        <w:t xml:space="preserve"> legati all</w:t>
      </w:r>
      <w:r w:rsidRPr="00E4489E">
        <w:t>'</w:t>
      </w:r>
      <w:r w:rsidR="00DF7E95" w:rsidRPr="00E4489E">
        <w:t>attuazione delle regole M</w:t>
      </w:r>
      <w:r w:rsidR="00E23654" w:rsidRPr="00E4489E">
        <w:t>i</w:t>
      </w:r>
      <w:r w:rsidR="00DF7E95" w:rsidRPr="00E4489E">
        <w:t xml:space="preserve">FID II. </w:t>
      </w:r>
    </w:p>
    <w:p w14:paraId="46511A0E" w14:textId="77777777" w:rsidR="0070667F" w:rsidRPr="00E4489E" w:rsidRDefault="0070667F">
      <w:pPr>
        <w:pStyle w:val="Titolo2"/>
        <w:numPr>
          <w:ilvl w:val="0"/>
          <w:numId w:val="0"/>
        </w:numPr>
      </w:pPr>
    </w:p>
    <w:p w14:paraId="502F05EA" w14:textId="1802DA58" w:rsidR="00522A8F" w:rsidRPr="00E4489E" w:rsidRDefault="006E177D" w:rsidP="006E4C91">
      <w:pPr>
        <w:pStyle w:val="Titolo2"/>
        <w:ind w:left="567" w:hanging="567"/>
      </w:pPr>
      <w:r w:rsidRPr="00E4489E">
        <w:t xml:space="preserve">Le modifiche proposte al </w:t>
      </w:r>
      <w:r w:rsidR="0070667F" w:rsidRPr="00E4489E">
        <w:t xml:space="preserve">regolamento (UE) 2017/1129 </w:t>
      </w:r>
      <w:r w:rsidR="0017714E" w:rsidRPr="00E4489E">
        <w:t>sui prospetti</w:t>
      </w:r>
      <w:r w:rsidR="00CA0268" w:rsidRPr="00E4489E">
        <w:t xml:space="preserve"> attraverso </w:t>
      </w:r>
      <w:r w:rsidR="003A0B86" w:rsidRPr="00E4489E">
        <w:t>la promozione</w:t>
      </w:r>
      <w:r w:rsidR="00CA0268" w:rsidRPr="00E4489E">
        <w:t xml:space="preserve"> di un</w:t>
      </w:r>
      <w:r w:rsidR="0070667F" w:rsidRPr="00E4489E">
        <w:t xml:space="preserve"> "</w:t>
      </w:r>
      <w:r w:rsidRPr="00E4489E">
        <w:t>P</w:t>
      </w:r>
      <w:r w:rsidR="0070667F" w:rsidRPr="00E4489E">
        <w:t>rospetto UE della ripresa"</w:t>
      </w:r>
      <w:r w:rsidR="00CA0268" w:rsidRPr="00E4489E">
        <w:t xml:space="preserve"> (</w:t>
      </w:r>
      <w:r w:rsidR="00CA0268" w:rsidRPr="00E4489E">
        <w:rPr>
          <w:i/>
        </w:rPr>
        <w:t xml:space="preserve">EU Recovery </w:t>
      </w:r>
      <w:proofErr w:type="spellStart"/>
      <w:r w:rsidRPr="00E4489E">
        <w:rPr>
          <w:i/>
        </w:rPr>
        <w:t>P</w:t>
      </w:r>
      <w:r w:rsidR="00CA0268" w:rsidRPr="00E4489E">
        <w:rPr>
          <w:i/>
        </w:rPr>
        <w:t>rospectus</w:t>
      </w:r>
      <w:proofErr w:type="spellEnd"/>
      <w:r w:rsidR="00CA0268" w:rsidRPr="00E4489E">
        <w:t xml:space="preserve">) e </w:t>
      </w:r>
      <w:r w:rsidRPr="00E4489E">
        <w:t xml:space="preserve">gli </w:t>
      </w:r>
      <w:r w:rsidR="0070667F" w:rsidRPr="00E4489E">
        <w:t xml:space="preserve">aggiustamenti mirati per gli intermediari finanziari, </w:t>
      </w:r>
      <w:r w:rsidRPr="00E4489E">
        <w:t>contenut</w:t>
      </w:r>
      <w:r w:rsidR="007A47E8" w:rsidRPr="00E4489E">
        <w:t>i</w:t>
      </w:r>
      <w:r w:rsidRPr="00E4489E">
        <w:t xml:space="preserve"> nel pacchetto predisposto dalla </w:t>
      </w:r>
      <w:r w:rsidR="0070667F" w:rsidRPr="00E4489E">
        <w:t xml:space="preserve">Commissione </w:t>
      </w:r>
      <w:r w:rsidR="007A47E8" w:rsidRPr="00E4489E">
        <w:t>e</w:t>
      </w:r>
      <w:r w:rsidRPr="00E4489E">
        <w:t>uropea</w:t>
      </w:r>
      <w:r w:rsidR="008140D7" w:rsidRPr="00E4489E">
        <w:t>,</w:t>
      </w:r>
      <w:r w:rsidRPr="00E4489E">
        <w:t xml:space="preserve"> </w:t>
      </w:r>
      <w:r w:rsidR="008140D7" w:rsidRPr="00E4489E">
        <w:t xml:space="preserve">introducono </w:t>
      </w:r>
      <w:r w:rsidR="0070667F" w:rsidRPr="00E4489E">
        <w:t xml:space="preserve">semplificazioni volte </w:t>
      </w:r>
      <w:r w:rsidR="00CA0268" w:rsidRPr="00E4489E">
        <w:t xml:space="preserve">a </w:t>
      </w:r>
      <w:r w:rsidR="0070667F" w:rsidRPr="00E4489E">
        <w:t xml:space="preserve">ridurre </w:t>
      </w:r>
      <w:r w:rsidR="00CA0268" w:rsidRPr="00E4489E">
        <w:t xml:space="preserve">a 30 pagine </w:t>
      </w:r>
      <w:r w:rsidR="0070667F" w:rsidRPr="00E4489E">
        <w:t>la lunghezza dei prospetti informativi, che attualmente possono co</w:t>
      </w:r>
      <w:r w:rsidR="00CA0268" w:rsidRPr="00E4489E">
        <w:t>ntare anche più di 100 pagine</w:t>
      </w:r>
      <w:r w:rsidR="0070667F" w:rsidRPr="00E4489E">
        <w:t>.</w:t>
      </w:r>
    </w:p>
    <w:p w14:paraId="7D6C16D5" w14:textId="77777777" w:rsidR="00522A8F" w:rsidRPr="00E4489E" w:rsidRDefault="00522A8F" w:rsidP="00CE1DEB">
      <w:pPr>
        <w:pStyle w:val="Titolo2"/>
        <w:numPr>
          <w:ilvl w:val="0"/>
          <w:numId w:val="0"/>
        </w:numPr>
        <w:ind w:left="567"/>
      </w:pPr>
    </w:p>
    <w:p w14:paraId="51E573BE" w14:textId="6A3ABBFC" w:rsidR="00522A8F" w:rsidRPr="00E4489E" w:rsidRDefault="00522A8F" w:rsidP="006E4C91">
      <w:pPr>
        <w:pStyle w:val="Titolo2"/>
        <w:keepNext/>
        <w:keepLines/>
        <w:ind w:left="567" w:hanging="567"/>
      </w:pPr>
      <w:r w:rsidRPr="00E4489E">
        <w:t xml:space="preserve">Con le modifiche al regolamento sulle cartolarizzazioni e CRR la Commissione intende </w:t>
      </w:r>
      <w:r w:rsidR="00CA0268" w:rsidRPr="00E4489E">
        <w:t xml:space="preserve">invece </w:t>
      </w:r>
      <w:r w:rsidRPr="00E4489E">
        <w:t>migliorare gli strumenti a disposizione del sistema bancario dell'Unione europea al fine di migliorar</w:t>
      </w:r>
      <w:r w:rsidR="0017714E" w:rsidRPr="00E4489E">
        <w:t>n</w:t>
      </w:r>
      <w:r w:rsidRPr="00E4489E">
        <w:t>e la capacità di f</w:t>
      </w:r>
      <w:r w:rsidR="00CA0268" w:rsidRPr="00E4489E">
        <w:t xml:space="preserve">inanziare l'economia reale. </w:t>
      </w:r>
      <w:r w:rsidR="006E177D" w:rsidRPr="00E4489E">
        <w:t xml:space="preserve">Queste </w:t>
      </w:r>
      <w:r w:rsidR="00CA0268" w:rsidRPr="00E4489E">
        <w:t xml:space="preserve">misure si pongono </w:t>
      </w:r>
      <w:r w:rsidRPr="00E4489E">
        <w:t>in continuità con la precedente pro</w:t>
      </w:r>
      <w:r w:rsidR="003A0B86" w:rsidRPr="00E4489E">
        <w:t>posta della Commissione europea di modifica de</w:t>
      </w:r>
      <w:r w:rsidRPr="00E4489E">
        <w:t>i regolamenti (UE) n. 575/2013 e (UE) 2019/876 in risposta alla pandemia di Covid-19.</w:t>
      </w:r>
    </w:p>
    <w:p w14:paraId="6A961E48" w14:textId="02A9D2B5" w:rsidR="00522A8F" w:rsidRPr="00E4489E" w:rsidRDefault="00522A8F" w:rsidP="006E4C91">
      <w:pPr>
        <w:pStyle w:val="Titolo2"/>
        <w:keepNext/>
        <w:keepLines/>
        <w:numPr>
          <w:ilvl w:val="0"/>
          <w:numId w:val="0"/>
        </w:numPr>
        <w:ind w:left="567"/>
      </w:pPr>
    </w:p>
    <w:p w14:paraId="723468F3" w14:textId="5C75A6A3" w:rsidR="0017714E" w:rsidRPr="00E4489E" w:rsidRDefault="00522A8F" w:rsidP="006E4C91">
      <w:pPr>
        <w:pStyle w:val="Titolo2"/>
        <w:keepNext/>
        <w:keepLines/>
        <w:ind w:left="567" w:hanging="567"/>
      </w:pPr>
      <w:r w:rsidRPr="00E4489E">
        <w:t xml:space="preserve">La </w:t>
      </w:r>
      <w:r w:rsidR="00CA0268" w:rsidRPr="00E4489E">
        <w:t>proposta della Commissione</w:t>
      </w:r>
      <w:r w:rsidR="005E507C" w:rsidRPr="00E4489E">
        <w:t>,</w:t>
      </w:r>
      <w:r w:rsidR="00CA0268" w:rsidRPr="00E4489E">
        <w:t xml:space="preserve"> </w:t>
      </w:r>
      <w:r w:rsidR="006E177D" w:rsidRPr="00E4489E">
        <w:t>focalizzata</w:t>
      </w:r>
      <w:r w:rsidRPr="00E4489E">
        <w:t xml:space="preserve"> sulla cartolarizzazione dei crediti deteriorati, </w:t>
      </w:r>
      <w:r w:rsidR="006E177D" w:rsidRPr="00E4489E">
        <w:t xml:space="preserve">vorrebbe favorire </w:t>
      </w:r>
      <w:r w:rsidR="003A0B86" w:rsidRPr="00E4489E">
        <w:t>la</w:t>
      </w:r>
      <w:r w:rsidRPr="00E4489E">
        <w:t xml:space="preserve"> possibilità di trasformare i prestiti</w:t>
      </w:r>
      <w:r w:rsidR="0017714E" w:rsidRPr="00E4489E">
        <w:t xml:space="preserve"> in sofferenza</w:t>
      </w:r>
      <w:r w:rsidRPr="00E4489E">
        <w:t xml:space="preserve"> in titoli negoziabili. La cartolarizzazione </w:t>
      </w:r>
      <w:r w:rsidR="006E177D" w:rsidRPr="00E4489E">
        <w:t xml:space="preserve">dovrebbe quindi consentire di </w:t>
      </w:r>
      <w:r w:rsidRPr="00E4489E">
        <w:t>liberare capitale bancario per ul</w:t>
      </w:r>
      <w:r w:rsidR="0017714E" w:rsidRPr="00E4489E">
        <w:t>teriori prestiti, consentendo</w:t>
      </w:r>
      <w:r w:rsidR="00CA0268" w:rsidRPr="00E4489E">
        <w:t xml:space="preserve"> </w:t>
      </w:r>
      <w:r w:rsidR="0017714E" w:rsidRPr="00E4489E">
        <w:t xml:space="preserve">di finanziare la ripresa economica </w:t>
      </w:r>
      <w:r w:rsidR="00CA0268" w:rsidRPr="00E4489E">
        <w:t xml:space="preserve">a </w:t>
      </w:r>
      <w:r w:rsidRPr="00E4489E">
        <w:t>una più ampia gamma di investitori.</w:t>
      </w:r>
      <w:r w:rsidR="0017714E" w:rsidRPr="00E4489E">
        <w:t xml:space="preserve"> </w:t>
      </w:r>
    </w:p>
    <w:p w14:paraId="6564EF60" w14:textId="77777777" w:rsidR="0017714E" w:rsidRPr="00E4489E" w:rsidRDefault="0017714E" w:rsidP="006E4C91">
      <w:pPr>
        <w:keepNext/>
        <w:keepLines/>
        <w:rPr>
          <w:highlight w:val="yellow"/>
        </w:rPr>
      </w:pPr>
    </w:p>
    <w:p w14:paraId="1273BA95" w14:textId="4293BBB5" w:rsidR="00DF7E95" w:rsidRPr="00E4489E" w:rsidRDefault="0017714E" w:rsidP="006E4C91">
      <w:pPr>
        <w:pStyle w:val="Titolo2"/>
        <w:keepNext/>
        <w:keepLines/>
        <w:ind w:left="567" w:hanging="567"/>
      </w:pPr>
      <w:r w:rsidRPr="00E4489E">
        <w:t>In termini generali, le proposte della Commissione perseguono tutte un</w:t>
      </w:r>
      <w:r w:rsidR="002D2E97" w:rsidRPr="00E4489E">
        <w:t>'</w:t>
      </w:r>
      <w:r w:rsidRPr="00E4489E">
        <w:t>effettiva semplificazione d</w:t>
      </w:r>
      <w:r w:rsidR="00103F0D" w:rsidRPr="00E4489E">
        <w:t>el</w:t>
      </w:r>
      <w:r w:rsidRPr="00E4489E">
        <w:t xml:space="preserve">la documentazione </w:t>
      </w:r>
      <w:r w:rsidR="00103F0D" w:rsidRPr="00E4489E">
        <w:t>riguardante</w:t>
      </w:r>
      <w:r w:rsidRPr="00E4489E">
        <w:t xml:space="preserve"> </w:t>
      </w:r>
      <w:r w:rsidR="00F02FB6" w:rsidRPr="00E4489E">
        <w:t xml:space="preserve">gli investimenti </w:t>
      </w:r>
      <w:r w:rsidRPr="00E4489E">
        <w:t>al fine di ridurre</w:t>
      </w:r>
      <w:r w:rsidR="00F02FB6" w:rsidRPr="00E4489E">
        <w:t xml:space="preserve"> gli oneri amministrativi, </w:t>
      </w:r>
      <w:r w:rsidRPr="00E4489E">
        <w:t xml:space="preserve">liberando così risorse </w:t>
      </w:r>
      <w:r w:rsidR="0077210F" w:rsidRPr="00E4489E">
        <w:t>da investire in</w:t>
      </w:r>
      <w:r w:rsidRPr="00E4489E">
        <w:t xml:space="preserve"> una pronta ripresa economica.</w:t>
      </w:r>
    </w:p>
    <w:p w14:paraId="4455A85C" w14:textId="77777777" w:rsidR="00011D33" w:rsidRPr="00E4489E" w:rsidRDefault="00011D33" w:rsidP="00CE1DEB"/>
    <w:p w14:paraId="2528A86A" w14:textId="463D7699" w:rsidR="00534485" w:rsidRPr="00E4489E" w:rsidRDefault="00DF7E95" w:rsidP="001C1B6D">
      <w:pPr>
        <w:pStyle w:val="Titolo1"/>
        <w:keepNext/>
        <w:keepLines/>
        <w:ind w:left="567" w:hanging="567"/>
        <w:rPr>
          <w:b/>
        </w:rPr>
      </w:pPr>
      <w:r w:rsidRPr="00E4489E">
        <w:rPr>
          <w:b/>
        </w:rPr>
        <w:t>Commenti specifici e generali</w:t>
      </w:r>
    </w:p>
    <w:p w14:paraId="24AA0435" w14:textId="77777777" w:rsidR="00534485" w:rsidRPr="00E4489E" w:rsidRDefault="00534485" w:rsidP="001C1B6D">
      <w:pPr>
        <w:keepNext/>
        <w:keepLines/>
      </w:pPr>
    </w:p>
    <w:p w14:paraId="13ED3C17" w14:textId="54F7224B" w:rsidR="00CA0268" w:rsidRPr="00E4489E" w:rsidRDefault="00CA0268" w:rsidP="003A0B86">
      <w:pPr>
        <w:pStyle w:val="Titolo2"/>
        <w:ind w:left="567" w:hanging="567"/>
      </w:pPr>
      <w:r w:rsidRPr="00E4489E">
        <w:t xml:space="preserve">Il CESE accoglie con favore le proposte della Commissione condividendone le finalità. </w:t>
      </w:r>
      <w:r w:rsidR="007D2B99" w:rsidRPr="00E4489E">
        <w:t xml:space="preserve">È </w:t>
      </w:r>
      <w:r w:rsidRPr="00E4489E">
        <w:t>infatti necessario condurre ogni sforzo regolatorio al fine di</w:t>
      </w:r>
      <w:r w:rsidR="003A0B86" w:rsidRPr="00E4489E">
        <w:t>:</w:t>
      </w:r>
      <w:r w:rsidRPr="00E4489E">
        <w:t xml:space="preserve"> i) facilitare gli investimenti nell'economia reale; ii) favorire l</w:t>
      </w:r>
      <w:r w:rsidR="007D2B99" w:rsidRPr="00E4489E">
        <w:t>'</w:t>
      </w:r>
      <w:r w:rsidRPr="00E4489E">
        <w:t>erogazione di prestiti a favore di persone e PMI</w:t>
      </w:r>
      <w:r w:rsidR="003A0B86" w:rsidRPr="00E4489E">
        <w:t>; iii) incoraggiare</w:t>
      </w:r>
      <w:r w:rsidRPr="00E4489E">
        <w:t xml:space="preserve"> la ricapitalizzazione delle imprese europee e il rafforzamento del ruolo dei mercati mobiliari rispetto all</w:t>
      </w:r>
      <w:r w:rsidR="007D2B99" w:rsidRPr="00E4489E">
        <w:t>'</w:t>
      </w:r>
      <w:r w:rsidRPr="00E4489E">
        <w:t xml:space="preserve">obiettivo </w:t>
      </w:r>
      <w:r w:rsidR="003A0B86" w:rsidRPr="00E4489E">
        <w:t xml:space="preserve">della </w:t>
      </w:r>
      <w:r w:rsidRPr="00E4489E">
        <w:t>ripresa.</w:t>
      </w:r>
    </w:p>
    <w:p w14:paraId="1E894A1F" w14:textId="77777777" w:rsidR="00CA0268" w:rsidRPr="00E4489E" w:rsidRDefault="00CA0268" w:rsidP="00CE1DEB">
      <w:pPr>
        <w:pStyle w:val="Titolo2"/>
        <w:numPr>
          <w:ilvl w:val="0"/>
          <w:numId w:val="0"/>
        </w:numPr>
        <w:ind w:left="567"/>
      </w:pPr>
    </w:p>
    <w:p w14:paraId="28B86C48" w14:textId="27EB6878" w:rsidR="003A0B86" w:rsidRPr="00E4489E" w:rsidRDefault="0070667F" w:rsidP="0070667F">
      <w:pPr>
        <w:pStyle w:val="Titolo2"/>
        <w:ind w:left="567" w:hanging="567"/>
      </w:pPr>
      <w:r w:rsidRPr="00E4489E">
        <w:t>Il CESE accoglie con favore l'intento di alleggerire alcuni oneri della regolazione finanziaria in capo soprattutto alle controparti qualificate e agli</w:t>
      </w:r>
      <w:r w:rsidR="0077210F" w:rsidRPr="00E4489E">
        <w:t xml:space="preserve"> investitori professionali. In questo senso, l</w:t>
      </w:r>
      <w:r w:rsidR="007A4F23" w:rsidRPr="00E4489E">
        <w:t>'</w:t>
      </w:r>
      <w:r w:rsidRPr="00E4489E">
        <w:t xml:space="preserve">obiettivo di semplificazione perseguito dalla Commissione è già stato accolto con favore dagli operatori del settore bancario. </w:t>
      </w:r>
    </w:p>
    <w:p w14:paraId="261FF25E" w14:textId="77777777" w:rsidR="003A0B86" w:rsidRPr="00E4489E" w:rsidRDefault="003A0B86" w:rsidP="00CE1DEB">
      <w:pPr>
        <w:pStyle w:val="Titolo2"/>
        <w:numPr>
          <w:ilvl w:val="0"/>
          <w:numId w:val="0"/>
        </w:numPr>
        <w:ind w:left="567"/>
      </w:pPr>
    </w:p>
    <w:p w14:paraId="0DDD7756" w14:textId="211B900E" w:rsidR="0070667F" w:rsidRPr="00E4489E" w:rsidRDefault="0070667F" w:rsidP="0070667F">
      <w:pPr>
        <w:pStyle w:val="Titolo2"/>
        <w:ind w:left="567" w:hanging="567"/>
      </w:pPr>
      <w:r w:rsidRPr="00E4489E">
        <w:t>Nel suo ruolo di rappresentanza anche dei consumatori e della società civile</w:t>
      </w:r>
      <w:r w:rsidR="003A0B86" w:rsidRPr="00E4489E">
        <w:t>,</w:t>
      </w:r>
      <w:r w:rsidRPr="00E4489E">
        <w:t xml:space="preserve"> il CESE </w:t>
      </w:r>
      <w:r w:rsidR="0084428F" w:rsidRPr="00E4489E">
        <w:t xml:space="preserve">apprezza la scelta di mantenere alta la soglia di regolazione orientata alla </w:t>
      </w:r>
      <w:r w:rsidRPr="00E4489E">
        <w:t>tutela</w:t>
      </w:r>
      <w:r w:rsidR="0084428F" w:rsidRPr="00E4489E">
        <w:t xml:space="preserve"> de</w:t>
      </w:r>
      <w:r w:rsidRPr="00E4489E">
        <w:t xml:space="preserve">i risparmiatori e </w:t>
      </w:r>
      <w:r w:rsidR="00485B6A" w:rsidRPr="00E4489E">
        <w:t>de</w:t>
      </w:r>
      <w:r w:rsidRPr="00E4489E">
        <w:t>gli investitori non professionali, perseguendo un corretto bilanciamento tra esigenze differenti.</w:t>
      </w:r>
      <w:r w:rsidR="003A0B86" w:rsidRPr="00E4489E">
        <w:t xml:space="preserve"> </w:t>
      </w:r>
      <w:r w:rsidR="006E635A" w:rsidRPr="00E4489E">
        <w:t xml:space="preserve">È </w:t>
      </w:r>
      <w:r w:rsidR="003A0B86" w:rsidRPr="00E4489E">
        <w:t>infatti evidente che la semplificazione regolato</w:t>
      </w:r>
      <w:r w:rsidR="00F02FB6" w:rsidRPr="00E4489E">
        <w:t>ria non deve ridurre le tutele a</w:t>
      </w:r>
      <w:r w:rsidR="003A0B86" w:rsidRPr="00E4489E">
        <w:t xml:space="preserve"> favore dei risparmiatori e degli investitori meno esperti, che vanno puntualmente distinti dagli operatori professionali e dalle controparti qualificate.</w:t>
      </w:r>
    </w:p>
    <w:p w14:paraId="0437D206" w14:textId="77777777" w:rsidR="0070667F" w:rsidRPr="00E4489E" w:rsidRDefault="0070667F" w:rsidP="0070667F">
      <w:pPr>
        <w:ind w:left="567" w:hanging="567"/>
      </w:pPr>
    </w:p>
    <w:p w14:paraId="383D0D0E" w14:textId="725B1CB6" w:rsidR="0070667F" w:rsidRPr="00E4489E" w:rsidRDefault="0070667F" w:rsidP="00CE1DEB">
      <w:pPr>
        <w:pStyle w:val="Titolo2"/>
        <w:ind w:left="567" w:hanging="567"/>
      </w:pPr>
      <w:r w:rsidRPr="00E4489E">
        <w:t xml:space="preserve">In generale il CESE auspica, come evidenziato da ultimo nel </w:t>
      </w:r>
      <w:r w:rsidR="00D341EB" w:rsidRPr="00E4489E">
        <w:t>r</w:t>
      </w:r>
      <w:r w:rsidRPr="00E4489E">
        <w:t>eport prodotto dall'</w:t>
      </w:r>
      <w:r w:rsidRPr="00E4489E">
        <w:rPr>
          <w:i/>
        </w:rPr>
        <w:t>High Level Forum</w:t>
      </w:r>
      <w:r w:rsidRPr="00E4489E">
        <w:t xml:space="preserve"> sulla CMU, </w:t>
      </w:r>
      <w:r w:rsidR="003A0B86" w:rsidRPr="00E4489E">
        <w:t>un</w:t>
      </w:r>
      <w:r w:rsidR="00D341EB" w:rsidRPr="00E4489E">
        <w:t>'</w:t>
      </w:r>
      <w:r w:rsidR="003A0B86" w:rsidRPr="00E4489E">
        <w:t xml:space="preserve">ampia </w:t>
      </w:r>
      <w:r w:rsidRPr="00E4489E">
        <w:t xml:space="preserve">revisione delle norme </w:t>
      </w:r>
      <w:r w:rsidR="003A0B86" w:rsidRPr="00E4489E">
        <w:t>UE</w:t>
      </w:r>
      <w:r w:rsidRPr="00E4489E">
        <w:t xml:space="preserve"> in ambito </w:t>
      </w:r>
      <w:r w:rsidR="003A0B86" w:rsidRPr="00E4489E">
        <w:t xml:space="preserve">bancario e </w:t>
      </w:r>
      <w:r w:rsidRPr="00E4489E">
        <w:t>finanziario</w:t>
      </w:r>
      <w:r w:rsidR="0077210F" w:rsidRPr="00E4489E">
        <w:t xml:space="preserve"> </w:t>
      </w:r>
      <w:r w:rsidRPr="00E4489E">
        <w:t xml:space="preserve">per eliminare le sovrapposizioni e le discrepanze rinvenibili nella </w:t>
      </w:r>
      <w:r w:rsidR="003A0B86" w:rsidRPr="00E4489E">
        <w:t>disciplina di settore</w:t>
      </w:r>
      <w:r w:rsidRPr="00E4489E">
        <w:t xml:space="preserve"> e, soprattutto, per sostituire quelle disposizioni </w:t>
      </w:r>
      <w:r w:rsidR="00D341EB" w:rsidRPr="00E4489E">
        <w:t>(</w:t>
      </w:r>
      <w:r w:rsidRPr="00E4489E">
        <w:t>concepite a presidio de</w:t>
      </w:r>
      <w:r w:rsidR="003A0B86" w:rsidRPr="00E4489E">
        <w:t>lla sicurezza dei risparmiatori</w:t>
      </w:r>
      <w:r w:rsidR="00D341EB" w:rsidRPr="00E4489E">
        <w:t xml:space="preserve">) </w:t>
      </w:r>
      <w:r w:rsidR="0068420E" w:rsidRPr="00E4489E">
        <w:t xml:space="preserve">che </w:t>
      </w:r>
      <w:r w:rsidRPr="00E4489E">
        <w:t>si sono dimostrate nel tempo inefficaci, costose e penalizzanti sia per gl</w:t>
      </w:r>
      <w:r w:rsidR="003A0B86" w:rsidRPr="00E4489E">
        <w:t>i operatori finanziari che per gli investitori</w:t>
      </w:r>
      <w:r w:rsidRPr="00E4489E">
        <w:t>.</w:t>
      </w:r>
    </w:p>
    <w:p w14:paraId="2B4C3BD3" w14:textId="77777777" w:rsidR="00534485" w:rsidRPr="00E4489E" w:rsidRDefault="00534485" w:rsidP="00CE1DEB"/>
    <w:p w14:paraId="269FE565" w14:textId="6FCA412C" w:rsidR="00534485" w:rsidRPr="00E4489E" w:rsidRDefault="00735F7F" w:rsidP="006779D9">
      <w:pPr>
        <w:pStyle w:val="Titolo2"/>
        <w:ind w:left="567" w:hanging="567"/>
      </w:pPr>
      <w:r w:rsidRPr="00E4489E">
        <w:t xml:space="preserve">Il CESE </w:t>
      </w:r>
      <w:r w:rsidR="005E5041" w:rsidRPr="00E4489E">
        <w:t>supporta</w:t>
      </w:r>
      <w:r w:rsidR="0070667F" w:rsidRPr="00E4489E">
        <w:t xml:space="preserve"> inoltre</w:t>
      </w:r>
      <w:r w:rsidRPr="00E4489E">
        <w:t xml:space="preserve"> l</w:t>
      </w:r>
      <w:r w:rsidR="00D341EB" w:rsidRPr="00E4489E">
        <w:t>'</w:t>
      </w:r>
      <w:r w:rsidRPr="00E4489E">
        <w:t xml:space="preserve">obiettivo della Commissione di ridurre i costi di </w:t>
      </w:r>
      <w:r w:rsidRPr="00E4489E">
        <w:rPr>
          <w:i/>
        </w:rPr>
        <w:t>compliance</w:t>
      </w:r>
      <w:r w:rsidRPr="00E4489E">
        <w:t xml:space="preserve">, così come lo spreco di risorse </w:t>
      </w:r>
      <w:r w:rsidR="0056176F" w:rsidRPr="00E4489E">
        <w:t>materiali, riducendo</w:t>
      </w:r>
      <w:r w:rsidR="00534485" w:rsidRPr="00E4489E">
        <w:t xml:space="preserve"> sensibilmente la produzione di documentazione cartacea </w:t>
      </w:r>
      <w:r w:rsidR="005E5041" w:rsidRPr="00E4489E">
        <w:t xml:space="preserve">in favore delle </w:t>
      </w:r>
      <w:r w:rsidR="00534485" w:rsidRPr="00E4489E">
        <w:t>forme di interazione digitale</w:t>
      </w:r>
      <w:r w:rsidRPr="00E4489E">
        <w:t>.</w:t>
      </w:r>
      <w:r w:rsidR="00CD24B0" w:rsidRPr="00E4489E">
        <w:t xml:space="preserve"> Gli strumenti digitali</w:t>
      </w:r>
      <w:r w:rsidRPr="00E4489E">
        <w:t xml:space="preserve"> </w:t>
      </w:r>
      <w:r w:rsidR="00CD24B0" w:rsidRPr="00E4489E">
        <w:t>sono</w:t>
      </w:r>
      <w:r w:rsidRPr="00E4489E">
        <w:t xml:space="preserve"> infatti in grado </w:t>
      </w:r>
      <w:r w:rsidRPr="00E4489E">
        <w:lastRenderedPageBreak/>
        <w:t xml:space="preserve">di </w:t>
      </w:r>
      <w:r w:rsidR="005E5041" w:rsidRPr="00E4489E">
        <w:t>garantire</w:t>
      </w:r>
      <w:r w:rsidRPr="00E4489E">
        <w:t xml:space="preserve"> </w:t>
      </w:r>
      <w:r w:rsidR="00534485" w:rsidRPr="00E4489E">
        <w:t>un</w:t>
      </w:r>
      <w:r w:rsidR="00D341EB" w:rsidRPr="00E4489E">
        <w:t>'</w:t>
      </w:r>
      <w:r w:rsidRPr="00E4489E">
        <w:t>interazione</w:t>
      </w:r>
      <w:r w:rsidR="005E5041" w:rsidRPr="00E4489E">
        <w:t xml:space="preserve"> fra</w:t>
      </w:r>
      <w:r w:rsidR="00534485" w:rsidRPr="00E4489E">
        <w:t xml:space="preserve"> operatori e clienti</w:t>
      </w:r>
      <w:r w:rsidR="005E5041" w:rsidRPr="00E4489E">
        <w:t xml:space="preserve"> più rapida e più certa, rendendo la docum</w:t>
      </w:r>
      <w:r w:rsidR="00CD24B0" w:rsidRPr="00E4489E">
        <w:t>enta</w:t>
      </w:r>
      <w:r w:rsidR="005E5041" w:rsidRPr="00E4489E">
        <w:t>z</w:t>
      </w:r>
      <w:r w:rsidR="00CD24B0" w:rsidRPr="00E4489E">
        <w:t>i</w:t>
      </w:r>
      <w:r w:rsidR="005E5041" w:rsidRPr="00E4489E">
        <w:t xml:space="preserve">one meglio conservabile nel tempo e garantendo una migliore </w:t>
      </w:r>
      <w:r w:rsidR="00534485" w:rsidRPr="00E4489E">
        <w:t xml:space="preserve">sostenibilità ambientale. </w:t>
      </w:r>
    </w:p>
    <w:p w14:paraId="5F302211" w14:textId="77777777" w:rsidR="00534485" w:rsidRPr="00E4489E" w:rsidRDefault="00534485" w:rsidP="006779D9">
      <w:pPr>
        <w:ind w:left="567" w:hanging="567"/>
      </w:pPr>
    </w:p>
    <w:p w14:paraId="5497BFDD" w14:textId="439284A3" w:rsidR="00EF443B" w:rsidRPr="00E4489E" w:rsidRDefault="00D341EB" w:rsidP="006779D9">
      <w:pPr>
        <w:pStyle w:val="Titolo2"/>
        <w:ind w:left="567" w:hanging="567"/>
      </w:pPr>
      <w:r w:rsidRPr="00E4489E">
        <w:t xml:space="preserve">È </w:t>
      </w:r>
      <w:r w:rsidR="005E5041" w:rsidRPr="00E4489E">
        <w:t>parimenti</w:t>
      </w:r>
      <w:r w:rsidR="0069602E" w:rsidRPr="00E4489E">
        <w:t xml:space="preserve"> condivisa</w:t>
      </w:r>
      <w:r w:rsidR="005E5041" w:rsidRPr="00E4489E">
        <w:t xml:space="preserve"> </w:t>
      </w:r>
      <w:r w:rsidR="00534485" w:rsidRPr="00E4489E">
        <w:t>la semplificazione delle informazioni su</w:t>
      </w:r>
      <w:r w:rsidR="005E5041" w:rsidRPr="00E4489E">
        <w:t>i</w:t>
      </w:r>
      <w:r w:rsidR="00534485" w:rsidRPr="00E4489E">
        <w:t xml:space="preserve"> costi e </w:t>
      </w:r>
      <w:r w:rsidR="00CD24B0" w:rsidRPr="00E4489E">
        <w:t>su</w:t>
      </w:r>
      <w:r w:rsidR="005E5041" w:rsidRPr="00E4489E">
        <w:t xml:space="preserve">gli </w:t>
      </w:r>
      <w:r w:rsidR="00534485" w:rsidRPr="00E4489E">
        <w:t>oneri accessori agli investimenti</w:t>
      </w:r>
      <w:r w:rsidR="00CD24B0" w:rsidRPr="00E4489E">
        <w:t xml:space="preserve">, </w:t>
      </w:r>
      <w:r w:rsidR="0069602E" w:rsidRPr="00E4489E">
        <w:t xml:space="preserve">che distingue diversi livelli di obbligo informativo a seconda che le controparti siano </w:t>
      </w:r>
      <w:r w:rsidR="00CD24B0" w:rsidRPr="00E4489E">
        <w:t xml:space="preserve">qualificate </w:t>
      </w:r>
      <w:r w:rsidR="0069602E" w:rsidRPr="00E4489E">
        <w:t>o meno. Anche</w:t>
      </w:r>
      <w:r w:rsidR="005E5041" w:rsidRPr="00E4489E">
        <w:t xml:space="preserve"> a questo puntuale e specifico riguardo</w:t>
      </w:r>
      <w:r w:rsidR="00CD24B0" w:rsidRPr="00E4489E">
        <w:t>,</w:t>
      </w:r>
      <w:r w:rsidR="005E5041" w:rsidRPr="00E4489E">
        <w:t xml:space="preserve"> è necessario perseguire un corretto bilanciamento tra le esigenze di semplificazione e quelle di adeguata </w:t>
      </w:r>
      <w:r w:rsidR="00534485" w:rsidRPr="00E4489E">
        <w:t xml:space="preserve">protezione dei risparmiatori e degli investitori non professionali. </w:t>
      </w:r>
    </w:p>
    <w:p w14:paraId="5CA86B62" w14:textId="77777777" w:rsidR="00EF443B" w:rsidRPr="00E4489E" w:rsidRDefault="00EF443B" w:rsidP="00CE1DEB">
      <w:pPr>
        <w:pStyle w:val="Titolo2"/>
        <w:numPr>
          <w:ilvl w:val="0"/>
          <w:numId w:val="0"/>
        </w:numPr>
        <w:ind w:left="567"/>
      </w:pPr>
    </w:p>
    <w:p w14:paraId="1FBB5919" w14:textId="128E2B99" w:rsidR="00706C88" w:rsidRPr="00E4489E" w:rsidRDefault="00534485">
      <w:pPr>
        <w:pStyle w:val="Titolo2"/>
        <w:ind w:left="567" w:hanging="567"/>
      </w:pPr>
      <w:r w:rsidRPr="00E4489E">
        <w:t xml:space="preserve">Tra gli aspetti più </w:t>
      </w:r>
      <w:r w:rsidR="0069602E" w:rsidRPr="00E4489E">
        <w:t>rilevanti della proposta modificativa di</w:t>
      </w:r>
      <w:r w:rsidR="009314CF" w:rsidRPr="00E4489E">
        <w:t xml:space="preserve"> MiFID</w:t>
      </w:r>
      <w:r w:rsidR="00E23654" w:rsidRPr="00E4489E">
        <w:t xml:space="preserve"> </w:t>
      </w:r>
      <w:r w:rsidRPr="00E4489E">
        <w:t xml:space="preserve">II </w:t>
      </w:r>
      <w:r w:rsidR="0069602E" w:rsidRPr="00E4489E">
        <w:t xml:space="preserve">il </w:t>
      </w:r>
      <w:r w:rsidR="0056176F" w:rsidRPr="00E4489E">
        <w:t>CESE sottolinea</w:t>
      </w:r>
      <w:r w:rsidR="0069602E" w:rsidRPr="00E4489E">
        <w:t xml:space="preserve"> </w:t>
      </w:r>
      <w:r w:rsidRPr="00E4489E">
        <w:t xml:space="preserve">quelli relativi ai limiti e alle coperture </w:t>
      </w:r>
      <w:r w:rsidR="0056176F" w:rsidRPr="00E4489E">
        <w:t>previste per</w:t>
      </w:r>
      <w:r w:rsidRPr="00E4489E">
        <w:t xml:space="preserve"> gli investimenti in </w:t>
      </w:r>
      <w:r w:rsidR="00037F34" w:rsidRPr="00E4489E">
        <w:t xml:space="preserve">strumenti finanziari </w:t>
      </w:r>
      <w:r w:rsidRPr="00E4489E">
        <w:t>derivati in campo energetico</w:t>
      </w:r>
      <w:r w:rsidR="00327026" w:rsidRPr="00E4489E">
        <w:t>;</w:t>
      </w:r>
      <w:r w:rsidR="00121734" w:rsidRPr="00E4489E">
        <w:t xml:space="preserve"> </w:t>
      </w:r>
      <w:proofErr w:type="gramStart"/>
      <w:r w:rsidR="00121734" w:rsidRPr="00E4489E">
        <w:t>tuttavia</w:t>
      </w:r>
      <w:proofErr w:type="gramEnd"/>
      <w:r w:rsidR="00121734" w:rsidRPr="00E4489E">
        <w:t xml:space="preserve"> ritiene che</w:t>
      </w:r>
      <w:r w:rsidRPr="00E4489E">
        <w:t xml:space="preserve"> </w:t>
      </w:r>
      <w:r w:rsidR="0069602E" w:rsidRPr="00E4489E">
        <w:t>sarebbe utile che l'intervento per l'introduzione di esenzioni dalla copertura dei rischi (l'</w:t>
      </w:r>
      <w:r w:rsidR="0069602E" w:rsidRPr="00E4489E">
        <w:rPr>
          <w:i/>
        </w:rPr>
        <w:t xml:space="preserve">hedging </w:t>
      </w:r>
      <w:proofErr w:type="spellStart"/>
      <w:r w:rsidR="0069602E" w:rsidRPr="00E4489E">
        <w:rPr>
          <w:i/>
        </w:rPr>
        <w:t>exemption</w:t>
      </w:r>
      <w:proofErr w:type="spellEnd"/>
      <w:r w:rsidR="0069602E" w:rsidRPr="00E4489E">
        <w:t>) sui derivati energetici possa prevedere form</w:t>
      </w:r>
      <w:r w:rsidR="00CD24B0" w:rsidRPr="00E4489E">
        <w:t>e</w:t>
      </w:r>
      <w:r w:rsidR="0069602E" w:rsidRPr="00E4489E">
        <w:t xml:space="preserve"> di incentivo per gli investimenti in energie rinnovabili. </w:t>
      </w:r>
    </w:p>
    <w:p w14:paraId="53C04E8B" w14:textId="77777777" w:rsidR="00706C88" w:rsidRPr="00E4489E" w:rsidRDefault="00706C88" w:rsidP="006E4C91">
      <w:pPr>
        <w:pStyle w:val="Titolo2"/>
        <w:numPr>
          <w:ilvl w:val="0"/>
          <w:numId w:val="0"/>
        </w:numPr>
        <w:ind w:left="567" w:hanging="567"/>
      </w:pPr>
    </w:p>
    <w:p w14:paraId="0981CD37" w14:textId="491E3337" w:rsidR="00706C88" w:rsidRPr="00E4489E" w:rsidRDefault="00D63488">
      <w:pPr>
        <w:pStyle w:val="Titolo2"/>
        <w:ind w:left="567" w:hanging="567"/>
      </w:pPr>
      <w:r w:rsidRPr="00E4489E">
        <w:t>Il CESE apprezza la scelta della Commissione di confermare le regole che limitano il ricorso all</w:t>
      </w:r>
      <w:r w:rsidR="00A212F5" w:rsidRPr="00E4489E">
        <w:t>e</w:t>
      </w:r>
      <w:r w:rsidRPr="00E4489E">
        <w:t xml:space="preserve"> coperture con strumenti finanziari derivanti </w:t>
      </w:r>
      <w:r w:rsidR="00436B3E" w:rsidRPr="00E4489E">
        <w:t xml:space="preserve">da </w:t>
      </w:r>
      <w:r w:rsidRPr="00E4489E">
        <w:t>investimenti su prodotti agricoli destinati all</w:t>
      </w:r>
      <w:r w:rsidR="00436B3E" w:rsidRPr="00E4489E">
        <w:t>'</w:t>
      </w:r>
      <w:r w:rsidRPr="00E4489E">
        <w:t>alimentazione umana. Questo perché, per quanto sia importante e necessario garantire lo sviluppo di nuovi mercati favorendo investimenti anche con strumenti finanziari, le merci agricole designate come significative meritano una attenzione specifica per evitare</w:t>
      </w:r>
      <w:r w:rsidR="00EA4A5B" w:rsidRPr="00E4489E">
        <w:t>,</w:t>
      </w:r>
      <w:r w:rsidRPr="00E4489E">
        <w:t xml:space="preserve"> ad esempio</w:t>
      </w:r>
      <w:r w:rsidR="00EA4A5B" w:rsidRPr="00E4489E">
        <w:t>,</w:t>
      </w:r>
      <w:r w:rsidRPr="00E4489E">
        <w:t xml:space="preserve"> che siano premiati usi diversi da quelli alimentari.</w:t>
      </w:r>
    </w:p>
    <w:p w14:paraId="39B3A634" w14:textId="77777777" w:rsidR="00706C88" w:rsidRPr="00E4489E" w:rsidRDefault="00706C88" w:rsidP="006E4C91">
      <w:pPr>
        <w:ind w:left="567" w:hanging="567"/>
      </w:pPr>
    </w:p>
    <w:p w14:paraId="3B746B8C" w14:textId="646954A0" w:rsidR="00534485" w:rsidRPr="00E4489E" w:rsidRDefault="00534485">
      <w:pPr>
        <w:pStyle w:val="Titolo2"/>
        <w:ind w:left="567" w:hanging="567"/>
      </w:pPr>
      <w:r w:rsidRPr="00E4489E">
        <w:t>Il CESE apprezza che</w:t>
      </w:r>
      <w:r w:rsidR="00F02FB6" w:rsidRPr="00E4489E">
        <w:t xml:space="preserve"> </w:t>
      </w:r>
      <w:r w:rsidRPr="00E4489E">
        <w:t>tra le modifiche proposte vi sia la semplificazione di tutti i prospetti</w:t>
      </w:r>
      <w:r w:rsidR="009314CF" w:rsidRPr="00E4489E">
        <w:t>,</w:t>
      </w:r>
      <w:r w:rsidRPr="00E4489E">
        <w:t xml:space="preserve"> </w:t>
      </w:r>
      <w:r w:rsidR="009314CF" w:rsidRPr="00E4489E">
        <w:t>de</w:t>
      </w:r>
      <w:r w:rsidRPr="00E4489E">
        <w:t xml:space="preserve">i rapporti informativi e </w:t>
      </w:r>
      <w:r w:rsidR="009314CF" w:rsidRPr="00E4489E">
        <w:t>del</w:t>
      </w:r>
      <w:r w:rsidRPr="00E4489E">
        <w:t>le relazioni periodiche</w:t>
      </w:r>
      <w:r w:rsidR="0077210F" w:rsidRPr="00E4489E">
        <w:t xml:space="preserve">, </w:t>
      </w:r>
      <w:r w:rsidRPr="00E4489E">
        <w:t>che</w:t>
      </w:r>
      <w:r w:rsidR="0077210F" w:rsidRPr="00E4489E">
        <w:t xml:space="preserve"> potrà</w:t>
      </w:r>
      <w:r w:rsidR="00CD24B0" w:rsidRPr="00E4489E">
        <w:t xml:space="preserve"> generare </w:t>
      </w:r>
      <w:r w:rsidRPr="00E4489E">
        <w:t xml:space="preserve">risparmi necessari per promuovere investimenti </w:t>
      </w:r>
      <w:r w:rsidR="0069602E" w:rsidRPr="00E4489E">
        <w:t>alternativi</w:t>
      </w:r>
      <w:r w:rsidR="00CD24B0" w:rsidRPr="00E4489E">
        <w:t>, anche grazie a un mag</w:t>
      </w:r>
      <w:r w:rsidR="0069602E" w:rsidRPr="00E4489E">
        <w:t>g</w:t>
      </w:r>
      <w:r w:rsidR="00CD24B0" w:rsidRPr="00E4489E">
        <w:t>i</w:t>
      </w:r>
      <w:r w:rsidR="0069602E" w:rsidRPr="00E4489E">
        <w:t>ore utilizzo degli strumenti digitali.</w:t>
      </w:r>
    </w:p>
    <w:p w14:paraId="7C4EB50B" w14:textId="77777777" w:rsidR="00534485" w:rsidRPr="00E4489E" w:rsidRDefault="00534485" w:rsidP="006779D9">
      <w:pPr>
        <w:ind w:left="567" w:hanging="567"/>
      </w:pPr>
    </w:p>
    <w:p w14:paraId="7284695E" w14:textId="2A989A12" w:rsidR="00534485" w:rsidRPr="00E4489E" w:rsidRDefault="0069602E" w:rsidP="006779D9">
      <w:pPr>
        <w:pStyle w:val="Titolo2"/>
        <w:ind w:left="567" w:hanging="567"/>
      </w:pPr>
      <w:r w:rsidRPr="00E4489E">
        <w:t>La riduzione della lunghezza dei prospetti informativi appare ugualmente positiva</w:t>
      </w:r>
      <w:r w:rsidR="00CD24B0" w:rsidRPr="00E4489E">
        <w:t>,</w:t>
      </w:r>
      <w:r w:rsidRPr="00E4489E">
        <w:t xml:space="preserve"> nella misura in cui riduce il costo di </w:t>
      </w:r>
      <w:r w:rsidRPr="00E4489E">
        <w:rPr>
          <w:i/>
        </w:rPr>
        <w:t>compliance</w:t>
      </w:r>
      <w:r w:rsidRPr="00E4489E">
        <w:t xml:space="preserve"> rispetto a documenti</w:t>
      </w:r>
      <w:r w:rsidR="0084619A" w:rsidRPr="00E4489E">
        <w:t xml:space="preserve"> che</w:t>
      </w:r>
      <w:r w:rsidR="00CD24B0" w:rsidRPr="00E4489E">
        <w:t xml:space="preserve">, nella prassi, </w:t>
      </w:r>
      <w:r w:rsidR="0084619A" w:rsidRPr="00E4489E">
        <w:t>risultavano spesso troppo lunghi e di difficile comprensione per i risparmiatori meno esp</w:t>
      </w:r>
      <w:r w:rsidR="00CD24B0" w:rsidRPr="00E4489E">
        <w:t>erti. Il</w:t>
      </w:r>
      <w:r w:rsidR="0084619A" w:rsidRPr="00E4489E">
        <w:t xml:space="preserve"> CESE auspica quindi che si raggiunga una </w:t>
      </w:r>
      <w:r w:rsidR="00CD24B0" w:rsidRPr="00E4489E">
        <w:t xml:space="preserve">duplice semplificazione, </w:t>
      </w:r>
      <w:r w:rsidR="0084619A" w:rsidRPr="00E4489E">
        <w:t>sia per quanto riguard</w:t>
      </w:r>
      <w:r w:rsidR="00932237" w:rsidRPr="00E4489E">
        <w:t>a</w:t>
      </w:r>
      <w:r w:rsidR="0084619A" w:rsidRPr="00E4489E">
        <w:t xml:space="preserve"> le risorse </w:t>
      </w:r>
      <w:r w:rsidR="00CD24B0" w:rsidRPr="00E4489E">
        <w:t xml:space="preserve">materiali </w:t>
      </w:r>
      <w:r w:rsidR="0084619A" w:rsidRPr="00E4489E">
        <w:t>devol</w:t>
      </w:r>
      <w:r w:rsidR="00CD24B0" w:rsidRPr="00E4489E">
        <w:t xml:space="preserve">ute agli oneri informativi </w:t>
      </w:r>
      <w:r w:rsidR="00932237" w:rsidRPr="00E4489E">
        <w:t>sia</w:t>
      </w:r>
      <w:r w:rsidR="00CD24B0" w:rsidRPr="00E4489E">
        <w:t xml:space="preserve">, </w:t>
      </w:r>
      <w:r w:rsidR="0084619A" w:rsidRPr="00E4489E">
        <w:t>soprattutto</w:t>
      </w:r>
      <w:r w:rsidR="00CD24B0" w:rsidRPr="00E4489E">
        <w:t>,</w:t>
      </w:r>
      <w:r w:rsidR="0084619A" w:rsidRPr="00E4489E">
        <w:t xml:space="preserve"> per quanto riguarda la comunicazione delle informazioni rilevanti ai risparmiatori. </w:t>
      </w:r>
    </w:p>
    <w:p w14:paraId="5CCB3D73" w14:textId="77777777" w:rsidR="00534485" w:rsidRPr="00E4489E" w:rsidRDefault="00534485" w:rsidP="006779D9">
      <w:pPr>
        <w:ind w:left="567" w:hanging="567"/>
      </w:pPr>
    </w:p>
    <w:p w14:paraId="530FCFAF" w14:textId="77777777" w:rsidR="00706C88" w:rsidRPr="00E4489E" w:rsidRDefault="0084619A" w:rsidP="006E4C91">
      <w:pPr>
        <w:pStyle w:val="Titolo2"/>
        <w:ind w:left="567" w:hanging="567"/>
      </w:pPr>
      <w:r w:rsidRPr="00E4489E">
        <w:t xml:space="preserve">Una complessiva semplificazione di settore, ben </w:t>
      </w:r>
      <w:r w:rsidR="0077210F" w:rsidRPr="00E4489E">
        <w:t>sintetizzata</w:t>
      </w:r>
      <w:r w:rsidRPr="00E4489E">
        <w:t xml:space="preserve"> da</w:t>
      </w:r>
      <w:r w:rsidR="00CD24B0" w:rsidRPr="00E4489E">
        <w:t xml:space="preserve">l </w:t>
      </w:r>
      <w:r w:rsidRPr="00E4489E">
        <w:t xml:space="preserve">nuovo modello </w:t>
      </w:r>
      <w:r w:rsidR="00CD24B0" w:rsidRPr="00E4489E">
        <w:t xml:space="preserve">di </w:t>
      </w:r>
      <w:r w:rsidR="00E50F76" w:rsidRPr="00E4489E">
        <w:t>"</w:t>
      </w:r>
      <w:r w:rsidR="00CD24B0" w:rsidRPr="00E4489E">
        <w:t>prospetto UE della ripresa</w:t>
      </w:r>
      <w:r w:rsidR="00E50F76" w:rsidRPr="00E4489E">
        <w:t>"</w:t>
      </w:r>
      <w:r w:rsidRPr="00E4489E">
        <w:t>, potrebbe infatti sostenere l</w:t>
      </w:r>
      <w:r w:rsidR="00E50F76" w:rsidRPr="00E4489E">
        <w:t>'</w:t>
      </w:r>
      <w:r w:rsidRPr="00E4489E">
        <w:t xml:space="preserve">afflusso di </w:t>
      </w:r>
      <w:r w:rsidR="00534485" w:rsidRPr="00E4489E">
        <w:t xml:space="preserve">liquidità </w:t>
      </w:r>
      <w:r w:rsidRPr="00E4489E">
        <w:t xml:space="preserve">alle </w:t>
      </w:r>
      <w:r w:rsidR="00534485" w:rsidRPr="00E4489E">
        <w:t xml:space="preserve">imprese e il recupero dei livelli di capitali erosi durante </w:t>
      </w:r>
      <w:r w:rsidRPr="00E4489E">
        <w:t>la</w:t>
      </w:r>
      <w:r w:rsidR="00534485" w:rsidRPr="00E4489E">
        <w:t xml:space="preserve"> pandemia </w:t>
      </w:r>
      <w:r w:rsidR="00933DB9" w:rsidRPr="00E4489E">
        <w:t>di</w:t>
      </w:r>
      <w:r w:rsidR="00E50F76" w:rsidRPr="00E4489E">
        <w:t xml:space="preserve"> </w:t>
      </w:r>
      <w:r w:rsidR="00E85E04" w:rsidRPr="00E4489E">
        <w:t>Covid</w:t>
      </w:r>
      <w:r w:rsidR="00534485" w:rsidRPr="00E4489E">
        <w:t>-1</w:t>
      </w:r>
      <w:r w:rsidRPr="00E4489E">
        <w:t xml:space="preserve">9. Ciò favorirebbe </w:t>
      </w:r>
      <w:r w:rsidR="00534485" w:rsidRPr="00E4489E">
        <w:t>l'emissione di nuove azioni anche da parte di impres</w:t>
      </w:r>
      <w:r w:rsidR="00B6280E" w:rsidRPr="00E4489E">
        <w:t>e</w:t>
      </w:r>
      <w:r w:rsidR="00534485" w:rsidRPr="00E4489E">
        <w:t xml:space="preserve"> con piccola o media capitalizzazione</w:t>
      </w:r>
      <w:r w:rsidR="00CD24B0" w:rsidRPr="00E4489E">
        <w:t xml:space="preserve">, </w:t>
      </w:r>
      <w:r w:rsidRPr="00E4489E">
        <w:t>che avranno</w:t>
      </w:r>
      <w:r w:rsidR="00CD24B0" w:rsidRPr="00E4489E">
        <w:t xml:space="preserve"> di conseguenza</w:t>
      </w:r>
      <w:r w:rsidRPr="00E4489E">
        <w:t xml:space="preserve"> un migliore accesso ai capitali, senza per questo rinunciare alla necessaria protezione dei risparmiatori. </w:t>
      </w:r>
    </w:p>
    <w:p w14:paraId="68985B58" w14:textId="77777777" w:rsidR="0077210F" w:rsidRPr="00E4489E" w:rsidRDefault="0077210F" w:rsidP="006E4C91">
      <w:pPr>
        <w:pStyle w:val="Titolo2"/>
        <w:numPr>
          <w:ilvl w:val="0"/>
          <w:numId w:val="0"/>
        </w:numPr>
        <w:ind w:left="567"/>
      </w:pPr>
    </w:p>
    <w:p w14:paraId="706C806E" w14:textId="4CBBD30F" w:rsidR="0077210F" w:rsidRPr="00E4489E" w:rsidRDefault="0077210F" w:rsidP="00CE1DEB">
      <w:pPr>
        <w:pStyle w:val="Titolo2"/>
        <w:ind w:left="567" w:hanging="567"/>
      </w:pPr>
      <w:r w:rsidRPr="00E4489E">
        <w:t>La modifica che propone di incrementare da 75 a 150 milioni di EUR la soglia per l'esenzione dal prospetto per i titoli diversi dai titoli di capitale raccolti dalle imprese tramite gli istituti di credito</w:t>
      </w:r>
      <w:r w:rsidR="00534485" w:rsidRPr="00E4489E">
        <w:t xml:space="preserve"> appare </w:t>
      </w:r>
      <w:r w:rsidRPr="00E4489E">
        <w:t xml:space="preserve">particolarmente </w:t>
      </w:r>
      <w:r w:rsidR="00534485" w:rsidRPr="00E4489E">
        <w:t xml:space="preserve">utile a </w:t>
      </w:r>
      <w:r w:rsidR="002F1B2D" w:rsidRPr="00E4489E">
        <w:t>promuovere</w:t>
      </w:r>
      <w:r w:rsidR="00534485" w:rsidRPr="00E4489E">
        <w:t xml:space="preserve"> un ruolo attivo da </w:t>
      </w:r>
      <w:r w:rsidR="007F5D7C" w:rsidRPr="00E4489E">
        <w:t>parte delle ba</w:t>
      </w:r>
      <w:r w:rsidR="00534485" w:rsidRPr="00E4489E">
        <w:t xml:space="preserve">nche e degli istituti di credito nel favorire la ripresa. </w:t>
      </w:r>
      <w:r w:rsidRPr="00E4489E">
        <w:t xml:space="preserve">La proposta della Commissione prevede che questo </w:t>
      </w:r>
      <w:r w:rsidRPr="00E4489E">
        <w:lastRenderedPageBreak/>
        <w:t xml:space="preserve">innalzamento della soglia di esenzione dal prospetto sia temporaneo. </w:t>
      </w:r>
      <w:proofErr w:type="gramStart"/>
      <w:r w:rsidRPr="00E4489E">
        <w:t>Tuttavia</w:t>
      </w:r>
      <w:proofErr w:type="gramEnd"/>
      <w:r w:rsidRPr="00E4489E">
        <w:t xml:space="preserve"> il CESE ritiene che, laddove questa misura favorisse un</w:t>
      </w:r>
      <w:r w:rsidR="002F1B2D" w:rsidRPr="00E4489E">
        <w:t>'</w:t>
      </w:r>
      <w:r w:rsidRPr="00E4489E">
        <w:t>effettiva diversificazione delle forme di finanziamento delle imprese avvicinando le PMI al mercato di capitali, sarebbe opportuno dare continuità alla misura anche oltre il periodo della crisi.</w:t>
      </w:r>
    </w:p>
    <w:p w14:paraId="5C9CBB7E" w14:textId="77777777" w:rsidR="00D63488" w:rsidRPr="00E4489E" w:rsidRDefault="00D63488" w:rsidP="006E4C91"/>
    <w:p w14:paraId="713AC882" w14:textId="1EB4462A" w:rsidR="00534485" w:rsidRPr="00E4489E" w:rsidRDefault="00534485" w:rsidP="006779D9">
      <w:pPr>
        <w:pStyle w:val="Titolo2"/>
        <w:ind w:left="567" w:hanging="567"/>
      </w:pPr>
      <w:r w:rsidRPr="00E4489E">
        <w:t>Il CESE apprezza l</w:t>
      </w:r>
      <w:r w:rsidR="00FB21A0" w:rsidRPr="00E4489E">
        <w:t>'</w:t>
      </w:r>
      <w:r w:rsidRPr="00E4489E">
        <w:t>obiettivo di rendere più semplici le cartolarizzazioni con un trattamento prudenziale meno rigido quando</w:t>
      </w:r>
      <w:r w:rsidR="00CD24B0" w:rsidRPr="00E4489E">
        <w:t xml:space="preserve"> tali cartolarizzazioni</w:t>
      </w:r>
      <w:r w:rsidRPr="00E4489E">
        <w:t xml:space="preserve"> riguardano i crediti deteriorati, consentendo </w:t>
      </w:r>
      <w:r w:rsidR="0077210F" w:rsidRPr="00E4489E">
        <w:t xml:space="preserve">così </w:t>
      </w:r>
      <w:r w:rsidRPr="00E4489E">
        <w:t xml:space="preserve">alle banche di </w:t>
      </w:r>
      <w:r w:rsidR="00CD24B0" w:rsidRPr="00E4489E">
        <w:t xml:space="preserve">alleggerire i </w:t>
      </w:r>
      <w:r w:rsidR="003567E5" w:rsidRPr="00E4489E">
        <w:t xml:space="preserve">propri </w:t>
      </w:r>
      <w:r w:rsidR="00CD24B0" w:rsidRPr="00E4489E">
        <w:t>bilanci</w:t>
      </w:r>
      <w:r w:rsidR="0077210F" w:rsidRPr="00E4489E">
        <w:t>, con conseguente aumento del</w:t>
      </w:r>
      <w:r w:rsidRPr="00E4489E">
        <w:t>la loro capacità di prestito</w:t>
      </w:r>
      <w:r w:rsidR="003567E5" w:rsidRPr="00E4489E">
        <w:t>. T</w:t>
      </w:r>
      <w:r w:rsidRPr="00E4489E">
        <w:t>uttavia</w:t>
      </w:r>
      <w:r w:rsidR="003567E5" w:rsidRPr="00E4489E">
        <w:t xml:space="preserve">, </w:t>
      </w:r>
      <w:r w:rsidRPr="00E4489E">
        <w:t>occ</w:t>
      </w:r>
      <w:r w:rsidR="007F5D7C" w:rsidRPr="00E4489E">
        <w:t>or</w:t>
      </w:r>
      <w:r w:rsidRPr="00E4489E">
        <w:t xml:space="preserve">re fare molta attenzione affinché questa semplificazione non finisca per essere vantaggiosa </w:t>
      </w:r>
      <w:r w:rsidR="00D63488" w:rsidRPr="00E4489E">
        <w:t xml:space="preserve">solamente </w:t>
      </w:r>
      <w:r w:rsidRPr="00E4489E">
        <w:t>per le società specializzate nel trattamento di crediti deteriorati</w:t>
      </w:r>
      <w:r w:rsidR="00FB21A0" w:rsidRPr="00E4489E">
        <w:t>,</w:t>
      </w:r>
      <w:r w:rsidRPr="00E4489E">
        <w:t xml:space="preserve"> mettendo le imprese in ulteriore di</w:t>
      </w:r>
      <w:r w:rsidR="00FB21A0" w:rsidRPr="00E4489E">
        <w:t>fficoltà</w:t>
      </w:r>
      <w:r w:rsidRPr="00E4489E">
        <w:t xml:space="preserve"> </w:t>
      </w:r>
      <w:r w:rsidR="0077210F" w:rsidRPr="00E4489E">
        <w:t xml:space="preserve">qualora </w:t>
      </w:r>
      <w:r w:rsidRPr="00E4489E">
        <w:t xml:space="preserve">le banche </w:t>
      </w:r>
      <w:r w:rsidR="0077210F" w:rsidRPr="00E4489E">
        <w:t xml:space="preserve">cedessero </w:t>
      </w:r>
      <w:r w:rsidRPr="00E4489E">
        <w:t xml:space="preserve">troppo rapidamente </w:t>
      </w:r>
      <w:r w:rsidR="0077210F" w:rsidRPr="00E4489E">
        <w:t>i propri</w:t>
      </w:r>
      <w:r w:rsidRPr="00E4489E">
        <w:t xml:space="preserve"> crediti</w:t>
      </w:r>
      <w:r w:rsidR="0077210F" w:rsidRPr="00E4489E">
        <w:t xml:space="preserve"> deteriorati</w:t>
      </w:r>
      <w:r w:rsidRPr="00E4489E">
        <w:t xml:space="preserve">. </w:t>
      </w:r>
    </w:p>
    <w:p w14:paraId="772B071A" w14:textId="77777777" w:rsidR="00534485" w:rsidRPr="00E4489E" w:rsidRDefault="00534485" w:rsidP="006779D9">
      <w:pPr>
        <w:ind w:left="567" w:hanging="567"/>
      </w:pPr>
    </w:p>
    <w:p w14:paraId="0184E301" w14:textId="7E1012C2" w:rsidR="0077210F" w:rsidRPr="00E4489E" w:rsidRDefault="00534485" w:rsidP="006779D9">
      <w:pPr>
        <w:pStyle w:val="Titolo2"/>
        <w:ind w:left="567" w:hanging="567"/>
      </w:pPr>
      <w:r w:rsidRPr="00E4489E">
        <w:t xml:space="preserve">Con particolare riferimento alle proposte in materia di cartolarizzazione dei crediti </w:t>
      </w:r>
      <w:r w:rsidR="00FB21A0" w:rsidRPr="00E4489E">
        <w:t>deteriorati, pur condividendo l'</w:t>
      </w:r>
      <w:r w:rsidRPr="00E4489E">
        <w:t>obiettivo che ha orientato le proposte della Commissione</w:t>
      </w:r>
      <w:r w:rsidR="00FB21A0" w:rsidRPr="00E4489E">
        <w:t xml:space="preserve">, </w:t>
      </w:r>
      <w:r w:rsidR="0077210F" w:rsidRPr="00E4489E">
        <w:t>il CESE ritiene</w:t>
      </w:r>
      <w:r w:rsidR="00FB21A0" w:rsidRPr="00E4489E">
        <w:t xml:space="preserve"> opportuno che l'</w:t>
      </w:r>
      <w:r w:rsidRPr="00E4489E">
        <w:t xml:space="preserve">intervento sia più ampio rispetto a quello proposto. </w:t>
      </w:r>
    </w:p>
    <w:p w14:paraId="001AE3DF" w14:textId="77777777" w:rsidR="0077210F" w:rsidRPr="00E4489E" w:rsidRDefault="0077210F" w:rsidP="00CE1DEB"/>
    <w:p w14:paraId="16A78D55" w14:textId="0576491D" w:rsidR="0017714E" w:rsidRPr="00E4489E" w:rsidRDefault="0077210F" w:rsidP="006779D9">
      <w:pPr>
        <w:pStyle w:val="Titolo2"/>
        <w:ind w:left="567" w:hanging="567"/>
      </w:pPr>
      <w:r w:rsidRPr="00E4489E">
        <w:t>Le più recenti proposte della Commissione tendono</w:t>
      </w:r>
      <w:r w:rsidR="00C1490D" w:rsidRPr="00E4489E">
        <w:t xml:space="preserve"> infatti</w:t>
      </w:r>
      <w:r w:rsidRPr="00E4489E">
        <w:t>, correttamente, a introdurre una disciplina specifica per le esposizioni deteriorate, con l'obiettivo di differenziarl</w:t>
      </w:r>
      <w:r w:rsidR="004129FA" w:rsidRPr="00E4489E">
        <w:t>e sotto alcuni aspetti da quelle</w:t>
      </w:r>
      <w:r w:rsidRPr="00E4489E">
        <w:t xml:space="preserve"> dei crediti </w:t>
      </w:r>
      <w:r w:rsidRPr="00E4489E">
        <w:rPr>
          <w:i/>
        </w:rPr>
        <w:t>in bonis</w:t>
      </w:r>
      <w:r w:rsidRPr="00E4489E">
        <w:t xml:space="preserve">. Tuttavia, occorre rilevare come l'intero quadro normativo sui crediti deteriorati oggi vigente presenti delle rigidità che possono fortemente impattare </w:t>
      </w:r>
      <w:r w:rsidR="00AA7409" w:rsidRPr="00E4489E">
        <w:t>sul</w:t>
      </w:r>
      <w:r w:rsidRPr="00E4489E">
        <w:t xml:space="preserve">l'economia reale, in particolare </w:t>
      </w:r>
      <w:r w:rsidR="00933DB9" w:rsidRPr="00E4489E">
        <w:t>sul</w:t>
      </w:r>
      <w:r w:rsidRPr="00E4489E">
        <w:t>le PMI, soprattutto nel</w:t>
      </w:r>
      <w:r w:rsidR="004129FA" w:rsidRPr="00E4489E">
        <w:t>l</w:t>
      </w:r>
      <w:r w:rsidR="00AA7409" w:rsidRPr="00E4489E">
        <w:t>'</w:t>
      </w:r>
      <w:r w:rsidR="004129FA" w:rsidRPr="00E4489E">
        <w:t>attuale</w:t>
      </w:r>
      <w:r w:rsidRPr="00E4489E">
        <w:t xml:space="preserve"> contesto economico minato dalla pandemia.</w:t>
      </w:r>
    </w:p>
    <w:p w14:paraId="69EF561B" w14:textId="77777777" w:rsidR="0017714E" w:rsidRPr="00E4489E" w:rsidRDefault="0017714E" w:rsidP="00CE1DEB">
      <w:pPr>
        <w:pStyle w:val="Titolo2"/>
        <w:numPr>
          <w:ilvl w:val="0"/>
          <w:numId w:val="0"/>
        </w:numPr>
        <w:ind w:left="567"/>
      </w:pPr>
    </w:p>
    <w:p w14:paraId="54E817DF" w14:textId="65AD7341" w:rsidR="00D63488" w:rsidRPr="00E4489E" w:rsidRDefault="00534485" w:rsidP="006E4C91">
      <w:pPr>
        <w:pStyle w:val="Titolo2"/>
        <w:ind w:left="567" w:hanging="567"/>
      </w:pPr>
      <w:r w:rsidRPr="00E4489E">
        <w:t>Si fa</w:t>
      </w:r>
      <w:r w:rsidR="000A3499" w:rsidRPr="00E4489E">
        <w:t xml:space="preserve"> riferimento in particolare al "</w:t>
      </w:r>
      <w:proofErr w:type="spellStart"/>
      <w:r w:rsidR="000A3499" w:rsidRPr="00E4489E">
        <w:t>NPLs</w:t>
      </w:r>
      <w:proofErr w:type="spellEnd"/>
      <w:r w:rsidR="000A3499" w:rsidRPr="00E4489E">
        <w:t xml:space="preserve"> Backstop </w:t>
      </w:r>
      <w:proofErr w:type="spellStart"/>
      <w:r w:rsidR="000A3499" w:rsidRPr="00E4489E">
        <w:t>regulation</w:t>
      </w:r>
      <w:proofErr w:type="spellEnd"/>
      <w:r w:rsidR="000A3499" w:rsidRPr="00E4489E">
        <w:t>"</w:t>
      </w:r>
      <w:r w:rsidRPr="00E4489E">
        <w:t>, che impone delle svalutazioni dei crediti deteriorati secondo una tempistica stringente e che valorizza poco</w:t>
      </w:r>
      <w:r w:rsidR="00AA7409" w:rsidRPr="00E4489E">
        <w:t xml:space="preserve"> (</w:t>
      </w:r>
      <w:r w:rsidRPr="00E4489E">
        <w:t>o addirittura per niente</w:t>
      </w:r>
      <w:r w:rsidR="00AA7409" w:rsidRPr="00E4489E">
        <w:t xml:space="preserve">) </w:t>
      </w:r>
      <w:r w:rsidR="00416AF6" w:rsidRPr="00E4489E">
        <w:t>i</w:t>
      </w:r>
      <w:r w:rsidR="00D63488" w:rsidRPr="00E4489E">
        <w:t>l reale valore economico delle garanzie su questi stessi prestiti</w:t>
      </w:r>
      <w:r w:rsidRPr="00E4489E">
        <w:t xml:space="preserve">. Se tale quadro appariva difficilmente compatibile con la realtà del mercato secondario di crediti deteriorati precedente alla pandemia, è facile immaginare come esso potrà essere ancora più </w:t>
      </w:r>
      <w:r w:rsidR="0017714E" w:rsidRPr="00E4489E">
        <w:t xml:space="preserve">problematico nel </w:t>
      </w:r>
      <w:r w:rsidRPr="00E4489E">
        <w:t>contesto economico post-</w:t>
      </w:r>
      <w:r w:rsidR="0056176F" w:rsidRPr="00E4489E">
        <w:t>pandemia</w:t>
      </w:r>
      <w:r w:rsidRPr="00E4489E">
        <w:t>.</w:t>
      </w:r>
      <w:r w:rsidR="00AA7409" w:rsidRPr="00E4489E">
        <w:t xml:space="preserve"> È </w:t>
      </w:r>
      <w:r w:rsidR="0017714E" w:rsidRPr="00E4489E">
        <w:t xml:space="preserve">quindi opportuno che le curve di accantonamento previste dal </w:t>
      </w:r>
      <w:r w:rsidR="00AA7409" w:rsidRPr="00E4489E">
        <w:t>r</w:t>
      </w:r>
      <w:r w:rsidR="0017714E" w:rsidRPr="00E4489E">
        <w:t>egolamento Backstop siano, almeno temporaneamente, sospese o ricalibrate.</w:t>
      </w:r>
      <w:r w:rsidR="00D63488" w:rsidRPr="00E4489E">
        <w:t xml:space="preserve"> Sottolineiamo inoltre che la regola del </w:t>
      </w:r>
      <w:r w:rsidR="00A212F5" w:rsidRPr="00E4489E">
        <w:t>"</w:t>
      </w:r>
      <w:proofErr w:type="spellStart"/>
      <w:r w:rsidR="00D63488" w:rsidRPr="00E4489E">
        <w:t>past</w:t>
      </w:r>
      <w:proofErr w:type="spellEnd"/>
      <w:r w:rsidR="00D63488" w:rsidRPr="00E4489E">
        <w:t xml:space="preserve"> due</w:t>
      </w:r>
      <w:r w:rsidR="00A212F5" w:rsidRPr="00E4489E">
        <w:t>"</w:t>
      </w:r>
      <w:r w:rsidR="00D63488" w:rsidRPr="00E4489E">
        <w:t xml:space="preserve"> di 90 giorni dovrebbe essere temporaneamente allentata per l'emergenza Covid-19, in modo da evitare l'impatto sociale negativo di una tempistica così serrata.</w:t>
      </w:r>
    </w:p>
    <w:p w14:paraId="72478642" w14:textId="1C451173" w:rsidR="0017714E" w:rsidRPr="00E4489E" w:rsidRDefault="0017714E" w:rsidP="006E4C91">
      <w:pPr>
        <w:pStyle w:val="Titolo2"/>
        <w:numPr>
          <w:ilvl w:val="0"/>
          <w:numId w:val="0"/>
        </w:numPr>
      </w:pPr>
    </w:p>
    <w:p w14:paraId="20BB1A15" w14:textId="4047E888" w:rsidR="00D63488" w:rsidRPr="00E4489E" w:rsidRDefault="00D63488" w:rsidP="006E4C91">
      <w:pPr>
        <w:pStyle w:val="Titolo2"/>
        <w:ind w:left="567" w:hanging="567"/>
      </w:pPr>
      <w:r w:rsidRPr="00E4489E">
        <w:t xml:space="preserve">IL CESE è consapevole che la proposta contenuta nel pacchetto di emendamenti per facilitare la ripresa del mercato dei capitali, avanzata dalla Commissione </w:t>
      </w:r>
      <w:r w:rsidR="00791E3E" w:rsidRPr="00E4489E">
        <w:t>e</w:t>
      </w:r>
      <w:r w:rsidRPr="00E4489E">
        <w:t>uropea</w:t>
      </w:r>
      <w:r w:rsidR="00F74AAD" w:rsidRPr="00E4489E">
        <w:t>,</w:t>
      </w:r>
      <w:r w:rsidRPr="00E4489E">
        <w:t xml:space="preserve"> è destinata ad affrontare l'impatto della pandemia C</w:t>
      </w:r>
      <w:r w:rsidR="00A212F5" w:rsidRPr="00E4489E">
        <w:t>ovid</w:t>
      </w:r>
      <w:r w:rsidRPr="00E4489E">
        <w:t xml:space="preserve">-19, tuttavia non possiamo esimerci dal mettere in evidenza come le normative per la copertura minima degli NPL definite nel regolamento 2019/630 del Parlamento e del Consiglio siano oggi inadeguate ad affrontare gli effetti economici della pandemia </w:t>
      </w:r>
      <w:r w:rsidR="00C575A0" w:rsidRPr="00E4489E">
        <w:t xml:space="preserve">e </w:t>
      </w:r>
      <w:r w:rsidRPr="00E4489E">
        <w:t>per questo andrebbero temporaneamente allentate.</w:t>
      </w:r>
    </w:p>
    <w:p w14:paraId="00140A19" w14:textId="77777777" w:rsidR="00534485" w:rsidRPr="00E4489E" w:rsidRDefault="00534485" w:rsidP="006E4C91">
      <w:pPr>
        <w:pStyle w:val="Titolo2"/>
        <w:numPr>
          <w:ilvl w:val="0"/>
          <w:numId w:val="0"/>
        </w:numPr>
        <w:ind w:left="567" w:hanging="567"/>
      </w:pPr>
    </w:p>
    <w:p w14:paraId="47EA54CD" w14:textId="428BB15E" w:rsidR="0084619A" w:rsidRPr="00E4489E" w:rsidRDefault="00534485" w:rsidP="00652376">
      <w:pPr>
        <w:pStyle w:val="Titolo2"/>
        <w:ind w:left="567" w:hanging="567"/>
      </w:pPr>
      <w:r w:rsidRPr="00E4489E">
        <w:t>In aggiunta alle proposte in materia di crediti cartolarizzati varate dalla Commissione</w:t>
      </w:r>
      <w:r w:rsidR="00EC637D" w:rsidRPr="00E4489E">
        <w:t>,</w:t>
      </w:r>
      <w:r w:rsidRPr="00E4489E">
        <w:t xml:space="preserve"> è opportuno che anche il trattamento dei crediti deteriorati acquistati da enti specializzati </w:t>
      </w:r>
      <w:r w:rsidR="009E1991" w:rsidRPr="00E4489E">
        <w:t xml:space="preserve">e istituzioni finanziarie, </w:t>
      </w:r>
      <w:r w:rsidRPr="00E4489E">
        <w:t>senza fare ricorso alle cartolarizzazioni</w:t>
      </w:r>
      <w:r w:rsidR="00396A63" w:rsidRPr="00E4489E">
        <w:t>,</w:t>
      </w:r>
      <w:r w:rsidRPr="00E4489E">
        <w:t xml:space="preserve"> sia reso più efficiente</w:t>
      </w:r>
      <w:r w:rsidR="009E1991" w:rsidRPr="00E4489E">
        <w:t xml:space="preserve"> </w:t>
      </w:r>
      <w:r w:rsidR="005A022B" w:rsidRPr="00E4489E">
        <w:t xml:space="preserve">rispetto </w:t>
      </w:r>
      <w:r w:rsidR="006145B1" w:rsidRPr="00E4489E">
        <w:t>a quanto accade ora, con le regole prudenziali attualmente vigenti</w:t>
      </w:r>
      <w:r w:rsidR="009E1991" w:rsidRPr="00E4489E">
        <w:t xml:space="preserve">, migliorando l'articolo 127 </w:t>
      </w:r>
      <w:r w:rsidR="009E1991" w:rsidRPr="00E4489E">
        <w:lastRenderedPageBreak/>
        <w:t>CRR</w:t>
      </w:r>
      <w:r w:rsidRPr="00E4489E">
        <w:t xml:space="preserve">. Il quadro normativo attuale </w:t>
      </w:r>
      <w:r w:rsidR="0017714E" w:rsidRPr="00E4489E">
        <w:t xml:space="preserve">determina infatti </w:t>
      </w:r>
      <w:r w:rsidRPr="00E4489E">
        <w:t>un parad</w:t>
      </w:r>
      <w:r w:rsidR="00CE33E0" w:rsidRPr="00E4489E">
        <w:t>ossale disincentivo, dovuto all'</w:t>
      </w:r>
      <w:r w:rsidRPr="00E4489E">
        <w:t xml:space="preserve">eccessivo assorbimento di capitale, in capo agli enti finanziari che acquistano crediti deteriorati sul mercato secondario. </w:t>
      </w:r>
    </w:p>
    <w:p w14:paraId="1AF115C2" w14:textId="77777777" w:rsidR="0084619A" w:rsidRPr="00E4489E" w:rsidRDefault="0084619A" w:rsidP="006E4C91">
      <w:pPr>
        <w:ind w:left="567" w:hanging="567"/>
      </w:pPr>
    </w:p>
    <w:p w14:paraId="1BD3FED5" w14:textId="08E7993F" w:rsidR="00534485" w:rsidRPr="00E4489E" w:rsidRDefault="00534485" w:rsidP="006E4C91">
      <w:pPr>
        <w:pStyle w:val="Titolo2"/>
        <w:ind w:left="567" w:hanging="567"/>
      </w:pPr>
      <w:r w:rsidRPr="00E4489E">
        <w:t>Quest</w:t>
      </w:r>
      <w:r w:rsidR="0084428F" w:rsidRPr="00E4489E">
        <w:t xml:space="preserve">o </w:t>
      </w:r>
      <w:r w:rsidR="0017714E" w:rsidRPr="00E4489E">
        <w:t>determina</w:t>
      </w:r>
      <w:r w:rsidRPr="00E4489E">
        <w:t xml:space="preserve"> un vantaggio</w:t>
      </w:r>
      <w:r w:rsidR="00CE33E0" w:rsidRPr="00E4489E">
        <w:t xml:space="preserve"> per i fondi specializzati nell'</w:t>
      </w:r>
      <w:r w:rsidRPr="00E4489E">
        <w:t xml:space="preserve">acquisizione di crediti deteriorati, che in </w:t>
      </w:r>
      <w:r w:rsidR="004129FA" w:rsidRPr="00E4489E">
        <w:t xml:space="preserve">alcuni </w:t>
      </w:r>
      <w:r w:rsidRPr="00E4489E">
        <w:t>casi sono detenuti da operatori finanziari extra-europei</w:t>
      </w:r>
      <w:r w:rsidR="0017714E" w:rsidRPr="00E4489E">
        <w:t xml:space="preserve"> </w:t>
      </w:r>
      <w:r w:rsidR="009E1991" w:rsidRPr="00E4489E">
        <w:t xml:space="preserve">che non sono </w:t>
      </w:r>
      <w:r w:rsidR="00CE33E0" w:rsidRPr="00E4489E">
        <w:t xml:space="preserve">soggetti al </w:t>
      </w:r>
      <w:r w:rsidR="00CE33E0" w:rsidRPr="00E4489E">
        <w:rPr>
          <w:i/>
        </w:rPr>
        <w:t>frame</w:t>
      </w:r>
      <w:r w:rsidRPr="00E4489E">
        <w:rPr>
          <w:i/>
        </w:rPr>
        <w:t>work</w:t>
      </w:r>
      <w:r w:rsidRPr="00E4489E">
        <w:t xml:space="preserve"> regolamentare </w:t>
      </w:r>
      <w:r w:rsidR="0017714E" w:rsidRPr="00E4489E">
        <w:t>UE</w:t>
      </w:r>
      <w:r w:rsidR="009E1991" w:rsidRPr="00E4489E">
        <w:t xml:space="preserve"> e alla normativa del regolamento CRR</w:t>
      </w:r>
      <w:r w:rsidRPr="00E4489E">
        <w:t xml:space="preserve">. Si </w:t>
      </w:r>
      <w:r w:rsidR="004129FA" w:rsidRPr="00E4489E">
        <w:t xml:space="preserve">perviene così a </w:t>
      </w:r>
      <w:r w:rsidR="0017714E" w:rsidRPr="00E4489E">
        <w:t>un paradosso</w:t>
      </w:r>
      <w:r w:rsidR="004129FA" w:rsidRPr="00E4489E">
        <w:t xml:space="preserve">, </w:t>
      </w:r>
      <w:r w:rsidR="009E1991" w:rsidRPr="00E4489E">
        <w:t xml:space="preserve">che infrange il principio "stesso rischio, stessa regola", </w:t>
      </w:r>
      <w:r w:rsidR="0017714E" w:rsidRPr="00E4489E">
        <w:t xml:space="preserve">per cui la </w:t>
      </w:r>
      <w:r w:rsidR="00CE33E0" w:rsidRPr="00E4489E">
        <w:t>grande attenzione che l'</w:t>
      </w:r>
      <w:r w:rsidRPr="00E4489E">
        <w:t>U</w:t>
      </w:r>
      <w:r w:rsidR="00F90627" w:rsidRPr="00E4489E">
        <w:t>E</w:t>
      </w:r>
      <w:r w:rsidRPr="00E4489E">
        <w:t xml:space="preserve"> ha dedicato alla regolazione interna rischia di avvantaggiare chi opera nel </w:t>
      </w:r>
      <w:r w:rsidR="008950EB" w:rsidRPr="00E4489E">
        <w:t xml:space="preserve">mercato </w:t>
      </w:r>
      <w:r w:rsidR="00CE33E0" w:rsidRPr="00E4489E">
        <w:t>u</w:t>
      </w:r>
      <w:r w:rsidRPr="00E4489E">
        <w:t xml:space="preserve">nico </w:t>
      </w:r>
      <w:r w:rsidR="00CE33E0" w:rsidRPr="00E4489E">
        <w:t>e</w:t>
      </w:r>
      <w:r w:rsidRPr="00E4489E">
        <w:t>urope</w:t>
      </w:r>
      <w:r w:rsidR="004129FA" w:rsidRPr="00E4489E">
        <w:t xml:space="preserve">o </w:t>
      </w:r>
      <w:r w:rsidR="0017714E" w:rsidRPr="00E4489E">
        <w:t>mantenendo</w:t>
      </w:r>
      <w:r w:rsidR="004129FA" w:rsidRPr="00E4489E">
        <w:t xml:space="preserve"> però</w:t>
      </w:r>
      <w:r w:rsidR="0017714E" w:rsidRPr="00E4489E">
        <w:t xml:space="preserve"> la propria sede legale e i capitali </w:t>
      </w:r>
      <w:r w:rsidR="00CE33E0" w:rsidRPr="00E4489E">
        <w:t>fuori dall'</w:t>
      </w:r>
      <w:r w:rsidRPr="00E4489E">
        <w:t>U</w:t>
      </w:r>
      <w:r w:rsidR="00F90627" w:rsidRPr="00E4489E">
        <w:t xml:space="preserve">E </w:t>
      </w:r>
      <w:r w:rsidRPr="00E4489E">
        <w:t>e</w:t>
      </w:r>
      <w:r w:rsidR="0084428F" w:rsidRPr="00E4489E">
        <w:t>,</w:t>
      </w:r>
      <w:r w:rsidR="004129FA" w:rsidRPr="00E4489E">
        <w:t xml:space="preserve"> almeno in parte, </w:t>
      </w:r>
      <w:r w:rsidRPr="00E4489E">
        <w:t xml:space="preserve">dal suo sistema di regole. </w:t>
      </w:r>
    </w:p>
    <w:p w14:paraId="23B489D8" w14:textId="4654C53B" w:rsidR="00011D33" w:rsidRPr="00E4489E" w:rsidRDefault="00011D33" w:rsidP="00C23E57"/>
    <w:p w14:paraId="38C0C2A6" w14:textId="2C138C82" w:rsidR="00544197" w:rsidRPr="00E4489E" w:rsidRDefault="00544197" w:rsidP="00544197">
      <w:r w:rsidRPr="00E4489E">
        <w:t>Bruxelles, 29 ottobre 2020</w:t>
      </w:r>
    </w:p>
    <w:p w14:paraId="55F82947" w14:textId="6FA59442" w:rsidR="00544197" w:rsidRPr="00E4489E" w:rsidRDefault="00544197" w:rsidP="00544197"/>
    <w:p w14:paraId="3E359F7D" w14:textId="77777777" w:rsidR="00D62075" w:rsidRPr="00E4489E" w:rsidRDefault="00D62075" w:rsidP="00544197"/>
    <w:p w14:paraId="2C5473DE" w14:textId="77777777" w:rsidR="00544197" w:rsidRPr="00E4489E" w:rsidRDefault="00544197" w:rsidP="00544197"/>
    <w:p w14:paraId="3EEDD4C7" w14:textId="77777777" w:rsidR="00544197" w:rsidRPr="00E4489E" w:rsidRDefault="00544197" w:rsidP="00544197"/>
    <w:p w14:paraId="532362C9" w14:textId="53854452" w:rsidR="00215714" w:rsidRPr="00E4489E" w:rsidRDefault="00215714" w:rsidP="00544197">
      <w:r w:rsidRPr="00E4489E">
        <w:t xml:space="preserve">Christa </w:t>
      </w:r>
      <w:r w:rsidR="00D62075" w:rsidRPr="00E4489E">
        <w:t>SCHWENG</w:t>
      </w:r>
    </w:p>
    <w:p w14:paraId="0EA981D4" w14:textId="4196D984" w:rsidR="00544197" w:rsidRPr="00E4489E" w:rsidRDefault="00544197" w:rsidP="00544197">
      <w:r w:rsidRPr="00E4489E">
        <w:t>Presidente del Comitato economico e sociale europeo</w:t>
      </w:r>
    </w:p>
    <w:p w14:paraId="3D1F3D8D" w14:textId="705D3799" w:rsidR="00CB3A8E" w:rsidRPr="00E4489E" w:rsidRDefault="00CB3A8E" w:rsidP="00C23E57"/>
    <w:p w14:paraId="432AE4E3" w14:textId="77777777" w:rsidR="00CB3A8E" w:rsidRPr="00E4489E" w:rsidRDefault="00CB3A8E" w:rsidP="00C23E57"/>
    <w:p w14:paraId="6018DE83" w14:textId="77777777" w:rsidR="00646AC2" w:rsidRPr="00E4489E" w:rsidRDefault="00646AC2" w:rsidP="00C23E57">
      <w:pPr>
        <w:overflowPunct/>
        <w:adjustRightInd/>
        <w:jc w:val="center"/>
        <w:textAlignment w:val="auto"/>
      </w:pPr>
      <w:r w:rsidRPr="00E4489E">
        <w:t>_____________</w:t>
      </w:r>
    </w:p>
    <w:sectPr w:rsidR="00646AC2" w:rsidRPr="00E4489E" w:rsidSect="00E448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B1B64" w14:textId="77777777" w:rsidR="00E0055F" w:rsidRDefault="00E0055F">
      <w:r>
        <w:separator/>
      </w:r>
    </w:p>
  </w:endnote>
  <w:endnote w:type="continuationSeparator" w:id="0">
    <w:p w14:paraId="0653D3E9" w14:textId="77777777" w:rsidR="00E0055F" w:rsidRDefault="00E0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406B1" w14:textId="6B560372" w:rsidR="00103F0D" w:rsidRPr="00E4489E" w:rsidRDefault="00E4489E" w:rsidP="00E4489E">
    <w:pPr>
      <w:pStyle w:val="Pidipagina"/>
    </w:pPr>
    <w:r>
      <w:t xml:space="preserve">ECO/529 – EESC-2020-03577-00-00-AC-TRA (IT) </w:t>
    </w:r>
    <w:r>
      <w:fldChar w:fldCharType="begin"/>
    </w:r>
    <w:r>
      <w:instrText xml:space="preserve"> PAGE  \* Arabic  \* MERGEFORMAT </w:instrText>
    </w:r>
    <w:r>
      <w:fldChar w:fldCharType="separate"/>
    </w:r>
    <w:r w:rsidR="005A507D">
      <w:rPr>
        <w:noProof/>
      </w:rPr>
      <w:t>1</w:t>
    </w:r>
    <w:r>
      <w:fldChar w:fldCharType="end"/>
    </w:r>
    <w:r>
      <w:t>/</w:t>
    </w:r>
    <w:fldSimple w:instr=" NUMPAGES ">
      <w:r w:rsidR="005A507D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CA1DB" w14:textId="77777777" w:rsidR="00103F0D" w:rsidRPr="00E4489E" w:rsidRDefault="00103F0D" w:rsidP="00E4489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49474" w14:textId="028B5E4C" w:rsidR="00103F0D" w:rsidRPr="00E4489E" w:rsidRDefault="00E4489E" w:rsidP="00E4489E">
    <w:pPr>
      <w:pStyle w:val="Pidipagina"/>
    </w:pPr>
    <w:r>
      <w:t xml:space="preserve">ECO/529 – EESC-2020-03577-00-00-AC-TRA (IT)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7</w:t>
    </w:r>
    <w:r>
      <w:fldChar w:fldCharType="end"/>
    </w:r>
    <w:r>
      <w:t>/</w:t>
    </w:r>
    <w:fldSimple w:instr=" NUMPAGES ">
      <w:r>
        <w:rPr>
          <w:noProof/>
        </w:rPr>
        <w:t>8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BC595" w14:textId="77777777" w:rsidR="00103F0D" w:rsidRPr="00E4489E" w:rsidRDefault="00103F0D" w:rsidP="00E448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366B1" w14:textId="77777777" w:rsidR="00E0055F" w:rsidRDefault="00E0055F">
      <w:r>
        <w:separator/>
      </w:r>
    </w:p>
  </w:footnote>
  <w:footnote w:type="continuationSeparator" w:id="0">
    <w:p w14:paraId="12B45B5E" w14:textId="77777777" w:rsidR="00E0055F" w:rsidRDefault="00E00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6D727" w14:textId="77777777" w:rsidR="00103F0D" w:rsidRPr="00E4489E" w:rsidRDefault="00103F0D" w:rsidP="00E4489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5742A" w14:textId="0FAB06E2" w:rsidR="00103F0D" w:rsidRPr="00E4489E" w:rsidRDefault="00103F0D" w:rsidP="00E4489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3022A" w14:textId="77777777" w:rsidR="00103F0D" w:rsidRPr="00E4489E" w:rsidRDefault="00103F0D" w:rsidP="00E448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9D230CE"/>
    <w:lvl w:ilvl="0">
      <w:start w:val="1"/>
      <w:numFmt w:val="decimal"/>
      <w:pStyle w:val="Titolo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Titolo2"/>
      <w:lvlText w:val="%1.%2"/>
      <w:legacy w:legacy="1" w:legacySpace="144" w:legacyIndent="0"/>
      <w:lvlJc w:val="left"/>
    </w:lvl>
    <w:lvl w:ilvl="2">
      <w:start w:val="1"/>
      <w:numFmt w:val="decimal"/>
      <w:pStyle w:val="Titolo3"/>
      <w:lvlText w:val="%1.%2.%3"/>
      <w:legacy w:legacy="1" w:legacySpace="144" w:legacyIndent="0"/>
      <w:lvlJc w:val="left"/>
    </w:lvl>
    <w:lvl w:ilvl="3">
      <w:start w:val="1"/>
      <w:numFmt w:val="decimal"/>
      <w:pStyle w:val="Titolo4"/>
      <w:lvlText w:val="%1.%2.%3.%4"/>
      <w:legacy w:legacy="1" w:legacySpace="144" w:legacyIndent="0"/>
      <w:lvlJc w:val="left"/>
    </w:lvl>
    <w:lvl w:ilvl="4">
      <w:start w:val="1"/>
      <w:numFmt w:val="decimal"/>
      <w:pStyle w:val="Titolo5"/>
      <w:lvlText w:val="%1.%2.%3.%4.%5"/>
      <w:legacy w:legacy="1" w:legacySpace="144" w:legacyIndent="0"/>
      <w:lvlJc w:val="left"/>
    </w:lvl>
    <w:lvl w:ilvl="5">
      <w:start w:val="1"/>
      <w:numFmt w:val="decimal"/>
      <w:pStyle w:val="Titolo6"/>
      <w:lvlText w:val="%1.%2.%3.%4.%5.%6"/>
      <w:legacy w:legacy="1" w:legacySpace="144" w:legacyIndent="0"/>
      <w:lvlJc w:val="left"/>
    </w:lvl>
    <w:lvl w:ilvl="6">
      <w:start w:val="1"/>
      <w:numFmt w:val="decimal"/>
      <w:pStyle w:val="Titolo7"/>
      <w:lvlText w:val="%1.%2.%3.%4.%5.%6.%7"/>
      <w:legacy w:legacy="1" w:legacySpace="144" w:legacyIndent="0"/>
      <w:lvlJc w:val="left"/>
    </w:lvl>
    <w:lvl w:ilvl="7">
      <w:start w:val="1"/>
      <w:numFmt w:val="decimal"/>
      <w:pStyle w:val="Titolo8"/>
      <w:lvlText w:val="%1.%2.%3.%4.%5.%6.%7.%8"/>
      <w:legacy w:legacy="1" w:legacySpace="144" w:legacyIndent="0"/>
      <w:lvlJc w:val="left"/>
    </w:lvl>
    <w:lvl w:ilvl="8">
      <w:start w:val="1"/>
      <w:numFmt w:val="decimal"/>
      <w:pStyle w:val="Tito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9131A09"/>
    <w:multiLevelType w:val="hybridMultilevel"/>
    <w:tmpl w:val="FF2A9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C63C5"/>
    <w:multiLevelType w:val="multilevel"/>
    <w:tmpl w:val="8DCE7F02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7AA976F2"/>
    <w:multiLevelType w:val="multilevel"/>
    <w:tmpl w:val="8DCE7F02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8F"/>
    <w:rsid w:val="000012C4"/>
    <w:rsid w:val="000038E4"/>
    <w:rsid w:val="00005AB9"/>
    <w:rsid w:val="00005EB9"/>
    <w:rsid w:val="00006E24"/>
    <w:rsid w:val="00007A40"/>
    <w:rsid w:val="00011D33"/>
    <w:rsid w:val="00020E6E"/>
    <w:rsid w:val="00024B11"/>
    <w:rsid w:val="00031A4B"/>
    <w:rsid w:val="00033913"/>
    <w:rsid w:val="00033E5B"/>
    <w:rsid w:val="000357A8"/>
    <w:rsid w:val="00037F34"/>
    <w:rsid w:val="000430A6"/>
    <w:rsid w:val="00044923"/>
    <w:rsid w:val="0005249C"/>
    <w:rsid w:val="000534A5"/>
    <w:rsid w:val="0005680D"/>
    <w:rsid w:val="00063EDE"/>
    <w:rsid w:val="00063FB4"/>
    <w:rsid w:val="0006793E"/>
    <w:rsid w:val="00072E0F"/>
    <w:rsid w:val="000735E5"/>
    <w:rsid w:val="0007392F"/>
    <w:rsid w:val="00087B39"/>
    <w:rsid w:val="0009404E"/>
    <w:rsid w:val="00096502"/>
    <w:rsid w:val="000A24C6"/>
    <w:rsid w:val="000A3499"/>
    <w:rsid w:val="000A49BB"/>
    <w:rsid w:val="000A6E05"/>
    <w:rsid w:val="000C3441"/>
    <w:rsid w:val="000C7F53"/>
    <w:rsid w:val="000D033F"/>
    <w:rsid w:val="000D2F8E"/>
    <w:rsid w:val="000D6871"/>
    <w:rsid w:val="000E67B1"/>
    <w:rsid w:val="000E7036"/>
    <w:rsid w:val="000F196B"/>
    <w:rsid w:val="000F29BA"/>
    <w:rsid w:val="00103F0D"/>
    <w:rsid w:val="00105361"/>
    <w:rsid w:val="001101F8"/>
    <w:rsid w:val="0011206F"/>
    <w:rsid w:val="0011656A"/>
    <w:rsid w:val="00121734"/>
    <w:rsid w:val="0012220C"/>
    <w:rsid w:val="00122299"/>
    <w:rsid w:val="0013437C"/>
    <w:rsid w:val="00136EA3"/>
    <w:rsid w:val="00137575"/>
    <w:rsid w:val="00140A23"/>
    <w:rsid w:val="00142DEA"/>
    <w:rsid w:val="00144231"/>
    <w:rsid w:val="00147F89"/>
    <w:rsid w:val="00150434"/>
    <w:rsid w:val="00155721"/>
    <w:rsid w:val="00157B12"/>
    <w:rsid w:val="0016167A"/>
    <w:rsid w:val="00164D5B"/>
    <w:rsid w:val="0016503F"/>
    <w:rsid w:val="0016674F"/>
    <w:rsid w:val="00167CA0"/>
    <w:rsid w:val="0017120D"/>
    <w:rsid w:val="001714F6"/>
    <w:rsid w:val="00176168"/>
    <w:rsid w:val="0017632E"/>
    <w:rsid w:val="0017714E"/>
    <w:rsid w:val="00177158"/>
    <w:rsid w:val="001808A5"/>
    <w:rsid w:val="00184FD4"/>
    <w:rsid w:val="00186B04"/>
    <w:rsid w:val="00186F1E"/>
    <w:rsid w:val="00190836"/>
    <w:rsid w:val="00193930"/>
    <w:rsid w:val="00195571"/>
    <w:rsid w:val="001963A5"/>
    <w:rsid w:val="00196F1E"/>
    <w:rsid w:val="00197FCA"/>
    <w:rsid w:val="001A27DB"/>
    <w:rsid w:val="001A6852"/>
    <w:rsid w:val="001B286A"/>
    <w:rsid w:val="001B2D02"/>
    <w:rsid w:val="001B3647"/>
    <w:rsid w:val="001B77FA"/>
    <w:rsid w:val="001C0ABE"/>
    <w:rsid w:val="001C1B6D"/>
    <w:rsid w:val="001C5852"/>
    <w:rsid w:val="001C6BF0"/>
    <w:rsid w:val="001D3593"/>
    <w:rsid w:val="001D45F0"/>
    <w:rsid w:val="001E4A33"/>
    <w:rsid w:val="001E5C27"/>
    <w:rsid w:val="001F602B"/>
    <w:rsid w:val="001F6AC8"/>
    <w:rsid w:val="00202269"/>
    <w:rsid w:val="00202447"/>
    <w:rsid w:val="002037D5"/>
    <w:rsid w:val="002068F6"/>
    <w:rsid w:val="00206B07"/>
    <w:rsid w:val="00206F90"/>
    <w:rsid w:val="00212B03"/>
    <w:rsid w:val="002131AE"/>
    <w:rsid w:val="00215714"/>
    <w:rsid w:val="00215C10"/>
    <w:rsid w:val="00215C2D"/>
    <w:rsid w:val="002252C4"/>
    <w:rsid w:val="0023183E"/>
    <w:rsid w:val="00235138"/>
    <w:rsid w:val="002356F3"/>
    <w:rsid w:val="00243E36"/>
    <w:rsid w:val="0024540B"/>
    <w:rsid w:val="00245EF4"/>
    <w:rsid w:val="00250530"/>
    <w:rsid w:val="00250E11"/>
    <w:rsid w:val="00251383"/>
    <w:rsid w:val="002522C9"/>
    <w:rsid w:val="00252A21"/>
    <w:rsid w:val="00253E4F"/>
    <w:rsid w:val="002542E4"/>
    <w:rsid w:val="00256170"/>
    <w:rsid w:val="00261053"/>
    <w:rsid w:val="00262FDE"/>
    <w:rsid w:val="00263629"/>
    <w:rsid w:val="002769BD"/>
    <w:rsid w:val="00276A75"/>
    <w:rsid w:val="00276EC8"/>
    <w:rsid w:val="002809EA"/>
    <w:rsid w:val="00284962"/>
    <w:rsid w:val="00287B0E"/>
    <w:rsid w:val="002950EF"/>
    <w:rsid w:val="002A0B53"/>
    <w:rsid w:val="002A0EEF"/>
    <w:rsid w:val="002B2DF7"/>
    <w:rsid w:val="002B3B38"/>
    <w:rsid w:val="002B479C"/>
    <w:rsid w:val="002B68A5"/>
    <w:rsid w:val="002B7B71"/>
    <w:rsid w:val="002C3BF4"/>
    <w:rsid w:val="002C749F"/>
    <w:rsid w:val="002D01D6"/>
    <w:rsid w:val="002D0F87"/>
    <w:rsid w:val="002D1723"/>
    <w:rsid w:val="002D2E97"/>
    <w:rsid w:val="002E7B33"/>
    <w:rsid w:val="002F059B"/>
    <w:rsid w:val="002F1B2D"/>
    <w:rsid w:val="002F5B0B"/>
    <w:rsid w:val="00300924"/>
    <w:rsid w:val="00304F1C"/>
    <w:rsid w:val="0030596E"/>
    <w:rsid w:val="003073C3"/>
    <w:rsid w:val="00323637"/>
    <w:rsid w:val="00324E8A"/>
    <w:rsid w:val="00327026"/>
    <w:rsid w:val="00331D87"/>
    <w:rsid w:val="00332850"/>
    <w:rsid w:val="00334478"/>
    <w:rsid w:val="003346B4"/>
    <w:rsid w:val="00334AE6"/>
    <w:rsid w:val="003365D0"/>
    <w:rsid w:val="003439AB"/>
    <w:rsid w:val="00346D5E"/>
    <w:rsid w:val="0035034C"/>
    <w:rsid w:val="00354695"/>
    <w:rsid w:val="0035549B"/>
    <w:rsid w:val="003567E5"/>
    <w:rsid w:val="00356E01"/>
    <w:rsid w:val="003755C8"/>
    <w:rsid w:val="00375687"/>
    <w:rsid w:val="00380AE0"/>
    <w:rsid w:val="00383324"/>
    <w:rsid w:val="00387A75"/>
    <w:rsid w:val="003904FD"/>
    <w:rsid w:val="00394254"/>
    <w:rsid w:val="00396A63"/>
    <w:rsid w:val="003A0B86"/>
    <w:rsid w:val="003B4988"/>
    <w:rsid w:val="003C2BFB"/>
    <w:rsid w:val="003C436B"/>
    <w:rsid w:val="003C5337"/>
    <w:rsid w:val="003C5988"/>
    <w:rsid w:val="003C5F92"/>
    <w:rsid w:val="003D22EB"/>
    <w:rsid w:val="003D7A8C"/>
    <w:rsid w:val="003D7C00"/>
    <w:rsid w:val="003E450A"/>
    <w:rsid w:val="003E56E5"/>
    <w:rsid w:val="003E7E60"/>
    <w:rsid w:val="003F00D4"/>
    <w:rsid w:val="003F2209"/>
    <w:rsid w:val="003F3D39"/>
    <w:rsid w:val="003F646A"/>
    <w:rsid w:val="003F6761"/>
    <w:rsid w:val="003F6A0A"/>
    <w:rsid w:val="004024F5"/>
    <w:rsid w:val="00402DE1"/>
    <w:rsid w:val="00403D8B"/>
    <w:rsid w:val="0040583D"/>
    <w:rsid w:val="004058F1"/>
    <w:rsid w:val="00407E7D"/>
    <w:rsid w:val="0041283D"/>
    <w:rsid w:val="004129FA"/>
    <w:rsid w:val="004130F7"/>
    <w:rsid w:val="00413AB4"/>
    <w:rsid w:val="00416AF6"/>
    <w:rsid w:val="00421373"/>
    <w:rsid w:val="00421FB7"/>
    <w:rsid w:val="0042763B"/>
    <w:rsid w:val="0043024C"/>
    <w:rsid w:val="00436706"/>
    <w:rsid w:val="00436B3E"/>
    <w:rsid w:val="00443D38"/>
    <w:rsid w:val="00446CCF"/>
    <w:rsid w:val="00450E7A"/>
    <w:rsid w:val="004535BD"/>
    <w:rsid w:val="00455644"/>
    <w:rsid w:val="00455B67"/>
    <w:rsid w:val="00456500"/>
    <w:rsid w:val="00456AF8"/>
    <w:rsid w:val="00460CD8"/>
    <w:rsid w:val="00470B15"/>
    <w:rsid w:val="0047352C"/>
    <w:rsid w:val="004756C0"/>
    <w:rsid w:val="00475869"/>
    <w:rsid w:val="00475A77"/>
    <w:rsid w:val="00485B6A"/>
    <w:rsid w:val="004866A9"/>
    <w:rsid w:val="00492774"/>
    <w:rsid w:val="00496162"/>
    <w:rsid w:val="00496D7A"/>
    <w:rsid w:val="004A31BC"/>
    <w:rsid w:val="004A3A26"/>
    <w:rsid w:val="004A3F1A"/>
    <w:rsid w:val="004A3F45"/>
    <w:rsid w:val="004A4AD3"/>
    <w:rsid w:val="004B011E"/>
    <w:rsid w:val="004B1AFA"/>
    <w:rsid w:val="004B5A1D"/>
    <w:rsid w:val="004B7088"/>
    <w:rsid w:val="004C4D12"/>
    <w:rsid w:val="004C5B76"/>
    <w:rsid w:val="004D02CD"/>
    <w:rsid w:val="004D0B24"/>
    <w:rsid w:val="004D3FBE"/>
    <w:rsid w:val="004D4B90"/>
    <w:rsid w:val="004D6B95"/>
    <w:rsid w:val="004D7F41"/>
    <w:rsid w:val="004E03A2"/>
    <w:rsid w:val="004E2C84"/>
    <w:rsid w:val="004E317E"/>
    <w:rsid w:val="004E3954"/>
    <w:rsid w:val="004E5856"/>
    <w:rsid w:val="004E7ED3"/>
    <w:rsid w:val="004F2330"/>
    <w:rsid w:val="004F2338"/>
    <w:rsid w:val="004F53C6"/>
    <w:rsid w:val="004F55C6"/>
    <w:rsid w:val="004F69DB"/>
    <w:rsid w:val="004F6B87"/>
    <w:rsid w:val="00501C2D"/>
    <w:rsid w:val="00502637"/>
    <w:rsid w:val="005072C9"/>
    <w:rsid w:val="00511140"/>
    <w:rsid w:val="00513CFE"/>
    <w:rsid w:val="00522A8F"/>
    <w:rsid w:val="00523B6A"/>
    <w:rsid w:val="00524166"/>
    <w:rsid w:val="00525F6C"/>
    <w:rsid w:val="00534485"/>
    <w:rsid w:val="00544197"/>
    <w:rsid w:val="00546AB4"/>
    <w:rsid w:val="005514E5"/>
    <w:rsid w:val="00551DCD"/>
    <w:rsid w:val="0056176F"/>
    <w:rsid w:val="00563C84"/>
    <w:rsid w:val="00574C7F"/>
    <w:rsid w:val="00576208"/>
    <w:rsid w:val="005762F6"/>
    <w:rsid w:val="00584FBE"/>
    <w:rsid w:val="00585483"/>
    <w:rsid w:val="00587378"/>
    <w:rsid w:val="00587C05"/>
    <w:rsid w:val="00590AAB"/>
    <w:rsid w:val="005938C3"/>
    <w:rsid w:val="0059468C"/>
    <w:rsid w:val="00595125"/>
    <w:rsid w:val="005969AE"/>
    <w:rsid w:val="00596F21"/>
    <w:rsid w:val="005A022B"/>
    <w:rsid w:val="005A3678"/>
    <w:rsid w:val="005A507D"/>
    <w:rsid w:val="005B01CC"/>
    <w:rsid w:val="005B1CDD"/>
    <w:rsid w:val="005B1E19"/>
    <w:rsid w:val="005B55FC"/>
    <w:rsid w:val="005B681E"/>
    <w:rsid w:val="005C0E23"/>
    <w:rsid w:val="005C2D5E"/>
    <w:rsid w:val="005C3B81"/>
    <w:rsid w:val="005C650C"/>
    <w:rsid w:val="005D086C"/>
    <w:rsid w:val="005D11D3"/>
    <w:rsid w:val="005D4E1F"/>
    <w:rsid w:val="005D4FB3"/>
    <w:rsid w:val="005D72A6"/>
    <w:rsid w:val="005E12ED"/>
    <w:rsid w:val="005E2F07"/>
    <w:rsid w:val="005E2FEA"/>
    <w:rsid w:val="005E5041"/>
    <w:rsid w:val="005E507C"/>
    <w:rsid w:val="005F314B"/>
    <w:rsid w:val="00600E5A"/>
    <w:rsid w:val="00611AF2"/>
    <w:rsid w:val="0061212B"/>
    <w:rsid w:val="006127AF"/>
    <w:rsid w:val="00613A98"/>
    <w:rsid w:val="00614113"/>
    <w:rsid w:val="006145B1"/>
    <w:rsid w:val="00614B63"/>
    <w:rsid w:val="00615FB2"/>
    <w:rsid w:val="00617BD1"/>
    <w:rsid w:val="00617CE8"/>
    <w:rsid w:val="0062317D"/>
    <w:rsid w:val="00624C55"/>
    <w:rsid w:val="006278A0"/>
    <w:rsid w:val="0063095F"/>
    <w:rsid w:val="00631CBD"/>
    <w:rsid w:val="006358AA"/>
    <w:rsid w:val="0063704F"/>
    <w:rsid w:val="00646AC2"/>
    <w:rsid w:val="00650390"/>
    <w:rsid w:val="00652376"/>
    <w:rsid w:val="00653C14"/>
    <w:rsid w:val="00654225"/>
    <w:rsid w:val="00654DAB"/>
    <w:rsid w:val="00661C49"/>
    <w:rsid w:val="0066204A"/>
    <w:rsid w:val="00670E3C"/>
    <w:rsid w:val="00677772"/>
    <w:rsid w:val="006779D9"/>
    <w:rsid w:val="00677F57"/>
    <w:rsid w:val="00681088"/>
    <w:rsid w:val="0068420E"/>
    <w:rsid w:val="00693733"/>
    <w:rsid w:val="0069577E"/>
    <w:rsid w:val="0069602E"/>
    <w:rsid w:val="0069634B"/>
    <w:rsid w:val="00696623"/>
    <w:rsid w:val="006A04E9"/>
    <w:rsid w:val="006A27BA"/>
    <w:rsid w:val="006A29F6"/>
    <w:rsid w:val="006A4A03"/>
    <w:rsid w:val="006A7498"/>
    <w:rsid w:val="006A7543"/>
    <w:rsid w:val="006B59B7"/>
    <w:rsid w:val="006B725C"/>
    <w:rsid w:val="006C273D"/>
    <w:rsid w:val="006C5C4F"/>
    <w:rsid w:val="006C6282"/>
    <w:rsid w:val="006C762A"/>
    <w:rsid w:val="006D5C0B"/>
    <w:rsid w:val="006D5FF9"/>
    <w:rsid w:val="006D7D88"/>
    <w:rsid w:val="006E01D6"/>
    <w:rsid w:val="006E0772"/>
    <w:rsid w:val="006E0F86"/>
    <w:rsid w:val="006E177D"/>
    <w:rsid w:val="006E20DA"/>
    <w:rsid w:val="006E4C91"/>
    <w:rsid w:val="006E635A"/>
    <w:rsid w:val="006F0B15"/>
    <w:rsid w:val="006F0DCC"/>
    <w:rsid w:val="00703DF9"/>
    <w:rsid w:val="007048EB"/>
    <w:rsid w:val="00704FBB"/>
    <w:rsid w:val="0070667F"/>
    <w:rsid w:val="00706C88"/>
    <w:rsid w:val="0070726A"/>
    <w:rsid w:val="00711AE0"/>
    <w:rsid w:val="0071226B"/>
    <w:rsid w:val="00717040"/>
    <w:rsid w:val="0072550F"/>
    <w:rsid w:val="00730208"/>
    <w:rsid w:val="00735F7F"/>
    <w:rsid w:val="007622A7"/>
    <w:rsid w:val="007711DC"/>
    <w:rsid w:val="0077210F"/>
    <w:rsid w:val="007750A2"/>
    <w:rsid w:val="007817D6"/>
    <w:rsid w:val="00781E1C"/>
    <w:rsid w:val="00787912"/>
    <w:rsid w:val="00790029"/>
    <w:rsid w:val="0079177A"/>
    <w:rsid w:val="00791E3E"/>
    <w:rsid w:val="00794836"/>
    <w:rsid w:val="007948D5"/>
    <w:rsid w:val="007A15C9"/>
    <w:rsid w:val="007A47E8"/>
    <w:rsid w:val="007A4F23"/>
    <w:rsid w:val="007A6676"/>
    <w:rsid w:val="007B7FF5"/>
    <w:rsid w:val="007C3FC6"/>
    <w:rsid w:val="007C4EEC"/>
    <w:rsid w:val="007C6FE4"/>
    <w:rsid w:val="007D2B99"/>
    <w:rsid w:val="007D2CE9"/>
    <w:rsid w:val="007D4FED"/>
    <w:rsid w:val="007D69DA"/>
    <w:rsid w:val="007D70B1"/>
    <w:rsid w:val="007D7140"/>
    <w:rsid w:val="007E1CDB"/>
    <w:rsid w:val="007E29D7"/>
    <w:rsid w:val="007E408C"/>
    <w:rsid w:val="007E7E21"/>
    <w:rsid w:val="007F0460"/>
    <w:rsid w:val="007F0DA2"/>
    <w:rsid w:val="007F39CE"/>
    <w:rsid w:val="007F5D7C"/>
    <w:rsid w:val="007F5E0D"/>
    <w:rsid w:val="00801085"/>
    <w:rsid w:val="00801A89"/>
    <w:rsid w:val="00812138"/>
    <w:rsid w:val="008140D7"/>
    <w:rsid w:val="008151F2"/>
    <w:rsid w:val="0081777A"/>
    <w:rsid w:val="00817DCB"/>
    <w:rsid w:val="008210E0"/>
    <w:rsid w:val="00824079"/>
    <w:rsid w:val="00831F0A"/>
    <w:rsid w:val="00833A78"/>
    <w:rsid w:val="008360DA"/>
    <w:rsid w:val="0084428F"/>
    <w:rsid w:val="0084585F"/>
    <w:rsid w:val="0084619A"/>
    <w:rsid w:val="00853E53"/>
    <w:rsid w:val="00854901"/>
    <w:rsid w:val="0085535C"/>
    <w:rsid w:val="008565A9"/>
    <w:rsid w:val="00864D76"/>
    <w:rsid w:val="008656C9"/>
    <w:rsid w:val="0086711C"/>
    <w:rsid w:val="00867535"/>
    <w:rsid w:val="0087423A"/>
    <w:rsid w:val="00875C5B"/>
    <w:rsid w:val="008760BB"/>
    <w:rsid w:val="00883C5F"/>
    <w:rsid w:val="00891C7D"/>
    <w:rsid w:val="00892FA7"/>
    <w:rsid w:val="008950EB"/>
    <w:rsid w:val="008A3301"/>
    <w:rsid w:val="008A4DF1"/>
    <w:rsid w:val="008A5636"/>
    <w:rsid w:val="008B125E"/>
    <w:rsid w:val="008B241C"/>
    <w:rsid w:val="008B408B"/>
    <w:rsid w:val="008B4F11"/>
    <w:rsid w:val="008C2362"/>
    <w:rsid w:val="008C3049"/>
    <w:rsid w:val="008D4AE9"/>
    <w:rsid w:val="008D5CF3"/>
    <w:rsid w:val="008D7D39"/>
    <w:rsid w:val="008E4574"/>
    <w:rsid w:val="008E4C7C"/>
    <w:rsid w:val="008E5959"/>
    <w:rsid w:val="008F4016"/>
    <w:rsid w:val="008F42FE"/>
    <w:rsid w:val="008F4A00"/>
    <w:rsid w:val="008F5402"/>
    <w:rsid w:val="008F61BC"/>
    <w:rsid w:val="0090053A"/>
    <w:rsid w:val="00901C2A"/>
    <w:rsid w:val="009118C7"/>
    <w:rsid w:val="009225B6"/>
    <w:rsid w:val="00924734"/>
    <w:rsid w:val="00925397"/>
    <w:rsid w:val="009314CF"/>
    <w:rsid w:val="00932237"/>
    <w:rsid w:val="00933A21"/>
    <w:rsid w:val="00933DB9"/>
    <w:rsid w:val="00934C10"/>
    <w:rsid w:val="0093662A"/>
    <w:rsid w:val="0094060C"/>
    <w:rsid w:val="00942C4B"/>
    <w:rsid w:val="00944196"/>
    <w:rsid w:val="009606A5"/>
    <w:rsid w:val="00962C94"/>
    <w:rsid w:val="00962F1F"/>
    <w:rsid w:val="00965304"/>
    <w:rsid w:val="00971293"/>
    <w:rsid w:val="00973A3B"/>
    <w:rsid w:val="00983EAE"/>
    <w:rsid w:val="0098760B"/>
    <w:rsid w:val="009A11DD"/>
    <w:rsid w:val="009A18E4"/>
    <w:rsid w:val="009A25DC"/>
    <w:rsid w:val="009A2C8A"/>
    <w:rsid w:val="009A6A84"/>
    <w:rsid w:val="009B30AA"/>
    <w:rsid w:val="009B5217"/>
    <w:rsid w:val="009B5867"/>
    <w:rsid w:val="009C48DE"/>
    <w:rsid w:val="009D60D9"/>
    <w:rsid w:val="009D68F1"/>
    <w:rsid w:val="009E148B"/>
    <w:rsid w:val="009E1991"/>
    <w:rsid w:val="009E1E1E"/>
    <w:rsid w:val="009E33E3"/>
    <w:rsid w:val="009E7F16"/>
    <w:rsid w:val="009F5052"/>
    <w:rsid w:val="00A03083"/>
    <w:rsid w:val="00A04C85"/>
    <w:rsid w:val="00A100F0"/>
    <w:rsid w:val="00A156E6"/>
    <w:rsid w:val="00A177C5"/>
    <w:rsid w:val="00A201BC"/>
    <w:rsid w:val="00A212F5"/>
    <w:rsid w:val="00A27D86"/>
    <w:rsid w:val="00A30A3D"/>
    <w:rsid w:val="00A33151"/>
    <w:rsid w:val="00A33DC4"/>
    <w:rsid w:val="00A33FCD"/>
    <w:rsid w:val="00A36970"/>
    <w:rsid w:val="00A4013F"/>
    <w:rsid w:val="00A41EB4"/>
    <w:rsid w:val="00A44BFF"/>
    <w:rsid w:val="00A45F73"/>
    <w:rsid w:val="00A501E3"/>
    <w:rsid w:val="00A50F0C"/>
    <w:rsid w:val="00A56441"/>
    <w:rsid w:val="00A736DD"/>
    <w:rsid w:val="00A74E81"/>
    <w:rsid w:val="00A82869"/>
    <w:rsid w:val="00A83BEC"/>
    <w:rsid w:val="00A8758C"/>
    <w:rsid w:val="00AA028D"/>
    <w:rsid w:val="00AA127E"/>
    <w:rsid w:val="00AA19AE"/>
    <w:rsid w:val="00AA423D"/>
    <w:rsid w:val="00AA6A95"/>
    <w:rsid w:val="00AA7409"/>
    <w:rsid w:val="00AA7895"/>
    <w:rsid w:val="00AB10DE"/>
    <w:rsid w:val="00AB1274"/>
    <w:rsid w:val="00AB3668"/>
    <w:rsid w:val="00AB5ED7"/>
    <w:rsid w:val="00AC0B4C"/>
    <w:rsid w:val="00AC2873"/>
    <w:rsid w:val="00AD0AEE"/>
    <w:rsid w:val="00AD49E3"/>
    <w:rsid w:val="00AD4B4F"/>
    <w:rsid w:val="00AD634C"/>
    <w:rsid w:val="00AF0616"/>
    <w:rsid w:val="00AF0E28"/>
    <w:rsid w:val="00AF6A4F"/>
    <w:rsid w:val="00AF6F9B"/>
    <w:rsid w:val="00B01409"/>
    <w:rsid w:val="00B04457"/>
    <w:rsid w:val="00B10DBD"/>
    <w:rsid w:val="00B15629"/>
    <w:rsid w:val="00B1612E"/>
    <w:rsid w:val="00B163E0"/>
    <w:rsid w:val="00B2372C"/>
    <w:rsid w:val="00B3265F"/>
    <w:rsid w:val="00B32F70"/>
    <w:rsid w:val="00B34974"/>
    <w:rsid w:val="00B373D0"/>
    <w:rsid w:val="00B419B4"/>
    <w:rsid w:val="00B43AAA"/>
    <w:rsid w:val="00B53139"/>
    <w:rsid w:val="00B562CE"/>
    <w:rsid w:val="00B6280E"/>
    <w:rsid w:val="00B62DE2"/>
    <w:rsid w:val="00B74417"/>
    <w:rsid w:val="00B77246"/>
    <w:rsid w:val="00B866CD"/>
    <w:rsid w:val="00B93034"/>
    <w:rsid w:val="00B946E7"/>
    <w:rsid w:val="00B97C5D"/>
    <w:rsid w:val="00BA1290"/>
    <w:rsid w:val="00BB2792"/>
    <w:rsid w:val="00BB307B"/>
    <w:rsid w:val="00BB4124"/>
    <w:rsid w:val="00BB76BF"/>
    <w:rsid w:val="00BC1AD1"/>
    <w:rsid w:val="00BC4A58"/>
    <w:rsid w:val="00BC613B"/>
    <w:rsid w:val="00BD51D9"/>
    <w:rsid w:val="00BD64E2"/>
    <w:rsid w:val="00BE4995"/>
    <w:rsid w:val="00BF2581"/>
    <w:rsid w:val="00BF429A"/>
    <w:rsid w:val="00BF5171"/>
    <w:rsid w:val="00BF62BE"/>
    <w:rsid w:val="00C02F1A"/>
    <w:rsid w:val="00C0640C"/>
    <w:rsid w:val="00C07126"/>
    <w:rsid w:val="00C14104"/>
    <w:rsid w:val="00C1490D"/>
    <w:rsid w:val="00C1651F"/>
    <w:rsid w:val="00C16853"/>
    <w:rsid w:val="00C23E57"/>
    <w:rsid w:val="00C263F0"/>
    <w:rsid w:val="00C33D41"/>
    <w:rsid w:val="00C40AFD"/>
    <w:rsid w:val="00C41E20"/>
    <w:rsid w:val="00C42E3E"/>
    <w:rsid w:val="00C51C13"/>
    <w:rsid w:val="00C525A5"/>
    <w:rsid w:val="00C5300F"/>
    <w:rsid w:val="00C54594"/>
    <w:rsid w:val="00C575A0"/>
    <w:rsid w:val="00C66CE0"/>
    <w:rsid w:val="00C71BED"/>
    <w:rsid w:val="00C737B2"/>
    <w:rsid w:val="00C81B53"/>
    <w:rsid w:val="00C82AD2"/>
    <w:rsid w:val="00C90FB6"/>
    <w:rsid w:val="00C9220E"/>
    <w:rsid w:val="00C932BD"/>
    <w:rsid w:val="00C93429"/>
    <w:rsid w:val="00CA0268"/>
    <w:rsid w:val="00CA16C5"/>
    <w:rsid w:val="00CA415A"/>
    <w:rsid w:val="00CA4634"/>
    <w:rsid w:val="00CA7A35"/>
    <w:rsid w:val="00CB1536"/>
    <w:rsid w:val="00CB3A8E"/>
    <w:rsid w:val="00CB7FB8"/>
    <w:rsid w:val="00CC1F71"/>
    <w:rsid w:val="00CC303C"/>
    <w:rsid w:val="00CC5588"/>
    <w:rsid w:val="00CC5EB3"/>
    <w:rsid w:val="00CD0E7B"/>
    <w:rsid w:val="00CD24B0"/>
    <w:rsid w:val="00CD2ABD"/>
    <w:rsid w:val="00CD4024"/>
    <w:rsid w:val="00CD4617"/>
    <w:rsid w:val="00CD4855"/>
    <w:rsid w:val="00CD69B0"/>
    <w:rsid w:val="00CE1DEB"/>
    <w:rsid w:val="00CE33E0"/>
    <w:rsid w:val="00CE6B16"/>
    <w:rsid w:val="00CE6B7C"/>
    <w:rsid w:val="00CE6D43"/>
    <w:rsid w:val="00CE7888"/>
    <w:rsid w:val="00CF7A5D"/>
    <w:rsid w:val="00D029BC"/>
    <w:rsid w:val="00D10CF0"/>
    <w:rsid w:val="00D10E1C"/>
    <w:rsid w:val="00D161A3"/>
    <w:rsid w:val="00D22E49"/>
    <w:rsid w:val="00D23349"/>
    <w:rsid w:val="00D23716"/>
    <w:rsid w:val="00D25ED8"/>
    <w:rsid w:val="00D27F8F"/>
    <w:rsid w:val="00D316B8"/>
    <w:rsid w:val="00D31CFC"/>
    <w:rsid w:val="00D3255D"/>
    <w:rsid w:val="00D340C3"/>
    <w:rsid w:val="00D341EB"/>
    <w:rsid w:val="00D409CD"/>
    <w:rsid w:val="00D423D4"/>
    <w:rsid w:val="00D42CAF"/>
    <w:rsid w:val="00D5310F"/>
    <w:rsid w:val="00D601EF"/>
    <w:rsid w:val="00D61533"/>
    <w:rsid w:val="00D62075"/>
    <w:rsid w:val="00D63488"/>
    <w:rsid w:val="00D63670"/>
    <w:rsid w:val="00D63B2F"/>
    <w:rsid w:val="00D70747"/>
    <w:rsid w:val="00D7261D"/>
    <w:rsid w:val="00D755FC"/>
    <w:rsid w:val="00D76B6D"/>
    <w:rsid w:val="00D77ABF"/>
    <w:rsid w:val="00D8307E"/>
    <w:rsid w:val="00D84559"/>
    <w:rsid w:val="00D84D07"/>
    <w:rsid w:val="00D8526A"/>
    <w:rsid w:val="00D90E91"/>
    <w:rsid w:val="00D934CB"/>
    <w:rsid w:val="00DA586C"/>
    <w:rsid w:val="00DB60E1"/>
    <w:rsid w:val="00DC1347"/>
    <w:rsid w:val="00DC39F1"/>
    <w:rsid w:val="00DD1434"/>
    <w:rsid w:val="00DE237D"/>
    <w:rsid w:val="00DE4B35"/>
    <w:rsid w:val="00DF19C1"/>
    <w:rsid w:val="00DF2CA5"/>
    <w:rsid w:val="00DF54CA"/>
    <w:rsid w:val="00DF56C9"/>
    <w:rsid w:val="00DF5B64"/>
    <w:rsid w:val="00DF7E95"/>
    <w:rsid w:val="00E0055F"/>
    <w:rsid w:val="00E02794"/>
    <w:rsid w:val="00E043E3"/>
    <w:rsid w:val="00E0505B"/>
    <w:rsid w:val="00E0724B"/>
    <w:rsid w:val="00E11280"/>
    <w:rsid w:val="00E12359"/>
    <w:rsid w:val="00E152FF"/>
    <w:rsid w:val="00E23654"/>
    <w:rsid w:val="00E2461B"/>
    <w:rsid w:val="00E24886"/>
    <w:rsid w:val="00E276FB"/>
    <w:rsid w:val="00E32595"/>
    <w:rsid w:val="00E32DC6"/>
    <w:rsid w:val="00E33A74"/>
    <w:rsid w:val="00E36F61"/>
    <w:rsid w:val="00E4030B"/>
    <w:rsid w:val="00E41D56"/>
    <w:rsid w:val="00E4489E"/>
    <w:rsid w:val="00E457DF"/>
    <w:rsid w:val="00E46642"/>
    <w:rsid w:val="00E50F76"/>
    <w:rsid w:val="00E5139A"/>
    <w:rsid w:val="00E5413D"/>
    <w:rsid w:val="00E57977"/>
    <w:rsid w:val="00E635D7"/>
    <w:rsid w:val="00E646E8"/>
    <w:rsid w:val="00E67C36"/>
    <w:rsid w:val="00E70576"/>
    <w:rsid w:val="00E716C1"/>
    <w:rsid w:val="00E71DED"/>
    <w:rsid w:val="00E72B63"/>
    <w:rsid w:val="00E83954"/>
    <w:rsid w:val="00E85E04"/>
    <w:rsid w:val="00E86EC9"/>
    <w:rsid w:val="00E91730"/>
    <w:rsid w:val="00E96F04"/>
    <w:rsid w:val="00E97AEC"/>
    <w:rsid w:val="00EA06D9"/>
    <w:rsid w:val="00EA20FE"/>
    <w:rsid w:val="00EA49FB"/>
    <w:rsid w:val="00EA4A5B"/>
    <w:rsid w:val="00EA73E0"/>
    <w:rsid w:val="00EB491E"/>
    <w:rsid w:val="00EB681B"/>
    <w:rsid w:val="00EC4FAD"/>
    <w:rsid w:val="00EC637D"/>
    <w:rsid w:val="00EC6BB8"/>
    <w:rsid w:val="00ED29DA"/>
    <w:rsid w:val="00EE3CFA"/>
    <w:rsid w:val="00EE69E4"/>
    <w:rsid w:val="00EF1F38"/>
    <w:rsid w:val="00EF2A7F"/>
    <w:rsid w:val="00EF443B"/>
    <w:rsid w:val="00EF7E90"/>
    <w:rsid w:val="00F002B6"/>
    <w:rsid w:val="00F02FB6"/>
    <w:rsid w:val="00F06860"/>
    <w:rsid w:val="00F10AFE"/>
    <w:rsid w:val="00F15C6C"/>
    <w:rsid w:val="00F17173"/>
    <w:rsid w:val="00F20987"/>
    <w:rsid w:val="00F224DC"/>
    <w:rsid w:val="00F23379"/>
    <w:rsid w:val="00F2687F"/>
    <w:rsid w:val="00F26A5E"/>
    <w:rsid w:val="00F27F29"/>
    <w:rsid w:val="00F32D04"/>
    <w:rsid w:val="00F32D54"/>
    <w:rsid w:val="00F34E42"/>
    <w:rsid w:val="00F36C54"/>
    <w:rsid w:val="00F418EA"/>
    <w:rsid w:val="00F41A29"/>
    <w:rsid w:val="00F44C1C"/>
    <w:rsid w:val="00F518DF"/>
    <w:rsid w:val="00F5381B"/>
    <w:rsid w:val="00F540CE"/>
    <w:rsid w:val="00F544DB"/>
    <w:rsid w:val="00F55762"/>
    <w:rsid w:val="00F55AD2"/>
    <w:rsid w:val="00F6502E"/>
    <w:rsid w:val="00F65663"/>
    <w:rsid w:val="00F70196"/>
    <w:rsid w:val="00F74AAD"/>
    <w:rsid w:val="00F75147"/>
    <w:rsid w:val="00F756C0"/>
    <w:rsid w:val="00F75A40"/>
    <w:rsid w:val="00F77637"/>
    <w:rsid w:val="00F8435D"/>
    <w:rsid w:val="00F862E5"/>
    <w:rsid w:val="00F87DD0"/>
    <w:rsid w:val="00F90627"/>
    <w:rsid w:val="00F93360"/>
    <w:rsid w:val="00F93FE4"/>
    <w:rsid w:val="00F95AD8"/>
    <w:rsid w:val="00F97E4E"/>
    <w:rsid w:val="00FA0225"/>
    <w:rsid w:val="00FA1A40"/>
    <w:rsid w:val="00FA217B"/>
    <w:rsid w:val="00FA2601"/>
    <w:rsid w:val="00FA438E"/>
    <w:rsid w:val="00FB0BC5"/>
    <w:rsid w:val="00FB0BCC"/>
    <w:rsid w:val="00FB21A0"/>
    <w:rsid w:val="00FC0FE5"/>
    <w:rsid w:val="00FC48A6"/>
    <w:rsid w:val="00FD1ABC"/>
    <w:rsid w:val="00FD7DDF"/>
    <w:rsid w:val="00FE45E0"/>
    <w:rsid w:val="00FE4C92"/>
    <w:rsid w:val="00FF0FAA"/>
    <w:rsid w:val="00FF3759"/>
    <w:rsid w:val="00FF4396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3AFF7"/>
  <w15:docId w15:val="{E2B76A89-1B85-4EEE-B987-F0A90FD8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it-IT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iPriority="0" w:unhideWhenUsed="1"/>
    <w:lsdException w:name="header" w:locked="1" w:semiHidden="1" w:uiPriority="0" w:unhideWhenUsed="1" w:qFormat="1"/>
    <w:lsdException w:name="footer" w:locked="1" w:semiHidden="1" w:uiPriority="0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31AE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styleId="Titolo1">
    <w:name w:val="heading 1"/>
    <w:basedOn w:val="Normale"/>
    <w:next w:val="Normale"/>
    <w:link w:val="Titolo1Carattere"/>
    <w:qFormat/>
    <w:rsid w:val="002131AE"/>
    <w:pPr>
      <w:numPr>
        <w:numId w:val="1"/>
      </w:numPr>
      <w:ind w:left="720" w:hanging="720"/>
      <w:outlineLvl w:val="0"/>
    </w:pPr>
    <w:rPr>
      <w:kern w:val="28"/>
    </w:rPr>
  </w:style>
  <w:style w:type="paragraph" w:styleId="Titolo2">
    <w:name w:val="heading 2"/>
    <w:basedOn w:val="Normale"/>
    <w:next w:val="Normale"/>
    <w:link w:val="Titolo2Carattere"/>
    <w:qFormat/>
    <w:rsid w:val="002131AE"/>
    <w:pPr>
      <w:numPr>
        <w:ilvl w:val="1"/>
        <w:numId w:val="1"/>
      </w:numPr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2131AE"/>
    <w:pPr>
      <w:numPr>
        <w:ilvl w:val="2"/>
        <w:numId w:val="1"/>
      </w:numPr>
      <w:ind w:left="720" w:hanging="720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2131AE"/>
    <w:pPr>
      <w:numPr>
        <w:ilvl w:val="3"/>
        <w:numId w:val="1"/>
      </w:numPr>
      <w:ind w:left="720" w:hanging="720"/>
      <w:outlineLvl w:val="3"/>
    </w:pPr>
  </w:style>
  <w:style w:type="paragraph" w:styleId="Titolo5">
    <w:name w:val="heading 5"/>
    <w:basedOn w:val="Normale"/>
    <w:next w:val="Normale"/>
    <w:link w:val="Titolo5Carattere"/>
    <w:qFormat/>
    <w:rsid w:val="002131AE"/>
    <w:pPr>
      <w:numPr>
        <w:ilvl w:val="4"/>
        <w:numId w:val="1"/>
      </w:numPr>
      <w:ind w:left="720" w:hanging="720"/>
      <w:outlineLvl w:val="4"/>
    </w:pPr>
  </w:style>
  <w:style w:type="paragraph" w:styleId="Titolo6">
    <w:name w:val="heading 6"/>
    <w:basedOn w:val="Normale"/>
    <w:next w:val="Normale"/>
    <w:link w:val="Titolo6Carattere"/>
    <w:qFormat/>
    <w:rsid w:val="002131AE"/>
    <w:pPr>
      <w:numPr>
        <w:ilvl w:val="5"/>
        <w:numId w:val="1"/>
      </w:numPr>
      <w:ind w:left="720" w:hanging="720"/>
      <w:outlineLvl w:val="5"/>
    </w:pPr>
  </w:style>
  <w:style w:type="paragraph" w:styleId="Titolo7">
    <w:name w:val="heading 7"/>
    <w:basedOn w:val="Normale"/>
    <w:next w:val="Normale"/>
    <w:link w:val="Titolo7Carattere"/>
    <w:qFormat/>
    <w:rsid w:val="002131AE"/>
    <w:pPr>
      <w:numPr>
        <w:ilvl w:val="6"/>
        <w:numId w:val="1"/>
      </w:numPr>
      <w:ind w:left="720" w:hanging="72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2131AE"/>
    <w:pPr>
      <w:numPr>
        <w:ilvl w:val="7"/>
        <w:numId w:val="1"/>
      </w:numPr>
      <w:ind w:left="720" w:hanging="720"/>
      <w:outlineLvl w:val="7"/>
    </w:pPr>
  </w:style>
  <w:style w:type="paragraph" w:styleId="Titolo9">
    <w:name w:val="heading 9"/>
    <w:basedOn w:val="Normale"/>
    <w:next w:val="Normale"/>
    <w:link w:val="Titolo9Carattere"/>
    <w:qFormat/>
    <w:rsid w:val="002131AE"/>
    <w:pPr>
      <w:numPr>
        <w:ilvl w:val="8"/>
        <w:numId w:val="1"/>
      </w:numPr>
      <w:ind w:left="720" w:hanging="72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CB1536"/>
    <w:rPr>
      <w:kern w:val="28"/>
      <w:szCs w:val="20"/>
    </w:rPr>
  </w:style>
  <w:style w:type="character" w:customStyle="1" w:styleId="Titolo2Carattere">
    <w:name w:val="Titolo 2 Carattere"/>
    <w:basedOn w:val="Carpredefinitoparagrafo"/>
    <w:link w:val="Titolo2"/>
    <w:locked/>
    <w:rsid w:val="00CB1536"/>
    <w:rPr>
      <w:szCs w:val="20"/>
    </w:rPr>
  </w:style>
  <w:style w:type="character" w:customStyle="1" w:styleId="Titolo3Carattere">
    <w:name w:val="Titolo 3 Carattere"/>
    <w:basedOn w:val="Carpredefinitoparagrafo"/>
    <w:link w:val="Titolo3"/>
    <w:locked/>
    <w:rsid w:val="00CB1536"/>
    <w:rPr>
      <w:szCs w:val="20"/>
    </w:rPr>
  </w:style>
  <w:style w:type="character" w:customStyle="1" w:styleId="Titolo4Carattere">
    <w:name w:val="Titolo 4 Carattere"/>
    <w:basedOn w:val="Carpredefinitoparagrafo"/>
    <w:link w:val="Titolo4"/>
    <w:locked/>
    <w:rsid w:val="00CB1536"/>
    <w:rPr>
      <w:szCs w:val="20"/>
    </w:rPr>
  </w:style>
  <w:style w:type="character" w:customStyle="1" w:styleId="Titolo5Carattere">
    <w:name w:val="Titolo 5 Carattere"/>
    <w:basedOn w:val="Carpredefinitoparagrafo"/>
    <w:link w:val="Titolo5"/>
    <w:locked/>
    <w:rsid w:val="00CB1536"/>
    <w:rPr>
      <w:szCs w:val="20"/>
    </w:rPr>
  </w:style>
  <w:style w:type="character" w:customStyle="1" w:styleId="Titolo6Carattere">
    <w:name w:val="Titolo 6 Carattere"/>
    <w:basedOn w:val="Carpredefinitoparagrafo"/>
    <w:link w:val="Titolo6"/>
    <w:locked/>
    <w:rsid w:val="00CB1536"/>
    <w:rPr>
      <w:szCs w:val="20"/>
    </w:rPr>
  </w:style>
  <w:style w:type="character" w:customStyle="1" w:styleId="Titolo7Carattere">
    <w:name w:val="Titolo 7 Carattere"/>
    <w:basedOn w:val="Carpredefinitoparagrafo"/>
    <w:link w:val="Titolo7"/>
    <w:locked/>
    <w:rsid w:val="00CB1536"/>
    <w:rPr>
      <w:szCs w:val="20"/>
    </w:rPr>
  </w:style>
  <w:style w:type="character" w:customStyle="1" w:styleId="Titolo8Carattere">
    <w:name w:val="Titolo 8 Carattere"/>
    <w:basedOn w:val="Carpredefinitoparagrafo"/>
    <w:link w:val="Titolo8"/>
    <w:locked/>
    <w:rsid w:val="00CB1536"/>
    <w:rPr>
      <w:szCs w:val="20"/>
    </w:rPr>
  </w:style>
  <w:style w:type="character" w:customStyle="1" w:styleId="Titolo9Carattere">
    <w:name w:val="Titolo 9 Carattere"/>
    <w:basedOn w:val="Carpredefinitoparagrafo"/>
    <w:link w:val="Titolo9"/>
    <w:locked/>
    <w:rsid w:val="00CB1536"/>
    <w:rPr>
      <w:szCs w:val="20"/>
    </w:rPr>
  </w:style>
  <w:style w:type="paragraph" w:styleId="Pidipagina">
    <w:name w:val="footer"/>
    <w:basedOn w:val="Normale"/>
    <w:link w:val="PidipaginaCarattere"/>
    <w:rsid w:val="002131AE"/>
  </w:style>
  <w:style w:type="character" w:customStyle="1" w:styleId="PidipaginaCarattere">
    <w:name w:val="Piè di pagina Carattere"/>
    <w:basedOn w:val="Carpredefinitoparagrafo"/>
    <w:link w:val="Pidipagina"/>
    <w:locked/>
    <w:rsid w:val="00CB1536"/>
    <w:rPr>
      <w:szCs w:val="20"/>
    </w:rPr>
  </w:style>
  <w:style w:type="paragraph" w:styleId="Testonotaapidipagina">
    <w:name w:val="footnote text"/>
    <w:basedOn w:val="Normale"/>
    <w:link w:val="TestonotaapidipaginaCarattere"/>
    <w:rsid w:val="002131AE"/>
    <w:pPr>
      <w:keepLines/>
      <w:spacing w:after="60" w:line="240" w:lineRule="auto"/>
      <w:ind w:left="720" w:hanging="720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CB1536"/>
    <w:rPr>
      <w:sz w:val="16"/>
      <w:szCs w:val="20"/>
      <w:lang w:eastAsia="it-IT" w:bidi="it-IT"/>
    </w:rPr>
  </w:style>
  <w:style w:type="paragraph" w:styleId="Intestazione">
    <w:name w:val="header"/>
    <w:basedOn w:val="Normale"/>
    <w:link w:val="IntestazioneCarattere"/>
    <w:rsid w:val="002131AE"/>
  </w:style>
  <w:style w:type="character" w:customStyle="1" w:styleId="IntestazioneCarattere">
    <w:name w:val="Intestazione Carattere"/>
    <w:basedOn w:val="Carpredefinitoparagrafo"/>
    <w:link w:val="Intestazione"/>
    <w:locked/>
    <w:rsid w:val="00CB1536"/>
    <w:rPr>
      <w:szCs w:val="20"/>
    </w:rPr>
  </w:style>
  <w:style w:type="character" w:styleId="Collegamentoipertestuale">
    <w:name w:val="Hyperlink"/>
    <w:basedOn w:val="Carpredefinitoparagrafo"/>
    <w:uiPriority w:val="99"/>
    <w:rsid w:val="00934C10"/>
    <w:rPr>
      <w:color w:val="0000FF"/>
      <w:u w:val="single"/>
    </w:rPr>
  </w:style>
  <w:style w:type="character" w:styleId="Rimandonotaapidipagina">
    <w:name w:val="footnote reference"/>
    <w:basedOn w:val="Carpredefinitoparagrafo"/>
    <w:rsid w:val="002131AE"/>
    <w:rPr>
      <w:sz w:val="24"/>
      <w:vertAlign w:val="superscript"/>
    </w:rPr>
  </w:style>
  <w:style w:type="character" w:styleId="Collegamentovisitato">
    <w:name w:val="FollowedHyperlink"/>
    <w:basedOn w:val="Carpredefinitoparagrafo"/>
    <w:uiPriority w:val="99"/>
    <w:rsid w:val="00934C10"/>
    <w:rPr>
      <w:color w:val="800080"/>
      <w:u w:val="single"/>
    </w:rPr>
  </w:style>
  <w:style w:type="paragraph" w:customStyle="1" w:styleId="LOGO">
    <w:name w:val="LOGO"/>
    <w:basedOn w:val="Normale"/>
    <w:uiPriority w:val="99"/>
    <w:rsid w:val="00934C10"/>
    <w:pPr>
      <w:jc w:val="center"/>
    </w:pPr>
    <w:rPr>
      <w:rFonts w:ascii="Arial" w:hAnsi="Arial" w:cs="Arial"/>
      <w:b/>
      <w:bCs/>
      <w:i/>
      <w:iCs/>
      <w:sz w:val="20"/>
    </w:rPr>
  </w:style>
  <w:style w:type="paragraph" w:styleId="Revisione">
    <w:name w:val="Revision"/>
    <w:hidden/>
    <w:uiPriority w:val="99"/>
    <w:semiHidden/>
    <w:rsid w:val="00B237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7B2"/>
    <w:rPr>
      <w:rFonts w:ascii="Tahoma" w:hAnsi="Tahoma" w:cs="Tahoma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34"/>
    <w:qFormat/>
    <w:rsid w:val="00534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292A099219C5BF43911B0000CE8DBCC8" ma:contentTypeVersion="4" ma:contentTypeDescription="Defines the documents for Document Manager V2" ma:contentTypeScope="" ma:versionID="d945b5853b9a409bd93986b015db2ee4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98af4b3d-0f8e-4839-87de-ec8dfffabf66" targetNamespace="http://schemas.microsoft.com/office/2006/metadata/properties" ma:root="true" ma:fieldsID="012abeaec5591cf3df1cee32d300b2f6" ns2:_="" ns3:_="" ns4:_="">
    <xsd:import namespace="cda99570-6012-4083-bfeb-7d32ad1ce1a3"/>
    <xsd:import namespace="http://schemas.microsoft.com/sharepoint/v3/fields"/>
    <xsd:import namespace="98af4b3d-0f8e-4839-87de-ec8dfffabf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f4b3d-0f8e-4839-87de-ec8dfffabf66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VV634QRNENMJ-762678085-5842</_dlc_DocId>
    <_dlc_DocIdUrl xmlns="cda99570-6012-4083-bfeb-7d32ad1ce1a3">
      <Url>http://dm2016/eesc/2020/_layouts/15/DocIdRedir.aspx?ID=VV634QRNENMJ-762678085-5842</Url>
      <Description>VV634QRNENMJ-762678085-5842</Description>
    </_dlc_DocIdUrl>
    <Procedure xmlns="cda99570-6012-4083-bfeb-7d32ad1ce1a3">2020/0155(COD)</Procedure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</TermName>
          <TermId xmlns="http://schemas.microsoft.com/office/infopath/2007/PartnerControls">a4cc1d15-fb08-4679-ad46-e4e0cba5fe92</TermId>
        </TermInfo>
      </Terms>
    </DocumentTyp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2020-10-30T12:00:00+00:00</ProductionDate>
    <FicheYear xmlns="cda99570-6012-4083-bfeb-7d32ad1ce1a3">2020</FicheYear>
    <DocumentNumber xmlns="98af4b3d-0f8e-4839-87de-ec8dfffabf66">3577</DocumentNumber>
    <DocumentVersion xmlns="cda99570-6012-4083-bfeb-7d32ad1ce1a3">0</DocumentVersion>
    <DossierNumber xmlns="cda99570-6012-4083-bfeb-7d32ad1ce1a3">529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 xsi:nil="true"/>
    <TaxCatchAll xmlns="cda99570-6012-4083-bfeb-7d32ad1ce1a3">
      <Value>36</Value>
      <Value>70</Value>
      <Value>1</Value>
      <Value>31</Value>
      <Value>29</Value>
      <Value>24</Value>
      <Value>80</Value>
      <Value>16</Value>
      <Value>13</Value>
      <Value>10</Value>
      <Value>6</Value>
      <Value>5</Value>
      <Value>41</Value>
      <Value>2</Value>
      <Value>38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Rapporteur xmlns="cda99570-6012-4083-bfeb-7d32ad1ce1a3">GUERINI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cda99570-6012-4083-bfeb-7d32ad1ce1a3">2020</DocumentYear>
    <FicheNumber xmlns="cda99570-6012-4083-bfeb-7d32ad1ce1a3">10514</FicheNumber>
    <DocumentPart xmlns="cda99570-6012-4083-bfeb-7d32ad1ce1a3">0</DocumentPart>
    <AdoptionDate xmlns="cda99570-6012-4083-bfeb-7d32ad1ce1a3">2020-10-29T12:00:00+00:00</AdoptionDate>
    <RequestingService xmlns="cda99570-6012-4083-bfeb-7d32ad1ce1a3">Union économique et monétaire et cohésion économique et sociale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OriginalLanguage_0>
    <MeetingNumber xmlns="98af4b3d-0f8e-4839-87de-ec8dfffabf66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</TermName>
          <TermId xmlns="http://schemas.microsoft.com/office/infopath/2007/PartnerControls">8df351f5-c957-404c-8cf3-8ffb22c9cba2</TermId>
        </TermInfo>
      </Terms>
    </DossierName_0>
  </documentManagement>
</p:properties>
</file>

<file path=customXml/itemProps1.xml><?xml version="1.0" encoding="utf-8"?>
<ds:datastoreItem xmlns:ds="http://schemas.openxmlformats.org/officeDocument/2006/customXml" ds:itemID="{2AA89FE5-2FEB-401F-9C96-4DC1D22EE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8AD52C-0DD9-406C-9355-CD5B80908A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433078F-78D4-494E-ADD9-19D7CDAC4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99570-6012-4083-bfeb-7d32ad1ce1a3"/>
    <ds:schemaRef ds:uri="http://schemas.microsoft.com/sharepoint/v3/fields"/>
    <ds:schemaRef ds:uri="98af4b3d-0f8e-4839-87de-ec8dfffab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7B074A-6CBE-4A67-A991-5B315F042647}">
  <ds:schemaRefs>
    <ds:schemaRef ds:uri="http://schemas.microsoft.com/office/2006/metadata/properties"/>
    <ds:schemaRef ds:uri="http://schemas.microsoft.com/office/infopath/2007/PartnerControls"/>
    <ds:schemaRef ds:uri="cda99570-6012-4083-bfeb-7d32ad1ce1a3"/>
    <ds:schemaRef ds:uri="http://schemas.microsoft.com/sharepoint/v3/fields"/>
    <ds:schemaRef ds:uri="98af4b3d-0f8e-4839-87de-ec8dfffabf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2797</Words>
  <Characters>15944</Characters>
  <Application>Microsoft Office Word</Application>
  <DocSecurity>0</DocSecurity>
  <Lines>132</Lines>
  <Paragraphs>37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Modifiche del Regolamento finanziario per facilitare la ripresa economica dopo la Covid-19</vt:lpstr>
      <vt:lpstr>Modifiche del Regolamento finanziario per facilitare la ripresa economica dopo la Covid-19</vt:lpstr>
    </vt:vector>
  </TitlesOfParts>
  <Company>CESE-CdR</Company>
  <LinksUpToDate>false</LinksUpToDate>
  <CharactersWithSpaces>18704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Modifiche del Regolamento finanziario per facilitare la ripresa economica dopo la Covid-19</dc:title>
  <dc:subject>Parere del Comitato</dc:subject>
  <dc:creator>Emma Nieddu</dc:creator>
  <cp:keywords>EESC-2020-03577-00-00-AC-TRA-IT</cp:keywords>
  <dc:description>Rapporteur: - GUERINI Original language: - IT Date of document: - 30/10/2020 Date of meeting: -  External documents: - COM(2020)281 Administrator responsible: - M. KLEC Gerald</dc:description>
  <cp:lastModifiedBy>Diritto Bancario</cp:lastModifiedBy>
  <cp:revision>1</cp:revision>
  <cp:lastPrinted>2016-07-15T08:05:00Z</cp:lastPrinted>
  <dcterms:created xsi:type="dcterms:W3CDTF">2020-10-30T09:08:00Z</dcterms:created>
  <dcterms:modified xsi:type="dcterms:W3CDTF">2020-11-02T14:05:00Z</dcterms:modified>
  <cp:category>ECO/529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30/10/2020, 15/10/2020, 14/10/2020, 01/10/2020, 07/09/2020, 04/11/2015, 27/10/2015, 19/10/2015, 09/10/2015, 05/10/2015, 05/10/2015, 26/08/2015, 26/08/2015, 25/08/2015</vt:lpwstr>
  </property>
  <property fmtid="{D5CDD505-2E9C-101B-9397-08002B2CF9AE}" pid="4" name="Pref_Time">
    <vt:lpwstr>10:08:24, 17:09:53, 15:58:38, 08:34:57, 16:56:49, 12/10/07, 14:44:02, 16/04/16, 14:09:30, 16:24:55, 16:04:02, 08:56:14, 07:27:56, 17:31:53</vt:lpwstr>
  </property>
  <property fmtid="{D5CDD505-2E9C-101B-9397-08002B2CF9AE}" pid="5" name="Pref_User">
    <vt:lpwstr>hnic, enied, enied, mkop, jhvi, ssex, enied, amett, tvoc, mreg, mreg, amett, enied, ssex</vt:lpwstr>
  </property>
  <property fmtid="{D5CDD505-2E9C-101B-9397-08002B2CF9AE}" pid="6" name="Pref_FileName">
    <vt:lpwstr>EESC-2020-03577-00-00-AC-TRA-IT-CRR.docx, EESC-2020-03577-00-02-PAC-TRA-IT-CRR.docx, EESC-2020-03577-00-01-PAC-TRA-IT-CRR.docx, EESC-2020-03577-00-00-PAC-TRA-IT-CRR.docx, EESC-2020-03577-00-01-DT-TRA-IT-CRR.docx, EESC-2015-05408-00-00-PA-CRR-EN.docx, EESC</vt:lpwstr>
  </property>
  <property fmtid="{D5CDD505-2E9C-101B-9397-08002B2CF9AE}" pid="7" name="ContentTypeId">
    <vt:lpwstr>0x010100EA97B91038054C99906057A708A1480A00292A099219C5BF43911B0000CE8DBCC8</vt:lpwstr>
  </property>
  <property fmtid="{D5CDD505-2E9C-101B-9397-08002B2CF9AE}" pid="8" name="_dlc_DocIdItemGuid">
    <vt:lpwstr>8cf4935c-3da0-410e-baf0-cf7c9d86797c</vt:lpwstr>
  </property>
  <property fmtid="{D5CDD505-2E9C-101B-9397-08002B2CF9AE}" pid="9" name="Procedure">
    <vt:lpwstr>2020/0155(COD)</vt:lpwstr>
  </property>
  <property fmtid="{D5CDD505-2E9C-101B-9397-08002B2CF9AE}" pid="10" name="AvailableTranslations">
    <vt:lpwstr>24;#LV|46f7e311-5d9f-4663-b433-18aeccb7ace7;#41;#NL|55c6556c-b4f4-441d-9acf-c498d4f838bd;#38;#EL|6d4f4d51-af9b-4650-94b4-4276bee85c91;#36;#MT|7df99101-6854-4a26-b53a-b88c0da02c26;#10;#DE|f6b31e5a-26fa-4935-b661-318e46daf27e;#29;#PT|50ccc04a-eadd-42ae-a0cb</vt:lpwstr>
  </property>
  <property fmtid="{D5CDD505-2E9C-101B-9397-08002B2CF9AE}" pid="11" name="DocumentType_0">
    <vt:lpwstr>AC|a4cc1d15-fb08-4679-ad46-e4e0cba5fe92</vt:lpwstr>
  </property>
  <property fmtid="{D5CDD505-2E9C-101B-9397-08002B2CF9AE}" pid="12" name="DossierName_0">
    <vt:lpwstr>ECO|8df351f5-c957-404c-8cf3-8ffb22c9cba2</vt:lpwstr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3577</vt:i4>
  </property>
  <property fmtid="{D5CDD505-2E9C-101B-9397-08002B2CF9AE}" pid="15" name="FicheYear">
    <vt:i4>2020</vt:i4>
  </property>
  <property fmtid="{D5CDD505-2E9C-101B-9397-08002B2CF9AE}" pid="16" name="DocumentVersion">
    <vt:i4>0</vt:i4>
  </property>
  <property fmtid="{D5CDD505-2E9C-101B-9397-08002B2CF9AE}" pid="17" name="DossierNumber">
    <vt:i4>529</vt:i4>
  </property>
  <property fmtid="{D5CDD505-2E9C-101B-9397-08002B2CF9AE}" pid="18" name="DocumentStatus">
    <vt:lpwstr>2;#TRA|150d2a88-1431-44e6-a8ca-0bb753ab8672</vt:lpwstr>
  </property>
  <property fmtid="{D5CDD505-2E9C-101B-9397-08002B2CF9AE}" pid="19" name="DocumentPart">
    <vt:i4>0</vt:i4>
  </property>
  <property fmtid="{D5CDD505-2E9C-101B-9397-08002B2CF9AE}" pid="20" name="DossierName">
    <vt:lpwstr>80;#ECO|8df351f5-c957-404c-8cf3-8ffb22c9cba2</vt:lpwstr>
  </property>
  <property fmtid="{D5CDD505-2E9C-101B-9397-08002B2CF9AE}" pid="21" name="DocumentSource">
    <vt:lpwstr>1;#EESC|422833ec-8d7e-4e65-8e4e-8bed07ffb729</vt:lpwstr>
  </property>
  <property fmtid="{D5CDD505-2E9C-101B-9397-08002B2CF9AE}" pid="22" name="AdoptionDate">
    <vt:filetime>2020-10-29T12:00:00Z</vt:filetime>
  </property>
  <property fmtid="{D5CDD505-2E9C-101B-9397-08002B2CF9AE}" pid="23" name="DocumentType">
    <vt:lpwstr>70;#AC|a4cc1d15-fb08-4679-ad46-e4e0cba5fe92</vt:lpwstr>
  </property>
  <property fmtid="{D5CDD505-2E9C-101B-9397-08002B2CF9AE}" pid="24" name="RequestingService">
    <vt:lpwstr>Union économique et monétaire et cohésion économique et sociale</vt:lpwstr>
  </property>
  <property fmtid="{D5CDD505-2E9C-101B-9397-08002B2CF9AE}" pid="25" name="Confidentiality">
    <vt:lpwstr>5;#Unrestricted|826e22d7-d029-4ec0-a450-0c28ff673572</vt:lpwstr>
  </property>
  <property fmtid="{D5CDD505-2E9C-101B-9397-08002B2CF9AE}" pid="26" name="MeetingName_0">
    <vt:lpwstr/>
  </property>
  <property fmtid="{D5CDD505-2E9C-101B-9397-08002B2CF9AE}" pid="27" name="Confidentiality_0">
    <vt:lpwstr>Unrestricted|826e22d7-d029-4ec0-a450-0c28ff673572</vt:lpwstr>
  </property>
  <property fmtid="{D5CDD505-2E9C-101B-9397-08002B2CF9AE}" pid="28" name="OriginalLanguage">
    <vt:lpwstr>13;#IT|0774613c-01ed-4e5d-a25d-11d2388de825</vt:lpwstr>
  </property>
  <property fmtid="{D5CDD505-2E9C-101B-9397-08002B2CF9AE}" pid="29" name="MeetingName">
    <vt:lpwstr/>
  </property>
  <property fmtid="{D5CDD505-2E9C-101B-9397-08002B2CF9AE}" pid="30" name="AvailableTranslations_0">
    <vt:lpwstr/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IT|0774613c-01ed-4e5d-a25d-11d2388de825</vt:lpwstr>
  </property>
  <property fmtid="{D5CDD505-2E9C-101B-9397-08002B2CF9AE}" pid="33" name="TaxCatchAll">
    <vt:lpwstr>13;#IT|0774613c-01ed-4e5d-a25d-11d2388de825;#2;#TRA|150d2a88-1431-44e6-a8ca-0bb753ab8672;#80;#ECO|8df351f5-c957-404c-8cf3-8ffb22c9cba2;#6;#Final|ea5e6674-7b27-4bac-b091-73adbb394efe;#5;#Unrestricted|826e22d7-d029-4ec0-a450-0c28ff673572;#70;#AC|a4cc1d15-fb</vt:lpwstr>
  </property>
  <property fmtid="{D5CDD505-2E9C-101B-9397-08002B2CF9AE}" pid="34" name="Rapporteur">
    <vt:lpwstr>GUERINI</vt:lpwstr>
  </property>
  <property fmtid="{D5CDD505-2E9C-101B-9397-08002B2CF9AE}" pid="35" name="VersionStatus_0">
    <vt:lpwstr>Final|ea5e6674-7b27-4bac-b091-73adbb394efe</vt:lpwstr>
  </property>
  <property fmtid="{D5CDD505-2E9C-101B-9397-08002B2CF9AE}" pid="36" name="VersionStatus">
    <vt:lpwstr>6;#Final|ea5e6674-7b27-4bac-b091-73adbb394efe</vt:lpwstr>
  </property>
  <property fmtid="{D5CDD505-2E9C-101B-9397-08002B2CF9AE}" pid="37" name="DocumentYear">
    <vt:i4>2020</vt:i4>
  </property>
  <property fmtid="{D5CDD505-2E9C-101B-9397-08002B2CF9AE}" pid="38" name="FicheNumber">
    <vt:i4>10514</vt:i4>
  </property>
  <property fmtid="{D5CDD505-2E9C-101B-9397-08002B2CF9AE}" pid="39" name="DocumentLanguage">
    <vt:lpwstr>13;#IT|0774613c-01ed-4e5d-a25d-11d2388de825</vt:lpwstr>
  </property>
  <property fmtid="{D5CDD505-2E9C-101B-9397-08002B2CF9AE}" pid="40" name="_docset_NoMedatataSyncRequired">
    <vt:lpwstr>False</vt:lpwstr>
  </property>
</Properties>
</file>