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00CA8EB2" w14:textId="77777777" w:rsidR="00E00BB5" w:rsidRPr="008C64DC" w:rsidRDefault="00E00BB5" w:rsidP="00E00BB5"/>
        <w:p w14:paraId="75D0FBD5" w14:textId="3AF6891E" w:rsidR="00E00BB5" w:rsidRPr="008C64DC" w:rsidRDefault="0022391F" w:rsidP="00E00BB5">
          <w:pPr>
            <w:pStyle w:val="Titlelevel1"/>
            <w:rPr>
              <w:lang w:val="en-GB"/>
            </w:rPr>
          </w:pPr>
          <w:proofErr w:type="spellStart"/>
          <w:r>
            <w:rPr>
              <w:lang w:val="en-GB"/>
            </w:rPr>
            <w:t>Creditreform</w:t>
          </w:r>
          <w:proofErr w:type="spellEnd"/>
          <w:r>
            <w:rPr>
              <w:lang w:val="en-GB"/>
            </w:rPr>
            <w:t xml:space="preserve"> Rating AG</w:t>
          </w:r>
          <w:r w:rsidR="009B7D6B">
            <w:rPr>
              <w:lang w:val="en-GB"/>
            </w:rPr>
            <w:t>’s</w:t>
          </w:r>
          <w:r w:rsidR="004E160A" w:rsidRPr="004E160A">
            <w:rPr>
              <w:lang w:val="en-GB"/>
            </w:rPr>
            <w:t xml:space="preserve"> credit assessments under the Standardised Approach</w:t>
          </w:r>
          <w:r w:rsidR="00E00BB5" w:rsidRPr="008C64DC">
            <w:rPr>
              <w:lang w:val="en-GB"/>
            </w:rPr>
            <w:t xml:space="preserve"> </w:t>
          </w:r>
        </w:p>
        <w:p w14:paraId="6D5A0AEC" w14:textId="585D216C" w:rsidR="00D63A88" w:rsidRDefault="00D63A88" w:rsidP="00D83AAF">
          <w:pPr>
            <w:pStyle w:val="Numberedtitlelevel2"/>
            <w:ind w:left="357" w:hanging="357"/>
            <w:outlineLvl w:val="0"/>
          </w:pPr>
          <w:r>
            <w:t>Executive summary</w:t>
          </w:r>
          <w:r w:rsidR="0038678F">
            <w:rPr>
              <w:rStyle w:val="FootnoteReference"/>
            </w:rPr>
            <w:footnoteReference w:id="2"/>
          </w:r>
        </w:p>
        <w:p w14:paraId="6F9CA5DF" w14:textId="77777777" w:rsidR="004D0F14" w:rsidRDefault="004D0F14" w:rsidP="00605D18">
          <w:pPr>
            <w:pStyle w:val="numberedparagraph"/>
            <w:tabs>
              <w:tab w:val="clear" w:pos="976"/>
              <w:tab w:val="num" w:pos="284"/>
            </w:tabs>
            <w:ind w:left="284"/>
          </w:pPr>
          <w:r w:rsidRPr="00F55A52">
            <w:t xml:space="preserve">The methodology applied to produce the mapping is the one specified in the </w:t>
          </w:r>
          <w:r w:rsidRPr="00AA648D">
            <w:t>Commission Implementing Regulation (EU) 2016/1799 of 7 October 2016 (the Implementing Regulation)</w:t>
          </w:r>
          <w:r w:rsidRPr="001C045D">
            <w:rPr>
              <w:rStyle w:val="FootnoteReference"/>
            </w:rPr>
            <w:t xml:space="preserve"> </w:t>
          </w:r>
          <w:r w:rsidRPr="001C045D">
            <w:rPr>
              <w:rStyle w:val="FootnoteReference"/>
            </w:rPr>
            <w:footnoteReference w:id="3"/>
          </w:r>
          <w:r w:rsidRPr="00AA648D">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Pr="001C045D">
            <w:t xml:space="preserve"> </w:t>
          </w:r>
          <w:r w:rsidRPr="00F55A52">
            <w:t xml:space="preserve">(Capital Requirements Regulation – CRR). </w:t>
          </w:r>
          <w:r>
            <w:t>This</w:t>
          </w:r>
          <w:r w:rsidRPr="00F55A52">
            <w:t xml:space="preserve"> </w:t>
          </w:r>
          <w:r w:rsidRPr="006839C8">
            <w:t>I</w:t>
          </w:r>
          <w:r>
            <w:t>mplementing</w:t>
          </w:r>
          <w:r w:rsidRPr="006839C8">
            <w:t xml:space="preserve"> </w:t>
          </w:r>
          <w:r>
            <w:t xml:space="preserve">Regulation </w:t>
          </w:r>
          <w:r w:rsidRPr="00F55A52">
            <w:t>employ</w:t>
          </w:r>
          <w:r>
            <w:t>s</w:t>
          </w:r>
          <w:r w:rsidRPr="00F55A52">
            <w:t xml:space="preserve"> a combination of the provisions laid down in Article 136(2) of </w:t>
          </w:r>
          <w:r>
            <w:t>the CRR</w:t>
          </w:r>
          <w:r w:rsidRPr="00F55A52">
            <w:t>.</w:t>
          </w:r>
        </w:p>
        <w:p w14:paraId="6794412A" w14:textId="0CBFD55D" w:rsidR="004D0F14" w:rsidRDefault="004D0F14" w:rsidP="00605D18">
          <w:pPr>
            <w:pStyle w:val="numberedparagraph"/>
            <w:tabs>
              <w:tab w:val="clear" w:pos="976"/>
              <w:tab w:val="num" w:pos="284"/>
            </w:tabs>
            <w:ind w:left="284"/>
          </w:pPr>
          <w:r>
            <w:t xml:space="preserve">The information base used reflects additional quantitative </w:t>
          </w:r>
          <w:r w:rsidR="00070E66">
            <w:t xml:space="preserve">and qualitative </w:t>
          </w:r>
          <w:r>
            <w:t xml:space="preserve">information collected after the submission of the draft Implementing Technical Standards by the JC to the European Commission. </w:t>
          </w:r>
        </w:p>
        <w:p w14:paraId="3D94CA7D" w14:textId="77777777" w:rsidR="00DA5265" w:rsidRDefault="00DA5265" w:rsidP="00605D18">
          <w:pPr>
            <w:pStyle w:val="numberedparagraph"/>
            <w:tabs>
              <w:tab w:val="clear" w:pos="976"/>
              <w:tab w:val="num" w:pos="284"/>
            </w:tabs>
            <w:ind w:left="284"/>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DF71B5">
            <w:rPr>
              <w:rStyle w:val="FootnoteReference"/>
            </w:rPr>
            <w:footnoteReference w:id="4"/>
          </w:r>
          <w:r w:rsidRPr="00540BB7">
            <w:t xml:space="preserve"> nor should be understood as a comparison of the rating methodologies of </w:t>
          </w:r>
          <w:proofErr w:type="spellStart"/>
          <w:r w:rsidR="009B7D6B">
            <w:t>C</w:t>
          </w:r>
          <w:r w:rsidR="0022391F">
            <w:t>reditreform</w:t>
          </w:r>
          <w:proofErr w:type="spellEnd"/>
          <w:r>
            <w:t xml:space="preserve"> </w:t>
          </w:r>
          <w:r w:rsidRPr="00540BB7">
            <w:t xml:space="preserve">with those of other ECAIs. This mapping should however be interpreted as the correspondence of the rating categories of </w:t>
          </w:r>
          <w:proofErr w:type="spellStart"/>
          <w:r w:rsidR="009B7D6B">
            <w:t>C</w:t>
          </w:r>
          <w:r w:rsidR="0022391F">
            <w:t>reditreform</w:t>
          </w:r>
          <w:proofErr w:type="spellEnd"/>
          <w:r w:rsidRPr="00540BB7">
            <w:t xml:space="preserve"> with a regulatory scale which has been defined for prudential purposes. </w:t>
          </w:r>
        </w:p>
        <w:p w14:paraId="1028FC46" w14:textId="2CDEE092" w:rsidR="004D0F14" w:rsidRDefault="004D0F14" w:rsidP="00605D18">
          <w:pPr>
            <w:pStyle w:val="numberedparagraph"/>
            <w:tabs>
              <w:tab w:val="clear" w:pos="976"/>
              <w:tab w:val="num" w:pos="284"/>
            </w:tabs>
            <w:ind w:left="284"/>
          </w:pPr>
          <w:r>
            <w:t xml:space="preserve">As described in Recital 12 of the </w:t>
          </w:r>
          <w:r w:rsidRPr="00565F54">
            <w:t xml:space="preserve">Implementing </w:t>
          </w:r>
          <w:r>
            <w:t xml:space="preserve">Regulation, it is necessary to avoid causing undue material disadvantage on those ECAIs which, due to their more recent entrance in the market, present limited quantitative information, with the view to balancing prudential with market </w:t>
          </w:r>
          <w:r>
            <w:lastRenderedPageBreak/>
            <w:t>concerns. Updates to the mapping should be made wherever this becomes necessary to reflect quantitative information collected after the entry into force of the Implementing Regulation</w:t>
          </w:r>
          <w:r w:rsidR="00237008">
            <w:t>.</w:t>
          </w:r>
        </w:p>
        <w:p w14:paraId="0F62BB43" w14:textId="06FD2F1E" w:rsidR="0025349E" w:rsidRPr="00D83AAF" w:rsidRDefault="004D0F14" w:rsidP="00605D18">
          <w:pPr>
            <w:pStyle w:val="numberedparagraph"/>
            <w:tabs>
              <w:tab w:val="clear" w:pos="976"/>
              <w:tab w:val="num" w:pos="284"/>
            </w:tabs>
            <w:ind w:left="284"/>
            <w:rPr>
              <w:bCs/>
              <w:color w:val="2F5773" w:themeColor="accent1"/>
              <w:szCs w:val="22"/>
            </w:rPr>
          </w:pPr>
          <w:r w:rsidRPr="00F55A52">
            <w:t xml:space="preserve">The resulting mapping tables have been specified in Annex III of the </w:t>
          </w:r>
          <w:r>
            <w:t xml:space="preserve">revised draft </w:t>
          </w:r>
          <w:proofErr w:type="gramStart"/>
          <w:r>
            <w:t>ITS</w:t>
          </w:r>
          <w:proofErr w:type="gramEnd"/>
          <w:r w:rsidRPr="00F55A52">
            <w:t xml:space="preserve"> on the mapping of ECAIs’ credit assessments under Article 136(1) and (3) of Regulation (EU) No 575/2013.</w:t>
          </w:r>
          <w:r w:rsidR="0025349E">
            <w:t xml:space="preserve"> </w:t>
          </w:r>
          <w:r>
            <w:t>Figure 1</w:t>
          </w:r>
          <w:r w:rsidR="001A690D">
            <w:t xml:space="preserve"> </w:t>
          </w:r>
          <w:r w:rsidR="00D54686">
            <w:t xml:space="preserve">below </w:t>
          </w:r>
          <w:r w:rsidR="001A690D">
            <w:t xml:space="preserve">shows the result for </w:t>
          </w:r>
          <w:proofErr w:type="spellStart"/>
          <w:r w:rsidR="00DF3102">
            <w:t>Creditreform</w:t>
          </w:r>
          <w:r w:rsidR="00611723">
            <w:t>’s</w:t>
          </w:r>
          <w:proofErr w:type="spellEnd"/>
          <w:r w:rsidR="00DF3102">
            <w:t xml:space="preserve"> </w:t>
          </w:r>
          <w:bookmarkStart w:id="0" w:name="_Ref384799510"/>
          <w:r>
            <w:t>long-term</w:t>
          </w:r>
          <w:r w:rsidR="00743AB9">
            <w:t xml:space="preserve"> issuer</w:t>
          </w:r>
          <w:r>
            <w:t xml:space="preserve"> rating scale.</w:t>
          </w:r>
        </w:p>
        <w:p w14:paraId="59B6A4CC" w14:textId="77777777" w:rsidR="00611723" w:rsidRDefault="00611723" w:rsidP="00671D4C"/>
        <w:p w14:paraId="4EDD0D6F" w14:textId="77777777" w:rsidR="00611723" w:rsidRPr="00671D4C" w:rsidRDefault="00611723" w:rsidP="00671D4C"/>
        <w:p w14:paraId="115947AC" w14:textId="69DF91B7" w:rsidR="0041788D" w:rsidRDefault="0041788D" w:rsidP="0041788D">
          <w:pPr>
            <w:pStyle w:val="Caption"/>
            <w:keepNext/>
            <w:rPr>
              <w:b w:val="0"/>
              <w:sz w:val="22"/>
              <w:szCs w:val="22"/>
            </w:rPr>
          </w:pPr>
          <w:bookmarkStart w:id="1"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5E03FA">
            <w:rPr>
              <w:b w:val="0"/>
              <w:noProof/>
              <w:sz w:val="22"/>
              <w:szCs w:val="22"/>
            </w:rPr>
            <w:t>1</w:t>
          </w:r>
          <w:r w:rsidRPr="0041788D">
            <w:rPr>
              <w:b w:val="0"/>
              <w:sz w:val="22"/>
              <w:szCs w:val="22"/>
            </w:rPr>
            <w:fldChar w:fldCharType="end"/>
          </w:r>
          <w:bookmarkEnd w:id="0"/>
          <w:bookmarkEnd w:id="1"/>
          <w:r w:rsidRPr="0041788D">
            <w:rPr>
              <w:b w:val="0"/>
              <w:sz w:val="22"/>
              <w:szCs w:val="22"/>
            </w:rPr>
            <w:t xml:space="preserve">: Mapping of </w:t>
          </w:r>
          <w:proofErr w:type="spellStart"/>
          <w:r w:rsidR="00CD021B">
            <w:rPr>
              <w:b w:val="0"/>
              <w:sz w:val="22"/>
              <w:szCs w:val="22"/>
            </w:rPr>
            <w:t>Creditreform</w:t>
          </w:r>
          <w:r w:rsidRPr="0041788D">
            <w:rPr>
              <w:b w:val="0"/>
              <w:sz w:val="22"/>
              <w:szCs w:val="22"/>
            </w:rPr>
            <w:t>’s</w:t>
          </w:r>
          <w:proofErr w:type="spellEnd"/>
          <w:r w:rsidRPr="0041788D">
            <w:rPr>
              <w:b w:val="0"/>
              <w:sz w:val="22"/>
              <w:szCs w:val="22"/>
            </w:rPr>
            <w:t xml:space="preserve"> </w:t>
          </w:r>
          <w:r w:rsidR="00611723">
            <w:rPr>
              <w:b w:val="0"/>
              <w:sz w:val="22"/>
              <w:szCs w:val="22"/>
            </w:rPr>
            <w:t>long</w:t>
          </w:r>
          <w:r w:rsidR="00DF3102">
            <w:rPr>
              <w:b w:val="0"/>
              <w:sz w:val="22"/>
              <w:szCs w:val="22"/>
            </w:rPr>
            <w:t>-term</w:t>
          </w:r>
          <w:r w:rsidR="00743AB9">
            <w:rPr>
              <w:b w:val="0"/>
              <w:sz w:val="22"/>
              <w:szCs w:val="22"/>
            </w:rPr>
            <w:t xml:space="preserve"> issuer</w:t>
          </w:r>
          <w:r w:rsidR="00DF3102">
            <w:rPr>
              <w:b w:val="0"/>
              <w:sz w:val="22"/>
              <w:szCs w:val="22"/>
            </w:rPr>
            <w:t xml:space="preserve"> </w:t>
          </w:r>
          <w:r w:rsidR="0067028E">
            <w:rPr>
              <w:b w:val="0"/>
              <w:sz w:val="22"/>
              <w:szCs w:val="22"/>
            </w:rPr>
            <w:t>rating scale</w:t>
          </w:r>
        </w:p>
        <w:p w14:paraId="291F5DFD" w14:textId="77777777" w:rsidR="003D469C" w:rsidRPr="00671D4C" w:rsidRDefault="003D469C" w:rsidP="00671D4C">
          <w:pPr>
            <w:rPr>
              <w:b/>
            </w:rPr>
          </w:pPr>
        </w:p>
        <w:tbl>
          <w:tblPr>
            <w:tblStyle w:val="TableGrid"/>
            <w:tblpPr w:leftFromText="181" w:rightFromText="181" w:vertAnchor="text" w:horzAnchor="margin" w:tblpXSpec="center" w:tblpY="1"/>
            <w:tblW w:w="4928" w:type="dxa"/>
            <w:tblLayout w:type="fixed"/>
            <w:tblLook w:val="04A0" w:firstRow="1" w:lastRow="0" w:firstColumn="1" w:lastColumn="0" w:noHBand="0" w:noVBand="1"/>
          </w:tblPr>
          <w:tblGrid>
            <w:gridCol w:w="2093"/>
            <w:gridCol w:w="2835"/>
          </w:tblGrid>
          <w:tr w:rsidR="00611723" w:rsidRPr="00157D76" w14:paraId="3DFC6821" w14:textId="77777777" w:rsidTr="00E30F40">
            <w:trPr>
              <w:cnfStyle w:val="100000000000" w:firstRow="1" w:lastRow="0" w:firstColumn="0" w:lastColumn="0" w:oddVBand="0" w:evenVBand="0" w:oddHBand="0" w:evenHBand="0" w:firstRowFirstColumn="0" w:firstRowLastColumn="0" w:lastRowFirstColumn="0" w:lastRowLastColumn="0"/>
              <w:trHeight w:val="567"/>
            </w:trPr>
            <w:tc>
              <w:tcPr>
                <w:tcW w:w="2093" w:type="dxa"/>
                <w:tcBorders>
                  <w:bottom w:val="single" w:sz="18" w:space="0" w:color="E98E31" w:themeColor="background2"/>
                </w:tcBorders>
              </w:tcPr>
              <w:p w14:paraId="336577D8" w14:textId="77777777" w:rsidR="00611723" w:rsidRPr="00157D76" w:rsidRDefault="00611723" w:rsidP="00E30F40">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14:paraId="56B37781" w14:textId="77777777" w:rsidR="00611723" w:rsidRDefault="00611723" w:rsidP="00671D4C">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611723" w:rsidRPr="00157D76" w14:paraId="08C957DD" w14:textId="77777777" w:rsidTr="00E30F40">
            <w:trPr>
              <w:trHeight w:val="567"/>
            </w:trPr>
            <w:tc>
              <w:tcPr>
                <w:tcW w:w="2093" w:type="dxa"/>
                <w:tcBorders>
                  <w:top w:val="single" w:sz="18" w:space="0" w:color="E98E31" w:themeColor="background2"/>
                  <w:bottom w:val="dashed" w:sz="4" w:space="0" w:color="auto"/>
                </w:tcBorders>
              </w:tcPr>
              <w:p w14:paraId="173392C8" w14:textId="77777777" w:rsidR="00611723" w:rsidRPr="00157D76" w:rsidRDefault="00611723" w:rsidP="00E30F4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14:paraId="3092BF80" w14:textId="77777777" w:rsidR="00611723" w:rsidRPr="00DD04D3" w:rsidRDefault="00611723" w:rsidP="00E30F40">
                <w:pPr>
                  <w:pStyle w:val="BodyText1"/>
                  <w:spacing w:before="120" w:after="120"/>
                  <w:ind w:right="81"/>
                  <w:jc w:val="center"/>
                  <w:rPr>
                    <w:rFonts w:asciiTheme="majorHAnsi" w:hAnsiTheme="majorHAnsi" w:cs="Arial"/>
                    <w:b/>
                    <w:sz w:val="22"/>
                    <w:szCs w:val="22"/>
                  </w:rPr>
                </w:pPr>
                <w:r w:rsidRPr="00DD04D3">
                  <w:rPr>
                    <w:rFonts w:asciiTheme="majorHAnsi" w:hAnsiTheme="majorHAnsi" w:cs="Arial"/>
                    <w:b/>
                    <w:sz w:val="22"/>
                    <w:szCs w:val="22"/>
                  </w:rPr>
                  <w:t>1</w:t>
                </w:r>
              </w:p>
            </w:tc>
          </w:tr>
          <w:tr w:rsidR="00611723" w:rsidRPr="00157D76" w14:paraId="112BD795" w14:textId="77777777" w:rsidTr="00E30F40">
            <w:trPr>
              <w:trHeight w:val="567"/>
            </w:trPr>
            <w:tc>
              <w:tcPr>
                <w:tcW w:w="2093" w:type="dxa"/>
                <w:tcBorders>
                  <w:bottom w:val="dashed" w:sz="4" w:space="0" w:color="auto"/>
                </w:tcBorders>
              </w:tcPr>
              <w:p w14:paraId="2F3C5BE7" w14:textId="77777777" w:rsidR="00611723" w:rsidRPr="00157D76" w:rsidRDefault="00611723" w:rsidP="00E30F4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835" w:type="dxa"/>
                <w:tcBorders>
                  <w:bottom w:val="single" w:sz="4" w:space="0" w:color="auto"/>
                </w:tcBorders>
              </w:tcPr>
              <w:p w14:paraId="399E839C" w14:textId="77777777" w:rsidR="00611723" w:rsidRPr="00DD04D3" w:rsidRDefault="00611723" w:rsidP="00E30F40">
                <w:pPr>
                  <w:pStyle w:val="BodyText1"/>
                  <w:spacing w:before="120" w:after="120"/>
                  <w:ind w:right="81"/>
                  <w:jc w:val="center"/>
                  <w:rPr>
                    <w:rFonts w:asciiTheme="majorHAnsi" w:hAnsiTheme="majorHAnsi" w:cs="Arial"/>
                    <w:b/>
                    <w:sz w:val="22"/>
                    <w:szCs w:val="22"/>
                  </w:rPr>
                </w:pPr>
                <w:r w:rsidRPr="00DD04D3">
                  <w:rPr>
                    <w:rFonts w:asciiTheme="majorHAnsi" w:hAnsiTheme="majorHAnsi" w:cs="Arial"/>
                    <w:b/>
                    <w:sz w:val="22"/>
                    <w:szCs w:val="22"/>
                  </w:rPr>
                  <w:t>1</w:t>
                </w:r>
              </w:p>
            </w:tc>
          </w:tr>
          <w:tr w:rsidR="00611723" w:rsidRPr="00157D76" w14:paraId="45D50B95" w14:textId="77777777" w:rsidTr="00E30F40">
            <w:trPr>
              <w:trHeight w:val="567"/>
            </w:trPr>
            <w:tc>
              <w:tcPr>
                <w:tcW w:w="2093" w:type="dxa"/>
                <w:tcBorders>
                  <w:bottom w:val="dashed" w:sz="4" w:space="0" w:color="auto"/>
                </w:tcBorders>
              </w:tcPr>
              <w:p w14:paraId="59FA35C9" w14:textId="77777777" w:rsidR="00611723" w:rsidRPr="00157D76" w:rsidRDefault="00611723" w:rsidP="00E30F4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14:paraId="6EEE44DF" w14:textId="77777777" w:rsidR="00611723" w:rsidRPr="00DD04D3" w:rsidRDefault="00611723" w:rsidP="00E30F40">
                <w:pPr>
                  <w:pStyle w:val="BodyText1"/>
                  <w:spacing w:before="120" w:after="120"/>
                  <w:ind w:right="81"/>
                  <w:jc w:val="center"/>
                  <w:rPr>
                    <w:rFonts w:asciiTheme="majorHAnsi" w:hAnsiTheme="majorHAnsi" w:cs="Arial"/>
                    <w:b/>
                    <w:sz w:val="22"/>
                    <w:szCs w:val="22"/>
                  </w:rPr>
                </w:pPr>
                <w:r w:rsidRPr="00DD04D3">
                  <w:rPr>
                    <w:rFonts w:asciiTheme="majorHAnsi" w:hAnsiTheme="majorHAnsi" w:cs="Arial"/>
                    <w:b/>
                    <w:sz w:val="22"/>
                    <w:szCs w:val="22"/>
                  </w:rPr>
                  <w:t>2</w:t>
                </w:r>
              </w:p>
            </w:tc>
          </w:tr>
          <w:tr w:rsidR="00611723" w:rsidRPr="00157D76" w14:paraId="103B2472" w14:textId="77777777" w:rsidTr="00E30F40">
            <w:trPr>
              <w:trHeight w:val="567"/>
            </w:trPr>
            <w:tc>
              <w:tcPr>
                <w:tcW w:w="2093" w:type="dxa"/>
              </w:tcPr>
              <w:p w14:paraId="192A349D" w14:textId="77777777" w:rsidR="00611723" w:rsidRPr="00157D76" w:rsidRDefault="00611723" w:rsidP="00E30F4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835" w:type="dxa"/>
              </w:tcPr>
              <w:p w14:paraId="03312A94" w14:textId="77777777" w:rsidR="00611723" w:rsidRPr="00B86C82" w:rsidRDefault="00B86C82" w:rsidP="00E30F40">
                <w:pPr>
                  <w:pStyle w:val="BodyText1"/>
                  <w:spacing w:before="120" w:after="120"/>
                  <w:ind w:right="81"/>
                  <w:jc w:val="center"/>
                  <w:rPr>
                    <w:rFonts w:asciiTheme="majorHAnsi" w:hAnsiTheme="majorHAnsi" w:cs="Arial"/>
                    <w:b/>
                    <w:sz w:val="22"/>
                    <w:szCs w:val="22"/>
                  </w:rPr>
                </w:pPr>
                <w:r w:rsidRPr="00671D4C">
                  <w:rPr>
                    <w:rFonts w:asciiTheme="majorHAnsi" w:hAnsiTheme="majorHAnsi" w:cs="Arial"/>
                    <w:b/>
                    <w:sz w:val="22"/>
                    <w:szCs w:val="22"/>
                  </w:rPr>
                  <w:t>4</w:t>
                </w:r>
              </w:p>
            </w:tc>
          </w:tr>
          <w:tr w:rsidR="00611723" w:rsidRPr="00157D76" w14:paraId="072ED75B" w14:textId="77777777" w:rsidTr="00E30F40">
            <w:trPr>
              <w:trHeight w:val="567"/>
            </w:trPr>
            <w:tc>
              <w:tcPr>
                <w:tcW w:w="2093" w:type="dxa"/>
              </w:tcPr>
              <w:p w14:paraId="47F1D121" w14:textId="77777777" w:rsidR="00611723" w:rsidRPr="00157D76" w:rsidRDefault="00611723" w:rsidP="00E30F4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835" w:type="dxa"/>
              </w:tcPr>
              <w:p w14:paraId="22F0B3CF" w14:textId="77777777" w:rsidR="00611723" w:rsidRPr="00B86C82" w:rsidRDefault="00B86C82" w:rsidP="00E30F40">
                <w:pPr>
                  <w:pStyle w:val="BodyText1"/>
                  <w:spacing w:before="120" w:after="120"/>
                  <w:ind w:right="81"/>
                  <w:jc w:val="center"/>
                  <w:rPr>
                    <w:rFonts w:asciiTheme="majorHAnsi" w:hAnsiTheme="majorHAnsi" w:cs="Arial"/>
                    <w:b/>
                    <w:sz w:val="22"/>
                    <w:szCs w:val="22"/>
                  </w:rPr>
                </w:pPr>
                <w:r w:rsidRPr="00671D4C">
                  <w:rPr>
                    <w:rFonts w:asciiTheme="majorHAnsi" w:hAnsiTheme="majorHAnsi" w:cs="Arial"/>
                    <w:b/>
                    <w:sz w:val="22"/>
                    <w:szCs w:val="22"/>
                  </w:rPr>
                  <w:t>5</w:t>
                </w:r>
              </w:p>
            </w:tc>
          </w:tr>
          <w:tr w:rsidR="00611723" w:rsidRPr="00157D76" w14:paraId="29A0220E" w14:textId="77777777" w:rsidTr="00E30F40">
            <w:trPr>
              <w:trHeight w:val="567"/>
            </w:trPr>
            <w:tc>
              <w:tcPr>
                <w:tcW w:w="2093" w:type="dxa"/>
              </w:tcPr>
              <w:p w14:paraId="2B0878A7" w14:textId="77777777" w:rsidR="00611723" w:rsidRPr="00157D76" w:rsidRDefault="00611723" w:rsidP="00E30F4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14:paraId="7F097A27" w14:textId="77777777" w:rsidR="00611723" w:rsidRPr="00B86C82" w:rsidRDefault="00B86C82" w:rsidP="00E30F40">
                <w:pPr>
                  <w:pStyle w:val="BodyText1"/>
                  <w:spacing w:before="120" w:after="120"/>
                  <w:ind w:right="81"/>
                  <w:jc w:val="center"/>
                  <w:rPr>
                    <w:rFonts w:asciiTheme="majorHAnsi" w:hAnsiTheme="majorHAnsi" w:cs="Arial"/>
                    <w:b/>
                    <w:sz w:val="22"/>
                    <w:szCs w:val="22"/>
                  </w:rPr>
                </w:pPr>
                <w:r w:rsidRPr="00671D4C">
                  <w:rPr>
                    <w:rFonts w:asciiTheme="majorHAnsi" w:hAnsiTheme="majorHAnsi" w:cs="Arial"/>
                    <w:b/>
                    <w:sz w:val="22"/>
                    <w:szCs w:val="22"/>
                  </w:rPr>
                  <w:t>6</w:t>
                </w:r>
              </w:p>
            </w:tc>
          </w:tr>
          <w:tr w:rsidR="00611723" w:rsidRPr="00157D76" w14:paraId="399E8119" w14:textId="77777777" w:rsidTr="00E30F40">
            <w:trPr>
              <w:trHeight w:val="567"/>
            </w:trPr>
            <w:tc>
              <w:tcPr>
                <w:tcW w:w="2093" w:type="dxa"/>
              </w:tcPr>
              <w:p w14:paraId="7F473E89" w14:textId="77777777" w:rsidR="00611723" w:rsidRPr="00157D76" w:rsidRDefault="00611723" w:rsidP="00E30F4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p>
            </w:tc>
            <w:tc>
              <w:tcPr>
                <w:tcW w:w="2835" w:type="dxa"/>
              </w:tcPr>
              <w:p w14:paraId="6B370A99" w14:textId="77777777" w:rsidR="00611723" w:rsidRPr="00B86C82" w:rsidRDefault="00611723" w:rsidP="00E30F40">
                <w:pPr>
                  <w:pStyle w:val="BodyText1"/>
                  <w:spacing w:before="120" w:after="120"/>
                  <w:ind w:right="81"/>
                  <w:jc w:val="center"/>
                  <w:rPr>
                    <w:rFonts w:asciiTheme="majorHAnsi" w:hAnsiTheme="majorHAnsi" w:cs="Arial"/>
                    <w:b/>
                    <w:sz w:val="22"/>
                    <w:szCs w:val="22"/>
                  </w:rPr>
                </w:pPr>
                <w:r w:rsidRPr="00B86C82">
                  <w:rPr>
                    <w:rFonts w:asciiTheme="majorHAnsi" w:hAnsiTheme="majorHAnsi" w:cs="Arial"/>
                    <w:b/>
                    <w:sz w:val="22"/>
                    <w:szCs w:val="22"/>
                  </w:rPr>
                  <w:t>6</w:t>
                </w:r>
              </w:p>
            </w:tc>
          </w:tr>
          <w:tr w:rsidR="00DD04D3" w:rsidRPr="00157D76" w14:paraId="2D1F14AD" w14:textId="77777777" w:rsidTr="00E30F40">
            <w:trPr>
              <w:trHeight w:val="567"/>
            </w:trPr>
            <w:tc>
              <w:tcPr>
                <w:tcW w:w="2093" w:type="dxa"/>
              </w:tcPr>
              <w:p w14:paraId="10CB7D1E" w14:textId="77777777" w:rsidR="00DD04D3" w:rsidRPr="00157D76" w:rsidRDefault="00B86C82" w:rsidP="00E30F40">
                <w:pPr>
                  <w:pStyle w:val="BodyText1"/>
                  <w:spacing w:before="120" w:after="120"/>
                  <w:jc w:val="center"/>
                  <w:rPr>
                    <w:rFonts w:asciiTheme="majorHAnsi" w:hAnsiTheme="majorHAnsi" w:cs="Arial"/>
                    <w:b/>
                    <w:sz w:val="22"/>
                    <w:szCs w:val="22"/>
                  </w:rPr>
                </w:pPr>
                <w:r>
                  <w:rPr>
                    <w:rFonts w:asciiTheme="majorHAnsi" w:hAnsiTheme="majorHAnsi" w:cs="Arial"/>
                    <w:b/>
                    <w:sz w:val="22"/>
                    <w:szCs w:val="22"/>
                  </w:rPr>
                  <w:t>S</w:t>
                </w:r>
                <w:r w:rsidR="00DD04D3">
                  <w:rPr>
                    <w:rFonts w:asciiTheme="majorHAnsi" w:hAnsiTheme="majorHAnsi" w:cs="Arial"/>
                    <w:b/>
                    <w:sz w:val="22"/>
                    <w:szCs w:val="22"/>
                  </w:rPr>
                  <w:t>D</w:t>
                </w:r>
              </w:p>
            </w:tc>
            <w:tc>
              <w:tcPr>
                <w:tcW w:w="2835" w:type="dxa"/>
              </w:tcPr>
              <w:p w14:paraId="698BA3FD" w14:textId="77777777" w:rsidR="00DD04D3" w:rsidRPr="00671D4C" w:rsidRDefault="00DD04D3" w:rsidP="00E30F40">
                <w:pPr>
                  <w:pStyle w:val="BodyText1"/>
                  <w:spacing w:before="120" w:after="120"/>
                  <w:ind w:right="81"/>
                  <w:jc w:val="center"/>
                  <w:rPr>
                    <w:rFonts w:asciiTheme="majorHAnsi" w:hAnsiTheme="majorHAnsi" w:cs="Arial"/>
                    <w:b/>
                    <w:sz w:val="22"/>
                    <w:szCs w:val="22"/>
                  </w:rPr>
                </w:pPr>
                <w:r w:rsidRPr="00671D4C">
                  <w:rPr>
                    <w:rFonts w:asciiTheme="majorHAnsi" w:hAnsiTheme="majorHAnsi" w:cs="Arial"/>
                    <w:b/>
                    <w:sz w:val="22"/>
                    <w:szCs w:val="22"/>
                  </w:rPr>
                  <w:t>6</w:t>
                </w:r>
              </w:p>
            </w:tc>
          </w:tr>
          <w:tr w:rsidR="00DD04D3" w:rsidRPr="00157D76" w14:paraId="0D128783" w14:textId="77777777" w:rsidTr="00E30F40">
            <w:trPr>
              <w:trHeight w:val="567"/>
            </w:trPr>
            <w:tc>
              <w:tcPr>
                <w:tcW w:w="2093" w:type="dxa"/>
              </w:tcPr>
              <w:p w14:paraId="1C68FCAD" w14:textId="77777777" w:rsidR="00DD04D3" w:rsidRDefault="00DD04D3" w:rsidP="00E30F40">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2835" w:type="dxa"/>
              </w:tcPr>
              <w:p w14:paraId="02B24BCC" w14:textId="77777777" w:rsidR="00DD04D3" w:rsidRPr="00671D4C" w:rsidRDefault="00DD04D3" w:rsidP="00E30F40">
                <w:pPr>
                  <w:pStyle w:val="BodyText1"/>
                  <w:spacing w:before="120" w:after="120"/>
                  <w:ind w:right="81"/>
                  <w:jc w:val="center"/>
                  <w:rPr>
                    <w:rFonts w:asciiTheme="majorHAnsi" w:hAnsiTheme="majorHAnsi" w:cs="Arial"/>
                    <w:b/>
                    <w:sz w:val="22"/>
                    <w:szCs w:val="22"/>
                  </w:rPr>
                </w:pPr>
                <w:r w:rsidRPr="00671D4C">
                  <w:rPr>
                    <w:rFonts w:asciiTheme="majorHAnsi" w:hAnsiTheme="majorHAnsi" w:cs="Arial"/>
                    <w:b/>
                    <w:sz w:val="22"/>
                    <w:szCs w:val="22"/>
                  </w:rPr>
                  <w:t>6</w:t>
                </w:r>
              </w:p>
            </w:tc>
          </w:tr>
        </w:tbl>
        <w:p w14:paraId="1AE55B20" w14:textId="77777777" w:rsidR="00611723" w:rsidRPr="00671D4C" w:rsidRDefault="00611723" w:rsidP="00671D4C">
          <w:pPr>
            <w:rPr>
              <w:b/>
            </w:rPr>
          </w:pPr>
        </w:p>
        <w:p w14:paraId="6BE59D60" w14:textId="77777777" w:rsidR="00611723" w:rsidRDefault="00611723">
          <w:pPr>
            <w:rPr>
              <w:rFonts w:asciiTheme="majorHAnsi" w:eastAsiaTheme="majorEastAsia" w:hAnsiTheme="majorHAnsi" w:cstheme="majorBidi"/>
              <w:color w:val="2F5773" w:themeColor="text2"/>
              <w:sz w:val="32"/>
              <w:lang w:val="en-US"/>
            </w:rPr>
          </w:pPr>
        </w:p>
        <w:p w14:paraId="62D356C2" w14:textId="77777777" w:rsidR="00611723" w:rsidRDefault="00611723">
          <w:pPr>
            <w:rPr>
              <w:rFonts w:asciiTheme="majorHAnsi" w:eastAsiaTheme="majorEastAsia" w:hAnsiTheme="majorHAnsi" w:cstheme="majorBidi"/>
              <w:color w:val="2F5773" w:themeColor="text2"/>
              <w:sz w:val="32"/>
              <w:lang w:val="en-US"/>
            </w:rPr>
          </w:pPr>
        </w:p>
        <w:p w14:paraId="60B441D7" w14:textId="77CAD064" w:rsidR="00057350" w:rsidRDefault="00611723">
          <w:pPr>
            <w:pStyle w:val="Numberedtitlelevel2"/>
            <w:ind w:left="357" w:hanging="357"/>
            <w:outlineLvl w:val="0"/>
          </w:pPr>
          <w:r>
            <w:br w:type="page"/>
          </w:r>
          <w:r w:rsidR="004548EA">
            <w:lastRenderedPageBreak/>
            <w:t>I</w:t>
          </w:r>
          <w:r w:rsidR="004E160A" w:rsidRPr="00BE6527">
            <w:t>ntroduction</w:t>
          </w:r>
        </w:p>
      </w:sdtContent>
    </w:sdt>
    <w:p w14:paraId="30547524" w14:textId="22CC34EF" w:rsidR="00F815E0" w:rsidRDefault="00F26E39" w:rsidP="00671D4C">
      <w:pPr>
        <w:pStyle w:val="numberedparagraph"/>
        <w:numPr>
          <w:ilvl w:val="0"/>
          <w:numId w:val="43"/>
        </w:numPr>
        <w:tabs>
          <w:tab w:val="clear" w:pos="976"/>
          <w:tab w:val="left" w:pos="284"/>
        </w:tabs>
        <w:ind w:left="284"/>
      </w:pPr>
      <w:proofErr w:type="spellStart"/>
      <w:r w:rsidRPr="00B86634">
        <w:t>Creditreform</w:t>
      </w:r>
      <w:proofErr w:type="spellEnd"/>
      <w:r w:rsidRPr="00B86634">
        <w:t xml:space="preserve"> Ratings AG (</w:t>
      </w:r>
      <w:proofErr w:type="spellStart"/>
      <w:r w:rsidRPr="00B86634">
        <w:t>Creditreform</w:t>
      </w:r>
      <w:proofErr w:type="spellEnd"/>
      <w:r w:rsidRPr="00B86634">
        <w:t>)</w:t>
      </w:r>
      <w:r w:rsidR="00540BB7" w:rsidRPr="00540BB7">
        <w:t xml:space="preserve"> is a credit rating agency that registered with ESMA </w:t>
      </w:r>
      <w:r w:rsidR="003D469C">
        <w:t>o</w:t>
      </w:r>
      <w:r w:rsidR="003D469C" w:rsidRPr="00540BB7">
        <w:t xml:space="preserve">n </w:t>
      </w:r>
      <w:r w:rsidR="00FE23A0">
        <w:t>18</w:t>
      </w:r>
      <w:r w:rsidR="00540BB7" w:rsidRPr="00540BB7">
        <w:t xml:space="preserve"> </w:t>
      </w:r>
      <w:r w:rsidR="00FE23A0">
        <w:t>May</w:t>
      </w:r>
      <w:r w:rsidR="00540BB7" w:rsidRPr="00540BB7">
        <w:t xml:space="preserve"> 2011 and therefore meets the conditions to be an eligible credit assessment institution (ECAI)</w:t>
      </w:r>
      <w:r w:rsidR="008B7151">
        <w:rPr>
          <w:rStyle w:val="FootnoteReference"/>
        </w:rPr>
        <w:footnoteReference w:id="5"/>
      </w:r>
      <w:r w:rsidR="00540BB7" w:rsidRPr="00540BB7">
        <w:t xml:space="preserve">. </w:t>
      </w:r>
      <w:proofErr w:type="spellStart"/>
      <w:r w:rsidR="004A6E15">
        <w:t>Creditreform</w:t>
      </w:r>
      <w:proofErr w:type="spellEnd"/>
      <w:r w:rsidR="004A6E15">
        <w:t xml:space="preserve"> group (founded in 1879) is a provider of b2b business information in Germany and Europe.</w:t>
      </w:r>
    </w:p>
    <w:p w14:paraId="331EB6ED" w14:textId="2DA20477" w:rsidR="0080362B" w:rsidRDefault="0080362B" w:rsidP="00605D18">
      <w:pPr>
        <w:pStyle w:val="numberedparagraph"/>
        <w:tabs>
          <w:tab w:val="clear" w:pos="976"/>
          <w:tab w:val="left" w:pos="284"/>
        </w:tabs>
        <w:ind w:left="284"/>
      </w:pPr>
      <w:r w:rsidRPr="00E27B0D">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employ</w:t>
      </w:r>
      <w:r>
        <w:t>s</w:t>
      </w:r>
      <w:r w:rsidRPr="00E27B0D">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 xml:space="preserve">reflects additional quantitative </w:t>
      </w:r>
      <w:r w:rsidR="009E4DAA">
        <w:t xml:space="preserve">and qualitative </w:t>
      </w:r>
      <w:r>
        <w:t>information collected after the submission of the draft Implementing Technical Standards by the JC to the European Commission.</w:t>
      </w:r>
      <w:r>
        <w:rPr>
          <w:lang w:val="en-GB"/>
        </w:rPr>
        <w:t xml:space="preserve"> </w:t>
      </w:r>
      <w:r>
        <w:t>T</w:t>
      </w:r>
      <w:r w:rsidRPr="00540BB7">
        <w:t xml:space="preserve">he quantitative information </w:t>
      </w:r>
      <w:r>
        <w:t xml:space="preserve">is drawn from data </w:t>
      </w:r>
      <w:r w:rsidRPr="00540BB7">
        <w:t xml:space="preserve">available in </w:t>
      </w:r>
      <w:r>
        <w:t>the ESMA’s central repository (</w:t>
      </w:r>
      <w:r w:rsidRPr="00540BB7">
        <w:t>CEREP</w:t>
      </w:r>
      <w:r>
        <w:rPr>
          <w:rStyle w:val="FootnoteReference"/>
        </w:rPr>
        <w:footnoteReference w:id="6"/>
      </w:r>
      <w:r>
        <w:t>)</w:t>
      </w:r>
      <w:r w:rsidRPr="00540BB7">
        <w:t xml:space="preserve"> </w:t>
      </w:r>
      <w:r>
        <w:rPr>
          <w:lang w:val="en-GB"/>
        </w:rPr>
        <w:t>based on the credit rating information submitted by the ECAIs as part of their reporting obligations</w:t>
      </w:r>
      <w:r w:rsidRPr="00540BB7">
        <w:t xml:space="preserve">. </w:t>
      </w:r>
    </w:p>
    <w:p w14:paraId="3C5C7B90" w14:textId="3B920852" w:rsidR="004548EA" w:rsidRDefault="004548EA" w:rsidP="00605D18">
      <w:pPr>
        <w:pStyle w:val="numberedparagraph"/>
        <w:tabs>
          <w:tab w:val="clear" w:pos="976"/>
          <w:tab w:val="left" w:pos="284"/>
        </w:tabs>
        <w:ind w:left="284"/>
      </w:pPr>
      <w:r>
        <w:t xml:space="preserve">Section 3 describes </w:t>
      </w:r>
      <w:r w:rsidR="00743AB9">
        <w:t xml:space="preserve">the relevant rating scales of </w:t>
      </w:r>
      <w:proofErr w:type="spellStart"/>
      <w:r>
        <w:t>Creditreform</w:t>
      </w:r>
      <w:proofErr w:type="spellEnd"/>
      <w:r w:rsidR="00743AB9">
        <w:t>.</w:t>
      </w:r>
      <w:r w:rsidR="00C41F00">
        <w:t xml:space="preserve"> </w:t>
      </w:r>
      <w:r w:rsidR="00743AB9">
        <w:t>S</w:t>
      </w:r>
      <w:r>
        <w:t>ection 4 contains the methodology applied to derive its mapping</w:t>
      </w:r>
      <w:r w:rsidR="00743AB9">
        <w:t xml:space="preserve"> whereas </w:t>
      </w:r>
      <w:r w:rsidR="00743AB9" w:rsidRPr="0031499F">
        <w:t>Sections 5 and 6 refer to the mapping of its remaining relevant ratings scales</w:t>
      </w:r>
      <w:r>
        <w:t xml:space="preserve">. The mapping tables are shown in Appendix 4 of this document and have been specified in Annex III </w:t>
      </w:r>
      <w:r w:rsidRPr="00E27B0D">
        <w:t xml:space="preserve">of the </w:t>
      </w:r>
      <w:r>
        <w:t xml:space="preserve">revised draft </w:t>
      </w:r>
      <w:r w:rsidRPr="00E27B0D">
        <w:t>IT</w:t>
      </w:r>
      <w:r>
        <w:t>S</w:t>
      </w:r>
      <w:r w:rsidRPr="00E27B0D">
        <w:t xml:space="preserve"> on the mapping of ECAIs’ credit assessments under Article 136(1) and (3) of Regulation (EU) No 575/2013.</w:t>
      </w:r>
    </w:p>
    <w:p w14:paraId="42FD1882" w14:textId="77777777" w:rsidR="00E00BB5" w:rsidRDefault="00F605CC" w:rsidP="00D83AAF">
      <w:pPr>
        <w:pStyle w:val="Numberedtitlelevel2"/>
        <w:ind w:left="357" w:hanging="357"/>
        <w:outlineLvl w:val="0"/>
      </w:pPr>
      <w:proofErr w:type="spellStart"/>
      <w:r>
        <w:t>C</w:t>
      </w:r>
      <w:r w:rsidR="008F108C">
        <w:t>reditreform</w:t>
      </w:r>
      <w:proofErr w:type="spellEnd"/>
      <w:r w:rsidR="00AF2077" w:rsidRPr="004E160A">
        <w:t xml:space="preserve"> </w:t>
      </w:r>
      <w:r w:rsidR="00AF2077">
        <w:t>c</w:t>
      </w:r>
      <w:r w:rsidR="004E160A" w:rsidRPr="004E160A">
        <w:t>redit ratings and rating scales</w:t>
      </w:r>
    </w:p>
    <w:p w14:paraId="02A1FADD" w14:textId="22FCFB5C" w:rsidR="001A236F" w:rsidRPr="00AE6F37" w:rsidRDefault="009B7D6B" w:rsidP="00671D4C">
      <w:pPr>
        <w:pStyle w:val="numberedparagraph"/>
        <w:tabs>
          <w:tab w:val="clear" w:pos="976"/>
          <w:tab w:val="num" w:pos="284"/>
        </w:tabs>
        <w:ind w:left="284"/>
      </w:pPr>
      <w:proofErr w:type="spellStart"/>
      <w:r w:rsidRPr="00AE6F37">
        <w:t>C</w:t>
      </w:r>
      <w:r w:rsidR="008F108C" w:rsidRPr="00AE6F37">
        <w:t>reditrefom</w:t>
      </w:r>
      <w:proofErr w:type="spellEnd"/>
      <w:r w:rsidR="001A236F" w:rsidRPr="00AE6F37">
        <w:t xml:space="preserve"> produces </w:t>
      </w:r>
      <w:r w:rsidR="006F2A13" w:rsidRPr="00AE6F37">
        <w:t xml:space="preserve">a variety of </w:t>
      </w:r>
      <w:r w:rsidR="003119B2" w:rsidRPr="00AE6F37">
        <w:t>type</w:t>
      </w:r>
      <w:r w:rsidR="008F108C" w:rsidRPr="00AE6F37">
        <w:t>s</w:t>
      </w:r>
      <w:r w:rsidR="003119B2" w:rsidRPr="00AE6F37">
        <w:t xml:space="preserve"> of credit ratings, which </w:t>
      </w:r>
      <w:r w:rsidR="001A236F" w:rsidRPr="00AE6F37">
        <w:t xml:space="preserve">may be used by institutions for the calculation of risk weights under the </w:t>
      </w:r>
      <w:proofErr w:type="spellStart"/>
      <w:r w:rsidR="001A236F" w:rsidRPr="00AE6F37">
        <w:t>Standardised</w:t>
      </w:r>
      <w:proofErr w:type="spellEnd"/>
      <w:r w:rsidR="001A236F" w:rsidRPr="00AE6F37">
        <w:t xml:space="preserve"> Approach (SA)</w:t>
      </w:r>
      <w:r w:rsidR="001A236F" w:rsidRPr="00AE6F37">
        <w:rPr>
          <w:rStyle w:val="FootnoteReference"/>
        </w:rPr>
        <w:footnoteReference w:id="7"/>
      </w:r>
      <w:r w:rsidR="003119B2" w:rsidRPr="00AE6F37">
        <w:t xml:space="preserve"> </w:t>
      </w:r>
      <w:r w:rsidR="00B24FB5" w:rsidRPr="00AE6F37">
        <w:t>, as shown in c</w:t>
      </w:r>
      <w:r w:rsidR="003119B2" w:rsidRPr="00AE6F37">
        <w:t xml:space="preserve">olumn 2 of </w:t>
      </w:r>
      <w:r w:rsidR="003119B2" w:rsidRPr="00AE6F37">
        <w:fldChar w:fldCharType="begin"/>
      </w:r>
      <w:r w:rsidR="003119B2" w:rsidRPr="00AE6F37">
        <w:instrText xml:space="preserve"> REF _Ref384801505 \h </w:instrText>
      </w:r>
      <w:r w:rsidR="00AE6F37" w:rsidRPr="00AE6F37">
        <w:instrText xml:space="preserve"> \* MERGEFORMAT </w:instrText>
      </w:r>
      <w:r w:rsidR="003119B2" w:rsidRPr="00AE6F37">
        <w:fldChar w:fldCharType="separate"/>
      </w:r>
      <w:r w:rsidR="005E03FA" w:rsidRPr="00AE6F37">
        <w:rPr>
          <w:szCs w:val="22"/>
        </w:rPr>
        <w:t xml:space="preserve">Figure </w:t>
      </w:r>
      <w:r w:rsidR="005E03FA" w:rsidRPr="00AE6F37">
        <w:rPr>
          <w:noProof/>
          <w:szCs w:val="22"/>
        </w:rPr>
        <w:t>2</w:t>
      </w:r>
      <w:r w:rsidR="003119B2" w:rsidRPr="00AE6F37">
        <w:fldChar w:fldCharType="end"/>
      </w:r>
      <w:r w:rsidR="005B4F4B" w:rsidRPr="00AE6F37">
        <w:t xml:space="preserve"> in Appendix 1:</w:t>
      </w:r>
    </w:p>
    <w:p w14:paraId="1B219647" w14:textId="0A8BB7AB" w:rsidR="008F108C" w:rsidRDefault="008E5294" w:rsidP="006F292F">
      <w:pPr>
        <w:pStyle w:val="ListParagraph"/>
        <w:numPr>
          <w:ilvl w:val="0"/>
          <w:numId w:val="73"/>
        </w:numPr>
        <w:autoSpaceDE w:val="0"/>
        <w:autoSpaceDN w:val="0"/>
        <w:adjustRightInd w:val="0"/>
        <w:jc w:val="both"/>
        <w:rPr>
          <w:szCs w:val="22"/>
          <w:lang w:val="en-US"/>
        </w:rPr>
      </w:pPr>
      <w:r w:rsidRPr="00AE6F37">
        <w:rPr>
          <w:b/>
          <w:szCs w:val="22"/>
          <w:lang w:val="en-US"/>
        </w:rPr>
        <w:t>Long term bank issuer rating</w:t>
      </w:r>
      <w:r w:rsidR="008F108C" w:rsidRPr="00AE6F37">
        <w:rPr>
          <w:b/>
          <w:szCs w:val="22"/>
          <w:lang w:val="en-US"/>
        </w:rPr>
        <w:t xml:space="preserve">, </w:t>
      </w:r>
      <w:r w:rsidR="008F108C" w:rsidRPr="00AE6F37">
        <w:rPr>
          <w:szCs w:val="22"/>
          <w:lang w:val="en-US"/>
        </w:rPr>
        <w:t>defined as</w:t>
      </w:r>
      <w:r w:rsidR="00824CF0" w:rsidRPr="00AE6F37">
        <w:rPr>
          <w:szCs w:val="22"/>
          <w:lang w:val="en-US"/>
        </w:rPr>
        <w:t xml:space="preserve"> </w:t>
      </w:r>
      <w:r w:rsidRPr="00AE6F37">
        <w:rPr>
          <w:szCs w:val="22"/>
          <w:lang w:val="en-US"/>
        </w:rPr>
        <w:t xml:space="preserve">establishing the extent to which the bank under review will be able to meet the contractual obligations of its various financing instruments </w:t>
      </w:r>
      <w:r w:rsidRPr="002F7608">
        <w:rPr>
          <w:szCs w:val="22"/>
          <w:lang w:val="en-US"/>
        </w:rPr>
        <w:t>fully and on time.</w:t>
      </w:r>
    </w:p>
    <w:p w14:paraId="251696FC" w14:textId="77777777" w:rsidR="00CB49EB" w:rsidRPr="00143F2B" w:rsidRDefault="00CB49EB" w:rsidP="00CB49EB">
      <w:pPr>
        <w:pStyle w:val="bullet2"/>
        <w:numPr>
          <w:ilvl w:val="0"/>
          <w:numId w:val="73"/>
        </w:numPr>
        <w:rPr>
          <w:b/>
        </w:rPr>
      </w:pPr>
      <w:r w:rsidRPr="00143F2B">
        <w:rPr>
          <w:b/>
        </w:rPr>
        <w:t xml:space="preserve">Short-term bank issuer rating, </w:t>
      </w:r>
      <w:r w:rsidRPr="00143F2B">
        <w:t xml:space="preserve">defined as the long term bank issuer rating, but referring to a horizon of up to 1 year. </w:t>
      </w:r>
    </w:p>
    <w:p w14:paraId="728ED8CA" w14:textId="50D0275E" w:rsidR="008E5294" w:rsidRPr="002F7608" w:rsidRDefault="008E5294" w:rsidP="006F292F">
      <w:pPr>
        <w:pStyle w:val="ListParagraph"/>
        <w:numPr>
          <w:ilvl w:val="0"/>
          <w:numId w:val="73"/>
        </w:numPr>
        <w:autoSpaceDE w:val="0"/>
        <w:autoSpaceDN w:val="0"/>
        <w:adjustRightInd w:val="0"/>
        <w:jc w:val="both"/>
        <w:rPr>
          <w:b/>
          <w:szCs w:val="22"/>
          <w:lang w:val="en-US"/>
        </w:rPr>
      </w:pPr>
      <w:r w:rsidRPr="00AE6F37">
        <w:rPr>
          <w:b/>
          <w:szCs w:val="22"/>
          <w:lang w:val="en-US"/>
        </w:rPr>
        <w:t>Bank issue rating,</w:t>
      </w:r>
      <w:r w:rsidRPr="002F7608">
        <w:rPr>
          <w:b/>
          <w:szCs w:val="22"/>
          <w:lang w:val="en-US"/>
        </w:rPr>
        <w:t xml:space="preserve"> </w:t>
      </w:r>
      <w:r w:rsidRPr="002F7608">
        <w:rPr>
          <w:szCs w:val="22"/>
          <w:lang w:val="en-US"/>
        </w:rPr>
        <w:t>defined as</w:t>
      </w:r>
      <w:r w:rsidR="00F21CCB" w:rsidRPr="002F7608">
        <w:rPr>
          <w:szCs w:val="22"/>
          <w:lang w:val="en-US"/>
        </w:rPr>
        <w:t xml:space="preserve"> </w:t>
      </w:r>
      <w:r w:rsidR="005423AE" w:rsidRPr="002F7608">
        <w:rPr>
          <w:szCs w:val="22"/>
          <w:lang w:val="en-US"/>
        </w:rPr>
        <w:t>having</w:t>
      </w:r>
      <w:r w:rsidR="00F21CCB" w:rsidRPr="002F7608">
        <w:rPr>
          <w:szCs w:val="22"/>
          <w:lang w:val="en-US"/>
        </w:rPr>
        <w:t xml:space="preserve"> a modular structure and </w:t>
      </w:r>
      <w:r w:rsidR="005423AE" w:rsidRPr="002F7608">
        <w:rPr>
          <w:szCs w:val="22"/>
          <w:lang w:val="en-US"/>
        </w:rPr>
        <w:t>being</w:t>
      </w:r>
      <w:r w:rsidR="00F21CCB" w:rsidRPr="002F7608">
        <w:rPr>
          <w:szCs w:val="22"/>
          <w:lang w:val="en-US"/>
        </w:rPr>
        <w:t xml:space="preserve"> based on the long-term issuer rating of the bank under review. Additional criteria – such as the bail-in cascade pursuant to the BRRD (Bank Recovery and Resolution Directive), the type and class of instrument and the structure of total liabilities – are also </w:t>
      </w:r>
      <w:r w:rsidR="005423AE" w:rsidRPr="002F7608">
        <w:rPr>
          <w:szCs w:val="22"/>
          <w:lang w:val="en-US"/>
        </w:rPr>
        <w:t xml:space="preserve">being </w:t>
      </w:r>
      <w:r w:rsidR="00F21CCB" w:rsidRPr="002F7608">
        <w:rPr>
          <w:szCs w:val="22"/>
          <w:lang w:val="en-US"/>
        </w:rPr>
        <w:t>taken into account, potentially leading to an upgrade or a downgrade of certain classes of instruments. Bank ratings may be accompanied by simultaneously conducted bank capital and unsecured debt instrument ratings, optionally also by ratings for specific issues.</w:t>
      </w:r>
    </w:p>
    <w:p w14:paraId="6D1FBAA9" w14:textId="72A1D9FB" w:rsidR="008E0126" w:rsidRDefault="008E0126" w:rsidP="00860DEF">
      <w:pPr>
        <w:pStyle w:val="bullet2"/>
      </w:pPr>
      <w:r>
        <w:rPr>
          <w:b/>
        </w:rPr>
        <w:lastRenderedPageBreak/>
        <w:t>Corporate</w:t>
      </w:r>
      <w:r w:rsidR="00860DEF">
        <w:rPr>
          <w:b/>
        </w:rPr>
        <w:t xml:space="preserve"> issuer</w:t>
      </w:r>
      <w:r>
        <w:rPr>
          <w:b/>
        </w:rPr>
        <w:t xml:space="preserve"> ratings, </w:t>
      </w:r>
      <w:r w:rsidRPr="00AA648D">
        <w:t>defined as</w:t>
      </w:r>
      <w:r w:rsidR="00860DEF" w:rsidRPr="00860DEF">
        <w:t xml:space="preserve"> assess</w:t>
      </w:r>
      <w:r w:rsidR="00860DEF">
        <w:t>ing</w:t>
      </w:r>
      <w:r w:rsidR="00860DEF" w:rsidRPr="00860DEF">
        <w:t xml:space="preserve"> the financial strength of the company or issuer under review in an integrated rating process. This enables potential investors and business partners to develop a reliable assessment of whether or not the company or issuer in question will be able to meet its financial obligations fully and on time</w:t>
      </w:r>
      <w:r w:rsidR="00E9540A">
        <w:t>.</w:t>
      </w:r>
      <w:r w:rsidR="00824CF0">
        <w:t xml:space="preserve"> </w:t>
      </w:r>
    </w:p>
    <w:p w14:paraId="7548DA34" w14:textId="77777777" w:rsidR="00860DEF" w:rsidRDefault="00860DEF" w:rsidP="00860DEF">
      <w:pPr>
        <w:pStyle w:val="bullet2"/>
      </w:pPr>
      <w:r>
        <w:rPr>
          <w:b/>
        </w:rPr>
        <w:t>Corporate issue ratings</w:t>
      </w:r>
      <w:r w:rsidRPr="006F292F">
        <w:t xml:space="preserve">, defined as </w:t>
      </w:r>
      <w:r>
        <w:t>providing</w:t>
      </w:r>
      <w:r w:rsidRPr="00860DEF">
        <w:t xml:space="preserve"> assessments of the credit quality of individual issues by non-financial companies, including – for example – promissory notes, loans, corporate bonds or any other form of borrowed funds.</w:t>
      </w:r>
      <w:r>
        <w:t xml:space="preserve"> </w:t>
      </w:r>
    </w:p>
    <w:p w14:paraId="06E803FD" w14:textId="3C01EF90" w:rsidR="00760A58" w:rsidRDefault="00860DEF" w:rsidP="00860DEF">
      <w:pPr>
        <w:pStyle w:val="bullet2"/>
      </w:pPr>
      <w:r>
        <w:rPr>
          <w:b/>
        </w:rPr>
        <w:t>SME issuer rating</w:t>
      </w:r>
      <w:r w:rsidR="00760A58">
        <w:rPr>
          <w:b/>
        </w:rPr>
        <w:t xml:space="preserve">, </w:t>
      </w:r>
      <w:r w:rsidR="00760A58" w:rsidRPr="00AA648D">
        <w:t>defined as</w:t>
      </w:r>
      <w:r>
        <w:t xml:space="preserve"> </w:t>
      </w:r>
      <w:r w:rsidRPr="00860DEF">
        <w:t>assess</w:t>
      </w:r>
      <w:r>
        <w:t>ing</w:t>
      </w:r>
      <w:r w:rsidRPr="00860DEF">
        <w:t xml:space="preserve"> the financial strength of the issuer under review in an integrated rating process. This enables potential investors and business partners to develop a reliable assessment of whether or not the company or issuer in question will be able to meet its financial obligations fully and on time.</w:t>
      </w:r>
    </w:p>
    <w:p w14:paraId="6F35B47F" w14:textId="77777777" w:rsidR="00CB06AC" w:rsidRDefault="00860DEF" w:rsidP="009A2FC7">
      <w:pPr>
        <w:pStyle w:val="bullet2"/>
      </w:pPr>
      <w:r>
        <w:rPr>
          <w:b/>
        </w:rPr>
        <w:t>SME issue rating</w:t>
      </w:r>
      <w:r w:rsidRPr="006F292F">
        <w:t>, defined as</w:t>
      </w:r>
      <w:r>
        <w:t xml:space="preserve"> providing</w:t>
      </w:r>
      <w:r w:rsidRPr="00860DEF">
        <w:t xml:space="preserve"> assessments of the credit quality of individual issues by non-financial companies, including – for example – promissory notes, loans, corporate bonds or any other form of borrowed funds.</w:t>
      </w:r>
      <w:r w:rsidR="00AE6F37">
        <w:t xml:space="preserve"> </w:t>
      </w:r>
    </w:p>
    <w:p w14:paraId="0EEB299E" w14:textId="349C675A" w:rsidR="008F108C" w:rsidRDefault="009A2FC7" w:rsidP="009A2FC7">
      <w:pPr>
        <w:pStyle w:val="bullet2"/>
      </w:pPr>
      <w:r w:rsidRPr="009A2FC7">
        <w:rPr>
          <w:b/>
        </w:rPr>
        <w:t>Bank covered bonds rating</w:t>
      </w:r>
      <w:r w:rsidR="008F108C">
        <w:rPr>
          <w:b/>
        </w:rPr>
        <w:t>,</w:t>
      </w:r>
      <w:r w:rsidR="008F108C">
        <w:t xml:space="preserve"> defined as</w:t>
      </w:r>
      <w:r w:rsidR="00122140">
        <w:t xml:space="preserve"> </w:t>
      </w:r>
      <w:r w:rsidRPr="009A2FC7">
        <w:t>primarily based on an analysis of the issuer, following which the legal framework and the structure of the issue will be examined.</w:t>
      </w:r>
    </w:p>
    <w:p w14:paraId="6EA84D84" w14:textId="072A81FF" w:rsidR="004548EA" w:rsidRDefault="004548EA" w:rsidP="0035113D">
      <w:pPr>
        <w:pStyle w:val="bullet2"/>
      </w:pPr>
      <w:r>
        <w:rPr>
          <w:b/>
        </w:rPr>
        <w:t xml:space="preserve">Sovereign </w:t>
      </w:r>
      <w:r w:rsidR="0035113D">
        <w:rPr>
          <w:b/>
        </w:rPr>
        <w:t>issuer</w:t>
      </w:r>
      <w:r w:rsidR="00760A58" w:rsidRPr="00CC24E0">
        <w:rPr>
          <w:b/>
        </w:rPr>
        <w:t xml:space="preserve"> </w:t>
      </w:r>
      <w:r>
        <w:rPr>
          <w:b/>
        </w:rPr>
        <w:t>ratings</w:t>
      </w:r>
      <w:r w:rsidR="00760A58">
        <w:rPr>
          <w:b/>
        </w:rPr>
        <w:t xml:space="preserve">, </w:t>
      </w:r>
      <w:r w:rsidR="00760A58" w:rsidRPr="00671D4C">
        <w:t xml:space="preserve">defined as </w:t>
      </w:r>
      <w:r w:rsidR="0035113D">
        <w:t>providing</w:t>
      </w:r>
      <w:r w:rsidR="0035113D" w:rsidRPr="0035113D">
        <w:t xml:space="preserve"> assessments of the creditworthiness of a sovereign in its capacity as a debtor with universally comparable standards across different levels of economic development.</w:t>
      </w:r>
    </w:p>
    <w:p w14:paraId="49B2A6DB" w14:textId="77777777" w:rsidR="0035113D" w:rsidRDefault="0035113D" w:rsidP="0035113D">
      <w:pPr>
        <w:pStyle w:val="bullet2"/>
      </w:pPr>
      <w:r>
        <w:rPr>
          <w:b/>
        </w:rPr>
        <w:t>Sovereign issue ratings</w:t>
      </w:r>
      <w:r w:rsidRPr="006F292F">
        <w:t xml:space="preserve">, </w:t>
      </w:r>
      <w:r>
        <w:t xml:space="preserve">defined as </w:t>
      </w:r>
      <w:r w:rsidRPr="0035113D">
        <w:t>ratings for specific debt instruments or bonds that have been issued by governments either in local or foreign currency.</w:t>
      </w:r>
    </w:p>
    <w:p w14:paraId="5E158DA8" w14:textId="7C006B80" w:rsidR="00760A58" w:rsidRPr="00787776" w:rsidRDefault="00FB7AAF" w:rsidP="00AE6F37">
      <w:pPr>
        <w:pStyle w:val="bullet2"/>
      </w:pPr>
      <w:r w:rsidRPr="00FB7AAF">
        <w:rPr>
          <w:b/>
        </w:rPr>
        <w:t>Institutional investor debt rating</w:t>
      </w:r>
      <w:r w:rsidR="00760A58">
        <w:rPr>
          <w:b/>
        </w:rPr>
        <w:t xml:space="preserve">, </w:t>
      </w:r>
      <w:r w:rsidR="00760A58" w:rsidRPr="00AA648D">
        <w:t xml:space="preserve">defined as </w:t>
      </w:r>
      <w:r w:rsidR="005423AE">
        <w:t xml:space="preserve">using </w:t>
      </w:r>
      <w:r w:rsidR="00427AA0" w:rsidRPr="00427AA0">
        <w:t>asset-based finance ratings to analyze directly</w:t>
      </w:r>
      <w:r w:rsidR="005423AE">
        <w:t>- or indirectly-</w:t>
      </w:r>
      <w:r w:rsidR="00427AA0" w:rsidRPr="00427AA0">
        <w:t xml:space="preserve">financed investments. </w:t>
      </w:r>
      <w:r w:rsidR="005423AE">
        <w:t>The</w:t>
      </w:r>
      <w:r w:rsidR="00427AA0" w:rsidRPr="00427AA0">
        <w:t xml:space="preserve"> product range includes ratings in different asset categories, for private equity and private debt investments as well as for investments in fields such as infrastructure, renewables, real estate, aviation and logistics.</w:t>
      </w:r>
    </w:p>
    <w:p w14:paraId="17F6B29C" w14:textId="7E248B56" w:rsidR="000F7453" w:rsidRDefault="00CD021B" w:rsidP="004D71C2">
      <w:pPr>
        <w:pStyle w:val="numberedparagraph"/>
        <w:numPr>
          <w:ilvl w:val="0"/>
          <w:numId w:val="0"/>
        </w:numPr>
        <w:ind w:left="284"/>
      </w:pPr>
      <w:proofErr w:type="spellStart"/>
      <w:r>
        <w:t>Creditreform</w:t>
      </w:r>
      <w:proofErr w:type="spellEnd"/>
      <w:r>
        <w:t xml:space="preserve"> </w:t>
      </w:r>
      <w:r w:rsidR="008F108C">
        <w:t xml:space="preserve">assigns these credit ratings to </w:t>
      </w:r>
      <w:r w:rsidR="00743AB9">
        <w:t xml:space="preserve">different </w:t>
      </w:r>
      <w:r w:rsidR="008F108C">
        <w:t>rating scale</w:t>
      </w:r>
      <w:r w:rsidR="00743AB9">
        <w:t>s</w:t>
      </w:r>
      <w:r w:rsidR="008F108C">
        <w:t xml:space="preserve"> as illustrated in column 3 of </w:t>
      </w:r>
      <w:r w:rsidR="008F108C">
        <w:fldChar w:fldCharType="begin"/>
      </w:r>
      <w:r w:rsidR="008F108C">
        <w:instrText xml:space="preserve"> REF _Ref384801505 \h </w:instrText>
      </w:r>
      <w:r w:rsidR="008F108C">
        <w:fldChar w:fldCharType="separate"/>
      </w:r>
      <w:r w:rsidR="005E03FA" w:rsidRPr="000F7453">
        <w:rPr>
          <w:szCs w:val="22"/>
        </w:rPr>
        <w:t xml:space="preserve">Figure </w:t>
      </w:r>
      <w:r w:rsidR="005E03FA" w:rsidRPr="000F7453">
        <w:rPr>
          <w:noProof/>
          <w:szCs w:val="22"/>
        </w:rPr>
        <w:t>2</w:t>
      </w:r>
      <w:r w:rsidR="008F108C">
        <w:fldChar w:fldCharType="end"/>
      </w:r>
      <w:r w:rsidR="008F108C">
        <w:t xml:space="preserve"> in Appendix 1. Therefore, a specific mapping has been prepared for the</w:t>
      </w:r>
      <w:r w:rsidR="00DF3102">
        <w:t xml:space="preserve"> </w:t>
      </w:r>
      <w:r w:rsidR="00743AB9">
        <w:t xml:space="preserve">following </w:t>
      </w:r>
      <w:r w:rsidR="00744A8D">
        <w:t>rating scale</w:t>
      </w:r>
      <w:r w:rsidR="00743AB9">
        <w:t>s:</w:t>
      </w:r>
    </w:p>
    <w:p w14:paraId="6A243C14" w14:textId="46F0CCAC" w:rsidR="000F7453" w:rsidRDefault="000F7453" w:rsidP="004D71C2">
      <w:pPr>
        <w:pStyle w:val="numberedparagraph"/>
        <w:numPr>
          <w:ilvl w:val="0"/>
          <w:numId w:val="78"/>
        </w:numPr>
      </w:pPr>
      <w:r w:rsidRPr="004D71C2">
        <w:rPr>
          <w:b/>
        </w:rPr>
        <w:t>Long-term issuer rating scale</w:t>
      </w:r>
      <w:r>
        <w:t xml:space="preserve">. </w:t>
      </w:r>
      <w:r w:rsidRPr="0024143D">
        <w:t xml:space="preserve">The </w:t>
      </w:r>
      <w:r w:rsidRPr="00623B9F">
        <w:t xml:space="preserve">specification of this rating scale is described in </w:t>
      </w:r>
      <w:r>
        <w:t>Figure 3</w:t>
      </w:r>
      <w:r w:rsidRPr="00623B9F">
        <w:t xml:space="preserve"> of </w:t>
      </w:r>
      <w:r>
        <w:t>Appendix</w:t>
      </w:r>
      <w:r w:rsidRPr="00623B9F">
        <w:t xml:space="preserve"> 1.</w:t>
      </w:r>
    </w:p>
    <w:p w14:paraId="17511CF1" w14:textId="0880C63C" w:rsidR="000F7453" w:rsidRDefault="000F7453" w:rsidP="004D71C2">
      <w:pPr>
        <w:pStyle w:val="numberedparagraph"/>
        <w:numPr>
          <w:ilvl w:val="0"/>
          <w:numId w:val="78"/>
        </w:numPr>
      </w:pPr>
      <w:r w:rsidRPr="004D71C2">
        <w:rPr>
          <w:b/>
        </w:rPr>
        <w:t>Long-term issue rating scale</w:t>
      </w:r>
      <w:r>
        <w:t xml:space="preserve">. </w:t>
      </w:r>
      <w:r w:rsidRPr="0024143D">
        <w:t xml:space="preserve">The </w:t>
      </w:r>
      <w:r w:rsidRPr="00623B9F">
        <w:t xml:space="preserve">specification of this rating scale is described in </w:t>
      </w:r>
      <w:r>
        <w:t>Figure 4</w:t>
      </w:r>
      <w:r w:rsidRPr="00623B9F">
        <w:t xml:space="preserve"> of </w:t>
      </w:r>
      <w:r>
        <w:t>Appendix</w:t>
      </w:r>
      <w:r w:rsidRPr="00623B9F">
        <w:t xml:space="preserve"> 1.</w:t>
      </w:r>
    </w:p>
    <w:p w14:paraId="7BE84A35" w14:textId="5B026E22" w:rsidR="008F108C" w:rsidRDefault="000F7453" w:rsidP="004D71C2">
      <w:pPr>
        <w:pStyle w:val="numberedparagraph"/>
        <w:numPr>
          <w:ilvl w:val="0"/>
          <w:numId w:val="78"/>
        </w:numPr>
      </w:pPr>
      <w:r w:rsidRPr="004D71C2">
        <w:rPr>
          <w:b/>
        </w:rPr>
        <w:t>Short-term rating scale</w:t>
      </w:r>
      <w:r>
        <w:t xml:space="preserve">. </w:t>
      </w:r>
      <w:r w:rsidRPr="0024143D">
        <w:t xml:space="preserve">The </w:t>
      </w:r>
      <w:r w:rsidRPr="00623B9F">
        <w:t xml:space="preserve">specification of this rating scale is described in </w:t>
      </w:r>
      <w:r>
        <w:t>Figure 5</w:t>
      </w:r>
      <w:r w:rsidRPr="00623B9F">
        <w:t xml:space="preserve"> of </w:t>
      </w:r>
      <w:r>
        <w:t>Appendix</w:t>
      </w:r>
      <w:r w:rsidRPr="00623B9F">
        <w:t xml:space="preserve"> 1.</w:t>
      </w:r>
    </w:p>
    <w:p w14:paraId="1973CDD7" w14:textId="201772AE" w:rsidR="00071338" w:rsidRDefault="001A236F" w:rsidP="00605D18">
      <w:pPr>
        <w:pStyle w:val="numberedparagraph"/>
        <w:tabs>
          <w:tab w:val="clear" w:pos="976"/>
          <w:tab w:val="num" w:pos="284"/>
        </w:tabs>
        <w:ind w:left="284"/>
      </w:pPr>
      <w:r>
        <w:lastRenderedPageBreak/>
        <w:t xml:space="preserve">The mapping of the </w:t>
      </w:r>
      <w:proofErr w:type="spellStart"/>
      <w:r w:rsidR="00DF3102">
        <w:t>Creditreform</w:t>
      </w:r>
      <w:proofErr w:type="spellEnd"/>
      <w:r w:rsidR="00DF3102">
        <w:t xml:space="preserve"> Long-term</w:t>
      </w:r>
      <w:r w:rsidR="000F7453">
        <w:t xml:space="preserve"> issuer</w:t>
      </w:r>
      <w:r w:rsidR="00DF3102">
        <w:t xml:space="preserve"> rating scale</w:t>
      </w:r>
      <w:r w:rsidR="00B24FB5" w:rsidRPr="00021CC0">
        <w:t xml:space="preserv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ITS. </w:t>
      </w:r>
    </w:p>
    <w:p w14:paraId="1576DE50" w14:textId="00410EAD" w:rsidR="000F7453" w:rsidRDefault="000F7453" w:rsidP="000F7453">
      <w:pPr>
        <w:pStyle w:val="numberedparagraph"/>
        <w:tabs>
          <w:tab w:val="clear" w:pos="976"/>
          <w:tab w:val="num" w:pos="284"/>
        </w:tabs>
        <w:ind w:left="284"/>
      </w:pPr>
      <w:r>
        <w:t>The mapping of the</w:t>
      </w:r>
      <w:r w:rsidRPr="008A707D">
        <w:t xml:space="preserve"> </w:t>
      </w:r>
      <w:r>
        <w:t xml:space="preserve">short-term </w:t>
      </w:r>
      <w:r w:rsidRPr="00BC5827">
        <w:t>credit ratings</w:t>
      </w:r>
      <w:r>
        <w:t xml:space="preserve"> scale is explained in Section 5 and it has been</w:t>
      </w:r>
      <w:r w:rsidRPr="008A707D">
        <w:t xml:space="preserve"> indirectly </w:t>
      </w:r>
      <w:r>
        <w:t>derived from the mapping of the l</w:t>
      </w:r>
      <w:r w:rsidRPr="005B7A8E">
        <w:t>ong-term issuer credit ratings</w:t>
      </w:r>
      <w:r>
        <w:t xml:space="preserve"> scale and the internal relationship established by </w:t>
      </w:r>
      <w:proofErr w:type="spellStart"/>
      <w:r>
        <w:t>Creditreform</w:t>
      </w:r>
      <w:proofErr w:type="spellEnd"/>
      <w:r>
        <w:t xml:space="preserve"> between these two scales, as specified in Article </w:t>
      </w:r>
      <w:r w:rsidRPr="00426E0A">
        <w:t>1</w:t>
      </w:r>
      <w:r>
        <w:t xml:space="preserve">3 of the ITS. </w:t>
      </w:r>
    </w:p>
    <w:p w14:paraId="0C3B5678" w14:textId="27243D7E" w:rsidR="000F7453" w:rsidRPr="001A236F" w:rsidRDefault="000F7453" w:rsidP="000F7453">
      <w:pPr>
        <w:pStyle w:val="numberedparagraph"/>
        <w:tabs>
          <w:tab w:val="clear" w:pos="976"/>
          <w:tab w:val="num" w:pos="284"/>
        </w:tabs>
        <w:ind w:left="284"/>
      </w:pPr>
      <w:r>
        <w:t>The indirect mapping approach described in the previous paragraph has also been applied In the case of the other long- rating scales. In this case, however, the relationship with the l</w:t>
      </w:r>
      <w:r w:rsidRPr="005B7A8E">
        <w:t>ong-term issuer credit ratings</w:t>
      </w:r>
      <w:r>
        <w:t xml:space="preserve"> scale has been assessed, for the purpose of the mapping, by the JC based </w:t>
      </w:r>
      <w:r w:rsidRPr="00B466FF">
        <w:t xml:space="preserve">on the </w:t>
      </w:r>
      <w:r>
        <w:t xml:space="preserve">comparison of the </w:t>
      </w:r>
      <w:r w:rsidRPr="00B466FF">
        <w:t>meaning and relative position of the rating categories</w:t>
      </w:r>
      <w:r>
        <w:t>.</w:t>
      </w:r>
    </w:p>
    <w:p w14:paraId="0AAC6AE1" w14:textId="77777777" w:rsidR="000C29A3" w:rsidRDefault="007E428E" w:rsidP="00D83AAF">
      <w:pPr>
        <w:pStyle w:val="Numberedtitlelevel2"/>
        <w:ind w:left="357" w:hanging="357"/>
        <w:outlineLvl w:val="0"/>
      </w:pPr>
      <w:r w:rsidRPr="004E160A">
        <w:t xml:space="preserve">Mapping of </w:t>
      </w:r>
      <w:proofErr w:type="spellStart"/>
      <w:r w:rsidR="00071338">
        <w:t>Creditreform</w:t>
      </w:r>
      <w:r w:rsidRPr="004E160A">
        <w:t>’s</w:t>
      </w:r>
      <w:proofErr w:type="spellEnd"/>
      <w:r w:rsidRPr="004E160A">
        <w:t xml:space="preserve"> </w:t>
      </w:r>
      <w:r w:rsidR="00DF3102">
        <w:t xml:space="preserve">Long-term </w:t>
      </w:r>
      <w:r w:rsidR="0067028E">
        <w:t>rating scale</w:t>
      </w:r>
    </w:p>
    <w:p w14:paraId="138CEEF1" w14:textId="77777777" w:rsidR="00015276" w:rsidRDefault="00015276" w:rsidP="00605D18">
      <w:pPr>
        <w:pStyle w:val="numberedparagraph"/>
        <w:tabs>
          <w:tab w:val="clear" w:pos="976"/>
          <w:tab w:val="num" w:pos="284"/>
        </w:tabs>
        <w:ind w:left="284"/>
      </w:pPr>
      <w:r>
        <w:t xml:space="preserve">The mapping of the </w:t>
      </w:r>
      <w:r w:rsidR="00DF3102">
        <w:t xml:space="preserve">Long-term </w:t>
      </w:r>
      <w:r w:rsidR="00B24FB5">
        <w:t xml:space="preserve">rating scale </w:t>
      </w:r>
      <w:r>
        <w:t xml:space="preserve">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w:t>
      </w:r>
    </w:p>
    <w:p w14:paraId="20B745AE" w14:textId="77777777" w:rsidR="00015276" w:rsidRDefault="00015276" w:rsidP="00605D18">
      <w:pPr>
        <w:pStyle w:val="numberedparagraph"/>
        <w:tabs>
          <w:tab w:val="clear" w:pos="976"/>
          <w:tab w:val="num" w:pos="284"/>
        </w:tabs>
        <w:ind w:left="284"/>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9645A4">
        <w:t xml:space="preserve"> of the</w:t>
      </w:r>
      <w:r w:rsidR="00F20607">
        <w:t xml:space="preserve"> ITS </w:t>
      </w:r>
      <w:r>
        <w:t>ha</w:t>
      </w:r>
      <w:r w:rsidR="005F12D5">
        <w:t>ve</w:t>
      </w:r>
      <w:r>
        <w:t xml:space="preserve"> been </w:t>
      </w:r>
      <w:r w:rsidR="00F20607">
        <w:t>taken into account</w:t>
      </w:r>
      <w:r>
        <w:t xml:space="preserve"> to differentiate between the levels of risk of each rating category</w:t>
      </w:r>
      <w:r w:rsidR="00B9508E">
        <w:t xml:space="preserve">. </w:t>
      </w:r>
      <w:r w:rsidR="00BD62DE">
        <w:t xml:space="preserve">The </w:t>
      </w:r>
      <w:r w:rsidR="00BD62DE" w:rsidRPr="00B9508E">
        <w:rPr>
          <w:i/>
        </w:rPr>
        <w:t>long run default rate</w:t>
      </w:r>
      <w:r w:rsidR="00BD62DE">
        <w:t xml:space="preserve"> of a rating category has been calculated in accordance with Article </w:t>
      </w:r>
      <w:r w:rsidR="00AD0E70">
        <w:t>6</w:t>
      </w:r>
      <w:r w:rsidR="00BD62DE">
        <w:t xml:space="preserve"> </w:t>
      </w:r>
      <w:r w:rsidR="009645A4">
        <w:t xml:space="preserve">of the </w:t>
      </w:r>
      <w:r w:rsidR="00BD62DE">
        <w:t>ITS, as the number of credit ratings cannot be considered to be sufficient.</w:t>
      </w:r>
    </w:p>
    <w:p w14:paraId="31F8EB8B" w14:textId="77777777" w:rsidR="00015276" w:rsidRPr="00FE0C27" w:rsidRDefault="00F20607" w:rsidP="00605D18">
      <w:pPr>
        <w:pStyle w:val="numberedparagraph"/>
        <w:tabs>
          <w:tab w:val="clear" w:pos="976"/>
          <w:tab w:val="num" w:pos="284"/>
        </w:tabs>
        <w:ind w:left="284"/>
      </w:pPr>
      <w:r>
        <w:t>In a second stage</w:t>
      </w:r>
      <w:r w:rsidR="00015276">
        <w:t xml:space="preserve">, the qualitative factors </w:t>
      </w:r>
      <w:r w:rsidR="00B04A92">
        <w:t xml:space="preserve">proposed in Article </w:t>
      </w:r>
      <w:r w:rsidR="00A11497">
        <w:t>7</w:t>
      </w:r>
      <w:r w:rsidR="009645A4">
        <w:t xml:space="preserve"> of the</w:t>
      </w:r>
      <w:r w:rsidR="00B04A92">
        <w:t xml:space="preserve"> ITS have been considered </w:t>
      </w:r>
      <w:r w:rsidR="00B04A92" w:rsidRPr="00FE0C27">
        <w:t xml:space="preserve">to challenge </w:t>
      </w:r>
      <w:r w:rsidR="00015276" w:rsidRPr="00FE0C27">
        <w:t xml:space="preserve">the result of the previous </w:t>
      </w:r>
      <w:r w:rsidRPr="00FE0C27">
        <w:t>stage</w:t>
      </w:r>
      <w:r w:rsidR="004E5BFD">
        <w:t>, especially in those ratings categories where less default data has been available</w:t>
      </w:r>
      <w:r w:rsidR="00015276" w:rsidRPr="00FE0C27">
        <w:t>.</w:t>
      </w:r>
    </w:p>
    <w:p w14:paraId="35710A57" w14:textId="77777777" w:rsidR="00532352" w:rsidRDefault="00532352" w:rsidP="00671D4C">
      <w:pPr>
        <w:pStyle w:val="Numberedtitlelevel3"/>
        <w:ind w:left="284" w:hanging="284"/>
      </w:pPr>
      <w:r w:rsidRPr="00BE6527">
        <w:t xml:space="preserve">Initial mapping based on the </w:t>
      </w:r>
      <w:r w:rsidR="00E20A17">
        <w:t>quantitative factors</w:t>
      </w:r>
    </w:p>
    <w:p w14:paraId="4CA67316" w14:textId="77777777" w:rsidR="00B07D99" w:rsidRPr="000B1C39" w:rsidRDefault="00B07D99" w:rsidP="00671D4C">
      <w:pPr>
        <w:pStyle w:val="numberedparagraph"/>
        <w:tabs>
          <w:tab w:val="clear" w:pos="976"/>
          <w:tab w:val="num" w:pos="284"/>
        </w:tabs>
        <w:ind w:left="284"/>
      </w:pPr>
      <w:r>
        <w:t xml:space="preserve">This mapping report reflects additional quantitative information collected after the submission of the draft </w:t>
      </w:r>
      <w:proofErr w:type="gramStart"/>
      <w:r>
        <w:t>ITS</w:t>
      </w:r>
      <w:proofErr w:type="gramEnd"/>
      <w:r>
        <w:t xml:space="preserve"> by the JC to the Commission. </w:t>
      </w:r>
    </w:p>
    <w:p w14:paraId="2899F7C6" w14:textId="77B0D9A1" w:rsidR="00532352" w:rsidRDefault="00532352" w:rsidP="00605D18">
      <w:pPr>
        <w:pStyle w:val="Numberedtitlelevel4"/>
        <w:ind w:left="284" w:hanging="284"/>
      </w:pPr>
      <w:r w:rsidRPr="005C569C">
        <w:t xml:space="preserve">Calculation of </w:t>
      </w:r>
      <w:r w:rsidR="00190E5E">
        <w:t xml:space="preserve">the </w:t>
      </w:r>
      <w:r w:rsidRPr="00BE6527">
        <w:t>long</w:t>
      </w:r>
      <w:r w:rsidR="00190E5E">
        <w:t>-</w:t>
      </w:r>
      <w:r w:rsidR="005527E3">
        <w:t xml:space="preserve">run </w:t>
      </w:r>
      <w:r w:rsidR="00190E5E">
        <w:t>default rate</w:t>
      </w:r>
      <w:r w:rsidR="00B9508E">
        <w:t>s</w:t>
      </w:r>
    </w:p>
    <w:p w14:paraId="35C3262C" w14:textId="0747ECFD" w:rsidR="008F3964" w:rsidRDefault="00F14592" w:rsidP="00671D4C">
      <w:pPr>
        <w:pStyle w:val="numberedparagraph"/>
        <w:tabs>
          <w:tab w:val="clear" w:pos="976"/>
          <w:tab w:val="num" w:pos="284"/>
        </w:tabs>
        <w:ind w:left="284"/>
      </w:pPr>
      <w:r>
        <w:t>The number of credit ratings,</w:t>
      </w:r>
      <w:r w:rsidR="008F3964">
        <w:t xml:space="preserve"> shown in </w:t>
      </w:r>
      <w:r>
        <w:t xml:space="preserve">Figure </w:t>
      </w:r>
      <w:r w:rsidR="005B7224">
        <w:t xml:space="preserve">7 </w:t>
      </w:r>
      <w:r w:rsidR="008F3964">
        <w:t xml:space="preserve">in Appendix </w:t>
      </w:r>
      <w:r w:rsidR="00071338">
        <w:t>3</w:t>
      </w:r>
      <w:r w:rsidR="008F3964">
        <w:t xml:space="preserve">, </w:t>
      </w:r>
      <w:r w:rsidR="000E1BD9">
        <w:t xml:space="preserve">cannot be considered sufficient for the calculation of the short and long run default rates specified in the Articles </w:t>
      </w:r>
      <w:r w:rsidR="00A92358">
        <w:t xml:space="preserve">3 </w:t>
      </w:r>
      <w:r w:rsidR="000E1BD9">
        <w:t xml:space="preserve">– </w:t>
      </w:r>
      <w:r w:rsidR="00A92358">
        <w:t>5</w:t>
      </w:r>
      <w:r w:rsidR="000E1BD9">
        <w:t xml:space="preserve"> </w:t>
      </w:r>
      <w:r w:rsidR="001414BD">
        <w:t xml:space="preserve">of the </w:t>
      </w:r>
      <w:r>
        <w:t xml:space="preserve">Implementing Regulation </w:t>
      </w:r>
      <w:r w:rsidR="000E1BD9">
        <w:t xml:space="preserve">since </w:t>
      </w:r>
      <w:r w:rsidR="00071338">
        <w:t xml:space="preserve">the number of rated items is below the required minimum. </w:t>
      </w:r>
      <w:r w:rsidR="00E14384">
        <w:t>As a result, t</w:t>
      </w:r>
      <w:r w:rsidR="008F3964">
        <w:t xml:space="preserve">he allocation of the CQS has been made in accordance with Article </w:t>
      </w:r>
      <w:r w:rsidR="00211FED">
        <w:t>6</w:t>
      </w:r>
      <w:r w:rsidR="00E467B7">
        <w:t xml:space="preserve"> of the</w:t>
      </w:r>
      <w:r w:rsidR="008F3964">
        <w:t xml:space="preserve"> </w:t>
      </w:r>
      <w:r>
        <w:t>Implementing Regulation</w:t>
      </w:r>
      <w:r w:rsidR="000E1BD9" w:rsidRPr="000E1BD9">
        <w:t>.</w:t>
      </w:r>
    </w:p>
    <w:p w14:paraId="1A9C2527" w14:textId="77777777" w:rsidR="00BD62DE" w:rsidRDefault="00BD62DE" w:rsidP="00671D4C">
      <w:pPr>
        <w:pStyle w:val="numberedparagraph"/>
        <w:tabs>
          <w:tab w:val="clear" w:pos="976"/>
          <w:tab w:val="num" w:pos="284"/>
        </w:tabs>
        <w:ind w:left="284"/>
      </w:pPr>
      <w:r>
        <w:t>The long run default rate benchmark associated with the equivalent category in the international rating scale is a key qualitative factor that has</w:t>
      </w:r>
      <w:r w:rsidR="00332611">
        <w:t xml:space="preserve"> </w:t>
      </w:r>
      <w:r>
        <w:t xml:space="preserve">been used for the mapping proposal. </w:t>
      </w:r>
    </w:p>
    <w:p w14:paraId="734A015D" w14:textId="77777777" w:rsidR="00E14C9C" w:rsidRDefault="008F3964" w:rsidP="00671D4C">
      <w:pPr>
        <w:pStyle w:val="numberedparagraph"/>
        <w:tabs>
          <w:tab w:val="clear" w:pos="976"/>
          <w:tab w:val="num" w:pos="284"/>
        </w:tabs>
        <w:ind w:left="284"/>
      </w:pPr>
      <w:r>
        <w:lastRenderedPageBreak/>
        <w:t xml:space="preserve">For </w:t>
      </w:r>
      <w:r w:rsidR="00C87BD5">
        <w:t>‘</w:t>
      </w:r>
      <w:r>
        <w:t>D</w:t>
      </w:r>
      <w:r w:rsidR="00C87BD5">
        <w:t>’ and ‘SD’</w:t>
      </w:r>
      <w:r>
        <w:t xml:space="preserve"> rating </w:t>
      </w:r>
      <w:r w:rsidR="00C87BD5">
        <w:t>categories</w:t>
      </w:r>
      <w:r>
        <w:t xml:space="preserve">, </w:t>
      </w:r>
      <w:r w:rsidR="00071338">
        <w:t xml:space="preserve">no allocation </w:t>
      </w:r>
      <w:r>
        <w:t xml:space="preserve">has been made </w:t>
      </w:r>
      <w:r w:rsidR="00071338">
        <w:t xml:space="preserve">based on this methodology </w:t>
      </w:r>
      <w:r>
        <w:t xml:space="preserve">since </w:t>
      </w:r>
      <w:r w:rsidR="00C87BD5">
        <w:t xml:space="preserve">they </w:t>
      </w:r>
      <w:r>
        <w:t>already reflect a ‘default’ situation.</w:t>
      </w:r>
    </w:p>
    <w:p w14:paraId="79232F76" w14:textId="77777777" w:rsidR="00532352" w:rsidRDefault="00190E5E" w:rsidP="00605D18">
      <w:pPr>
        <w:pStyle w:val="Numberedtitlelevel4"/>
        <w:ind w:left="284" w:hanging="284"/>
      </w:pPr>
      <w:r>
        <w:t>M</w:t>
      </w:r>
      <w:r w:rsidR="00532352">
        <w:t xml:space="preserve">apping </w:t>
      </w:r>
      <w:r>
        <w:t>proposal</w:t>
      </w:r>
      <w:r w:rsidR="00171121">
        <w:t xml:space="preserve"> based on the long run default rate</w:t>
      </w:r>
    </w:p>
    <w:p w14:paraId="55E0CA9C" w14:textId="33970A46" w:rsidR="00792C67" w:rsidRDefault="008F3964" w:rsidP="00671D4C">
      <w:pPr>
        <w:pStyle w:val="numberedparagraph"/>
        <w:tabs>
          <w:tab w:val="clear" w:pos="976"/>
          <w:tab w:val="num" w:pos="284"/>
        </w:tabs>
        <w:ind w:left="284"/>
      </w:pPr>
      <w:r>
        <w:t xml:space="preserve">As illustrated in the second column of </w:t>
      </w:r>
      <w:r w:rsidR="00C87BD5">
        <w:t xml:space="preserve">Figure </w:t>
      </w:r>
      <w:r w:rsidR="005B7224">
        <w:t xml:space="preserve">10 </w:t>
      </w:r>
      <w:r>
        <w:t xml:space="preserve">in Appendix </w:t>
      </w:r>
      <w:r w:rsidR="00071338">
        <w:t>4</w:t>
      </w:r>
      <w:r>
        <w:t xml:space="preserve">, the assignment of the rating categories to credit quality steps has been initially made in accordance with Article </w:t>
      </w:r>
      <w:r w:rsidR="00211FED">
        <w:t xml:space="preserve">6 </w:t>
      </w:r>
      <w:r w:rsidR="006B26BF">
        <w:t>of the</w:t>
      </w:r>
      <w:r>
        <w:t xml:space="preserve"> </w:t>
      </w:r>
      <w:r w:rsidR="00C87BD5">
        <w:t>Implementing Regulation</w:t>
      </w:r>
      <w:r>
        <w:t xml:space="preserve">. Therefore, the numbers of defaulted and non-defaulted rated items have been used together with the prior expectation of the equivalent rating category of the international rating scale. The results are specified in </w:t>
      </w:r>
      <w:r w:rsidR="00C87BD5">
        <w:t xml:space="preserve">Figure </w:t>
      </w:r>
      <w:r w:rsidR="005B7224">
        <w:t>9</w:t>
      </w:r>
      <w:r w:rsidR="00792C67">
        <w:t xml:space="preserve"> </w:t>
      </w:r>
      <w:r w:rsidR="008C4D41">
        <w:t xml:space="preserve">of Appendix </w:t>
      </w:r>
      <w:r w:rsidR="00071338">
        <w:t>3</w:t>
      </w:r>
      <w:r w:rsidR="00792C67">
        <w:t>.</w:t>
      </w:r>
    </w:p>
    <w:p w14:paraId="2BC9AF8B" w14:textId="1CA8674F" w:rsidR="00792C67" w:rsidRDefault="00792C67" w:rsidP="00792C67">
      <w:pPr>
        <w:pStyle w:val="bullet2"/>
      </w:pPr>
      <w:r>
        <w:rPr>
          <w:b/>
        </w:rPr>
        <w:t>AAA/AA/</w:t>
      </w:r>
      <w:r w:rsidRPr="00E219FB">
        <w:rPr>
          <w:b/>
        </w:rPr>
        <w:t>A</w:t>
      </w:r>
      <w:r>
        <w:rPr>
          <w:b/>
        </w:rPr>
        <w:t xml:space="preserve">: </w:t>
      </w:r>
      <w:r w:rsidR="00C87BD5" w:rsidRPr="00671D4C">
        <w:t>no defaults are registered in the available time series</w:t>
      </w:r>
      <w:r w:rsidR="00D212DD">
        <w:t xml:space="preserve">, so the assignment to CQS 1 and 2 is warranted, regardless of the data cohort chosen. As shown in Figure </w:t>
      </w:r>
      <w:r w:rsidR="005E03FA">
        <w:t>6</w:t>
      </w:r>
      <w:r w:rsidR="00D212DD">
        <w:t xml:space="preserve"> of Appendix </w:t>
      </w:r>
      <w:r w:rsidR="005E03FA">
        <w:t>3</w:t>
      </w:r>
      <w:r w:rsidR="00D212DD">
        <w:t>,</w:t>
      </w:r>
      <w:r w:rsidR="00C87BD5" w:rsidRPr="00671D4C">
        <w:t xml:space="preserve"> </w:t>
      </w:r>
      <w:r w:rsidR="00D212DD">
        <w:t>t</w:t>
      </w:r>
      <w:r w:rsidR="00C87BD5" w:rsidRPr="00671D4C">
        <w:t xml:space="preserve">he </w:t>
      </w:r>
      <w:r w:rsidRPr="00B8424A">
        <w:t>n</w:t>
      </w:r>
      <w:r>
        <w:t>umber of rated items in each of these categories is equal or larger than the respective minimum required number of observed items given the number of defaulted items in the rating category.</w:t>
      </w:r>
    </w:p>
    <w:p w14:paraId="73603E69" w14:textId="470516C4" w:rsidR="00F407C5" w:rsidRDefault="00C87BD5">
      <w:pPr>
        <w:pStyle w:val="bullet2"/>
        <w:rPr>
          <w:b/>
        </w:rPr>
      </w:pPr>
      <w:r w:rsidRPr="00C454D5">
        <w:rPr>
          <w:b/>
        </w:rPr>
        <w:t>BBB</w:t>
      </w:r>
      <w:r w:rsidR="00C454D5">
        <w:rPr>
          <w:b/>
        </w:rPr>
        <w:t>/BB</w:t>
      </w:r>
      <w:r w:rsidR="00F832FE" w:rsidRPr="00C454D5">
        <w:rPr>
          <w:b/>
        </w:rPr>
        <w:t>:</w:t>
      </w:r>
      <w:r w:rsidR="00B07D99" w:rsidRPr="00671D4C">
        <w:rPr>
          <w:b/>
        </w:rPr>
        <w:t xml:space="preserve"> </w:t>
      </w:r>
      <w:r w:rsidR="00B07D99" w:rsidRPr="00122140">
        <w:t>The analysis</w:t>
      </w:r>
      <w:r w:rsidR="00C50AB3">
        <w:t xml:space="preserve"> is displayed in Figure </w:t>
      </w:r>
      <w:r w:rsidR="005E03FA">
        <w:t xml:space="preserve">6 </w:t>
      </w:r>
      <w:r w:rsidR="00C50AB3">
        <w:t xml:space="preserve">of Appendix </w:t>
      </w:r>
      <w:r w:rsidR="005E03FA">
        <w:t>3</w:t>
      </w:r>
      <w:r w:rsidR="00C50AB3">
        <w:t>. T</w:t>
      </w:r>
      <w:r w:rsidR="00B07D99" w:rsidRPr="00122140">
        <w:t>he first data cohort suggests a mapping aligned with the international rating scale</w:t>
      </w:r>
      <w:r w:rsidR="00B07D99">
        <w:t xml:space="preserve"> (i.e. CQS 3</w:t>
      </w:r>
      <w:r w:rsidR="00C454D5">
        <w:t xml:space="preserve"> for BBB and CQS 4 for BB</w:t>
      </w:r>
      <w:r w:rsidR="00B07D99">
        <w:t>)</w:t>
      </w:r>
      <w:r w:rsidR="00F407C5">
        <w:t>, as no defaults are recorded</w:t>
      </w:r>
      <w:r w:rsidR="00B07D99">
        <w:t>.</w:t>
      </w:r>
      <w:r w:rsidR="00B07D99" w:rsidRPr="00122140">
        <w:t xml:space="preserve"> </w:t>
      </w:r>
      <w:r w:rsidR="008512EB">
        <w:t>T</w:t>
      </w:r>
      <w:r w:rsidR="00B07D99" w:rsidRPr="00122140">
        <w:t>he second data cohort</w:t>
      </w:r>
      <w:r w:rsidR="00B07D99">
        <w:t>, which incorporates the</w:t>
      </w:r>
      <w:r w:rsidR="00B07D99" w:rsidRPr="00122140">
        <w:t xml:space="preserve"> </w:t>
      </w:r>
      <w:r w:rsidR="00B07D99">
        <w:t xml:space="preserve">additional quantitative information collected after submission of the draft ITS to the </w:t>
      </w:r>
      <w:r w:rsidR="0039648A">
        <w:t>Commission</w:t>
      </w:r>
      <w:r w:rsidR="00F407C5">
        <w:t xml:space="preserve">, </w:t>
      </w:r>
      <w:r w:rsidR="008512EB">
        <w:t>indicates</w:t>
      </w:r>
      <w:r w:rsidR="00B07D99">
        <w:t xml:space="preserve"> allocation to CQS 4</w:t>
      </w:r>
      <w:r w:rsidR="00C454D5">
        <w:t xml:space="preserve"> for BBB and to CQS5 for BB</w:t>
      </w:r>
      <w:r w:rsidR="008512EB">
        <w:t xml:space="preserve"> as the</w:t>
      </w:r>
      <w:r w:rsidR="00C454D5">
        <w:t xml:space="preserve"> pool of rated items is not large e</w:t>
      </w:r>
      <w:r w:rsidR="008512EB">
        <w:t>nough</w:t>
      </w:r>
      <w:r w:rsidR="00C454D5">
        <w:t xml:space="preserve"> given the number of defaulted items. </w:t>
      </w:r>
    </w:p>
    <w:p w14:paraId="4E4736F5" w14:textId="2D22C6A4" w:rsidR="00C454D5" w:rsidRPr="00671D4C" w:rsidRDefault="00C50AB3">
      <w:pPr>
        <w:pStyle w:val="bullet2"/>
        <w:rPr>
          <w:b/>
        </w:rPr>
      </w:pPr>
      <w:r w:rsidRPr="00C454D5">
        <w:rPr>
          <w:b/>
        </w:rPr>
        <w:t>B:</w:t>
      </w:r>
      <w:r w:rsidRPr="00671D4C">
        <w:rPr>
          <w:b/>
        </w:rPr>
        <w:t xml:space="preserve"> </w:t>
      </w:r>
      <w:r w:rsidRPr="00C454D5">
        <w:t xml:space="preserve">As shown in Figure </w:t>
      </w:r>
      <w:r w:rsidR="005E03FA">
        <w:t>6</w:t>
      </w:r>
      <w:r w:rsidR="005E03FA" w:rsidRPr="00C454D5">
        <w:t xml:space="preserve"> </w:t>
      </w:r>
      <w:r w:rsidRPr="00C454D5">
        <w:t xml:space="preserve">of Appendix </w:t>
      </w:r>
      <w:r w:rsidR="005E03FA">
        <w:t>3</w:t>
      </w:r>
      <w:r w:rsidRPr="00C454D5">
        <w:t>, the number of rated items in each of these categories does not reach the minimum required number of observed items given the number of defaulted items in the rating category. A mapping to CQS 6 is warranted.</w:t>
      </w:r>
    </w:p>
    <w:p w14:paraId="0DCBFAFF" w14:textId="77777777" w:rsidR="00AE6F37" w:rsidRPr="00AE6F37" w:rsidRDefault="00792C67" w:rsidP="00AE6F37">
      <w:pPr>
        <w:pStyle w:val="bullet2"/>
        <w:rPr>
          <w:b/>
        </w:rPr>
      </w:pPr>
      <w:r w:rsidRPr="00C454D5">
        <w:rPr>
          <w:b/>
        </w:rPr>
        <w:t>C:</w:t>
      </w:r>
      <w:r w:rsidRPr="00671D4C">
        <w:rPr>
          <w:b/>
        </w:rPr>
        <w:t xml:space="preserve"> </w:t>
      </w:r>
      <w:r w:rsidRPr="00AE6F37">
        <w:t>since the CQS associated with the equivalent rating category of the international rating scale is 6, the proposed mapping for these rating categories is also CQS 6.</w:t>
      </w:r>
      <w:r w:rsidR="00C87BD5" w:rsidRPr="00AE6F37">
        <w:t xml:space="preserve"> </w:t>
      </w:r>
    </w:p>
    <w:p w14:paraId="2B5E5A3F" w14:textId="65D3EA2F" w:rsidR="00532352" w:rsidRDefault="00532352" w:rsidP="00671D4C">
      <w:pPr>
        <w:pStyle w:val="Numberedtitlelevel3"/>
        <w:ind w:left="510" w:hanging="510"/>
      </w:pPr>
      <w:r>
        <w:t>Final mapping after review of the qualitative factors</w:t>
      </w:r>
    </w:p>
    <w:p w14:paraId="50525766" w14:textId="73119B94" w:rsidR="009E4DAA" w:rsidRPr="008B3B7D" w:rsidRDefault="009E4DAA" w:rsidP="000E074B">
      <w:pPr>
        <w:pStyle w:val="numberedparagraph"/>
        <w:tabs>
          <w:tab w:val="clear" w:pos="976"/>
          <w:tab w:val="num" w:pos="284"/>
        </w:tabs>
        <w:ind w:left="284"/>
      </w:pPr>
      <w:bookmarkStart w:id="2" w:name="_GoBack"/>
      <w:r w:rsidRPr="008B3B7D">
        <w:t xml:space="preserve">The Joint Committee of the European Supervisory Authorities has not received the consent from </w:t>
      </w:r>
      <w:proofErr w:type="spellStart"/>
      <w:r w:rsidRPr="008B3B7D">
        <w:t>Creditreform</w:t>
      </w:r>
      <w:proofErr w:type="spellEnd"/>
      <w:r w:rsidRPr="008B3B7D">
        <w:t xml:space="preserve"> Rating AG to publish the information transmitted by the ECAI.</w:t>
      </w:r>
    </w:p>
    <w:bookmarkEnd w:id="2"/>
    <w:p w14:paraId="4ACACD59" w14:textId="0CC2D40D" w:rsidR="002B0A4B" w:rsidRDefault="002B0A4B" w:rsidP="002B0A4B">
      <w:pPr>
        <w:pStyle w:val="Numberedtitlelevel2"/>
        <w:ind w:left="357" w:hanging="357"/>
        <w:outlineLvl w:val="0"/>
      </w:pPr>
      <w:r w:rsidRPr="00BE6527">
        <w:t>Mapping</w:t>
      </w:r>
      <w:r w:rsidRPr="004E160A">
        <w:t xml:space="preserve"> of </w:t>
      </w:r>
      <w:proofErr w:type="spellStart"/>
      <w:r>
        <w:t>Creditreform</w:t>
      </w:r>
      <w:r w:rsidRPr="004E160A">
        <w:t>’s</w:t>
      </w:r>
      <w:proofErr w:type="spellEnd"/>
      <w:r w:rsidRPr="004E160A">
        <w:t xml:space="preserve"> </w:t>
      </w:r>
      <w:r>
        <w:t>S</w:t>
      </w:r>
      <w:r w:rsidRPr="004E160A">
        <w:t xml:space="preserve">hort-Term </w:t>
      </w:r>
      <w:r>
        <w:t>credit rating scale</w:t>
      </w:r>
    </w:p>
    <w:p w14:paraId="0AEC8AA7" w14:textId="55F37E86" w:rsidR="009E4DAA" w:rsidRPr="000E074B" w:rsidRDefault="002B0A4B" w:rsidP="000E074B">
      <w:pPr>
        <w:pStyle w:val="numberedparagraph"/>
        <w:tabs>
          <w:tab w:val="clear" w:pos="976"/>
        </w:tabs>
        <w:ind w:left="284"/>
      </w:pPr>
      <w:proofErr w:type="spellStart"/>
      <w:r>
        <w:t>Creditreform</w:t>
      </w:r>
      <w:proofErr w:type="spellEnd"/>
      <w:r>
        <w:t xml:space="preserve"> also produces short-term credit ratings and assigns them to </w:t>
      </w:r>
      <w:r w:rsidRPr="00D7084A">
        <w:t xml:space="preserve">the </w:t>
      </w:r>
      <w:r>
        <w:t>s</w:t>
      </w:r>
      <w:r w:rsidRPr="00D7084A">
        <w:t>hort-term credit ratings scale</w:t>
      </w:r>
      <w:r w:rsidRPr="009E4DAA">
        <w:rPr>
          <w:b/>
        </w:rPr>
        <w:t xml:space="preserve"> </w:t>
      </w:r>
      <w:r>
        <w:t xml:space="preserve">(see Figure 5 in Appendix 1). Given that the default information referred to these rating categories cannot be comparable with the 3-year time horizon that characterizes the benchmarks established in the </w:t>
      </w:r>
      <w:proofErr w:type="gramStart"/>
      <w:r>
        <w:t>ITS</w:t>
      </w:r>
      <w:proofErr w:type="gramEnd"/>
      <w:r>
        <w:t xml:space="preserve">, the internal relationship established by </w:t>
      </w:r>
      <w:proofErr w:type="spellStart"/>
      <w:r>
        <w:t>Creditreform</w:t>
      </w:r>
      <w:proofErr w:type="spellEnd"/>
      <w:r>
        <w:t xml:space="preserve"> between these two rating scales has been used to derive the mapping.</w:t>
      </w:r>
    </w:p>
    <w:p w14:paraId="3A099264" w14:textId="75A3E106" w:rsidR="008455B3" w:rsidRPr="008B3B7D" w:rsidRDefault="009E4DAA" w:rsidP="000E074B">
      <w:pPr>
        <w:pStyle w:val="numberedparagraph"/>
        <w:tabs>
          <w:tab w:val="clear" w:pos="976"/>
        </w:tabs>
        <w:ind w:left="284"/>
      </w:pPr>
      <w:r w:rsidRPr="008B3B7D">
        <w:lastRenderedPageBreak/>
        <w:t xml:space="preserve">The Joint Committee of the European Supervisory Authorities has not received the consent from </w:t>
      </w:r>
      <w:proofErr w:type="spellStart"/>
      <w:r w:rsidRPr="008B3B7D">
        <w:t>Creditreform</w:t>
      </w:r>
      <w:proofErr w:type="spellEnd"/>
      <w:r w:rsidRPr="008B3B7D">
        <w:t xml:space="preserve"> Rating AG to publish the information transmitted by the ECAI</w:t>
      </w:r>
      <w:r w:rsidR="00473F19" w:rsidRPr="008B3B7D">
        <w:t>.</w:t>
      </w:r>
      <w:r w:rsidR="00473F19" w:rsidRPr="008B3B7D" w:rsidDel="009E4DAA">
        <w:t xml:space="preserve"> </w:t>
      </w:r>
    </w:p>
    <w:p w14:paraId="23C3690A" w14:textId="75870E37" w:rsidR="008455B3" w:rsidRDefault="008455B3" w:rsidP="008455B3">
      <w:pPr>
        <w:pStyle w:val="Numberedtitlelevel2"/>
        <w:ind w:left="357" w:hanging="357"/>
        <w:outlineLvl w:val="0"/>
      </w:pPr>
      <w:r>
        <w:t xml:space="preserve">Mapping </w:t>
      </w:r>
      <w:r w:rsidRPr="00BE6527">
        <w:t>of</w:t>
      </w:r>
      <w:r>
        <w:t xml:space="preserve"> </w:t>
      </w:r>
      <w:proofErr w:type="spellStart"/>
      <w:r>
        <w:t>Creditreform’s</w:t>
      </w:r>
      <w:proofErr w:type="spellEnd"/>
      <w:r>
        <w:t xml:space="preserve"> long-term issue credit rating scale</w:t>
      </w:r>
    </w:p>
    <w:p w14:paraId="708E6C88" w14:textId="77777777" w:rsidR="008455B3" w:rsidRDefault="008455B3" w:rsidP="004D71C2">
      <w:pPr>
        <w:pStyle w:val="numberedparagraph"/>
        <w:tabs>
          <w:tab w:val="clear" w:pos="976"/>
          <w:tab w:val="num" w:pos="284"/>
        </w:tabs>
        <w:ind w:left="284"/>
      </w:pPr>
      <w:r>
        <w:t>Based on the methodology described in the previous section, the mapping has been derived from the relationship established by the JC with the relevant Long-term issuer credit ratings scale.</w:t>
      </w:r>
    </w:p>
    <w:p w14:paraId="79A8EABC" w14:textId="3641CF95" w:rsidR="00FC5EFA" w:rsidRPr="004D71C2" w:rsidRDefault="008455B3" w:rsidP="004D71C2">
      <w:pPr>
        <w:pStyle w:val="numberedparagraph"/>
        <w:tabs>
          <w:tab w:val="clear" w:pos="976"/>
          <w:tab w:val="num" w:pos="284"/>
        </w:tabs>
        <w:ind w:left="284"/>
        <w:sectPr w:rsidR="00FC5EFA" w:rsidRPr="004D71C2" w:rsidSect="0011627A">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r w:rsidRPr="004D71C2">
        <w:rPr>
          <w:b/>
        </w:rPr>
        <w:t>Long-term issue credit ratings scale</w:t>
      </w:r>
      <w:r>
        <w:t xml:space="preserve"> (see Figure 4 in Appendix 1). The rating categories can be considered comparable to those of the Long-term </w:t>
      </w:r>
      <w:r w:rsidRPr="00EF7C5D">
        <w:t>issuer</w:t>
      </w:r>
      <w:r>
        <w:t xml:space="preserve"> credit ratings scale. Therefore the mapping of each rating category has been derived from its meaning and </w:t>
      </w:r>
      <w:r w:rsidRPr="001A28CE">
        <w:t>relative position and the mapping of the corresponding categories</w:t>
      </w:r>
      <w:r>
        <w:t xml:space="preserve"> of the long-term issuer rating scale. </w:t>
      </w:r>
    </w:p>
    <w:p w14:paraId="411865F1" w14:textId="77777777" w:rsidR="00F434D1" w:rsidRPr="00BE6527" w:rsidRDefault="00F434D1" w:rsidP="00D83AAF">
      <w:pPr>
        <w:pStyle w:val="Titlelevel2"/>
        <w:outlineLvl w:val="0"/>
      </w:pPr>
      <w:r w:rsidRPr="00BE6527">
        <w:lastRenderedPageBreak/>
        <w:t xml:space="preserve">Appendix 1: </w:t>
      </w:r>
      <w:r w:rsidRPr="00BE6527">
        <w:tab/>
        <w:t>Credit ratings and rating scales</w:t>
      </w:r>
    </w:p>
    <w:p w14:paraId="600BA398" w14:textId="04E09442" w:rsidR="00892B01" w:rsidRDefault="0041788D" w:rsidP="00B17160">
      <w:pPr>
        <w:pStyle w:val="Figuretitle"/>
      </w:pPr>
      <w:bookmarkStart w:id="3" w:name="_Ref384801505"/>
      <w:bookmarkStart w:id="4" w:name="_Toc239218820"/>
      <w:bookmarkStart w:id="5"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5E03FA">
        <w:rPr>
          <w:szCs w:val="22"/>
        </w:rPr>
        <w:t>2</w:t>
      </w:r>
      <w:r w:rsidRPr="0041788D">
        <w:rPr>
          <w:szCs w:val="22"/>
        </w:rPr>
        <w:fldChar w:fldCharType="end"/>
      </w:r>
      <w:bookmarkEnd w:id="3"/>
      <w:r w:rsidRPr="0041788D">
        <w:rPr>
          <w:szCs w:val="22"/>
        </w:rPr>
        <w:t xml:space="preserve">: </w:t>
      </w:r>
      <w:bookmarkEnd w:id="4"/>
      <w:bookmarkEnd w:id="5"/>
      <w:r w:rsidR="009B7D6B">
        <w:t>C</w:t>
      </w:r>
      <w:r w:rsidR="0022391F">
        <w:t>reditreform</w:t>
      </w:r>
      <w:r w:rsidR="00892B01" w:rsidRPr="00892B01">
        <w:t>’s relevant credit ratings and rating scales</w:t>
      </w:r>
    </w:p>
    <w:tbl>
      <w:tblPr>
        <w:tblStyle w:val="EBAtable"/>
        <w:tblW w:w="12866" w:type="dxa"/>
        <w:tblLayout w:type="fixed"/>
        <w:tblLook w:val="04A0" w:firstRow="1" w:lastRow="0" w:firstColumn="1" w:lastColumn="0" w:noHBand="0" w:noVBand="1"/>
      </w:tblPr>
      <w:tblGrid>
        <w:gridCol w:w="4023"/>
        <w:gridCol w:w="6150"/>
        <w:gridCol w:w="2693"/>
      </w:tblGrid>
      <w:tr w:rsidR="00656C6C" w:rsidRPr="00612352" w14:paraId="760AA3E5" w14:textId="77777777" w:rsidTr="00656C6C">
        <w:trPr>
          <w:cnfStyle w:val="100000000000" w:firstRow="1" w:lastRow="0" w:firstColumn="0" w:lastColumn="0" w:oddVBand="0" w:evenVBand="0" w:oddHBand="0" w:evenHBand="0" w:firstRowFirstColumn="0" w:firstRowLastColumn="0" w:lastRowFirstColumn="0" w:lastRowLastColumn="0"/>
        </w:trPr>
        <w:tc>
          <w:tcPr>
            <w:tcW w:w="4023" w:type="dxa"/>
          </w:tcPr>
          <w:p w14:paraId="4FF708F7" w14:textId="77777777" w:rsidR="00656C6C" w:rsidRPr="00612352" w:rsidRDefault="00656C6C" w:rsidP="009E4DAA">
            <w:pPr>
              <w:pStyle w:val="Tableheader"/>
              <w:spacing w:before="120"/>
              <w:rPr>
                <w:lang w:val="en-GB"/>
              </w:rPr>
            </w:pPr>
            <w:r w:rsidRPr="00892B01">
              <w:t>SA exposure classes</w:t>
            </w:r>
          </w:p>
        </w:tc>
        <w:tc>
          <w:tcPr>
            <w:tcW w:w="6150" w:type="dxa"/>
          </w:tcPr>
          <w:p w14:paraId="531FC33F" w14:textId="77777777" w:rsidR="00656C6C" w:rsidRPr="00612352" w:rsidRDefault="00656C6C" w:rsidP="009E4DAA">
            <w:pPr>
              <w:pStyle w:val="Tableheader"/>
              <w:spacing w:before="120"/>
              <w:rPr>
                <w:lang w:val="en-GB"/>
              </w:rPr>
            </w:pPr>
            <w:r w:rsidRPr="00892B01">
              <w:rPr>
                <w:lang w:val="en-GB"/>
              </w:rPr>
              <w:t>Name of credit rating</w:t>
            </w:r>
          </w:p>
        </w:tc>
        <w:tc>
          <w:tcPr>
            <w:tcW w:w="2693" w:type="dxa"/>
          </w:tcPr>
          <w:p w14:paraId="049227B9" w14:textId="77777777" w:rsidR="00656C6C" w:rsidRPr="00612352" w:rsidRDefault="00656C6C" w:rsidP="009E4DAA">
            <w:pPr>
              <w:pStyle w:val="Tableheader"/>
              <w:spacing w:before="120"/>
              <w:rPr>
                <w:lang w:val="en-GB"/>
              </w:rPr>
            </w:pPr>
            <w:r w:rsidRPr="00892B01">
              <w:t>Credit rating scale</w:t>
            </w:r>
          </w:p>
        </w:tc>
      </w:tr>
      <w:tr w:rsidR="00656C6C" w:rsidRPr="00612352" w14:paraId="1E11189C" w14:textId="77777777" w:rsidTr="00656C6C">
        <w:tc>
          <w:tcPr>
            <w:tcW w:w="4023" w:type="dxa"/>
          </w:tcPr>
          <w:p w14:paraId="113E712B" w14:textId="77777777" w:rsidR="00656C6C" w:rsidRPr="00892B01" w:rsidRDefault="00656C6C" w:rsidP="009E4DAA">
            <w:pPr>
              <w:spacing w:before="120" w:after="120"/>
              <w:rPr>
                <w:b/>
              </w:rPr>
            </w:pPr>
            <w:r w:rsidRPr="00892B01">
              <w:rPr>
                <w:b/>
              </w:rPr>
              <w:t>Long-term ratings</w:t>
            </w:r>
          </w:p>
        </w:tc>
        <w:tc>
          <w:tcPr>
            <w:tcW w:w="6150" w:type="dxa"/>
          </w:tcPr>
          <w:p w14:paraId="23884488" w14:textId="77777777" w:rsidR="00656C6C" w:rsidRPr="0002510A" w:rsidRDefault="00656C6C" w:rsidP="009E4DAA">
            <w:pPr>
              <w:spacing w:before="120" w:after="120"/>
            </w:pPr>
          </w:p>
        </w:tc>
        <w:tc>
          <w:tcPr>
            <w:tcW w:w="2693" w:type="dxa"/>
          </w:tcPr>
          <w:p w14:paraId="3DB9DAF1" w14:textId="77777777" w:rsidR="00656C6C" w:rsidRDefault="00656C6C" w:rsidP="009E4DAA">
            <w:pPr>
              <w:spacing w:before="120" w:after="120"/>
            </w:pPr>
          </w:p>
        </w:tc>
      </w:tr>
      <w:tr w:rsidR="00656C6C" w:rsidRPr="00612352" w14:paraId="05C1E2B0" w14:textId="77777777" w:rsidTr="00656C6C">
        <w:trPr>
          <w:trHeight w:hRule="exact" w:val="454"/>
        </w:trPr>
        <w:tc>
          <w:tcPr>
            <w:tcW w:w="4023" w:type="dxa"/>
          </w:tcPr>
          <w:p w14:paraId="10E9CFF9" w14:textId="77777777" w:rsidR="00656C6C" w:rsidRPr="00671D4C" w:rsidRDefault="00656C6C" w:rsidP="009E4DAA">
            <w:pPr>
              <w:spacing w:before="120" w:after="120"/>
            </w:pPr>
            <w:r w:rsidRPr="00671D4C">
              <w:t>Central governments or central banks</w:t>
            </w:r>
          </w:p>
        </w:tc>
        <w:tc>
          <w:tcPr>
            <w:tcW w:w="6150" w:type="dxa"/>
          </w:tcPr>
          <w:p w14:paraId="74DC38E1" w14:textId="77777777" w:rsidR="00656C6C" w:rsidRPr="0002510A" w:rsidRDefault="00656C6C" w:rsidP="009E4DAA">
            <w:pPr>
              <w:spacing w:before="120" w:after="120"/>
            </w:pPr>
            <w:r>
              <w:t>S</w:t>
            </w:r>
            <w:r w:rsidRPr="001032D9">
              <w:t>overeign</w:t>
            </w:r>
            <w:r>
              <w:t xml:space="preserve"> issuer rating</w:t>
            </w:r>
          </w:p>
        </w:tc>
        <w:tc>
          <w:tcPr>
            <w:tcW w:w="2693" w:type="dxa"/>
          </w:tcPr>
          <w:p w14:paraId="3F7EFD22" w14:textId="77777777" w:rsidR="00656C6C" w:rsidRDefault="00656C6C" w:rsidP="009E4DAA">
            <w:pPr>
              <w:spacing w:before="120" w:after="120"/>
            </w:pPr>
            <w:r>
              <w:rPr>
                <w:bCs/>
              </w:rPr>
              <w:t>Long-term issuer rating scale</w:t>
            </w:r>
          </w:p>
        </w:tc>
      </w:tr>
      <w:tr w:rsidR="00656C6C" w:rsidRPr="00612352" w14:paraId="003FF97A" w14:textId="77777777" w:rsidTr="00656C6C">
        <w:trPr>
          <w:trHeight w:hRule="exact" w:val="454"/>
        </w:trPr>
        <w:tc>
          <w:tcPr>
            <w:tcW w:w="4023" w:type="dxa"/>
          </w:tcPr>
          <w:p w14:paraId="7A222B89" w14:textId="77777777" w:rsidR="00656C6C" w:rsidRPr="00671D4C" w:rsidRDefault="00656C6C" w:rsidP="009E4DAA">
            <w:pPr>
              <w:spacing w:before="120" w:after="120"/>
            </w:pPr>
          </w:p>
        </w:tc>
        <w:tc>
          <w:tcPr>
            <w:tcW w:w="6150" w:type="dxa"/>
          </w:tcPr>
          <w:p w14:paraId="0BED306B" w14:textId="77777777" w:rsidR="00656C6C" w:rsidRDefault="00656C6C" w:rsidP="009E4DAA">
            <w:pPr>
              <w:spacing w:before="120" w:after="120"/>
            </w:pPr>
            <w:r>
              <w:t>Sovereign issue rating</w:t>
            </w:r>
          </w:p>
        </w:tc>
        <w:tc>
          <w:tcPr>
            <w:tcW w:w="2693" w:type="dxa"/>
          </w:tcPr>
          <w:p w14:paraId="25671FE9" w14:textId="77777777" w:rsidR="00656C6C" w:rsidRDefault="00656C6C" w:rsidP="009E4DAA">
            <w:pPr>
              <w:spacing w:before="120" w:after="120"/>
              <w:rPr>
                <w:bCs/>
              </w:rPr>
            </w:pPr>
            <w:r>
              <w:rPr>
                <w:bCs/>
              </w:rPr>
              <w:t xml:space="preserve">Long-term </w:t>
            </w:r>
            <w:r>
              <w:t>issue</w:t>
            </w:r>
            <w:r>
              <w:rPr>
                <w:bCs/>
              </w:rPr>
              <w:t xml:space="preserve"> rating scale</w:t>
            </w:r>
          </w:p>
        </w:tc>
      </w:tr>
      <w:tr w:rsidR="00656C6C" w:rsidRPr="00612352" w14:paraId="0FC7E41A" w14:textId="77777777" w:rsidTr="00656C6C">
        <w:trPr>
          <w:trHeight w:hRule="exact" w:val="454"/>
        </w:trPr>
        <w:tc>
          <w:tcPr>
            <w:tcW w:w="4023" w:type="dxa"/>
          </w:tcPr>
          <w:p w14:paraId="315269E7" w14:textId="77777777" w:rsidR="00656C6C" w:rsidRPr="00671D4C" w:rsidRDefault="00656C6C" w:rsidP="009E4DAA">
            <w:pPr>
              <w:spacing w:before="120" w:after="120"/>
            </w:pPr>
            <w:r>
              <w:t>Public sector entities</w:t>
            </w:r>
          </w:p>
        </w:tc>
        <w:tc>
          <w:tcPr>
            <w:tcW w:w="6150" w:type="dxa"/>
          </w:tcPr>
          <w:p w14:paraId="41B59FAE" w14:textId="77777777" w:rsidR="00656C6C" w:rsidRDefault="00656C6C" w:rsidP="009E4DAA">
            <w:pPr>
              <w:spacing w:before="120" w:after="120"/>
            </w:pPr>
            <w:r>
              <w:t>Corporate issuer rating</w:t>
            </w:r>
          </w:p>
        </w:tc>
        <w:tc>
          <w:tcPr>
            <w:tcW w:w="2693" w:type="dxa"/>
          </w:tcPr>
          <w:p w14:paraId="6FBBB97D" w14:textId="77777777" w:rsidR="00656C6C" w:rsidRDefault="00656C6C" w:rsidP="009E4DAA">
            <w:pPr>
              <w:spacing w:before="120" w:after="120"/>
              <w:rPr>
                <w:bCs/>
              </w:rPr>
            </w:pPr>
            <w:r>
              <w:rPr>
                <w:bCs/>
              </w:rPr>
              <w:t>Long-term issuer rating scale</w:t>
            </w:r>
          </w:p>
        </w:tc>
      </w:tr>
      <w:tr w:rsidR="00656C6C" w:rsidRPr="00612352" w14:paraId="3B928241" w14:textId="77777777" w:rsidTr="00656C6C">
        <w:trPr>
          <w:trHeight w:hRule="exact" w:val="454"/>
        </w:trPr>
        <w:tc>
          <w:tcPr>
            <w:tcW w:w="4023" w:type="dxa"/>
          </w:tcPr>
          <w:p w14:paraId="02867E4F" w14:textId="77777777" w:rsidR="00656C6C" w:rsidRDefault="00656C6C" w:rsidP="009E4DAA">
            <w:pPr>
              <w:spacing w:before="120" w:after="120"/>
            </w:pPr>
          </w:p>
        </w:tc>
        <w:tc>
          <w:tcPr>
            <w:tcW w:w="6150" w:type="dxa"/>
          </w:tcPr>
          <w:p w14:paraId="7CA84D66" w14:textId="77777777" w:rsidR="00656C6C" w:rsidRDefault="00656C6C" w:rsidP="009E4DAA">
            <w:pPr>
              <w:spacing w:before="120" w:after="120"/>
            </w:pPr>
            <w:r>
              <w:t>Corporate issue rating</w:t>
            </w:r>
          </w:p>
        </w:tc>
        <w:tc>
          <w:tcPr>
            <w:tcW w:w="2693" w:type="dxa"/>
          </w:tcPr>
          <w:p w14:paraId="5FAE44CE" w14:textId="77777777" w:rsidR="00656C6C" w:rsidRDefault="00656C6C" w:rsidP="009E4DAA">
            <w:pPr>
              <w:spacing w:before="120" w:after="120"/>
              <w:rPr>
                <w:bCs/>
              </w:rPr>
            </w:pPr>
            <w:r>
              <w:rPr>
                <w:bCs/>
              </w:rPr>
              <w:t xml:space="preserve">Long-term </w:t>
            </w:r>
            <w:r>
              <w:t>issue</w:t>
            </w:r>
            <w:r>
              <w:rPr>
                <w:bCs/>
              </w:rPr>
              <w:t xml:space="preserve"> rating scale</w:t>
            </w:r>
          </w:p>
        </w:tc>
      </w:tr>
      <w:tr w:rsidR="00656C6C" w:rsidRPr="00612352" w14:paraId="45ADCD14" w14:textId="77777777" w:rsidTr="00656C6C">
        <w:trPr>
          <w:trHeight w:hRule="exact" w:val="454"/>
        </w:trPr>
        <w:tc>
          <w:tcPr>
            <w:tcW w:w="4023" w:type="dxa"/>
          </w:tcPr>
          <w:p w14:paraId="7E9BD545" w14:textId="77777777" w:rsidR="00656C6C" w:rsidRPr="001B32F8" w:rsidRDefault="00656C6C" w:rsidP="009E4DAA">
            <w:pPr>
              <w:spacing w:before="120" w:after="120"/>
            </w:pPr>
            <w:r>
              <w:t>Institutions</w:t>
            </w:r>
          </w:p>
        </w:tc>
        <w:tc>
          <w:tcPr>
            <w:tcW w:w="6150" w:type="dxa"/>
          </w:tcPr>
          <w:p w14:paraId="3B51BA38" w14:textId="77777777" w:rsidR="00656C6C" w:rsidRDefault="00656C6C" w:rsidP="009E4DAA">
            <w:pPr>
              <w:spacing w:before="120" w:after="120"/>
            </w:pPr>
            <w:r>
              <w:t>Long-term bank issuer rating</w:t>
            </w:r>
          </w:p>
        </w:tc>
        <w:tc>
          <w:tcPr>
            <w:tcW w:w="2693" w:type="dxa"/>
          </w:tcPr>
          <w:p w14:paraId="4961BD73" w14:textId="77777777" w:rsidR="00656C6C" w:rsidRDefault="00656C6C" w:rsidP="009E4DAA">
            <w:pPr>
              <w:spacing w:before="120" w:after="120"/>
              <w:rPr>
                <w:bCs/>
              </w:rPr>
            </w:pPr>
            <w:r>
              <w:rPr>
                <w:bCs/>
              </w:rPr>
              <w:t>Long-term issuer rating scale</w:t>
            </w:r>
          </w:p>
        </w:tc>
      </w:tr>
      <w:tr w:rsidR="00656C6C" w:rsidRPr="00612352" w14:paraId="5CE0DDE8" w14:textId="77777777" w:rsidTr="00656C6C">
        <w:trPr>
          <w:trHeight w:hRule="exact" w:val="454"/>
        </w:trPr>
        <w:tc>
          <w:tcPr>
            <w:tcW w:w="4023" w:type="dxa"/>
          </w:tcPr>
          <w:p w14:paraId="37A14C1C" w14:textId="77777777" w:rsidR="00656C6C" w:rsidRDefault="00656C6C" w:rsidP="009E4DAA">
            <w:pPr>
              <w:spacing w:before="120" w:after="120"/>
            </w:pPr>
          </w:p>
        </w:tc>
        <w:tc>
          <w:tcPr>
            <w:tcW w:w="6150" w:type="dxa"/>
          </w:tcPr>
          <w:p w14:paraId="41F1B1D4" w14:textId="77777777" w:rsidR="00656C6C" w:rsidRDefault="00656C6C" w:rsidP="009E4DAA">
            <w:pPr>
              <w:spacing w:before="120" w:after="120"/>
            </w:pPr>
            <w:r>
              <w:t>Short-term bank issuer rating</w:t>
            </w:r>
          </w:p>
        </w:tc>
        <w:tc>
          <w:tcPr>
            <w:tcW w:w="2693" w:type="dxa"/>
          </w:tcPr>
          <w:p w14:paraId="703FDBD1" w14:textId="77777777" w:rsidR="00656C6C" w:rsidRDefault="00656C6C" w:rsidP="009E4DAA">
            <w:pPr>
              <w:spacing w:before="120" w:after="120"/>
              <w:rPr>
                <w:bCs/>
              </w:rPr>
            </w:pPr>
            <w:r>
              <w:rPr>
                <w:bCs/>
              </w:rPr>
              <w:t>Short-term rating scale</w:t>
            </w:r>
          </w:p>
        </w:tc>
      </w:tr>
      <w:tr w:rsidR="00656C6C" w:rsidRPr="00612352" w14:paraId="1E1C34C6" w14:textId="77777777" w:rsidTr="00656C6C">
        <w:trPr>
          <w:trHeight w:hRule="exact" w:val="454"/>
        </w:trPr>
        <w:tc>
          <w:tcPr>
            <w:tcW w:w="4023" w:type="dxa"/>
          </w:tcPr>
          <w:p w14:paraId="39ADE639" w14:textId="77777777" w:rsidR="00656C6C" w:rsidRDefault="00656C6C" w:rsidP="009E4DAA">
            <w:pPr>
              <w:spacing w:before="120" w:after="120"/>
            </w:pPr>
          </w:p>
        </w:tc>
        <w:tc>
          <w:tcPr>
            <w:tcW w:w="6150" w:type="dxa"/>
          </w:tcPr>
          <w:p w14:paraId="5F65E37C" w14:textId="77777777" w:rsidR="00656C6C" w:rsidRDefault="00656C6C" w:rsidP="009E4DAA">
            <w:pPr>
              <w:spacing w:before="120" w:after="120"/>
            </w:pPr>
            <w:r>
              <w:t>Bank issue rating</w:t>
            </w:r>
          </w:p>
        </w:tc>
        <w:tc>
          <w:tcPr>
            <w:tcW w:w="2693" w:type="dxa"/>
          </w:tcPr>
          <w:p w14:paraId="62D4F086" w14:textId="77777777" w:rsidR="00656C6C" w:rsidRDefault="00656C6C" w:rsidP="009E4DAA">
            <w:pPr>
              <w:spacing w:before="120" w:after="120"/>
              <w:rPr>
                <w:bCs/>
              </w:rPr>
            </w:pPr>
            <w:r>
              <w:rPr>
                <w:bCs/>
              </w:rPr>
              <w:t xml:space="preserve">Long-term </w:t>
            </w:r>
            <w:r>
              <w:t>issue</w:t>
            </w:r>
            <w:r>
              <w:rPr>
                <w:bCs/>
              </w:rPr>
              <w:t xml:space="preserve"> rating scale</w:t>
            </w:r>
          </w:p>
        </w:tc>
      </w:tr>
      <w:tr w:rsidR="00656C6C" w:rsidRPr="00612352" w14:paraId="414A98DF" w14:textId="77777777" w:rsidTr="00656C6C">
        <w:trPr>
          <w:trHeight w:hRule="exact" w:val="454"/>
        </w:trPr>
        <w:tc>
          <w:tcPr>
            <w:tcW w:w="4023" w:type="dxa"/>
          </w:tcPr>
          <w:p w14:paraId="3B215F94" w14:textId="77777777" w:rsidR="00656C6C" w:rsidRPr="001B32F8" w:rsidRDefault="00656C6C" w:rsidP="009E4DAA">
            <w:pPr>
              <w:spacing w:before="120" w:after="120"/>
            </w:pPr>
            <w:r w:rsidRPr="001B32F8">
              <w:t>Corporates</w:t>
            </w:r>
          </w:p>
        </w:tc>
        <w:tc>
          <w:tcPr>
            <w:tcW w:w="6150" w:type="dxa"/>
          </w:tcPr>
          <w:p w14:paraId="0A5C8DD5" w14:textId="77777777" w:rsidR="00656C6C" w:rsidRPr="001B32F8" w:rsidRDefault="00656C6C" w:rsidP="009E4DAA">
            <w:pPr>
              <w:spacing w:before="120" w:after="120"/>
            </w:pPr>
            <w:r>
              <w:t>Corporate issuer rating</w:t>
            </w:r>
          </w:p>
        </w:tc>
        <w:tc>
          <w:tcPr>
            <w:tcW w:w="2693" w:type="dxa"/>
          </w:tcPr>
          <w:p w14:paraId="1BB9C86C" w14:textId="77777777" w:rsidR="00656C6C" w:rsidRPr="001B32F8" w:rsidRDefault="00656C6C" w:rsidP="009E4DAA">
            <w:pPr>
              <w:spacing w:before="120" w:after="120"/>
            </w:pPr>
            <w:r>
              <w:rPr>
                <w:bCs/>
              </w:rPr>
              <w:t>Long-term issuer rating scale</w:t>
            </w:r>
          </w:p>
        </w:tc>
      </w:tr>
      <w:tr w:rsidR="00656C6C" w:rsidRPr="00612352" w14:paraId="127DC807" w14:textId="77777777" w:rsidTr="00656C6C">
        <w:trPr>
          <w:trHeight w:hRule="exact" w:val="454"/>
        </w:trPr>
        <w:tc>
          <w:tcPr>
            <w:tcW w:w="4023" w:type="dxa"/>
          </w:tcPr>
          <w:p w14:paraId="65D78158" w14:textId="77777777" w:rsidR="00656C6C" w:rsidRPr="001B32F8" w:rsidRDefault="00656C6C" w:rsidP="009E4DAA">
            <w:pPr>
              <w:spacing w:before="120" w:after="120"/>
            </w:pPr>
          </w:p>
        </w:tc>
        <w:tc>
          <w:tcPr>
            <w:tcW w:w="6150" w:type="dxa"/>
          </w:tcPr>
          <w:p w14:paraId="178A011C" w14:textId="77777777" w:rsidR="00656C6C" w:rsidRDefault="00656C6C" w:rsidP="009E4DAA">
            <w:pPr>
              <w:spacing w:before="120" w:after="120"/>
            </w:pPr>
            <w:r>
              <w:t>Corporate issue rating</w:t>
            </w:r>
          </w:p>
        </w:tc>
        <w:tc>
          <w:tcPr>
            <w:tcW w:w="2693" w:type="dxa"/>
          </w:tcPr>
          <w:p w14:paraId="2459577B" w14:textId="77777777" w:rsidR="00656C6C" w:rsidRDefault="00656C6C" w:rsidP="009E4DAA">
            <w:pPr>
              <w:spacing w:before="120" w:after="120"/>
              <w:rPr>
                <w:bCs/>
              </w:rPr>
            </w:pPr>
            <w:r>
              <w:rPr>
                <w:bCs/>
              </w:rPr>
              <w:t xml:space="preserve">Long-term </w:t>
            </w:r>
            <w:r>
              <w:t>issue</w:t>
            </w:r>
            <w:r>
              <w:rPr>
                <w:bCs/>
              </w:rPr>
              <w:t xml:space="preserve"> rating scale</w:t>
            </w:r>
          </w:p>
        </w:tc>
      </w:tr>
      <w:tr w:rsidR="00656C6C" w:rsidRPr="00612352" w14:paraId="22D6F86B" w14:textId="77777777" w:rsidTr="00656C6C">
        <w:trPr>
          <w:trHeight w:hRule="exact" w:val="454"/>
        </w:trPr>
        <w:tc>
          <w:tcPr>
            <w:tcW w:w="4023" w:type="dxa"/>
          </w:tcPr>
          <w:p w14:paraId="7E6F6CD0" w14:textId="77777777" w:rsidR="00656C6C" w:rsidRPr="001B32F8" w:rsidRDefault="00656C6C" w:rsidP="009E4DAA">
            <w:pPr>
              <w:spacing w:before="120" w:after="120"/>
            </w:pPr>
          </w:p>
        </w:tc>
        <w:tc>
          <w:tcPr>
            <w:tcW w:w="6150" w:type="dxa"/>
          </w:tcPr>
          <w:p w14:paraId="13AE5137" w14:textId="77777777" w:rsidR="00656C6C" w:rsidRDefault="00656C6C" w:rsidP="009E4DAA">
            <w:pPr>
              <w:spacing w:before="120" w:after="120"/>
            </w:pPr>
            <w:r>
              <w:t>SME issuer rating</w:t>
            </w:r>
          </w:p>
        </w:tc>
        <w:tc>
          <w:tcPr>
            <w:tcW w:w="2693" w:type="dxa"/>
          </w:tcPr>
          <w:p w14:paraId="216E62F4" w14:textId="77777777" w:rsidR="00656C6C" w:rsidRDefault="00656C6C" w:rsidP="009E4DAA">
            <w:pPr>
              <w:spacing w:before="120" w:after="120"/>
              <w:rPr>
                <w:bCs/>
              </w:rPr>
            </w:pPr>
            <w:r>
              <w:rPr>
                <w:bCs/>
              </w:rPr>
              <w:t>Long-term issuer rating scale</w:t>
            </w:r>
          </w:p>
        </w:tc>
      </w:tr>
      <w:tr w:rsidR="00656C6C" w:rsidRPr="00612352" w14:paraId="3E6501B5" w14:textId="77777777" w:rsidTr="00656C6C">
        <w:trPr>
          <w:trHeight w:hRule="exact" w:val="454"/>
        </w:trPr>
        <w:tc>
          <w:tcPr>
            <w:tcW w:w="4023" w:type="dxa"/>
          </w:tcPr>
          <w:p w14:paraId="2C04E92E" w14:textId="77777777" w:rsidR="00656C6C" w:rsidRPr="001B32F8" w:rsidRDefault="00656C6C" w:rsidP="009E4DAA">
            <w:pPr>
              <w:spacing w:before="120" w:after="120"/>
            </w:pPr>
          </w:p>
        </w:tc>
        <w:tc>
          <w:tcPr>
            <w:tcW w:w="6150" w:type="dxa"/>
          </w:tcPr>
          <w:p w14:paraId="5372480D" w14:textId="77777777" w:rsidR="00656C6C" w:rsidRDefault="00656C6C" w:rsidP="009E4DAA">
            <w:pPr>
              <w:spacing w:before="120" w:after="120"/>
            </w:pPr>
            <w:r>
              <w:t>SME issue rating</w:t>
            </w:r>
          </w:p>
        </w:tc>
        <w:tc>
          <w:tcPr>
            <w:tcW w:w="2693" w:type="dxa"/>
          </w:tcPr>
          <w:p w14:paraId="6242F95B" w14:textId="77777777" w:rsidR="00656C6C" w:rsidRDefault="00656C6C" w:rsidP="009E4DAA">
            <w:pPr>
              <w:spacing w:before="120" w:after="120"/>
              <w:rPr>
                <w:bCs/>
              </w:rPr>
            </w:pPr>
            <w:r>
              <w:rPr>
                <w:bCs/>
              </w:rPr>
              <w:t xml:space="preserve">Long-term </w:t>
            </w:r>
            <w:r>
              <w:t>issue</w:t>
            </w:r>
            <w:r>
              <w:rPr>
                <w:bCs/>
              </w:rPr>
              <w:t xml:space="preserve"> rating scale</w:t>
            </w:r>
          </w:p>
        </w:tc>
      </w:tr>
      <w:tr w:rsidR="00656C6C" w:rsidRPr="00612352" w14:paraId="6462D854" w14:textId="77777777" w:rsidTr="00656C6C">
        <w:trPr>
          <w:trHeight w:hRule="exact" w:val="454"/>
        </w:trPr>
        <w:tc>
          <w:tcPr>
            <w:tcW w:w="4023" w:type="dxa"/>
          </w:tcPr>
          <w:p w14:paraId="43FF5AF0" w14:textId="77777777" w:rsidR="00656C6C" w:rsidRPr="001B32F8" w:rsidRDefault="00656C6C" w:rsidP="009E4DAA">
            <w:pPr>
              <w:spacing w:before="120" w:after="120"/>
            </w:pPr>
            <w:r>
              <w:t>Covered bonds</w:t>
            </w:r>
          </w:p>
        </w:tc>
        <w:tc>
          <w:tcPr>
            <w:tcW w:w="6150" w:type="dxa"/>
          </w:tcPr>
          <w:p w14:paraId="36508F64" w14:textId="77777777" w:rsidR="00656C6C" w:rsidRPr="001B32F8" w:rsidRDefault="00656C6C" w:rsidP="009E4DAA">
            <w:pPr>
              <w:spacing w:before="120" w:after="120"/>
            </w:pPr>
            <w:r>
              <w:t>Bank covered bonds rating</w:t>
            </w:r>
          </w:p>
        </w:tc>
        <w:tc>
          <w:tcPr>
            <w:tcW w:w="2693" w:type="dxa"/>
          </w:tcPr>
          <w:p w14:paraId="4B99BFE0" w14:textId="77777777" w:rsidR="00656C6C" w:rsidRDefault="00656C6C" w:rsidP="009E4DAA">
            <w:pPr>
              <w:spacing w:before="120" w:after="120"/>
            </w:pPr>
            <w:r>
              <w:rPr>
                <w:bCs/>
              </w:rPr>
              <w:t xml:space="preserve">Long-term </w:t>
            </w:r>
            <w:r>
              <w:t>issue</w:t>
            </w:r>
            <w:r>
              <w:rPr>
                <w:bCs/>
              </w:rPr>
              <w:t xml:space="preserve"> rating scale</w:t>
            </w:r>
          </w:p>
        </w:tc>
      </w:tr>
      <w:tr w:rsidR="00656C6C" w:rsidRPr="00612352" w14:paraId="5F285D6A" w14:textId="77777777" w:rsidTr="00656C6C">
        <w:trPr>
          <w:trHeight w:hRule="exact" w:val="454"/>
        </w:trPr>
        <w:tc>
          <w:tcPr>
            <w:tcW w:w="4023" w:type="dxa"/>
          </w:tcPr>
          <w:p w14:paraId="3F11F432" w14:textId="77777777" w:rsidR="00656C6C" w:rsidRDefault="00656C6C" w:rsidP="009E4DAA">
            <w:pPr>
              <w:spacing w:before="120" w:after="120"/>
            </w:pPr>
          </w:p>
        </w:tc>
        <w:tc>
          <w:tcPr>
            <w:tcW w:w="6150" w:type="dxa"/>
          </w:tcPr>
          <w:p w14:paraId="2ED1E84C" w14:textId="77777777" w:rsidR="00656C6C" w:rsidRDefault="00656C6C" w:rsidP="009E4DAA">
            <w:pPr>
              <w:spacing w:before="120" w:after="120"/>
            </w:pPr>
            <w:r>
              <w:t>Institutional investor debt rating</w:t>
            </w:r>
          </w:p>
        </w:tc>
        <w:tc>
          <w:tcPr>
            <w:tcW w:w="2693" w:type="dxa"/>
          </w:tcPr>
          <w:p w14:paraId="45C9860C" w14:textId="77777777" w:rsidR="00656C6C" w:rsidRDefault="00656C6C" w:rsidP="009E4DAA">
            <w:pPr>
              <w:spacing w:before="120" w:after="120"/>
              <w:rPr>
                <w:bCs/>
              </w:rPr>
            </w:pPr>
            <w:r>
              <w:rPr>
                <w:bCs/>
              </w:rPr>
              <w:t xml:space="preserve">Long-term </w:t>
            </w:r>
            <w:r>
              <w:t>issue</w:t>
            </w:r>
            <w:r>
              <w:rPr>
                <w:bCs/>
              </w:rPr>
              <w:t xml:space="preserve"> rating scale</w:t>
            </w:r>
          </w:p>
        </w:tc>
      </w:tr>
    </w:tbl>
    <w:p w14:paraId="2B1D6002" w14:textId="77777777" w:rsidR="00175032" w:rsidRDefault="00175032" w:rsidP="00B17160">
      <w:pPr>
        <w:pStyle w:val="FootnoteText"/>
      </w:pPr>
      <w:r>
        <w:t xml:space="preserve">Source: </w:t>
      </w:r>
      <w:proofErr w:type="spellStart"/>
      <w:r w:rsidR="001512D3">
        <w:t>C</w:t>
      </w:r>
      <w:r w:rsidR="0022391F">
        <w:t>reditreform</w:t>
      </w:r>
      <w:proofErr w:type="spellEnd"/>
    </w:p>
    <w:p w14:paraId="20F9085E" w14:textId="6527F76C" w:rsidR="00245FF8" w:rsidRPr="003B1591" w:rsidRDefault="002C3E7A" w:rsidP="00B17160">
      <w:pPr>
        <w:pStyle w:val="Figuretitle"/>
      </w:pPr>
      <w:r>
        <w:br w:type="page"/>
      </w:r>
      <w:bookmarkStart w:id="6" w:name="_Ref384802193"/>
      <w:r w:rsidR="0041788D" w:rsidRPr="0041788D">
        <w:rPr>
          <w:szCs w:val="22"/>
        </w:rPr>
        <w:lastRenderedPageBreak/>
        <w:t xml:space="preserve">Figure </w:t>
      </w:r>
      <w:r w:rsidR="0041788D" w:rsidRPr="0041788D">
        <w:rPr>
          <w:szCs w:val="22"/>
        </w:rPr>
        <w:fldChar w:fldCharType="begin"/>
      </w:r>
      <w:r w:rsidR="0041788D" w:rsidRPr="0041788D">
        <w:rPr>
          <w:szCs w:val="22"/>
        </w:rPr>
        <w:instrText xml:space="preserve"> SEQ Figure \* ARABIC </w:instrText>
      </w:r>
      <w:r w:rsidR="0041788D" w:rsidRPr="0041788D">
        <w:rPr>
          <w:szCs w:val="22"/>
        </w:rPr>
        <w:fldChar w:fldCharType="separate"/>
      </w:r>
      <w:r w:rsidR="005E03FA">
        <w:rPr>
          <w:szCs w:val="22"/>
        </w:rPr>
        <w:t>3</w:t>
      </w:r>
      <w:r w:rsidR="0041788D" w:rsidRPr="0041788D">
        <w:rPr>
          <w:szCs w:val="22"/>
        </w:rPr>
        <w:fldChar w:fldCharType="end"/>
      </w:r>
      <w:bookmarkEnd w:id="6"/>
      <w:r w:rsidR="00B32405">
        <w:t>:</w:t>
      </w:r>
      <w:r w:rsidR="004D6FA8" w:rsidRPr="004D6FA8">
        <w:t xml:space="preserve"> </w:t>
      </w:r>
      <w:r w:rsidR="004D6FA8">
        <w:t xml:space="preserve">Long-term </w:t>
      </w:r>
      <w:r w:rsidR="00513979">
        <w:t xml:space="preserve">issuer </w:t>
      </w:r>
      <w:r w:rsidR="004D6FA8">
        <w:t>rating scale</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0CD6294D"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CC2B73F"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24FCAF19"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22391F" w:rsidRPr="001512D3" w14:paraId="38C1801D" w14:textId="77777777" w:rsidTr="00924B10">
        <w:tc>
          <w:tcPr>
            <w:tcW w:w="1418" w:type="dxa"/>
            <w:tcBorders>
              <w:top w:val="single" w:sz="18" w:space="0" w:color="E98E31" w:themeColor="background2"/>
              <w:bottom w:val="dashed" w:sz="4" w:space="0" w:color="auto"/>
            </w:tcBorders>
          </w:tcPr>
          <w:p w14:paraId="0EFB32F0"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55DDCAFF"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Highest level of creditworthiness, lowest default risk </w:t>
            </w:r>
          </w:p>
        </w:tc>
      </w:tr>
      <w:tr w:rsidR="0022391F" w:rsidRPr="00245FF8" w14:paraId="7E32CCF5" w14:textId="77777777" w:rsidTr="00924B10">
        <w:tc>
          <w:tcPr>
            <w:tcW w:w="1418" w:type="dxa"/>
            <w:tcBorders>
              <w:bottom w:val="dashed" w:sz="4" w:space="0" w:color="auto"/>
            </w:tcBorders>
          </w:tcPr>
          <w:p w14:paraId="725CAC74"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tcPr>
          <w:p w14:paraId="6850C8C3"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Very high level of creditworthiness, very low default risk</w:t>
            </w:r>
          </w:p>
        </w:tc>
      </w:tr>
      <w:tr w:rsidR="0022391F" w:rsidRPr="00245FF8" w14:paraId="192F024B" w14:textId="77777777" w:rsidTr="00924B10">
        <w:tc>
          <w:tcPr>
            <w:tcW w:w="1418" w:type="dxa"/>
            <w:tcBorders>
              <w:bottom w:val="dashed" w:sz="4" w:space="0" w:color="auto"/>
            </w:tcBorders>
          </w:tcPr>
          <w:p w14:paraId="7DEDD753"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tcPr>
          <w:p w14:paraId="286A82F7"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High level of creditworthiness, low default risk </w:t>
            </w:r>
            <w:r w:rsidR="0022391F" w:rsidRPr="00B86C82">
              <w:rPr>
                <w:rFonts w:asciiTheme="minorHAnsi" w:eastAsia="Times New Roman" w:hAnsiTheme="minorHAnsi"/>
                <w:sz w:val="22"/>
                <w:szCs w:val="22"/>
              </w:rPr>
              <w:t xml:space="preserve"> </w:t>
            </w:r>
          </w:p>
        </w:tc>
      </w:tr>
      <w:tr w:rsidR="0022391F" w:rsidRPr="00245FF8" w14:paraId="3B2FC7DE" w14:textId="77777777" w:rsidTr="00924B10">
        <w:tc>
          <w:tcPr>
            <w:tcW w:w="1418" w:type="dxa"/>
          </w:tcPr>
          <w:p w14:paraId="3B77B271"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14:paraId="7A055F8E"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Highly satisfactory level of creditworthiness, low to medium default risk </w:t>
            </w:r>
          </w:p>
        </w:tc>
      </w:tr>
      <w:tr w:rsidR="0022391F" w:rsidRPr="00245FF8" w14:paraId="7067C9A3" w14:textId="77777777" w:rsidTr="00924B10">
        <w:tc>
          <w:tcPr>
            <w:tcW w:w="1418" w:type="dxa"/>
          </w:tcPr>
          <w:p w14:paraId="33135E19"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14:paraId="090DC5BE"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Satisfactory level of creditworthiness, medium default risk </w:t>
            </w:r>
            <w:r w:rsidR="0022391F" w:rsidRPr="00B86C82">
              <w:rPr>
                <w:rFonts w:asciiTheme="minorHAnsi" w:eastAsia="Times New Roman" w:hAnsiTheme="minorHAnsi"/>
                <w:sz w:val="22"/>
                <w:szCs w:val="22"/>
              </w:rPr>
              <w:t>s</w:t>
            </w:r>
          </w:p>
        </w:tc>
      </w:tr>
      <w:tr w:rsidR="0022391F" w:rsidRPr="00245FF8" w14:paraId="5B0AAFF2" w14:textId="77777777" w:rsidTr="00924B10">
        <w:tc>
          <w:tcPr>
            <w:tcW w:w="1418" w:type="dxa"/>
          </w:tcPr>
          <w:p w14:paraId="58AF5438"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14:paraId="593ED8A9"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Moderate level of creditworthiness, increased default risk </w:t>
            </w:r>
          </w:p>
        </w:tc>
      </w:tr>
      <w:tr w:rsidR="0022391F" w:rsidRPr="00245FF8" w14:paraId="468E22C4" w14:textId="77777777" w:rsidTr="00924B10">
        <w:tc>
          <w:tcPr>
            <w:tcW w:w="1418" w:type="dxa"/>
          </w:tcPr>
          <w:p w14:paraId="440CCDFA" w14:textId="77777777" w:rsidR="0022391F" w:rsidRPr="00245FF8" w:rsidRDefault="0022391F"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w:t>
            </w:r>
          </w:p>
        </w:tc>
        <w:tc>
          <w:tcPr>
            <w:tcW w:w="12332" w:type="dxa"/>
          </w:tcPr>
          <w:p w14:paraId="3A46BB59" w14:textId="77777777" w:rsidR="0022391F"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Low level of creditworthiness, high or very high default risk </w:t>
            </w:r>
          </w:p>
        </w:tc>
      </w:tr>
      <w:tr w:rsidR="00B86C82" w:rsidRPr="00245FF8" w14:paraId="1EE14132" w14:textId="77777777" w:rsidTr="00924B10">
        <w:tc>
          <w:tcPr>
            <w:tcW w:w="1418" w:type="dxa"/>
          </w:tcPr>
          <w:p w14:paraId="55D8A673" w14:textId="77777777" w:rsidR="00B86C82" w:rsidRPr="00245FF8" w:rsidRDefault="00B86C82" w:rsidP="008404CE">
            <w:pPr>
              <w:pStyle w:val="BodyText1"/>
              <w:spacing w:before="120" w:after="120"/>
              <w:jc w:val="center"/>
              <w:rPr>
                <w:rFonts w:asciiTheme="minorHAnsi" w:hAnsiTheme="minorHAnsi" w:cs="Arial"/>
                <w:sz w:val="22"/>
                <w:szCs w:val="22"/>
              </w:rPr>
            </w:pPr>
            <w:r>
              <w:rPr>
                <w:rFonts w:asciiTheme="minorHAnsi" w:hAnsiTheme="minorHAnsi" w:cs="Arial"/>
                <w:sz w:val="22"/>
                <w:szCs w:val="22"/>
              </w:rPr>
              <w:t>SD</w:t>
            </w:r>
          </w:p>
        </w:tc>
        <w:tc>
          <w:tcPr>
            <w:tcW w:w="12332" w:type="dxa"/>
          </w:tcPr>
          <w:p w14:paraId="73765D2B" w14:textId="77777777" w:rsidR="00B86C82" w:rsidRPr="00B86C82"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 xml:space="preserve">Insufficient level of creditworthiness, selective default of a considerable proportion of the company’s payment obligations </w:t>
            </w:r>
          </w:p>
        </w:tc>
      </w:tr>
      <w:tr w:rsidR="0022391F" w:rsidRPr="00245FF8" w14:paraId="5EC7DAF4" w14:textId="77777777" w:rsidTr="00924B10">
        <w:tc>
          <w:tcPr>
            <w:tcW w:w="1418" w:type="dxa"/>
          </w:tcPr>
          <w:p w14:paraId="428ED755" w14:textId="77777777" w:rsidR="0022391F" w:rsidRPr="00245FF8" w:rsidRDefault="0022391F" w:rsidP="001512D3">
            <w:pPr>
              <w:pStyle w:val="BodyText1"/>
              <w:spacing w:before="120" w:after="120"/>
              <w:jc w:val="center"/>
              <w:rPr>
                <w:rFonts w:asciiTheme="minorHAnsi" w:hAnsiTheme="minorHAnsi" w:cs="Arial"/>
                <w:sz w:val="22"/>
                <w:szCs w:val="22"/>
              </w:rPr>
            </w:pPr>
            <w:r>
              <w:rPr>
                <w:rFonts w:asciiTheme="minorHAnsi" w:hAnsiTheme="minorHAnsi" w:cs="Arial"/>
                <w:sz w:val="22"/>
                <w:szCs w:val="22"/>
              </w:rPr>
              <w:t>D</w:t>
            </w:r>
          </w:p>
        </w:tc>
        <w:tc>
          <w:tcPr>
            <w:tcW w:w="12332" w:type="dxa"/>
          </w:tcPr>
          <w:p w14:paraId="7CE7AC3F" w14:textId="77777777" w:rsidR="0022391F" w:rsidRPr="00924B10" w:rsidRDefault="00B86C82" w:rsidP="00671D4C">
            <w:pPr>
              <w:pStyle w:val="Default"/>
              <w:rPr>
                <w:rFonts w:asciiTheme="minorHAnsi" w:hAnsiTheme="minorHAnsi"/>
                <w:sz w:val="22"/>
                <w:szCs w:val="22"/>
              </w:rPr>
            </w:pPr>
            <w:r w:rsidRPr="00671D4C">
              <w:rPr>
                <w:rFonts w:asciiTheme="minorHAnsi" w:eastAsia="Times New Roman" w:hAnsiTheme="minorHAnsi"/>
                <w:sz w:val="22"/>
                <w:szCs w:val="22"/>
              </w:rPr>
              <w:t>Insufficient level of creditworthiness, default, insolvency</w:t>
            </w:r>
            <w:r>
              <w:rPr>
                <w:sz w:val="16"/>
                <w:szCs w:val="16"/>
              </w:rPr>
              <w:t xml:space="preserve"> </w:t>
            </w:r>
          </w:p>
        </w:tc>
      </w:tr>
    </w:tbl>
    <w:p w14:paraId="3427BC66" w14:textId="496F28A5" w:rsidR="00656C6C" w:rsidRDefault="00175032" w:rsidP="00B17160">
      <w:pPr>
        <w:pStyle w:val="FootnoteText"/>
      </w:pPr>
      <w:r>
        <w:t xml:space="preserve">Source: </w:t>
      </w:r>
      <w:proofErr w:type="spellStart"/>
      <w:r w:rsidR="0022391F">
        <w:t>Creditreform</w:t>
      </w:r>
      <w:proofErr w:type="spellEnd"/>
    </w:p>
    <w:p w14:paraId="48770F7E" w14:textId="77777777" w:rsidR="00656C6C" w:rsidRDefault="00656C6C">
      <w:pPr>
        <w:rPr>
          <w:sz w:val="18"/>
          <w:szCs w:val="18"/>
          <w:lang w:val="en-US"/>
        </w:rPr>
      </w:pPr>
      <w:r>
        <w:br w:type="page"/>
      </w:r>
    </w:p>
    <w:p w14:paraId="50EF66CE" w14:textId="77777777" w:rsidR="00656C6C" w:rsidRDefault="00656C6C" w:rsidP="00B17160">
      <w:pPr>
        <w:pStyle w:val="Figuretitle"/>
      </w:pPr>
    </w:p>
    <w:p w14:paraId="1613C392" w14:textId="73C1127E" w:rsidR="00656C6C" w:rsidRPr="003B1591" w:rsidRDefault="00656C6C" w:rsidP="00B17160">
      <w:pPr>
        <w:pStyle w:val="Figuretitle"/>
      </w:pPr>
      <w:r w:rsidRPr="0041788D">
        <w:rPr>
          <w:szCs w:val="22"/>
        </w:rPr>
        <w:t xml:space="preserve">Figure </w:t>
      </w:r>
      <w:r>
        <w:rPr>
          <w:szCs w:val="22"/>
        </w:rPr>
        <w:t>4</w:t>
      </w:r>
      <w:r>
        <w:t>:</w:t>
      </w:r>
      <w:r w:rsidRPr="004D6FA8">
        <w:t xml:space="preserve"> </w:t>
      </w:r>
      <w:r>
        <w:t>Long-term issue rating scale</w:t>
      </w:r>
    </w:p>
    <w:tbl>
      <w:tblPr>
        <w:tblStyle w:val="TableGrid"/>
        <w:tblW w:w="13750" w:type="dxa"/>
        <w:tblInd w:w="108" w:type="dxa"/>
        <w:tblLook w:val="04A0" w:firstRow="1" w:lastRow="0" w:firstColumn="1" w:lastColumn="0" w:noHBand="0" w:noVBand="1"/>
      </w:tblPr>
      <w:tblGrid>
        <w:gridCol w:w="1418"/>
        <w:gridCol w:w="12332"/>
      </w:tblGrid>
      <w:tr w:rsidR="00656C6C" w:rsidRPr="00245FF8" w14:paraId="2B6CFA9A" w14:textId="77777777" w:rsidTr="009E4DA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F42787B" w14:textId="77777777" w:rsidR="00656C6C" w:rsidRPr="00245FF8" w:rsidRDefault="00656C6C" w:rsidP="009E4DAA">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0414C241" w14:textId="77777777" w:rsidR="00656C6C" w:rsidRPr="00245FF8" w:rsidRDefault="00656C6C" w:rsidP="009E4DAA">
            <w:pPr>
              <w:pStyle w:val="Tableheader"/>
              <w:spacing w:before="120" w:after="120"/>
              <w:jc w:val="center"/>
              <w:rPr>
                <w:bCs w:val="0"/>
              </w:rPr>
            </w:pPr>
            <w:r w:rsidRPr="00245FF8">
              <w:rPr>
                <w:bCs w:val="0"/>
              </w:rPr>
              <w:t>Meaning of the credit assessment</w:t>
            </w:r>
          </w:p>
        </w:tc>
      </w:tr>
      <w:tr w:rsidR="00656C6C" w:rsidRPr="001512D3" w14:paraId="49A1A506" w14:textId="77777777" w:rsidTr="009E4DAA">
        <w:tc>
          <w:tcPr>
            <w:tcW w:w="1418" w:type="dxa"/>
            <w:tcBorders>
              <w:top w:val="single" w:sz="18" w:space="0" w:color="E98E31" w:themeColor="background2"/>
              <w:bottom w:val="dashed" w:sz="4" w:space="0" w:color="auto"/>
            </w:tcBorders>
          </w:tcPr>
          <w:p w14:paraId="0ED6A843" w14:textId="77777777" w:rsidR="00656C6C" w:rsidRPr="00245FF8" w:rsidRDefault="00656C6C" w:rsidP="009E4DAA">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vAlign w:val="top"/>
          </w:tcPr>
          <w:p w14:paraId="5C01BC4C" w14:textId="77777777" w:rsidR="00656C6C" w:rsidRPr="00D46605" w:rsidRDefault="00656C6C" w:rsidP="009E4DAA">
            <w:pPr>
              <w:pStyle w:val="BodyText1"/>
              <w:spacing w:before="120" w:after="120"/>
              <w:jc w:val="left"/>
              <w:rPr>
                <w:rFonts w:asciiTheme="minorHAnsi" w:hAnsiTheme="minorHAnsi"/>
                <w:sz w:val="22"/>
                <w:szCs w:val="22"/>
              </w:rPr>
            </w:pPr>
            <w:r w:rsidRPr="00550CF9">
              <w:rPr>
                <w:rFonts w:asciiTheme="minorHAnsi" w:hAnsiTheme="minorHAnsi" w:cs="Arial"/>
                <w:sz w:val="22"/>
                <w:szCs w:val="22"/>
              </w:rPr>
              <w:t>Highest level of credit quality, lowest investment risk</w:t>
            </w:r>
          </w:p>
        </w:tc>
      </w:tr>
      <w:tr w:rsidR="00656C6C" w:rsidRPr="00245FF8" w14:paraId="65330D76" w14:textId="77777777" w:rsidTr="009E4DAA">
        <w:tc>
          <w:tcPr>
            <w:tcW w:w="1418" w:type="dxa"/>
            <w:tcBorders>
              <w:bottom w:val="dashed" w:sz="4" w:space="0" w:color="auto"/>
            </w:tcBorders>
          </w:tcPr>
          <w:p w14:paraId="5944A2DB" w14:textId="77777777" w:rsidR="00656C6C" w:rsidRPr="00245FF8" w:rsidRDefault="00656C6C" w:rsidP="009E4DAA">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vAlign w:val="top"/>
          </w:tcPr>
          <w:p w14:paraId="392896EE" w14:textId="77777777" w:rsidR="00656C6C" w:rsidRPr="00D46605" w:rsidRDefault="00656C6C" w:rsidP="009E4DAA">
            <w:pPr>
              <w:pStyle w:val="BodyText1"/>
              <w:spacing w:before="120" w:after="120"/>
              <w:jc w:val="left"/>
              <w:rPr>
                <w:rFonts w:asciiTheme="minorHAnsi" w:hAnsiTheme="minorHAnsi"/>
                <w:sz w:val="22"/>
                <w:szCs w:val="22"/>
              </w:rPr>
            </w:pPr>
            <w:r w:rsidRPr="00550CF9">
              <w:rPr>
                <w:rFonts w:asciiTheme="minorHAnsi" w:hAnsiTheme="minorHAnsi" w:cs="Arial"/>
                <w:sz w:val="22"/>
                <w:szCs w:val="22"/>
              </w:rPr>
              <w:t>Very high level of credit quality, very low investment risk</w:t>
            </w:r>
          </w:p>
        </w:tc>
      </w:tr>
      <w:tr w:rsidR="00656C6C" w:rsidRPr="00245FF8" w14:paraId="16DA1D78" w14:textId="77777777" w:rsidTr="009E4DAA">
        <w:tc>
          <w:tcPr>
            <w:tcW w:w="1418" w:type="dxa"/>
            <w:tcBorders>
              <w:bottom w:val="dashed" w:sz="4" w:space="0" w:color="auto"/>
            </w:tcBorders>
          </w:tcPr>
          <w:p w14:paraId="7298625F" w14:textId="77777777" w:rsidR="00656C6C" w:rsidRPr="00245FF8" w:rsidRDefault="00656C6C" w:rsidP="009E4DAA">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vAlign w:val="top"/>
          </w:tcPr>
          <w:p w14:paraId="5B02D60A" w14:textId="77777777" w:rsidR="00656C6C" w:rsidRPr="00D46605" w:rsidRDefault="00656C6C" w:rsidP="009E4DAA">
            <w:pPr>
              <w:pStyle w:val="BodyText1"/>
              <w:spacing w:before="120" w:after="120"/>
              <w:jc w:val="left"/>
              <w:rPr>
                <w:rFonts w:asciiTheme="minorHAnsi" w:hAnsiTheme="minorHAnsi"/>
                <w:sz w:val="22"/>
                <w:szCs w:val="22"/>
              </w:rPr>
            </w:pPr>
            <w:r w:rsidRPr="00550CF9">
              <w:rPr>
                <w:rFonts w:asciiTheme="minorHAnsi" w:hAnsiTheme="minorHAnsi" w:cs="Arial"/>
                <w:sz w:val="22"/>
                <w:szCs w:val="22"/>
              </w:rPr>
              <w:t>High level of credit quality, low investment risk</w:t>
            </w:r>
          </w:p>
        </w:tc>
      </w:tr>
      <w:tr w:rsidR="00656C6C" w:rsidRPr="00245FF8" w14:paraId="375A4930" w14:textId="77777777" w:rsidTr="009E4DAA">
        <w:tc>
          <w:tcPr>
            <w:tcW w:w="1418" w:type="dxa"/>
          </w:tcPr>
          <w:p w14:paraId="48A94448" w14:textId="77777777" w:rsidR="00656C6C" w:rsidRPr="00245FF8" w:rsidRDefault="00656C6C" w:rsidP="009E4DAA">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vAlign w:val="top"/>
          </w:tcPr>
          <w:p w14:paraId="20AD6722" w14:textId="77777777" w:rsidR="00656C6C" w:rsidRPr="00D46605" w:rsidRDefault="00656C6C" w:rsidP="009E4DAA">
            <w:pPr>
              <w:pStyle w:val="BodyText1"/>
              <w:spacing w:before="120" w:after="120"/>
              <w:jc w:val="left"/>
              <w:rPr>
                <w:rFonts w:asciiTheme="minorHAnsi" w:hAnsiTheme="minorHAnsi"/>
                <w:sz w:val="22"/>
                <w:szCs w:val="22"/>
              </w:rPr>
            </w:pPr>
            <w:r w:rsidRPr="00550CF9">
              <w:rPr>
                <w:rFonts w:asciiTheme="minorHAnsi" w:hAnsiTheme="minorHAnsi" w:cs="Arial"/>
                <w:sz w:val="22"/>
                <w:szCs w:val="22"/>
              </w:rPr>
              <w:t>Highly satisfactory level of credit quality, low to medium investment risk</w:t>
            </w:r>
          </w:p>
        </w:tc>
      </w:tr>
      <w:tr w:rsidR="00656C6C" w:rsidRPr="00245FF8" w14:paraId="2E8AAF6C" w14:textId="77777777" w:rsidTr="009E4DAA">
        <w:tc>
          <w:tcPr>
            <w:tcW w:w="1418" w:type="dxa"/>
          </w:tcPr>
          <w:p w14:paraId="1DB67501" w14:textId="77777777" w:rsidR="00656C6C" w:rsidRPr="00245FF8" w:rsidRDefault="00656C6C" w:rsidP="009E4DAA">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vAlign w:val="top"/>
          </w:tcPr>
          <w:p w14:paraId="7BB37489" w14:textId="77777777" w:rsidR="00656C6C" w:rsidRPr="00D46605" w:rsidRDefault="00656C6C" w:rsidP="009E4DAA">
            <w:pPr>
              <w:pStyle w:val="BodyText1"/>
              <w:spacing w:before="120" w:after="120"/>
              <w:jc w:val="left"/>
              <w:rPr>
                <w:rFonts w:asciiTheme="minorHAnsi" w:hAnsiTheme="minorHAnsi"/>
                <w:sz w:val="22"/>
                <w:szCs w:val="22"/>
              </w:rPr>
            </w:pPr>
            <w:r w:rsidRPr="00550CF9">
              <w:rPr>
                <w:rFonts w:asciiTheme="minorHAnsi" w:hAnsiTheme="minorHAnsi" w:cs="Arial"/>
                <w:sz w:val="22"/>
                <w:szCs w:val="22"/>
              </w:rPr>
              <w:t>Satisfactory level of credit quality, medium investment risk</w:t>
            </w:r>
          </w:p>
        </w:tc>
      </w:tr>
      <w:tr w:rsidR="00656C6C" w:rsidRPr="00245FF8" w14:paraId="0574F2AF" w14:textId="77777777" w:rsidTr="009E4DAA">
        <w:tc>
          <w:tcPr>
            <w:tcW w:w="1418" w:type="dxa"/>
          </w:tcPr>
          <w:p w14:paraId="19787B42" w14:textId="77777777" w:rsidR="00656C6C" w:rsidRPr="00245FF8" w:rsidRDefault="00656C6C" w:rsidP="009E4DAA">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vAlign w:val="top"/>
          </w:tcPr>
          <w:p w14:paraId="3E1D4F38" w14:textId="77777777" w:rsidR="00656C6C" w:rsidRPr="00D46605" w:rsidRDefault="00656C6C" w:rsidP="009E4DAA">
            <w:pPr>
              <w:pStyle w:val="BodyText1"/>
              <w:spacing w:before="120" w:after="120"/>
              <w:jc w:val="left"/>
              <w:rPr>
                <w:rFonts w:asciiTheme="minorHAnsi" w:hAnsiTheme="minorHAnsi"/>
                <w:sz w:val="22"/>
                <w:szCs w:val="22"/>
              </w:rPr>
            </w:pPr>
            <w:proofErr w:type="spellStart"/>
            <w:r w:rsidRPr="00550CF9">
              <w:rPr>
                <w:rFonts w:asciiTheme="minorHAnsi" w:hAnsiTheme="minorHAnsi" w:cs="Arial"/>
                <w:sz w:val="22"/>
                <w:szCs w:val="22"/>
              </w:rPr>
              <w:t>Moederate</w:t>
            </w:r>
            <w:proofErr w:type="spellEnd"/>
            <w:r w:rsidRPr="00550CF9">
              <w:rPr>
                <w:rFonts w:asciiTheme="minorHAnsi" w:hAnsiTheme="minorHAnsi" w:cs="Arial"/>
                <w:sz w:val="22"/>
                <w:szCs w:val="22"/>
              </w:rPr>
              <w:t xml:space="preserve"> level of credit quality, increased investment risk</w:t>
            </w:r>
          </w:p>
        </w:tc>
      </w:tr>
      <w:tr w:rsidR="00656C6C" w:rsidRPr="00245FF8" w14:paraId="0D95EDA7" w14:textId="77777777" w:rsidTr="009E4DAA">
        <w:tc>
          <w:tcPr>
            <w:tcW w:w="1418" w:type="dxa"/>
          </w:tcPr>
          <w:p w14:paraId="728EE728" w14:textId="77777777" w:rsidR="00656C6C" w:rsidRPr="00245FF8" w:rsidRDefault="00656C6C" w:rsidP="009E4DAA">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w:t>
            </w:r>
          </w:p>
        </w:tc>
        <w:tc>
          <w:tcPr>
            <w:tcW w:w="12332" w:type="dxa"/>
            <w:vAlign w:val="top"/>
          </w:tcPr>
          <w:p w14:paraId="6F46E396" w14:textId="77777777" w:rsidR="00656C6C" w:rsidRPr="00D46605" w:rsidRDefault="00656C6C" w:rsidP="009E4DAA">
            <w:pPr>
              <w:pStyle w:val="BodyText1"/>
              <w:spacing w:before="120" w:after="120"/>
              <w:jc w:val="left"/>
              <w:rPr>
                <w:rFonts w:asciiTheme="minorHAnsi" w:hAnsiTheme="minorHAnsi"/>
                <w:sz w:val="22"/>
                <w:szCs w:val="22"/>
              </w:rPr>
            </w:pPr>
            <w:r w:rsidRPr="00550CF9">
              <w:rPr>
                <w:rFonts w:asciiTheme="minorHAnsi" w:hAnsiTheme="minorHAnsi" w:cs="Arial"/>
                <w:sz w:val="22"/>
                <w:szCs w:val="22"/>
              </w:rPr>
              <w:t>Low level of credit quality, high or very high investment risk</w:t>
            </w:r>
          </w:p>
        </w:tc>
      </w:tr>
      <w:tr w:rsidR="00656C6C" w:rsidRPr="00245FF8" w14:paraId="08D18306" w14:textId="77777777" w:rsidTr="009E4DAA">
        <w:tc>
          <w:tcPr>
            <w:tcW w:w="1418" w:type="dxa"/>
          </w:tcPr>
          <w:p w14:paraId="4BCAD265" w14:textId="77777777" w:rsidR="00656C6C" w:rsidRPr="00245FF8" w:rsidRDefault="00656C6C" w:rsidP="009E4DAA">
            <w:pPr>
              <w:pStyle w:val="BodyText1"/>
              <w:spacing w:before="120" w:after="120"/>
              <w:jc w:val="center"/>
              <w:rPr>
                <w:rFonts w:asciiTheme="minorHAnsi" w:hAnsiTheme="minorHAnsi" w:cs="Arial"/>
                <w:sz w:val="22"/>
                <w:szCs w:val="22"/>
              </w:rPr>
            </w:pPr>
            <w:r>
              <w:rPr>
                <w:rFonts w:asciiTheme="minorHAnsi" w:hAnsiTheme="minorHAnsi" w:cs="Arial"/>
                <w:sz w:val="22"/>
                <w:szCs w:val="22"/>
              </w:rPr>
              <w:t>D</w:t>
            </w:r>
          </w:p>
        </w:tc>
        <w:tc>
          <w:tcPr>
            <w:tcW w:w="12332" w:type="dxa"/>
            <w:vAlign w:val="top"/>
          </w:tcPr>
          <w:p w14:paraId="3EF64568" w14:textId="77777777" w:rsidR="00656C6C" w:rsidRPr="00D46605" w:rsidRDefault="00656C6C" w:rsidP="009E4DAA">
            <w:pPr>
              <w:pStyle w:val="BodyText1"/>
              <w:spacing w:before="120" w:after="120"/>
              <w:jc w:val="left"/>
              <w:rPr>
                <w:rFonts w:asciiTheme="minorHAnsi" w:hAnsiTheme="minorHAnsi"/>
                <w:sz w:val="22"/>
                <w:szCs w:val="22"/>
              </w:rPr>
            </w:pPr>
            <w:r w:rsidRPr="00550CF9">
              <w:rPr>
                <w:rFonts w:asciiTheme="minorHAnsi" w:hAnsiTheme="minorHAnsi" w:cs="Arial"/>
                <w:sz w:val="22"/>
                <w:szCs w:val="22"/>
              </w:rPr>
              <w:t>Insufficient level of credit quality, total loss of investment</w:t>
            </w:r>
          </w:p>
        </w:tc>
      </w:tr>
    </w:tbl>
    <w:p w14:paraId="689C214B" w14:textId="77777777" w:rsidR="00656C6C" w:rsidRDefault="00656C6C" w:rsidP="00B17160">
      <w:pPr>
        <w:pStyle w:val="FootnoteText"/>
      </w:pPr>
      <w:r>
        <w:t xml:space="preserve">Source: </w:t>
      </w:r>
      <w:proofErr w:type="spellStart"/>
      <w:r>
        <w:t>Creditreform</w:t>
      </w:r>
      <w:proofErr w:type="spellEnd"/>
    </w:p>
    <w:p w14:paraId="48B62937" w14:textId="77777777" w:rsidR="00656C6C" w:rsidRDefault="00656C6C" w:rsidP="00656C6C">
      <w:pPr>
        <w:rPr>
          <w:rFonts w:ascii="Arial" w:eastAsia="Times New Roman" w:hAnsi="Arial" w:cs="Times New Roman"/>
          <w:color w:val="000000"/>
          <w:szCs w:val="22"/>
          <w:lang w:eastAsia="en-GB"/>
        </w:rPr>
      </w:pPr>
      <w:r>
        <w:br w:type="page"/>
      </w:r>
    </w:p>
    <w:p w14:paraId="25D443EA" w14:textId="77777777" w:rsidR="00656C6C" w:rsidRDefault="00656C6C" w:rsidP="00B17160">
      <w:pPr>
        <w:pStyle w:val="Figuretitle"/>
      </w:pPr>
    </w:p>
    <w:p w14:paraId="0F57FD33" w14:textId="73412924" w:rsidR="00656C6C" w:rsidRDefault="00656C6C" w:rsidP="00B17160">
      <w:pPr>
        <w:pStyle w:val="Figuretitle"/>
      </w:pPr>
      <w:r w:rsidRPr="0041788D">
        <w:rPr>
          <w:szCs w:val="22"/>
        </w:rPr>
        <w:t xml:space="preserve">Figure </w:t>
      </w:r>
      <w:r>
        <w:rPr>
          <w:szCs w:val="22"/>
        </w:rPr>
        <w:t>5</w:t>
      </w:r>
      <w:r>
        <w:t>:</w:t>
      </w:r>
      <w:r w:rsidRPr="004D6FA8">
        <w:t xml:space="preserve"> </w:t>
      </w:r>
      <w:r>
        <w:t>Short-term rating scale</w:t>
      </w:r>
    </w:p>
    <w:p w14:paraId="3D993551" w14:textId="77777777" w:rsidR="00656C6C" w:rsidRPr="005B0324" w:rsidRDefault="00656C6C" w:rsidP="00656C6C"/>
    <w:tbl>
      <w:tblPr>
        <w:tblStyle w:val="TableGrid"/>
        <w:tblW w:w="8789" w:type="dxa"/>
        <w:tblInd w:w="108" w:type="dxa"/>
        <w:tblLook w:val="04A0" w:firstRow="1" w:lastRow="0" w:firstColumn="1" w:lastColumn="0" w:noHBand="0" w:noVBand="1"/>
      </w:tblPr>
      <w:tblGrid>
        <w:gridCol w:w="2444"/>
        <w:gridCol w:w="6345"/>
      </w:tblGrid>
      <w:tr w:rsidR="00656C6C" w:rsidRPr="00245FF8" w14:paraId="624668FD" w14:textId="77777777" w:rsidTr="009E4DAA">
        <w:trPr>
          <w:cnfStyle w:val="100000000000" w:firstRow="1" w:lastRow="0" w:firstColumn="0" w:lastColumn="0" w:oddVBand="0" w:evenVBand="0" w:oddHBand="0" w:evenHBand="0" w:firstRowFirstColumn="0" w:firstRowLastColumn="0" w:lastRowFirstColumn="0" w:lastRowLastColumn="0"/>
          <w:trHeight w:val="635"/>
        </w:trPr>
        <w:tc>
          <w:tcPr>
            <w:tcW w:w="2444" w:type="dxa"/>
            <w:tcBorders>
              <w:bottom w:val="single" w:sz="18" w:space="0" w:color="E98E31" w:themeColor="background2"/>
            </w:tcBorders>
          </w:tcPr>
          <w:p w14:paraId="399F2936" w14:textId="77777777" w:rsidR="00656C6C" w:rsidRPr="00245FF8" w:rsidRDefault="00656C6C" w:rsidP="009E4DAA">
            <w:pPr>
              <w:pStyle w:val="Tableheader"/>
              <w:spacing w:before="120" w:after="120"/>
              <w:rPr>
                <w:bCs w:val="0"/>
              </w:rPr>
            </w:pPr>
            <w:r w:rsidRPr="00245FF8">
              <w:rPr>
                <w:bCs w:val="0"/>
              </w:rPr>
              <w:t>Credit assessment</w:t>
            </w:r>
          </w:p>
        </w:tc>
        <w:tc>
          <w:tcPr>
            <w:tcW w:w="6345" w:type="dxa"/>
            <w:tcBorders>
              <w:bottom w:val="single" w:sz="18" w:space="0" w:color="E98E31" w:themeColor="background2"/>
            </w:tcBorders>
          </w:tcPr>
          <w:p w14:paraId="29FCCCB8" w14:textId="77777777" w:rsidR="00656C6C" w:rsidRPr="00245FF8" w:rsidRDefault="00656C6C" w:rsidP="009E4DAA">
            <w:pPr>
              <w:pStyle w:val="Tableheader"/>
              <w:spacing w:before="120" w:after="120"/>
              <w:rPr>
                <w:bCs w:val="0"/>
              </w:rPr>
            </w:pPr>
            <w:r w:rsidRPr="00245FF8">
              <w:rPr>
                <w:bCs w:val="0"/>
              </w:rPr>
              <w:t>Meaning of the credit assessment</w:t>
            </w:r>
          </w:p>
        </w:tc>
      </w:tr>
      <w:tr w:rsidR="00656C6C" w:rsidRPr="00245FF8" w14:paraId="457B193F" w14:textId="77777777" w:rsidTr="009E4DAA">
        <w:tc>
          <w:tcPr>
            <w:tcW w:w="2444" w:type="dxa"/>
            <w:tcBorders>
              <w:top w:val="single" w:sz="18" w:space="0" w:color="E98E31" w:themeColor="background2"/>
              <w:bottom w:val="dashed" w:sz="4" w:space="0" w:color="auto"/>
            </w:tcBorders>
            <w:vAlign w:val="top"/>
          </w:tcPr>
          <w:p w14:paraId="423689F3" w14:textId="77777777" w:rsidR="00656C6C" w:rsidRPr="00936D5C" w:rsidRDefault="00656C6C" w:rsidP="009E4DAA">
            <w:pPr>
              <w:pStyle w:val="BodyText1"/>
              <w:spacing w:before="120" w:after="120"/>
              <w:jc w:val="center"/>
              <w:rPr>
                <w:rFonts w:asciiTheme="minorHAnsi" w:hAnsiTheme="minorHAnsi" w:cs="Arial"/>
                <w:sz w:val="22"/>
                <w:szCs w:val="22"/>
              </w:rPr>
            </w:pPr>
            <w:r>
              <w:rPr>
                <w:rFonts w:asciiTheme="minorHAnsi" w:hAnsiTheme="minorHAnsi" w:cs="Arial"/>
                <w:sz w:val="22"/>
                <w:szCs w:val="22"/>
              </w:rPr>
              <w:t>L1</w:t>
            </w:r>
          </w:p>
        </w:tc>
        <w:tc>
          <w:tcPr>
            <w:tcW w:w="6345" w:type="dxa"/>
            <w:tcBorders>
              <w:top w:val="single" w:sz="18" w:space="0" w:color="E98E31" w:themeColor="background2"/>
              <w:bottom w:val="dashed" w:sz="4" w:space="0" w:color="auto"/>
            </w:tcBorders>
            <w:vAlign w:val="top"/>
          </w:tcPr>
          <w:p w14:paraId="41571987" w14:textId="77777777" w:rsidR="00656C6C" w:rsidRPr="00D55F20" w:rsidRDefault="00656C6C" w:rsidP="009E4DAA">
            <w:pPr>
              <w:pStyle w:val="BodyText1"/>
              <w:spacing w:before="120" w:after="120"/>
              <w:jc w:val="left"/>
              <w:rPr>
                <w:rFonts w:asciiTheme="minorHAnsi" w:hAnsiTheme="minorHAnsi" w:cs="Arial"/>
                <w:sz w:val="22"/>
                <w:szCs w:val="22"/>
              </w:rPr>
            </w:pPr>
            <w:r w:rsidRPr="00D55F20">
              <w:rPr>
                <w:rFonts w:asciiTheme="minorHAnsi" w:hAnsiTheme="minorHAnsi" w:cs="Arial"/>
                <w:sz w:val="22"/>
                <w:szCs w:val="22"/>
              </w:rPr>
              <w:t>Extraordinarily high level of liquidity</w:t>
            </w:r>
          </w:p>
        </w:tc>
      </w:tr>
      <w:tr w:rsidR="00656C6C" w:rsidRPr="00245FF8" w14:paraId="2B661000" w14:textId="77777777" w:rsidTr="009E4DAA">
        <w:tc>
          <w:tcPr>
            <w:tcW w:w="2444" w:type="dxa"/>
            <w:tcBorders>
              <w:bottom w:val="dashed" w:sz="4" w:space="0" w:color="auto"/>
            </w:tcBorders>
            <w:vAlign w:val="top"/>
          </w:tcPr>
          <w:p w14:paraId="1E84717C" w14:textId="77777777" w:rsidR="00656C6C" w:rsidRPr="00245FF8" w:rsidRDefault="00656C6C" w:rsidP="009E4DAA">
            <w:pPr>
              <w:pStyle w:val="BodyText1"/>
              <w:spacing w:before="120" w:after="120"/>
              <w:jc w:val="center"/>
              <w:rPr>
                <w:rFonts w:asciiTheme="minorHAnsi" w:hAnsiTheme="minorHAnsi" w:cs="Arial"/>
                <w:sz w:val="22"/>
                <w:szCs w:val="22"/>
              </w:rPr>
            </w:pPr>
            <w:r>
              <w:rPr>
                <w:rFonts w:asciiTheme="minorHAnsi" w:hAnsiTheme="minorHAnsi" w:cs="Arial"/>
                <w:sz w:val="22"/>
                <w:szCs w:val="22"/>
              </w:rPr>
              <w:t>L2</w:t>
            </w:r>
          </w:p>
        </w:tc>
        <w:tc>
          <w:tcPr>
            <w:tcW w:w="6345" w:type="dxa"/>
            <w:tcBorders>
              <w:bottom w:val="dashed" w:sz="4" w:space="0" w:color="auto"/>
            </w:tcBorders>
            <w:vAlign w:val="top"/>
          </w:tcPr>
          <w:p w14:paraId="5A027597" w14:textId="77777777" w:rsidR="00656C6C" w:rsidRPr="00D55F20" w:rsidRDefault="00656C6C" w:rsidP="009E4DAA">
            <w:pPr>
              <w:pStyle w:val="BodyText1"/>
              <w:spacing w:before="120" w:after="120"/>
              <w:jc w:val="left"/>
              <w:rPr>
                <w:rFonts w:asciiTheme="minorHAnsi" w:hAnsiTheme="minorHAnsi" w:cs="Arial"/>
                <w:sz w:val="22"/>
                <w:szCs w:val="22"/>
              </w:rPr>
            </w:pPr>
            <w:r w:rsidRPr="00D55F20">
              <w:rPr>
                <w:rFonts w:asciiTheme="minorHAnsi" w:hAnsiTheme="minorHAnsi" w:cs="Arial"/>
                <w:sz w:val="22"/>
                <w:szCs w:val="22"/>
              </w:rPr>
              <w:t>High level of liquidity</w:t>
            </w:r>
          </w:p>
        </w:tc>
      </w:tr>
      <w:tr w:rsidR="00656C6C" w:rsidRPr="00245FF8" w14:paraId="254D1D07" w14:textId="77777777" w:rsidTr="009E4DAA">
        <w:tc>
          <w:tcPr>
            <w:tcW w:w="2444" w:type="dxa"/>
            <w:tcBorders>
              <w:bottom w:val="dashed" w:sz="4" w:space="0" w:color="auto"/>
            </w:tcBorders>
            <w:vAlign w:val="top"/>
          </w:tcPr>
          <w:p w14:paraId="0580AA4B" w14:textId="77777777" w:rsidR="00656C6C" w:rsidRPr="00245FF8" w:rsidRDefault="00656C6C" w:rsidP="009E4DAA">
            <w:pPr>
              <w:pStyle w:val="BodyText1"/>
              <w:spacing w:before="120" w:after="120"/>
              <w:jc w:val="center"/>
              <w:rPr>
                <w:rFonts w:asciiTheme="minorHAnsi" w:hAnsiTheme="minorHAnsi" w:cs="Arial"/>
                <w:sz w:val="22"/>
                <w:szCs w:val="22"/>
              </w:rPr>
            </w:pPr>
            <w:r>
              <w:rPr>
                <w:rFonts w:asciiTheme="minorHAnsi" w:hAnsiTheme="minorHAnsi" w:cs="Arial"/>
                <w:sz w:val="22"/>
                <w:szCs w:val="22"/>
              </w:rPr>
              <w:t>L3</w:t>
            </w:r>
          </w:p>
        </w:tc>
        <w:tc>
          <w:tcPr>
            <w:tcW w:w="6345" w:type="dxa"/>
            <w:tcBorders>
              <w:bottom w:val="dashed" w:sz="4" w:space="0" w:color="auto"/>
            </w:tcBorders>
            <w:vAlign w:val="top"/>
          </w:tcPr>
          <w:p w14:paraId="3411AE01" w14:textId="77777777" w:rsidR="00656C6C" w:rsidRPr="00D55F20" w:rsidRDefault="00656C6C" w:rsidP="009E4DAA">
            <w:pPr>
              <w:pStyle w:val="BodyText1"/>
              <w:spacing w:before="120" w:after="120"/>
              <w:jc w:val="left"/>
              <w:rPr>
                <w:rFonts w:asciiTheme="minorHAnsi" w:hAnsiTheme="minorHAnsi" w:cs="Arial"/>
                <w:sz w:val="22"/>
                <w:szCs w:val="22"/>
              </w:rPr>
            </w:pPr>
            <w:r w:rsidRPr="00D55F20">
              <w:rPr>
                <w:rFonts w:asciiTheme="minorHAnsi" w:hAnsiTheme="minorHAnsi" w:cs="Arial"/>
                <w:sz w:val="22"/>
                <w:szCs w:val="22"/>
              </w:rPr>
              <w:t>Adequate level of liquidity</w:t>
            </w:r>
          </w:p>
        </w:tc>
      </w:tr>
      <w:tr w:rsidR="00656C6C" w:rsidRPr="00245FF8" w14:paraId="2BBAA67D" w14:textId="77777777" w:rsidTr="009E4DAA">
        <w:tc>
          <w:tcPr>
            <w:tcW w:w="2444" w:type="dxa"/>
            <w:vAlign w:val="top"/>
          </w:tcPr>
          <w:p w14:paraId="1A5F6605" w14:textId="77777777" w:rsidR="00656C6C" w:rsidRPr="00245FF8" w:rsidRDefault="00656C6C" w:rsidP="009E4DAA">
            <w:pPr>
              <w:pStyle w:val="BodyText1"/>
              <w:spacing w:before="120" w:after="120"/>
              <w:jc w:val="center"/>
              <w:rPr>
                <w:rFonts w:asciiTheme="minorHAnsi" w:hAnsiTheme="minorHAnsi" w:cs="Arial"/>
                <w:sz w:val="22"/>
                <w:szCs w:val="22"/>
              </w:rPr>
            </w:pPr>
            <w:r>
              <w:rPr>
                <w:rFonts w:asciiTheme="minorHAnsi" w:hAnsiTheme="minorHAnsi" w:cs="Arial"/>
                <w:sz w:val="22"/>
                <w:szCs w:val="22"/>
              </w:rPr>
              <w:t>NEL</w:t>
            </w:r>
          </w:p>
        </w:tc>
        <w:tc>
          <w:tcPr>
            <w:tcW w:w="6345" w:type="dxa"/>
            <w:vAlign w:val="top"/>
          </w:tcPr>
          <w:p w14:paraId="58D98470" w14:textId="77777777" w:rsidR="00656C6C" w:rsidRPr="00D55F20" w:rsidRDefault="00656C6C" w:rsidP="009E4DAA">
            <w:pPr>
              <w:pStyle w:val="BodyText1"/>
              <w:spacing w:before="120" w:after="120"/>
              <w:jc w:val="left"/>
              <w:rPr>
                <w:rFonts w:asciiTheme="minorHAnsi" w:hAnsiTheme="minorHAnsi" w:cs="Arial"/>
                <w:sz w:val="22"/>
                <w:szCs w:val="22"/>
              </w:rPr>
            </w:pPr>
            <w:r w:rsidRPr="00D55F20">
              <w:rPr>
                <w:rFonts w:asciiTheme="minorHAnsi" w:hAnsiTheme="minorHAnsi" w:cs="Arial"/>
                <w:sz w:val="22"/>
                <w:szCs w:val="22"/>
              </w:rPr>
              <w:t>Inadequate level of liquidity or</w:t>
            </w:r>
            <w:r>
              <w:rPr>
                <w:rFonts w:asciiTheme="minorHAnsi" w:hAnsiTheme="minorHAnsi" w:cs="Arial"/>
                <w:sz w:val="22"/>
                <w:szCs w:val="22"/>
              </w:rPr>
              <w:t xml:space="preserve"> </w:t>
            </w:r>
            <w:r w:rsidRPr="00D55F20">
              <w:rPr>
                <w:rFonts w:asciiTheme="minorHAnsi" w:hAnsiTheme="minorHAnsi" w:cs="Arial"/>
                <w:sz w:val="22"/>
                <w:szCs w:val="22"/>
              </w:rPr>
              <w:t>liquidity at risk</w:t>
            </w:r>
          </w:p>
        </w:tc>
      </w:tr>
      <w:tr w:rsidR="00656C6C" w:rsidRPr="00245FF8" w14:paraId="1A2F5F6E" w14:textId="77777777" w:rsidTr="009E4DAA">
        <w:tc>
          <w:tcPr>
            <w:tcW w:w="2444" w:type="dxa"/>
            <w:vAlign w:val="top"/>
          </w:tcPr>
          <w:p w14:paraId="3291CF2B" w14:textId="77777777" w:rsidR="00656C6C" w:rsidRPr="00245FF8" w:rsidRDefault="00656C6C" w:rsidP="009E4DAA">
            <w:pPr>
              <w:pStyle w:val="BodyText1"/>
              <w:spacing w:before="120" w:after="120"/>
              <w:jc w:val="center"/>
              <w:rPr>
                <w:rFonts w:asciiTheme="minorHAnsi" w:hAnsiTheme="minorHAnsi" w:cs="Arial"/>
                <w:sz w:val="22"/>
                <w:szCs w:val="22"/>
              </w:rPr>
            </w:pPr>
            <w:r>
              <w:rPr>
                <w:rFonts w:asciiTheme="minorHAnsi" w:hAnsiTheme="minorHAnsi" w:cs="Arial"/>
                <w:sz w:val="22"/>
                <w:szCs w:val="22"/>
              </w:rPr>
              <w:t>D</w:t>
            </w:r>
          </w:p>
        </w:tc>
        <w:tc>
          <w:tcPr>
            <w:tcW w:w="6345" w:type="dxa"/>
            <w:vAlign w:val="top"/>
          </w:tcPr>
          <w:p w14:paraId="1EC58295" w14:textId="77777777" w:rsidR="00656C6C" w:rsidRPr="00D55F20" w:rsidRDefault="00656C6C" w:rsidP="009E4DAA">
            <w:pPr>
              <w:pStyle w:val="BodyText1"/>
              <w:spacing w:before="120" w:after="120"/>
              <w:jc w:val="left"/>
              <w:rPr>
                <w:rFonts w:asciiTheme="minorHAnsi" w:hAnsiTheme="minorHAnsi" w:cs="Arial"/>
                <w:sz w:val="22"/>
                <w:szCs w:val="22"/>
              </w:rPr>
            </w:pPr>
            <w:r w:rsidRPr="00D55F20">
              <w:rPr>
                <w:rFonts w:asciiTheme="minorHAnsi" w:hAnsiTheme="minorHAnsi" w:cs="Arial"/>
                <w:sz w:val="22"/>
                <w:szCs w:val="22"/>
              </w:rPr>
              <w:t>Default</w:t>
            </w:r>
          </w:p>
        </w:tc>
      </w:tr>
    </w:tbl>
    <w:p w14:paraId="266CB583" w14:textId="77777777" w:rsidR="00656C6C" w:rsidRDefault="00656C6C" w:rsidP="00B17160">
      <w:pPr>
        <w:pStyle w:val="FootnoteText"/>
      </w:pPr>
      <w:r>
        <w:t xml:space="preserve">Source: </w:t>
      </w:r>
      <w:proofErr w:type="spellStart"/>
      <w:r>
        <w:t>Creditreform</w:t>
      </w:r>
      <w:proofErr w:type="spellEnd"/>
    </w:p>
    <w:p w14:paraId="41287DCE" w14:textId="77777777" w:rsidR="00175032" w:rsidRDefault="00175032" w:rsidP="00B17160">
      <w:pPr>
        <w:pStyle w:val="FootnoteText"/>
      </w:pPr>
    </w:p>
    <w:p w14:paraId="4697E64F" w14:textId="241A2CDD" w:rsidR="00535DC4" w:rsidRDefault="00535DC4" w:rsidP="00FE361D">
      <w:pPr>
        <w:pStyle w:val="BodyText"/>
        <w:sectPr w:rsidR="00535DC4" w:rsidSect="00175032">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14:paraId="2814DF08" w14:textId="77777777" w:rsidR="00F434D1" w:rsidRPr="00BE6527" w:rsidRDefault="00F434D1" w:rsidP="00D83AAF">
      <w:pPr>
        <w:pStyle w:val="Titlelevel2"/>
        <w:outlineLvl w:val="0"/>
      </w:pPr>
      <w:r w:rsidRPr="00BE6527">
        <w:lastRenderedPageBreak/>
        <w:t xml:space="preserve">Appendix </w:t>
      </w:r>
      <w:r w:rsidR="000F766A">
        <w:t>3</w:t>
      </w:r>
      <w:r w:rsidRPr="00BE6527">
        <w:t>: Default rates of each rating category</w:t>
      </w:r>
    </w:p>
    <w:p w14:paraId="43BCF286" w14:textId="1F385429" w:rsidR="00010D71" w:rsidRDefault="0041788D" w:rsidP="00B17160">
      <w:pPr>
        <w:pStyle w:val="Figuretitle"/>
      </w:pPr>
      <w:bookmarkStart w:id="7" w:name="_Ref384828127"/>
      <w:r w:rsidRPr="0041788D">
        <w:rPr>
          <w:szCs w:val="22"/>
        </w:rPr>
        <w:t xml:space="preserve">Figure </w:t>
      </w:r>
      <w:bookmarkEnd w:id="7"/>
      <w:r w:rsidR="00473F19">
        <w:rPr>
          <w:szCs w:val="22"/>
        </w:rPr>
        <w:t>6</w:t>
      </w:r>
      <w:r w:rsidR="00C45D4A">
        <w:t>:</w:t>
      </w:r>
      <w:r w:rsidR="00010D71">
        <w:t xml:space="preserve"> </w:t>
      </w:r>
      <w:r w:rsidR="008A12E8">
        <w:t>Number of rated items</w:t>
      </w:r>
      <w:r w:rsidR="00566FC0" w:rsidRPr="008106E6">
        <w:t>, with relevant weights</w:t>
      </w:r>
      <w:r w:rsidR="00566FC0" w:rsidRPr="008106E6">
        <w:rPr>
          <w:vertAlign w:val="superscript"/>
        </w:rPr>
        <w:footnoteReference w:id="8"/>
      </w:r>
      <w:r w:rsidR="00566FC0">
        <w:t xml:space="preserve">  </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0F766A" w:rsidRPr="005607FD" w14:paraId="6563EB87" w14:textId="77777777" w:rsidTr="00671D4C">
        <w:trPr>
          <w:trHeight w:hRule="exact" w:val="397"/>
        </w:trPr>
        <w:tc>
          <w:tcPr>
            <w:tcW w:w="1361" w:type="dxa"/>
            <w:tcBorders>
              <w:bottom w:val="single" w:sz="18" w:space="0" w:color="E98E31" w:themeColor="background2"/>
            </w:tcBorders>
            <w:shd w:val="clear" w:color="auto" w:fill="auto"/>
            <w:noWrap/>
            <w:vAlign w:val="center"/>
          </w:tcPr>
          <w:p w14:paraId="42B0D67F" w14:textId="77777777" w:rsidR="000F766A" w:rsidRPr="005607FD" w:rsidRDefault="000F766A" w:rsidP="00671D4C">
            <w:pPr>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14:paraId="15219B7C" w14:textId="77777777" w:rsidR="000F766A" w:rsidRPr="005607FD" w:rsidRDefault="000F766A" w:rsidP="00671D4C">
            <w:pPr>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14:paraId="45569340" w14:textId="77777777" w:rsidR="000F766A" w:rsidRPr="005607FD" w:rsidRDefault="000F766A" w:rsidP="00671D4C">
            <w:pPr>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14:paraId="255BE8BA" w14:textId="77777777" w:rsidR="000F766A" w:rsidRPr="005607FD" w:rsidRDefault="000F766A" w:rsidP="00671D4C">
            <w:pPr>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14:paraId="51FBDF51" w14:textId="77777777" w:rsidR="000F766A" w:rsidRPr="005607FD" w:rsidRDefault="000F766A" w:rsidP="00671D4C">
            <w:pPr>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14:paraId="46B305A9" w14:textId="77777777" w:rsidR="000F766A" w:rsidRPr="005607FD" w:rsidRDefault="000F766A" w:rsidP="00671D4C">
            <w:pPr>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14:paraId="5CECF910" w14:textId="77777777" w:rsidR="000F766A" w:rsidRPr="005607FD" w:rsidRDefault="000F766A" w:rsidP="00671D4C">
            <w:pPr>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14:paraId="0A1BBE65" w14:textId="77777777" w:rsidR="000F766A" w:rsidRPr="005607FD" w:rsidRDefault="000F766A" w:rsidP="00671D4C">
            <w:pPr>
              <w:jc w:val="center"/>
              <w:rPr>
                <w:b/>
                <w:color w:val="000000"/>
                <w:szCs w:val="22"/>
              </w:rPr>
            </w:pPr>
            <w:r>
              <w:rPr>
                <w:b/>
                <w:color w:val="000000"/>
                <w:szCs w:val="22"/>
              </w:rPr>
              <w:t>C</w:t>
            </w:r>
          </w:p>
        </w:tc>
      </w:tr>
      <w:tr w:rsidR="00DD36F6" w:rsidRPr="005607FD" w14:paraId="5AB8FB00" w14:textId="77777777" w:rsidTr="00671D4C">
        <w:trPr>
          <w:trHeight w:hRule="exact" w:val="397"/>
        </w:trPr>
        <w:tc>
          <w:tcPr>
            <w:tcW w:w="1361" w:type="dxa"/>
            <w:tcBorders>
              <w:top w:val="single" w:sz="18" w:space="0" w:color="E98E31" w:themeColor="background2"/>
            </w:tcBorders>
            <w:shd w:val="clear" w:color="auto" w:fill="auto"/>
            <w:noWrap/>
            <w:vAlign w:val="center"/>
          </w:tcPr>
          <w:p w14:paraId="454F74C8" w14:textId="77777777" w:rsidR="00DD36F6" w:rsidRPr="005607FD" w:rsidRDefault="00DD36F6">
            <w:pPr>
              <w:jc w:val="center"/>
              <w:rPr>
                <w:b/>
                <w:bCs/>
                <w:color w:val="000000"/>
                <w:szCs w:val="22"/>
              </w:rPr>
            </w:pPr>
            <w:r w:rsidRPr="001E2D62">
              <w:rPr>
                <w:color w:val="000000"/>
                <w:szCs w:val="22"/>
              </w:rPr>
              <w:t>01/01/2001</w:t>
            </w:r>
          </w:p>
        </w:tc>
        <w:tc>
          <w:tcPr>
            <w:tcW w:w="853" w:type="dxa"/>
            <w:tcBorders>
              <w:top w:val="single" w:sz="18" w:space="0" w:color="E98E31" w:themeColor="background2"/>
            </w:tcBorders>
            <w:shd w:val="clear" w:color="auto" w:fill="auto"/>
            <w:noWrap/>
            <w:vAlign w:val="center"/>
          </w:tcPr>
          <w:p w14:paraId="143FF539" w14:textId="77777777" w:rsidR="00DD36F6" w:rsidRPr="00671D4C" w:rsidRDefault="00DD36F6">
            <w:pPr>
              <w:jc w:val="center"/>
              <w:rPr>
                <w:rFonts w:ascii="Arial" w:hAnsi="Arial" w:cs="Arial"/>
                <w:bCs/>
                <w:color w:val="000000"/>
                <w:sz w:val="20"/>
                <w:szCs w:val="20"/>
              </w:rPr>
            </w:pPr>
            <w:r w:rsidRPr="00671D4C">
              <w:rPr>
                <w:rFonts w:ascii="Arial" w:hAnsi="Arial" w:cs="Arial"/>
                <w:bCs/>
                <w:color w:val="000000"/>
                <w:sz w:val="20"/>
                <w:szCs w:val="20"/>
              </w:rPr>
              <w:t>0.0</w:t>
            </w:r>
          </w:p>
        </w:tc>
        <w:tc>
          <w:tcPr>
            <w:tcW w:w="854" w:type="dxa"/>
            <w:tcBorders>
              <w:top w:val="single" w:sz="18" w:space="0" w:color="E98E31" w:themeColor="background2"/>
            </w:tcBorders>
            <w:shd w:val="clear" w:color="auto" w:fill="auto"/>
            <w:noWrap/>
            <w:vAlign w:val="center"/>
          </w:tcPr>
          <w:p w14:paraId="74AF5A01" w14:textId="77777777" w:rsidR="00DD36F6" w:rsidRPr="00671D4C" w:rsidRDefault="00DD36F6">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tcBorders>
              <w:top w:val="single" w:sz="18" w:space="0" w:color="E98E31" w:themeColor="background2"/>
            </w:tcBorders>
            <w:shd w:val="clear" w:color="auto" w:fill="auto"/>
            <w:noWrap/>
            <w:vAlign w:val="center"/>
          </w:tcPr>
          <w:p w14:paraId="061CD174"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tcBorders>
              <w:top w:val="single" w:sz="18" w:space="0" w:color="E98E31" w:themeColor="background2"/>
            </w:tcBorders>
            <w:shd w:val="clear" w:color="auto" w:fill="auto"/>
            <w:noWrap/>
            <w:vAlign w:val="center"/>
          </w:tcPr>
          <w:p w14:paraId="1A9BF0A3"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3" w:type="dxa"/>
            <w:tcBorders>
              <w:top w:val="single" w:sz="18" w:space="0" w:color="E98E31" w:themeColor="background2"/>
            </w:tcBorders>
            <w:shd w:val="clear" w:color="auto" w:fill="auto"/>
            <w:noWrap/>
            <w:vAlign w:val="center"/>
          </w:tcPr>
          <w:p w14:paraId="6B6B581B"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tcBorders>
              <w:top w:val="single" w:sz="18" w:space="0" w:color="E98E31" w:themeColor="background2"/>
            </w:tcBorders>
            <w:shd w:val="clear" w:color="auto" w:fill="auto"/>
            <w:noWrap/>
            <w:vAlign w:val="center"/>
          </w:tcPr>
          <w:p w14:paraId="101FFB2C"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tcBorders>
              <w:top w:val="single" w:sz="18" w:space="0" w:color="E98E31" w:themeColor="background2"/>
            </w:tcBorders>
            <w:vAlign w:val="center"/>
          </w:tcPr>
          <w:p w14:paraId="35F38819" w14:textId="77777777" w:rsidR="00DD36F6" w:rsidRPr="00671D4C" w:rsidRDefault="00DD36F6">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5856E8C7" w14:textId="77777777" w:rsidTr="00671D4C">
        <w:trPr>
          <w:trHeight w:hRule="exact" w:val="397"/>
        </w:trPr>
        <w:tc>
          <w:tcPr>
            <w:tcW w:w="1361" w:type="dxa"/>
            <w:shd w:val="clear" w:color="auto" w:fill="auto"/>
            <w:noWrap/>
            <w:vAlign w:val="center"/>
          </w:tcPr>
          <w:p w14:paraId="058219A0" w14:textId="77777777" w:rsidR="00DD36F6" w:rsidRPr="005607FD" w:rsidRDefault="00DD36F6">
            <w:pPr>
              <w:jc w:val="center"/>
              <w:rPr>
                <w:b/>
                <w:bCs/>
                <w:color w:val="000000"/>
                <w:szCs w:val="22"/>
              </w:rPr>
            </w:pPr>
            <w:r w:rsidRPr="001E2D62">
              <w:rPr>
                <w:color w:val="000000"/>
                <w:szCs w:val="22"/>
              </w:rPr>
              <w:t>01/07/2001</w:t>
            </w:r>
          </w:p>
        </w:tc>
        <w:tc>
          <w:tcPr>
            <w:tcW w:w="853" w:type="dxa"/>
            <w:shd w:val="clear" w:color="auto" w:fill="auto"/>
            <w:noWrap/>
            <w:vAlign w:val="center"/>
          </w:tcPr>
          <w:p w14:paraId="6B1DD4CE"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7279E030" w14:textId="77777777" w:rsidR="00DD36F6" w:rsidRPr="00671D4C" w:rsidRDefault="00DD36F6">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shd w:val="clear" w:color="auto" w:fill="auto"/>
            <w:noWrap/>
            <w:vAlign w:val="center"/>
          </w:tcPr>
          <w:p w14:paraId="489A8D4B" w14:textId="77777777" w:rsidR="00DD36F6" w:rsidRPr="00671D4C" w:rsidRDefault="00DD36F6">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shd w:val="clear" w:color="auto" w:fill="auto"/>
            <w:noWrap/>
            <w:vAlign w:val="center"/>
          </w:tcPr>
          <w:p w14:paraId="6C2B59D3"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3" w:type="dxa"/>
            <w:shd w:val="clear" w:color="auto" w:fill="auto"/>
            <w:noWrap/>
            <w:vAlign w:val="center"/>
          </w:tcPr>
          <w:p w14:paraId="5621DCDA"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6C2271EE"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0079B665" w14:textId="77777777" w:rsidR="00DD36F6" w:rsidRPr="00671D4C" w:rsidRDefault="00DD36F6">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7CE9498C" w14:textId="77777777" w:rsidTr="00671D4C">
        <w:trPr>
          <w:trHeight w:hRule="exact" w:val="397"/>
        </w:trPr>
        <w:tc>
          <w:tcPr>
            <w:tcW w:w="1361" w:type="dxa"/>
            <w:shd w:val="clear" w:color="auto" w:fill="auto"/>
            <w:noWrap/>
            <w:vAlign w:val="center"/>
          </w:tcPr>
          <w:p w14:paraId="192CFAF4" w14:textId="77777777" w:rsidR="00DD36F6" w:rsidRPr="005607FD" w:rsidRDefault="00DD36F6">
            <w:pPr>
              <w:jc w:val="center"/>
              <w:rPr>
                <w:b/>
                <w:bCs/>
                <w:color w:val="000000"/>
                <w:szCs w:val="22"/>
              </w:rPr>
            </w:pPr>
            <w:r w:rsidRPr="001E2D62">
              <w:rPr>
                <w:color w:val="000000"/>
                <w:szCs w:val="22"/>
              </w:rPr>
              <w:t>01/01/2002</w:t>
            </w:r>
          </w:p>
        </w:tc>
        <w:tc>
          <w:tcPr>
            <w:tcW w:w="853" w:type="dxa"/>
            <w:shd w:val="clear" w:color="auto" w:fill="auto"/>
            <w:noWrap/>
            <w:vAlign w:val="center"/>
          </w:tcPr>
          <w:p w14:paraId="6DA42DB7"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4E7AC5D5" w14:textId="77777777" w:rsidR="00DD36F6" w:rsidRPr="00671D4C" w:rsidRDefault="00DD36F6">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shd w:val="clear" w:color="auto" w:fill="auto"/>
            <w:noWrap/>
            <w:vAlign w:val="center"/>
          </w:tcPr>
          <w:p w14:paraId="57045C10" w14:textId="77777777" w:rsidR="00DD36F6" w:rsidRPr="00671D4C" w:rsidRDefault="00DD36F6">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shd w:val="clear" w:color="auto" w:fill="auto"/>
            <w:noWrap/>
            <w:vAlign w:val="center"/>
          </w:tcPr>
          <w:p w14:paraId="5D4CA9ED"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3" w:type="dxa"/>
            <w:shd w:val="clear" w:color="auto" w:fill="auto"/>
            <w:noWrap/>
            <w:vAlign w:val="center"/>
          </w:tcPr>
          <w:p w14:paraId="611FDA50"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1E071A83"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1190D934" w14:textId="77777777" w:rsidR="00DD36F6" w:rsidRPr="00671D4C" w:rsidRDefault="00DD36F6">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3A990BCA" w14:textId="77777777" w:rsidTr="00671D4C">
        <w:trPr>
          <w:trHeight w:hRule="exact" w:val="397"/>
        </w:trPr>
        <w:tc>
          <w:tcPr>
            <w:tcW w:w="1361" w:type="dxa"/>
            <w:shd w:val="clear" w:color="auto" w:fill="auto"/>
            <w:noWrap/>
            <w:vAlign w:val="center"/>
          </w:tcPr>
          <w:p w14:paraId="1CB77FC4" w14:textId="77777777" w:rsidR="00DD36F6" w:rsidRPr="005607FD" w:rsidRDefault="00DD36F6">
            <w:pPr>
              <w:jc w:val="center"/>
              <w:rPr>
                <w:b/>
                <w:bCs/>
                <w:color w:val="000000"/>
                <w:szCs w:val="22"/>
              </w:rPr>
            </w:pPr>
            <w:r w:rsidRPr="001E2D62">
              <w:rPr>
                <w:color w:val="000000"/>
                <w:szCs w:val="22"/>
              </w:rPr>
              <w:t>01/01/2003</w:t>
            </w:r>
          </w:p>
        </w:tc>
        <w:tc>
          <w:tcPr>
            <w:tcW w:w="853" w:type="dxa"/>
            <w:shd w:val="clear" w:color="auto" w:fill="auto"/>
            <w:noWrap/>
            <w:vAlign w:val="center"/>
          </w:tcPr>
          <w:p w14:paraId="46AD3814"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7E4D21BE"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701464FD" w14:textId="77777777" w:rsidR="00DD36F6" w:rsidRPr="00671D4C" w:rsidRDefault="00DD36F6">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4" w:type="dxa"/>
            <w:shd w:val="clear" w:color="auto" w:fill="auto"/>
            <w:noWrap/>
            <w:vAlign w:val="center"/>
          </w:tcPr>
          <w:p w14:paraId="59733E90"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3" w:type="dxa"/>
            <w:shd w:val="clear" w:color="auto" w:fill="auto"/>
            <w:noWrap/>
            <w:vAlign w:val="center"/>
          </w:tcPr>
          <w:p w14:paraId="3533EF82" w14:textId="77777777" w:rsidR="00DD36F6" w:rsidRPr="00671D4C" w:rsidRDefault="00DD36F6">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247815DC"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2DEB6546" w14:textId="77777777" w:rsidR="00DD36F6" w:rsidRPr="00671D4C" w:rsidRDefault="00DD36F6">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28D1E0B7" w14:textId="77777777" w:rsidTr="00671D4C">
        <w:trPr>
          <w:trHeight w:hRule="exact" w:val="397"/>
        </w:trPr>
        <w:tc>
          <w:tcPr>
            <w:tcW w:w="1361" w:type="dxa"/>
            <w:shd w:val="clear" w:color="auto" w:fill="auto"/>
            <w:noWrap/>
            <w:vAlign w:val="center"/>
          </w:tcPr>
          <w:p w14:paraId="1C662AAA" w14:textId="77777777" w:rsidR="00DD36F6" w:rsidRPr="005607FD" w:rsidRDefault="00DD36F6">
            <w:pPr>
              <w:jc w:val="center"/>
              <w:rPr>
                <w:b/>
                <w:bCs/>
                <w:color w:val="000000"/>
                <w:szCs w:val="22"/>
              </w:rPr>
            </w:pPr>
            <w:r w:rsidRPr="001E2D62">
              <w:rPr>
                <w:color w:val="000000"/>
                <w:szCs w:val="22"/>
              </w:rPr>
              <w:t>01/07/2003</w:t>
            </w:r>
          </w:p>
        </w:tc>
        <w:tc>
          <w:tcPr>
            <w:tcW w:w="853" w:type="dxa"/>
            <w:shd w:val="clear" w:color="auto" w:fill="auto"/>
            <w:noWrap/>
            <w:vAlign w:val="center"/>
          </w:tcPr>
          <w:p w14:paraId="167F6CEA"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3182067B"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643F5C5F" w14:textId="77777777" w:rsidR="00DD36F6" w:rsidRPr="00671D4C" w:rsidRDefault="00DD36F6">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4" w:type="dxa"/>
            <w:shd w:val="clear" w:color="auto" w:fill="auto"/>
            <w:noWrap/>
            <w:vAlign w:val="center"/>
          </w:tcPr>
          <w:p w14:paraId="6DC7917C"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3" w:type="dxa"/>
            <w:shd w:val="clear" w:color="auto" w:fill="auto"/>
            <w:noWrap/>
            <w:vAlign w:val="center"/>
          </w:tcPr>
          <w:p w14:paraId="1C252E3F" w14:textId="77777777" w:rsidR="00DD36F6" w:rsidRPr="00671D4C" w:rsidRDefault="00DD36F6">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596BE573" w14:textId="77777777" w:rsidR="00DD36F6" w:rsidRPr="00671D4C" w:rsidRDefault="00DD36F6">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1B4E6052" w14:textId="77777777" w:rsidR="00DD36F6" w:rsidRPr="00671D4C" w:rsidRDefault="00DD36F6">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30ABC696" w14:textId="77777777" w:rsidTr="00671D4C">
        <w:trPr>
          <w:trHeight w:hRule="exact" w:val="397"/>
        </w:trPr>
        <w:tc>
          <w:tcPr>
            <w:tcW w:w="1361" w:type="dxa"/>
            <w:shd w:val="clear" w:color="auto" w:fill="auto"/>
            <w:noWrap/>
            <w:vAlign w:val="center"/>
          </w:tcPr>
          <w:p w14:paraId="16A6856E" w14:textId="77777777" w:rsidR="00DD36F6" w:rsidRPr="005607FD" w:rsidRDefault="00DD36F6" w:rsidP="009246E8">
            <w:pPr>
              <w:jc w:val="center"/>
              <w:rPr>
                <w:b/>
                <w:bCs/>
                <w:color w:val="000000"/>
                <w:szCs w:val="22"/>
              </w:rPr>
            </w:pPr>
            <w:r w:rsidRPr="001E2D62">
              <w:rPr>
                <w:color w:val="000000"/>
                <w:szCs w:val="22"/>
              </w:rPr>
              <w:t>01/01/2004</w:t>
            </w:r>
          </w:p>
        </w:tc>
        <w:tc>
          <w:tcPr>
            <w:tcW w:w="853" w:type="dxa"/>
            <w:shd w:val="clear" w:color="auto" w:fill="auto"/>
            <w:noWrap/>
            <w:vAlign w:val="center"/>
          </w:tcPr>
          <w:p w14:paraId="0D59823D"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3DE61742"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3F170230"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4" w:type="dxa"/>
            <w:shd w:val="clear" w:color="auto" w:fill="auto"/>
            <w:noWrap/>
            <w:vAlign w:val="center"/>
          </w:tcPr>
          <w:p w14:paraId="70BBC2A7"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3" w:type="dxa"/>
            <w:shd w:val="clear" w:color="auto" w:fill="auto"/>
            <w:noWrap/>
            <w:vAlign w:val="center"/>
          </w:tcPr>
          <w:p w14:paraId="6E276AFD"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79406285"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361076D6"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5D7F4769" w14:textId="77777777" w:rsidTr="00671D4C">
        <w:trPr>
          <w:trHeight w:hRule="exact" w:val="397"/>
        </w:trPr>
        <w:tc>
          <w:tcPr>
            <w:tcW w:w="1361" w:type="dxa"/>
            <w:shd w:val="clear" w:color="auto" w:fill="auto"/>
            <w:noWrap/>
            <w:vAlign w:val="center"/>
          </w:tcPr>
          <w:p w14:paraId="48EE2FF9" w14:textId="77777777" w:rsidR="00DD36F6" w:rsidRPr="005607FD" w:rsidRDefault="00DD36F6" w:rsidP="009246E8">
            <w:pPr>
              <w:jc w:val="center"/>
              <w:rPr>
                <w:b/>
                <w:bCs/>
                <w:color w:val="000000"/>
                <w:szCs w:val="22"/>
              </w:rPr>
            </w:pPr>
            <w:r w:rsidRPr="001E2D62">
              <w:rPr>
                <w:color w:val="000000"/>
                <w:szCs w:val="22"/>
              </w:rPr>
              <w:t>01/07/2004</w:t>
            </w:r>
          </w:p>
        </w:tc>
        <w:tc>
          <w:tcPr>
            <w:tcW w:w="853" w:type="dxa"/>
            <w:shd w:val="clear" w:color="auto" w:fill="auto"/>
            <w:noWrap/>
            <w:vAlign w:val="center"/>
          </w:tcPr>
          <w:p w14:paraId="74B3483C"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1CE70B67"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66AD2D95"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4" w:type="dxa"/>
            <w:shd w:val="clear" w:color="auto" w:fill="auto"/>
            <w:noWrap/>
            <w:vAlign w:val="center"/>
          </w:tcPr>
          <w:p w14:paraId="1CBA8BB1"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3" w:type="dxa"/>
            <w:shd w:val="clear" w:color="auto" w:fill="auto"/>
            <w:noWrap/>
            <w:vAlign w:val="center"/>
          </w:tcPr>
          <w:p w14:paraId="3B8DC19E"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4849ACB4"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4D735B38"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5A851AC1" w14:textId="77777777" w:rsidTr="00671D4C">
        <w:trPr>
          <w:trHeight w:hRule="exact" w:val="397"/>
        </w:trPr>
        <w:tc>
          <w:tcPr>
            <w:tcW w:w="1361" w:type="dxa"/>
            <w:shd w:val="clear" w:color="auto" w:fill="auto"/>
            <w:noWrap/>
            <w:vAlign w:val="center"/>
          </w:tcPr>
          <w:p w14:paraId="76E37FB3" w14:textId="77777777" w:rsidR="00DD36F6" w:rsidRPr="005607FD" w:rsidRDefault="00DD36F6" w:rsidP="009246E8">
            <w:pPr>
              <w:jc w:val="center"/>
              <w:rPr>
                <w:b/>
                <w:bCs/>
                <w:color w:val="000000"/>
                <w:szCs w:val="22"/>
              </w:rPr>
            </w:pPr>
            <w:r w:rsidRPr="001E2D62">
              <w:rPr>
                <w:color w:val="000000"/>
                <w:szCs w:val="22"/>
              </w:rPr>
              <w:t>01/01/2005</w:t>
            </w:r>
          </w:p>
        </w:tc>
        <w:tc>
          <w:tcPr>
            <w:tcW w:w="853" w:type="dxa"/>
            <w:shd w:val="clear" w:color="auto" w:fill="auto"/>
            <w:noWrap/>
            <w:vAlign w:val="center"/>
          </w:tcPr>
          <w:p w14:paraId="10A70033"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71BF55E7"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544F73A8"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0714CDE0"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2.0</w:t>
            </w:r>
          </w:p>
        </w:tc>
        <w:tc>
          <w:tcPr>
            <w:tcW w:w="853" w:type="dxa"/>
            <w:shd w:val="clear" w:color="auto" w:fill="auto"/>
            <w:noWrap/>
            <w:vAlign w:val="center"/>
          </w:tcPr>
          <w:p w14:paraId="442AB5AF"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3588D3F7"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5D3878F4"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0BC4AFF9" w14:textId="77777777" w:rsidTr="00671D4C">
        <w:trPr>
          <w:trHeight w:hRule="exact" w:val="397"/>
        </w:trPr>
        <w:tc>
          <w:tcPr>
            <w:tcW w:w="1361" w:type="dxa"/>
            <w:shd w:val="clear" w:color="auto" w:fill="auto"/>
            <w:noWrap/>
            <w:vAlign w:val="center"/>
          </w:tcPr>
          <w:p w14:paraId="3F605074" w14:textId="77777777" w:rsidR="00DD36F6" w:rsidRPr="005607FD" w:rsidRDefault="00DD36F6" w:rsidP="009246E8">
            <w:pPr>
              <w:jc w:val="center"/>
              <w:rPr>
                <w:b/>
                <w:bCs/>
                <w:color w:val="000000"/>
                <w:szCs w:val="22"/>
              </w:rPr>
            </w:pPr>
            <w:r w:rsidRPr="001E2D62">
              <w:rPr>
                <w:color w:val="000000"/>
                <w:szCs w:val="22"/>
              </w:rPr>
              <w:t>01/07/2005</w:t>
            </w:r>
          </w:p>
        </w:tc>
        <w:tc>
          <w:tcPr>
            <w:tcW w:w="853" w:type="dxa"/>
            <w:shd w:val="clear" w:color="auto" w:fill="auto"/>
            <w:noWrap/>
            <w:vAlign w:val="center"/>
          </w:tcPr>
          <w:p w14:paraId="6CFB5305"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00ACE1B4"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035B65AD"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4" w:type="dxa"/>
            <w:shd w:val="clear" w:color="auto" w:fill="auto"/>
            <w:noWrap/>
            <w:vAlign w:val="center"/>
          </w:tcPr>
          <w:p w14:paraId="64584290"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2.0</w:t>
            </w:r>
          </w:p>
        </w:tc>
        <w:tc>
          <w:tcPr>
            <w:tcW w:w="853" w:type="dxa"/>
            <w:shd w:val="clear" w:color="auto" w:fill="auto"/>
            <w:noWrap/>
            <w:vAlign w:val="center"/>
          </w:tcPr>
          <w:p w14:paraId="28FE73CD"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44AD3FC3"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4573EFD6"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71BEC785" w14:textId="77777777" w:rsidTr="00671D4C">
        <w:trPr>
          <w:trHeight w:hRule="exact" w:val="397"/>
        </w:trPr>
        <w:tc>
          <w:tcPr>
            <w:tcW w:w="1361" w:type="dxa"/>
            <w:shd w:val="clear" w:color="auto" w:fill="auto"/>
            <w:noWrap/>
            <w:vAlign w:val="center"/>
          </w:tcPr>
          <w:p w14:paraId="139FA506" w14:textId="77777777" w:rsidR="00DD36F6" w:rsidRPr="005607FD" w:rsidRDefault="00DD36F6" w:rsidP="009246E8">
            <w:pPr>
              <w:jc w:val="center"/>
              <w:rPr>
                <w:b/>
                <w:bCs/>
                <w:color w:val="000000"/>
                <w:szCs w:val="22"/>
              </w:rPr>
            </w:pPr>
            <w:r w:rsidRPr="001E2D62">
              <w:rPr>
                <w:color w:val="000000"/>
                <w:szCs w:val="22"/>
              </w:rPr>
              <w:t>01/01/2006</w:t>
            </w:r>
          </w:p>
        </w:tc>
        <w:tc>
          <w:tcPr>
            <w:tcW w:w="853" w:type="dxa"/>
            <w:shd w:val="clear" w:color="auto" w:fill="auto"/>
            <w:noWrap/>
            <w:vAlign w:val="center"/>
          </w:tcPr>
          <w:p w14:paraId="6E8A882E"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539744F8"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6D3DCC76"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4" w:type="dxa"/>
            <w:shd w:val="clear" w:color="auto" w:fill="auto"/>
            <w:noWrap/>
            <w:vAlign w:val="center"/>
          </w:tcPr>
          <w:p w14:paraId="76D9BA0F"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3" w:type="dxa"/>
            <w:shd w:val="clear" w:color="auto" w:fill="auto"/>
            <w:noWrap/>
            <w:vAlign w:val="center"/>
          </w:tcPr>
          <w:p w14:paraId="19C3C092"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05BF62E8"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1A4204CC"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2B84D066" w14:textId="77777777" w:rsidTr="00671D4C">
        <w:trPr>
          <w:trHeight w:hRule="exact" w:val="397"/>
        </w:trPr>
        <w:tc>
          <w:tcPr>
            <w:tcW w:w="1361" w:type="dxa"/>
            <w:shd w:val="clear" w:color="auto" w:fill="auto"/>
            <w:noWrap/>
            <w:vAlign w:val="center"/>
          </w:tcPr>
          <w:p w14:paraId="3EF9291C" w14:textId="77777777" w:rsidR="00DD36F6" w:rsidRPr="005607FD" w:rsidRDefault="00DD36F6" w:rsidP="009246E8">
            <w:pPr>
              <w:jc w:val="center"/>
              <w:rPr>
                <w:b/>
                <w:bCs/>
                <w:color w:val="000000"/>
                <w:szCs w:val="22"/>
              </w:rPr>
            </w:pPr>
            <w:r w:rsidRPr="001E2D62">
              <w:rPr>
                <w:color w:val="000000"/>
                <w:szCs w:val="22"/>
              </w:rPr>
              <w:t>01/07/2006</w:t>
            </w:r>
          </w:p>
        </w:tc>
        <w:tc>
          <w:tcPr>
            <w:tcW w:w="853" w:type="dxa"/>
            <w:shd w:val="clear" w:color="auto" w:fill="auto"/>
            <w:noWrap/>
            <w:vAlign w:val="center"/>
          </w:tcPr>
          <w:p w14:paraId="77AAF14F"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73F8513E"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1851A6F2"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0F7E494A"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3" w:type="dxa"/>
            <w:shd w:val="clear" w:color="auto" w:fill="auto"/>
            <w:noWrap/>
            <w:vAlign w:val="center"/>
          </w:tcPr>
          <w:p w14:paraId="7ACE5846"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591D5EB4"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56C7012C"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361D5FB0" w14:textId="77777777" w:rsidTr="009246E8">
        <w:trPr>
          <w:trHeight w:hRule="exact" w:val="397"/>
        </w:trPr>
        <w:tc>
          <w:tcPr>
            <w:tcW w:w="1361" w:type="dxa"/>
            <w:shd w:val="clear" w:color="auto" w:fill="auto"/>
            <w:noWrap/>
            <w:vAlign w:val="center"/>
          </w:tcPr>
          <w:p w14:paraId="213BA39C" w14:textId="77777777" w:rsidR="00DD36F6" w:rsidRPr="005607FD" w:rsidRDefault="00DD36F6" w:rsidP="009246E8">
            <w:pPr>
              <w:jc w:val="center"/>
              <w:rPr>
                <w:b/>
                <w:bCs/>
                <w:color w:val="000000"/>
                <w:szCs w:val="22"/>
              </w:rPr>
            </w:pPr>
            <w:r w:rsidRPr="001E2D62">
              <w:rPr>
                <w:color w:val="000000"/>
                <w:szCs w:val="22"/>
              </w:rPr>
              <w:t>01/01/2007</w:t>
            </w:r>
          </w:p>
        </w:tc>
        <w:tc>
          <w:tcPr>
            <w:tcW w:w="853" w:type="dxa"/>
            <w:shd w:val="clear" w:color="auto" w:fill="auto"/>
            <w:noWrap/>
            <w:vAlign w:val="center"/>
          </w:tcPr>
          <w:p w14:paraId="08006740"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1285B1FC"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2E09B8B6"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2.0</w:t>
            </w:r>
          </w:p>
        </w:tc>
        <w:tc>
          <w:tcPr>
            <w:tcW w:w="854" w:type="dxa"/>
            <w:shd w:val="clear" w:color="auto" w:fill="auto"/>
            <w:noWrap/>
            <w:vAlign w:val="center"/>
          </w:tcPr>
          <w:p w14:paraId="45FFDF61"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3" w:type="dxa"/>
            <w:shd w:val="clear" w:color="auto" w:fill="auto"/>
            <w:noWrap/>
            <w:vAlign w:val="center"/>
          </w:tcPr>
          <w:p w14:paraId="04296E19"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shd w:val="clear" w:color="auto" w:fill="auto"/>
            <w:noWrap/>
            <w:vAlign w:val="center"/>
          </w:tcPr>
          <w:p w14:paraId="4471711A"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4F0CB8E1"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40315330" w14:textId="77777777" w:rsidTr="009246E8">
        <w:trPr>
          <w:trHeight w:hRule="exact" w:val="397"/>
        </w:trPr>
        <w:tc>
          <w:tcPr>
            <w:tcW w:w="1361" w:type="dxa"/>
            <w:shd w:val="clear" w:color="auto" w:fill="auto"/>
            <w:noWrap/>
            <w:vAlign w:val="center"/>
          </w:tcPr>
          <w:p w14:paraId="1FECB583" w14:textId="77777777" w:rsidR="00DD36F6" w:rsidRPr="005607FD" w:rsidRDefault="00DD36F6" w:rsidP="009246E8">
            <w:pPr>
              <w:jc w:val="center"/>
              <w:rPr>
                <w:b/>
                <w:bCs/>
                <w:color w:val="000000"/>
                <w:szCs w:val="22"/>
              </w:rPr>
            </w:pPr>
            <w:r w:rsidRPr="001E2D62">
              <w:rPr>
                <w:color w:val="000000"/>
                <w:szCs w:val="22"/>
              </w:rPr>
              <w:t>01/07/2007</w:t>
            </w:r>
          </w:p>
        </w:tc>
        <w:tc>
          <w:tcPr>
            <w:tcW w:w="853" w:type="dxa"/>
            <w:shd w:val="clear" w:color="auto" w:fill="auto"/>
            <w:noWrap/>
            <w:vAlign w:val="center"/>
          </w:tcPr>
          <w:p w14:paraId="56FC1C82"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20DE90BA"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1562FFD2"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2.0</w:t>
            </w:r>
          </w:p>
        </w:tc>
        <w:tc>
          <w:tcPr>
            <w:tcW w:w="854" w:type="dxa"/>
            <w:shd w:val="clear" w:color="auto" w:fill="auto"/>
            <w:noWrap/>
            <w:vAlign w:val="center"/>
          </w:tcPr>
          <w:p w14:paraId="11FCE360"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3" w:type="dxa"/>
            <w:shd w:val="clear" w:color="auto" w:fill="auto"/>
            <w:noWrap/>
            <w:vAlign w:val="center"/>
          </w:tcPr>
          <w:p w14:paraId="2DAB8350"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shd w:val="clear" w:color="auto" w:fill="auto"/>
            <w:noWrap/>
            <w:vAlign w:val="center"/>
          </w:tcPr>
          <w:p w14:paraId="27D958B3"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582C8D30"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19DFC5F4" w14:textId="77777777" w:rsidTr="009246E8">
        <w:trPr>
          <w:trHeight w:hRule="exact" w:val="397"/>
        </w:trPr>
        <w:tc>
          <w:tcPr>
            <w:tcW w:w="1361" w:type="dxa"/>
            <w:shd w:val="clear" w:color="auto" w:fill="auto"/>
            <w:noWrap/>
            <w:vAlign w:val="center"/>
          </w:tcPr>
          <w:p w14:paraId="3F512FBB" w14:textId="77777777" w:rsidR="00DD36F6" w:rsidRPr="005607FD" w:rsidRDefault="00DD36F6" w:rsidP="009246E8">
            <w:pPr>
              <w:jc w:val="center"/>
              <w:rPr>
                <w:b/>
                <w:bCs/>
                <w:color w:val="000000"/>
                <w:szCs w:val="22"/>
              </w:rPr>
            </w:pPr>
            <w:r w:rsidRPr="001E2D62">
              <w:rPr>
                <w:color w:val="000000"/>
                <w:szCs w:val="22"/>
              </w:rPr>
              <w:t>01/01/2008</w:t>
            </w:r>
          </w:p>
        </w:tc>
        <w:tc>
          <w:tcPr>
            <w:tcW w:w="853" w:type="dxa"/>
            <w:shd w:val="clear" w:color="auto" w:fill="auto"/>
            <w:noWrap/>
            <w:vAlign w:val="center"/>
          </w:tcPr>
          <w:p w14:paraId="28A0E3DD"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3F526156"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566D0817"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3.0</w:t>
            </w:r>
          </w:p>
        </w:tc>
        <w:tc>
          <w:tcPr>
            <w:tcW w:w="854" w:type="dxa"/>
            <w:shd w:val="clear" w:color="auto" w:fill="auto"/>
            <w:noWrap/>
            <w:vAlign w:val="center"/>
          </w:tcPr>
          <w:p w14:paraId="2FDC511E"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2.0</w:t>
            </w:r>
          </w:p>
        </w:tc>
        <w:tc>
          <w:tcPr>
            <w:tcW w:w="853" w:type="dxa"/>
            <w:shd w:val="clear" w:color="auto" w:fill="auto"/>
            <w:noWrap/>
            <w:vAlign w:val="center"/>
          </w:tcPr>
          <w:p w14:paraId="3220C1EB"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2DBC1BEE"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24883ED9"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7295A1BD" w14:textId="77777777" w:rsidTr="009246E8">
        <w:trPr>
          <w:trHeight w:hRule="exact" w:val="397"/>
        </w:trPr>
        <w:tc>
          <w:tcPr>
            <w:tcW w:w="1361" w:type="dxa"/>
            <w:shd w:val="clear" w:color="auto" w:fill="auto"/>
            <w:noWrap/>
            <w:vAlign w:val="center"/>
          </w:tcPr>
          <w:p w14:paraId="38B9E12E" w14:textId="77777777" w:rsidR="00DD36F6" w:rsidRPr="005607FD" w:rsidRDefault="00DD36F6" w:rsidP="009246E8">
            <w:pPr>
              <w:jc w:val="center"/>
              <w:rPr>
                <w:b/>
                <w:bCs/>
                <w:color w:val="000000"/>
                <w:szCs w:val="22"/>
              </w:rPr>
            </w:pPr>
            <w:r w:rsidRPr="001E2D62">
              <w:rPr>
                <w:color w:val="000000"/>
                <w:szCs w:val="22"/>
              </w:rPr>
              <w:t>01/07/2008</w:t>
            </w:r>
          </w:p>
        </w:tc>
        <w:tc>
          <w:tcPr>
            <w:tcW w:w="853" w:type="dxa"/>
            <w:shd w:val="clear" w:color="auto" w:fill="auto"/>
            <w:noWrap/>
            <w:vAlign w:val="center"/>
          </w:tcPr>
          <w:p w14:paraId="4E007CC0"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03BE9FD4"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430645D5"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3.5</w:t>
            </w:r>
          </w:p>
        </w:tc>
        <w:tc>
          <w:tcPr>
            <w:tcW w:w="854" w:type="dxa"/>
            <w:shd w:val="clear" w:color="auto" w:fill="auto"/>
            <w:noWrap/>
            <w:vAlign w:val="center"/>
          </w:tcPr>
          <w:p w14:paraId="62B1D099"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2.0</w:t>
            </w:r>
          </w:p>
        </w:tc>
        <w:tc>
          <w:tcPr>
            <w:tcW w:w="853" w:type="dxa"/>
            <w:shd w:val="clear" w:color="auto" w:fill="auto"/>
            <w:noWrap/>
            <w:vAlign w:val="center"/>
          </w:tcPr>
          <w:p w14:paraId="5A9C5DB7"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3BC4110B"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6BCEAB7C"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60125B72" w14:textId="77777777" w:rsidTr="009246E8">
        <w:trPr>
          <w:trHeight w:hRule="exact" w:val="397"/>
        </w:trPr>
        <w:tc>
          <w:tcPr>
            <w:tcW w:w="1361" w:type="dxa"/>
            <w:shd w:val="clear" w:color="auto" w:fill="auto"/>
            <w:noWrap/>
            <w:vAlign w:val="center"/>
          </w:tcPr>
          <w:p w14:paraId="716ACCDD" w14:textId="77777777" w:rsidR="00DD36F6" w:rsidRPr="005607FD" w:rsidRDefault="00DD36F6" w:rsidP="009246E8">
            <w:pPr>
              <w:jc w:val="center"/>
              <w:rPr>
                <w:b/>
                <w:bCs/>
                <w:color w:val="000000"/>
                <w:szCs w:val="22"/>
              </w:rPr>
            </w:pPr>
            <w:r w:rsidRPr="001E2D62">
              <w:rPr>
                <w:color w:val="000000"/>
                <w:szCs w:val="22"/>
              </w:rPr>
              <w:t>01/01/2009</w:t>
            </w:r>
          </w:p>
        </w:tc>
        <w:tc>
          <w:tcPr>
            <w:tcW w:w="853" w:type="dxa"/>
            <w:shd w:val="clear" w:color="auto" w:fill="auto"/>
            <w:noWrap/>
            <w:vAlign w:val="center"/>
          </w:tcPr>
          <w:p w14:paraId="29422835"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6A0D3EB6"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192BB492"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2.5</w:t>
            </w:r>
          </w:p>
        </w:tc>
        <w:tc>
          <w:tcPr>
            <w:tcW w:w="854" w:type="dxa"/>
            <w:shd w:val="clear" w:color="auto" w:fill="auto"/>
            <w:noWrap/>
            <w:vAlign w:val="center"/>
          </w:tcPr>
          <w:p w14:paraId="3CBB0075"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2.0</w:t>
            </w:r>
          </w:p>
        </w:tc>
        <w:tc>
          <w:tcPr>
            <w:tcW w:w="853" w:type="dxa"/>
            <w:shd w:val="clear" w:color="auto" w:fill="auto"/>
            <w:noWrap/>
            <w:vAlign w:val="center"/>
          </w:tcPr>
          <w:p w14:paraId="6D0D63EA"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854" w:type="dxa"/>
            <w:shd w:val="clear" w:color="auto" w:fill="auto"/>
            <w:noWrap/>
            <w:vAlign w:val="center"/>
          </w:tcPr>
          <w:p w14:paraId="35BEF8ED"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7A606BBE"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1218FD0A" w14:textId="77777777" w:rsidTr="009246E8">
        <w:trPr>
          <w:trHeight w:hRule="exact" w:val="397"/>
        </w:trPr>
        <w:tc>
          <w:tcPr>
            <w:tcW w:w="1361" w:type="dxa"/>
            <w:shd w:val="clear" w:color="auto" w:fill="auto"/>
            <w:noWrap/>
            <w:vAlign w:val="center"/>
          </w:tcPr>
          <w:p w14:paraId="3B4B1555" w14:textId="77777777" w:rsidR="00DD36F6" w:rsidRPr="005607FD" w:rsidRDefault="00DD36F6" w:rsidP="009246E8">
            <w:pPr>
              <w:jc w:val="center"/>
              <w:rPr>
                <w:b/>
                <w:bCs/>
                <w:color w:val="000000"/>
                <w:szCs w:val="22"/>
              </w:rPr>
            </w:pPr>
            <w:r w:rsidRPr="001E2D62">
              <w:rPr>
                <w:color w:val="000000"/>
                <w:szCs w:val="22"/>
              </w:rPr>
              <w:t>01/07/2009</w:t>
            </w:r>
          </w:p>
        </w:tc>
        <w:tc>
          <w:tcPr>
            <w:tcW w:w="853" w:type="dxa"/>
            <w:shd w:val="clear" w:color="auto" w:fill="auto"/>
            <w:noWrap/>
            <w:vAlign w:val="center"/>
          </w:tcPr>
          <w:p w14:paraId="4A7E2D74"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65A2913B"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28AA7953"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2.0</w:t>
            </w:r>
          </w:p>
        </w:tc>
        <w:tc>
          <w:tcPr>
            <w:tcW w:w="854" w:type="dxa"/>
            <w:shd w:val="clear" w:color="auto" w:fill="auto"/>
            <w:noWrap/>
            <w:vAlign w:val="center"/>
          </w:tcPr>
          <w:p w14:paraId="2EFD266B"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2.5</w:t>
            </w:r>
          </w:p>
        </w:tc>
        <w:tc>
          <w:tcPr>
            <w:tcW w:w="853" w:type="dxa"/>
            <w:shd w:val="clear" w:color="auto" w:fill="auto"/>
            <w:noWrap/>
            <w:vAlign w:val="center"/>
          </w:tcPr>
          <w:p w14:paraId="40B7925D"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4" w:type="dxa"/>
            <w:shd w:val="clear" w:color="auto" w:fill="auto"/>
            <w:noWrap/>
            <w:vAlign w:val="center"/>
          </w:tcPr>
          <w:p w14:paraId="5D76DC2A"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33E9240E"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260CFFA5" w14:textId="77777777" w:rsidTr="009246E8">
        <w:trPr>
          <w:trHeight w:hRule="exact" w:val="397"/>
        </w:trPr>
        <w:tc>
          <w:tcPr>
            <w:tcW w:w="1361" w:type="dxa"/>
            <w:shd w:val="clear" w:color="auto" w:fill="auto"/>
            <w:noWrap/>
            <w:vAlign w:val="center"/>
          </w:tcPr>
          <w:p w14:paraId="63B014D7" w14:textId="77777777" w:rsidR="00DD36F6" w:rsidRPr="005607FD" w:rsidRDefault="00DD36F6" w:rsidP="009246E8">
            <w:pPr>
              <w:jc w:val="center"/>
              <w:rPr>
                <w:b/>
                <w:bCs/>
                <w:color w:val="000000"/>
                <w:szCs w:val="22"/>
              </w:rPr>
            </w:pPr>
            <w:r w:rsidRPr="001E2D62">
              <w:rPr>
                <w:color w:val="000000"/>
                <w:szCs w:val="22"/>
              </w:rPr>
              <w:t>01/01/2010</w:t>
            </w:r>
          </w:p>
        </w:tc>
        <w:tc>
          <w:tcPr>
            <w:tcW w:w="853" w:type="dxa"/>
            <w:shd w:val="clear" w:color="auto" w:fill="auto"/>
            <w:noWrap/>
            <w:vAlign w:val="center"/>
          </w:tcPr>
          <w:p w14:paraId="751C5C63"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5C112B76"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19BD447B"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3.5</w:t>
            </w:r>
          </w:p>
        </w:tc>
        <w:tc>
          <w:tcPr>
            <w:tcW w:w="854" w:type="dxa"/>
            <w:shd w:val="clear" w:color="auto" w:fill="auto"/>
            <w:noWrap/>
            <w:vAlign w:val="center"/>
          </w:tcPr>
          <w:p w14:paraId="0CF8EAC5"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2.0</w:t>
            </w:r>
          </w:p>
        </w:tc>
        <w:tc>
          <w:tcPr>
            <w:tcW w:w="853" w:type="dxa"/>
            <w:shd w:val="clear" w:color="auto" w:fill="auto"/>
            <w:noWrap/>
            <w:vAlign w:val="center"/>
          </w:tcPr>
          <w:p w14:paraId="44533100"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shd w:val="clear" w:color="auto" w:fill="auto"/>
            <w:noWrap/>
            <w:vAlign w:val="center"/>
          </w:tcPr>
          <w:p w14:paraId="468BB7FF"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791E9A29"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43093EAD" w14:textId="77777777" w:rsidTr="009246E8">
        <w:trPr>
          <w:trHeight w:hRule="exact" w:val="397"/>
        </w:trPr>
        <w:tc>
          <w:tcPr>
            <w:tcW w:w="1361" w:type="dxa"/>
            <w:shd w:val="clear" w:color="auto" w:fill="auto"/>
            <w:noWrap/>
            <w:vAlign w:val="center"/>
          </w:tcPr>
          <w:p w14:paraId="5BB83462" w14:textId="77777777" w:rsidR="00DD36F6" w:rsidRPr="005607FD" w:rsidRDefault="00DD36F6" w:rsidP="009246E8">
            <w:pPr>
              <w:jc w:val="center"/>
              <w:rPr>
                <w:b/>
                <w:bCs/>
                <w:color w:val="000000"/>
                <w:szCs w:val="22"/>
              </w:rPr>
            </w:pPr>
            <w:r w:rsidRPr="001E2D62">
              <w:rPr>
                <w:color w:val="000000"/>
                <w:szCs w:val="22"/>
              </w:rPr>
              <w:t>01/0</w:t>
            </w:r>
            <w:r>
              <w:rPr>
                <w:color w:val="000000"/>
                <w:szCs w:val="22"/>
              </w:rPr>
              <w:t>7</w:t>
            </w:r>
            <w:r w:rsidRPr="001E2D62">
              <w:rPr>
                <w:color w:val="000000"/>
                <w:szCs w:val="22"/>
              </w:rPr>
              <w:t>/2010</w:t>
            </w:r>
          </w:p>
        </w:tc>
        <w:tc>
          <w:tcPr>
            <w:tcW w:w="853" w:type="dxa"/>
            <w:shd w:val="clear" w:color="auto" w:fill="auto"/>
            <w:noWrap/>
            <w:vAlign w:val="center"/>
          </w:tcPr>
          <w:p w14:paraId="44BE6C77"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5853FB67"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28E08705"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4.0</w:t>
            </w:r>
          </w:p>
        </w:tc>
        <w:tc>
          <w:tcPr>
            <w:tcW w:w="854" w:type="dxa"/>
            <w:shd w:val="clear" w:color="auto" w:fill="auto"/>
            <w:noWrap/>
            <w:vAlign w:val="center"/>
          </w:tcPr>
          <w:p w14:paraId="48A8942C"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4.5</w:t>
            </w:r>
          </w:p>
        </w:tc>
        <w:tc>
          <w:tcPr>
            <w:tcW w:w="853" w:type="dxa"/>
            <w:shd w:val="clear" w:color="auto" w:fill="auto"/>
            <w:noWrap/>
            <w:vAlign w:val="center"/>
          </w:tcPr>
          <w:p w14:paraId="06492F29"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1.5</w:t>
            </w:r>
          </w:p>
        </w:tc>
        <w:tc>
          <w:tcPr>
            <w:tcW w:w="854" w:type="dxa"/>
            <w:shd w:val="clear" w:color="auto" w:fill="auto"/>
            <w:noWrap/>
            <w:vAlign w:val="center"/>
          </w:tcPr>
          <w:p w14:paraId="40A2DCD6"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42FEC646"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50353F6C" w14:textId="77777777" w:rsidTr="009246E8">
        <w:trPr>
          <w:trHeight w:hRule="exact" w:val="397"/>
        </w:trPr>
        <w:tc>
          <w:tcPr>
            <w:tcW w:w="1361" w:type="dxa"/>
            <w:shd w:val="clear" w:color="auto" w:fill="auto"/>
            <w:noWrap/>
            <w:vAlign w:val="center"/>
          </w:tcPr>
          <w:p w14:paraId="54B6451E" w14:textId="77777777" w:rsidR="00DD36F6" w:rsidRPr="005607FD" w:rsidRDefault="00DD36F6" w:rsidP="009246E8">
            <w:pPr>
              <w:jc w:val="center"/>
              <w:rPr>
                <w:b/>
                <w:bCs/>
                <w:color w:val="000000"/>
                <w:szCs w:val="22"/>
              </w:rPr>
            </w:pPr>
            <w:r w:rsidRPr="001E2D62">
              <w:rPr>
                <w:color w:val="000000"/>
                <w:szCs w:val="22"/>
              </w:rPr>
              <w:t>01/0</w:t>
            </w:r>
            <w:r>
              <w:rPr>
                <w:color w:val="000000"/>
                <w:szCs w:val="22"/>
              </w:rPr>
              <w:t>1</w:t>
            </w:r>
            <w:r w:rsidRPr="001E2D62">
              <w:rPr>
                <w:color w:val="000000"/>
                <w:szCs w:val="22"/>
              </w:rPr>
              <w:t>/20</w:t>
            </w:r>
            <w:r>
              <w:rPr>
                <w:color w:val="000000"/>
                <w:szCs w:val="22"/>
              </w:rPr>
              <w:t>11</w:t>
            </w:r>
          </w:p>
        </w:tc>
        <w:tc>
          <w:tcPr>
            <w:tcW w:w="853" w:type="dxa"/>
            <w:shd w:val="clear" w:color="auto" w:fill="auto"/>
            <w:noWrap/>
            <w:vAlign w:val="center"/>
          </w:tcPr>
          <w:p w14:paraId="6F867AAB"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151CEC1B"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shd w:val="clear" w:color="auto" w:fill="auto"/>
            <w:noWrap/>
            <w:vAlign w:val="center"/>
          </w:tcPr>
          <w:p w14:paraId="119A9690"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3.0</w:t>
            </w:r>
          </w:p>
        </w:tc>
        <w:tc>
          <w:tcPr>
            <w:tcW w:w="854" w:type="dxa"/>
            <w:shd w:val="clear" w:color="auto" w:fill="auto"/>
            <w:noWrap/>
            <w:vAlign w:val="center"/>
          </w:tcPr>
          <w:p w14:paraId="728EC21D"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8.5</w:t>
            </w:r>
          </w:p>
        </w:tc>
        <w:tc>
          <w:tcPr>
            <w:tcW w:w="853" w:type="dxa"/>
            <w:shd w:val="clear" w:color="auto" w:fill="auto"/>
            <w:noWrap/>
            <w:vAlign w:val="center"/>
          </w:tcPr>
          <w:p w14:paraId="69B9CE64"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3.0</w:t>
            </w:r>
          </w:p>
        </w:tc>
        <w:tc>
          <w:tcPr>
            <w:tcW w:w="854" w:type="dxa"/>
            <w:shd w:val="clear" w:color="auto" w:fill="auto"/>
            <w:noWrap/>
            <w:vAlign w:val="center"/>
          </w:tcPr>
          <w:p w14:paraId="182FB5E9"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79626E7A"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297637D0" w14:textId="77777777" w:rsidTr="009246E8">
        <w:trPr>
          <w:trHeight w:hRule="exact" w:val="397"/>
        </w:trPr>
        <w:tc>
          <w:tcPr>
            <w:tcW w:w="1361" w:type="dxa"/>
            <w:shd w:val="clear" w:color="auto" w:fill="auto"/>
            <w:noWrap/>
            <w:vAlign w:val="center"/>
          </w:tcPr>
          <w:p w14:paraId="25CEEAE0" w14:textId="77777777" w:rsidR="00DD36F6" w:rsidRPr="005607FD" w:rsidRDefault="00DD36F6" w:rsidP="009246E8">
            <w:pPr>
              <w:jc w:val="center"/>
              <w:rPr>
                <w:b/>
                <w:bCs/>
                <w:color w:val="000000"/>
                <w:szCs w:val="22"/>
              </w:rPr>
            </w:pPr>
            <w:r w:rsidRPr="001E2D62">
              <w:rPr>
                <w:color w:val="000000"/>
                <w:szCs w:val="22"/>
              </w:rPr>
              <w:t>01/0</w:t>
            </w:r>
            <w:r>
              <w:rPr>
                <w:color w:val="000000"/>
                <w:szCs w:val="22"/>
              </w:rPr>
              <w:t>7</w:t>
            </w:r>
            <w:r w:rsidRPr="001E2D62">
              <w:rPr>
                <w:color w:val="000000"/>
                <w:szCs w:val="22"/>
              </w:rPr>
              <w:t>/20</w:t>
            </w:r>
            <w:r>
              <w:rPr>
                <w:color w:val="000000"/>
                <w:szCs w:val="22"/>
              </w:rPr>
              <w:t>11</w:t>
            </w:r>
          </w:p>
        </w:tc>
        <w:tc>
          <w:tcPr>
            <w:tcW w:w="853" w:type="dxa"/>
            <w:shd w:val="clear" w:color="auto" w:fill="auto"/>
            <w:noWrap/>
            <w:vAlign w:val="center"/>
          </w:tcPr>
          <w:p w14:paraId="0E1568A6"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665C508A"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854" w:type="dxa"/>
            <w:shd w:val="clear" w:color="auto" w:fill="auto"/>
            <w:noWrap/>
            <w:vAlign w:val="center"/>
          </w:tcPr>
          <w:p w14:paraId="7E8AACB9"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5.5</w:t>
            </w:r>
          </w:p>
        </w:tc>
        <w:tc>
          <w:tcPr>
            <w:tcW w:w="854" w:type="dxa"/>
            <w:shd w:val="clear" w:color="auto" w:fill="auto"/>
            <w:noWrap/>
            <w:vAlign w:val="center"/>
          </w:tcPr>
          <w:p w14:paraId="2911394F"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14.0</w:t>
            </w:r>
          </w:p>
        </w:tc>
        <w:tc>
          <w:tcPr>
            <w:tcW w:w="853" w:type="dxa"/>
            <w:shd w:val="clear" w:color="auto" w:fill="auto"/>
            <w:noWrap/>
            <w:vAlign w:val="center"/>
          </w:tcPr>
          <w:p w14:paraId="14D0482B"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13.0</w:t>
            </w:r>
          </w:p>
        </w:tc>
        <w:tc>
          <w:tcPr>
            <w:tcW w:w="854" w:type="dxa"/>
            <w:shd w:val="clear" w:color="auto" w:fill="auto"/>
            <w:noWrap/>
            <w:vAlign w:val="center"/>
          </w:tcPr>
          <w:p w14:paraId="156D6381"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903" w:type="dxa"/>
            <w:vAlign w:val="center"/>
          </w:tcPr>
          <w:p w14:paraId="208F0316"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6858FCD3" w14:textId="77777777" w:rsidTr="009246E8">
        <w:trPr>
          <w:trHeight w:hRule="exact" w:val="397"/>
        </w:trPr>
        <w:tc>
          <w:tcPr>
            <w:tcW w:w="1361" w:type="dxa"/>
            <w:shd w:val="clear" w:color="auto" w:fill="auto"/>
            <w:noWrap/>
            <w:vAlign w:val="center"/>
          </w:tcPr>
          <w:p w14:paraId="3747F1B7" w14:textId="77777777" w:rsidR="00DD36F6" w:rsidRPr="005607FD" w:rsidRDefault="00DD36F6" w:rsidP="009246E8">
            <w:pPr>
              <w:jc w:val="center"/>
              <w:rPr>
                <w:b/>
                <w:bCs/>
                <w:color w:val="000000"/>
                <w:szCs w:val="22"/>
              </w:rPr>
            </w:pPr>
            <w:r w:rsidRPr="001E2D62">
              <w:rPr>
                <w:color w:val="000000"/>
                <w:szCs w:val="22"/>
              </w:rPr>
              <w:t>01/0</w:t>
            </w:r>
            <w:r>
              <w:rPr>
                <w:color w:val="000000"/>
                <w:szCs w:val="22"/>
              </w:rPr>
              <w:t>1</w:t>
            </w:r>
            <w:r w:rsidRPr="001E2D62">
              <w:rPr>
                <w:color w:val="000000"/>
                <w:szCs w:val="22"/>
              </w:rPr>
              <w:t>/20</w:t>
            </w:r>
            <w:r>
              <w:rPr>
                <w:color w:val="000000"/>
                <w:szCs w:val="22"/>
              </w:rPr>
              <w:t>12</w:t>
            </w:r>
          </w:p>
        </w:tc>
        <w:tc>
          <w:tcPr>
            <w:tcW w:w="853" w:type="dxa"/>
            <w:shd w:val="clear" w:color="auto" w:fill="auto"/>
            <w:noWrap/>
            <w:vAlign w:val="center"/>
          </w:tcPr>
          <w:p w14:paraId="5E10DA70"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4798D62D"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4D5D4DDF"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5.5</w:t>
            </w:r>
          </w:p>
        </w:tc>
        <w:tc>
          <w:tcPr>
            <w:tcW w:w="854" w:type="dxa"/>
            <w:shd w:val="clear" w:color="auto" w:fill="auto"/>
            <w:noWrap/>
            <w:vAlign w:val="center"/>
          </w:tcPr>
          <w:p w14:paraId="0F812F78"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14.0</w:t>
            </w:r>
          </w:p>
        </w:tc>
        <w:tc>
          <w:tcPr>
            <w:tcW w:w="853" w:type="dxa"/>
            <w:shd w:val="clear" w:color="auto" w:fill="auto"/>
            <w:noWrap/>
            <w:vAlign w:val="center"/>
          </w:tcPr>
          <w:p w14:paraId="6A06BEB2"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18.5</w:t>
            </w:r>
          </w:p>
        </w:tc>
        <w:tc>
          <w:tcPr>
            <w:tcW w:w="854" w:type="dxa"/>
            <w:shd w:val="clear" w:color="auto" w:fill="auto"/>
            <w:noWrap/>
            <w:vAlign w:val="center"/>
          </w:tcPr>
          <w:p w14:paraId="1FCEA408"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1.0</w:t>
            </w:r>
          </w:p>
        </w:tc>
        <w:tc>
          <w:tcPr>
            <w:tcW w:w="903" w:type="dxa"/>
            <w:vAlign w:val="center"/>
          </w:tcPr>
          <w:p w14:paraId="557799ED"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0370E2B2" w14:textId="77777777" w:rsidTr="00671D4C">
        <w:trPr>
          <w:trHeight w:hRule="exact" w:val="397"/>
        </w:trPr>
        <w:tc>
          <w:tcPr>
            <w:tcW w:w="1361" w:type="dxa"/>
            <w:shd w:val="clear" w:color="auto" w:fill="auto"/>
            <w:noWrap/>
            <w:vAlign w:val="center"/>
          </w:tcPr>
          <w:p w14:paraId="38E821CA" w14:textId="77777777" w:rsidR="00DD36F6" w:rsidRPr="005607FD" w:rsidRDefault="00DD36F6" w:rsidP="009246E8">
            <w:pPr>
              <w:jc w:val="center"/>
              <w:rPr>
                <w:b/>
                <w:bCs/>
                <w:color w:val="000000"/>
                <w:szCs w:val="22"/>
              </w:rPr>
            </w:pPr>
            <w:r w:rsidRPr="001E2D62">
              <w:rPr>
                <w:color w:val="000000"/>
                <w:szCs w:val="22"/>
              </w:rPr>
              <w:t>01/0</w:t>
            </w:r>
            <w:r>
              <w:rPr>
                <w:color w:val="000000"/>
                <w:szCs w:val="22"/>
              </w:rPr>
              <w:t>7</w:t>
            </w:r>
            <w:r w:rsidRPr="001E2D62">
              <w:rPr>
                <w:color w:val="000000"/>
                <w:szCs w:val="22"/>
              </w:rPr>
              <w:t>/201</w:t>
            </w:r>
            <w:r>
              <w:rPr>
                <w:color w:val="000000"/>
                <w:szCs w:val="22"/>
              </w:rPr>
              <w:t>2</w:t>
            </w:r>
          </w:p>
        </w:tc>
        <w:tc>
          <w:tcPr>
            <w:tcW w:w="853" w:type="dxa"/>
            <w:shd w:val="clear" w:color="auto" w:fill="auto"/>
            <w:noWrap/>
            <w:vAlign w:val="center"/>
          </w:tcPr>
          <w:p w14:paraId="3C6514E1"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0CDED50E"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shd w:val="clear" w:color="auto" w:fill="auto"/>
            <w:noWrap/>
            <w:vAlign w:val="center"/>
          </w:tcPr>
          <w:p w14:paraId="5BA04157"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3.0</w:t>
            </w:r>
          </w:p>
        </w:tc>
        <w:tc>
          <w:tcPr>
            <w:tcW w:w="854" w:type="dxa"/>
            <w:shd w:val="clear" w:color="auto" w:fill="auto"/>
            <w:noWrap/>
            <w:vAlign w:val="center"/>
          </w:tcPr>
          <w:p w14:paraId="2DF79CD8"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17.0</w:t>
            </w:r>
          </w:p>
        </w:tc>
        <w:tc>
          <w:tcPr>
            <w:tcW w:w="853" w:type="dxa"/>
            <w:shd w:val="clear" w:color="auto" w:fill="auto"/>
            <w:noWrap/>
            <w:vAlign w:val="center"/>
          </w:tcPr>
          <w:p w14:paraId="0F48D613"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19.0</w:t>
            </w:r>
          </w:p>
        </w:tc>
        <w:tc>
          <w:tcPr>
            <w:tcW w:w="854" w:type="dxa"/>
            <w:shd w:val="clear" w:color="auto" w:fill="auto"/>
            <w:noWrap/>
            <w:vAlign w:val="center"/>
          </w:tcPr>
          <w:p w14:paraId="784954F1"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903" w:type="dxa"/>
            <w:vAlign w:val="center"/>
          </w:tcPr>
          <w:p w14:paraId="304C8AAD"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r w:rsidR="00DD36F6" w:rsidRPr="005607FD" w14:paraId="65488C94" w14:textId="77777777" w:rsidTr="00671D4C">
        <w:trPr>
          <w:trHeight w:hRule="exact" w:val="435"/>
        </w:trPr>
        <w:tc>
          <w:tcPr>
            <w:tcW w:w="1361" w:type="dxa"/>
            <w:tcBorders>
              <w:bottom w:val="single" w:sz="4" w:space="0" w:color="000000" w:themeColor="text1"/>
            </w:tcBorders>
            <w:shd w:val="clear" w:color="auto" w:fill="auto"/>
            <w:noWrap/>
            <w:vAlign w:val="center"/>
          </w:tcPr>
          <w:p w14:paraId="1CB583F5" w14:textId="77777777" w:rsidR="00DD36F6" w:rsidRPr="005607FD" w:rsidRDefault="00DD36F6" w:rsidP="009246E8">
            <w:pPr>
              <w:jc w:val="center"/>
              <w:rPr>
                <w:b/>
                <w:bCs/>
                <w:color w:val="000000"/>
                <w:szCs w:val="22"/>
              </w:rPr>
            </w:pPr>
            <w:r w:rsidRPr="001E2D62">
              <w:rPr>
                <w:color w:val="000000"/>
                <w:szCs w:val="22"/>
              </w:rPr>
              <w:t>01/0</w:t>
            </w:r>
            <w:r>
              <w:rPr>
                <w:color w:val="000000"/>
                <w:szCs w:val="22"/>
              </w:rPr>
              <w:t>1</w:t>
            </w:r>
            <w:r w:rsidRPr="001E2D62">
              <w:rPr>
                <w:color w:val="000000"/>
                <w:szCs w:val="22"/>
              </w:rPr>
              <w:t>/201</w:t>
            </w:r>
            <w:r>
              <w:rPr>
                <w:color w:val="000000"/>
                <w:szCs w:val="22"/>
              </w:rPr>
              <w:t>3</w:t>
            </w:r>
          </w:p>
        </w:tc>
        <w:tc>
          <w:tcPr>
            <w:tcW w:w="853" w:type="dxa"/>
            <w:tcBorders>
              <w:bottom w:val="single" w:sz="4" w:space="0" w:color="000000" w:themeColor="text1"/>
            </w:tcBorders>
            <w:shd w:val="clear" w:color="auto" w:fill="auto"/>
            <w:noWrap/>
            <w:vAlign w:val="center"/>
          </w:tcPr>
          <w:p w14:paraId="7A9417CE"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tcBorders>
              <w:bottom w:val="single" w:sz="4" w:space="0" w:color="000000" w:themeColor="text1"/>
            </w:tcBorders>
            <w:shd w:val="clear" w:color="auto" w:fill="auto"/>
            <w:noWrap/>
            <w:vAlign w:val="center"/>
          </w:tcPr>
          <w:p w14:paraId="1E6236D2" w14:textId="77777777" w:rsidR="00DD36F6" w:rsidRPr="00671D4C" w:rsidRDefault="00DD36F6" w:rsidP="009246E8">
            <w:pPr>
              <w:jc w:val="center"/>
              <w:rPr>
                <w:rFonts w:ascii="Arial" w:hAnsi="Arial" w:cs="Arial"/>
                <w:b/>
                <w:bCs/>
                <w:color w:val="000000"/>
                <w:sz w:val="20"/>
                <w:szCs w:val="20"/>
              </w:rPr>
            </w:pPr>
            <w:r w:rsidRPr="00671D4C">
              <w:rPr>
                <w:rFonts w:ascii="Arial" w:hAnsi="Arial" w:cs="Arial"/>
                <w:bCs/>
                <w:color w:val="000000"/>
                <w:sz w:val="20"/>
                <w:szCs w:val="20"/>
              </w:rPr>
              <w:t>0.0</w:t>
            </w:r>
          </w:p>
        </w:tc>
        <w:tc>
          <w:tcPr>
            <w:tcW w:w="854" w:type="dxa"/>
            <w:tcBorders>
              <w:bottom w:val="single" w:sz="4" w:space="0" w:color="000000" w:themeColor="text1"/>
            </w:tcBorders>
            <w:shd w:val="clear" w:color="auto" w:fill="auto"/>
            <w:noWrap/>
            <w:vAlign w:val="center"/>
          </w:tcPr>
          <w:p w14:paraId="38DDC8DE"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5.0</w:t>
            </w:r>
          </w:p>
        </w:tc>
        <w:tc>
          <w:tcPr>
            <w:tcW w:w="854" w:type="dxa"/>
            <w:tcBorders>
              <w:bottom w:val="single" w:sz="4" w:space="0" w:color="000000" w:themeColor="text1"/>
            </w:tcBorders>
            <w:shd w:val="clear" w:color="auto" w:fill="auto"/>
            <w:noWrap/>
            <w:vAlign w:val="center"/>
          </w:tcPr>
          <w:p w14:paraId="2F6FB76E"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18.5</w:t>
            </w:r>
          </w:p>
        </w:tc>
        <w:tc>
          <w:tcPr>
            <w:tcW w:w="853" w:type="dxa"/>
            <w:tcBorders>
              <w:bottom w:val="single" w:sz="4" w:space="0" w:color="000000" w:themeColor="text1"/>
            </w:tcBorders>
            <w:shd w:val="clear" w:color="auto" w:fill="auto"/>
            <w:noWrap/>
            <w:vAlign w:val="center"/>
          </w:tcPr>
          <w:p w14:paraId="6BDCB513"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24.0</w:t>
            </w:r>
          </w:p>
        </w:tc>
        <w:tc>
          <w:tcPr>
            <w:tcW w:w="854" w:type="dxa"/>
            <w:tcBorders>
              <w:bottom w:val="single" w:sz="4" w:space="0" w:color="000000" w:themeColor="text1"/>
            </w:tcBorders>
            <w:shd w:val="clear" w:color="auto" w:fill="auto"/>
            <w:noWrap/>
            <w:vAlign w:val="center"/>
          </w:tcPr>
          <w:p w14:paraId="0D1B8A00" w14:textId="77777777" w:rsidR="00DD36F6" w:rsidRPr="00671D4C" w:rsidRDefault="00DD36F6" w:rsidP="009246E8">
            <w:pPr>
              <w:jc w:val="center"/>
              <w:rPr>
                <w:rFonts w:ascii="Arial" w:hAnsi="Arial" w:cs="Arial"/>
                <w:b/>
                <w:bCs/>
                <w:color w:val="000000"/>
                <w:sz w:val="20"/>
                <w:szCs w:val="20"/>
              </w:rPr>
            </w:pPr>
            <w:r w:rsidRPr="00DD36F6">
              <w:rPr>
                <w:rFonts w:ascii="Arial" w:eastAsia="Times New Roman" w:hAnsi="Arial" w:cs="Arial"/>
                <w:color w:val="000000"/>
                <w:sz w:val="20"/>
                <w:szCs w:val="20"/>
                <w:lang w:eastAsia="en-GB"/>
              </w:rPr>
              <w:t>0.5</w:t>
            </w:r>
          </w:p>
        </w:tc>
        <w:tc>
          <w:tcPr>
            <w:tcW w:w="903" w:type="dxa"/>
            <w:tcBorders>
              <w:bottom w:val="single" w:sz="4" w:space="0" w:color="000000" w:themeColor="text1"/>
            </w:tcBorders>
            <w:vAlign w:val="center"/>
          </w:tcPr>
          <w:p w14:paraId="7489CB48" w14:textId="77777777" w:rsidR="00DD36F6" w:rsidRPr="00671D4C" w:rsidRDefault="00DD36F6" w:rsidP="009246E8">
            <w:pPr>
              <w:jc w:val="center"/>
              <w:rPr>
                <w:rFonts w:ascii="Arial" w:hAnsi="Arial" w:cs="Arial"/>
                <w:b/>
                <w:color w:val="000000"/>
                <w:sz w:val="20"/>
                <w:szCs w:val="20"/>
              </w:rPr>
            </w:pPr>
            <w:r w:rsidRPr="00671D4C">
              <w:rPr>
                <w:rFonts w:ascii="Arial" w:hAnsi="Arial" w:cs="Arial"/>
                <w:bCs/>
                <w:color w:val="000000"/>
                <w:sz w:val="20"/>
                <w:szCs w:val="20"/>
              </w:rPr>
              <w:t>0.0</w:t>
            </w:r>
          </w:p>
        </w:tc>
      </w:tr>
    </w:tbl>
    <w:p w14:paraId="2B45FAAF" w14:textId="77777777" w:rsidR="00566FC0" w:rsidRDefault="00175032" w:rsidP="00B17160">
      <w:pPr>
        <w:pStyle w:val="FootnoteText"/>
      </w:pPr>
      <w:bookmarkStart w:id="8" w:name="_Ref384828134"/>
      <w:r>
        <w:t xml:space="preserve">Source: </w:t>
      </w:r>
      <w:r w:rsidR="00186110" w:rsidRPr="00B43366">
        <w:t xml:space="preserve">Joint Committee </w:t>
      </w:r>
      <w:r w:rsidR="00186110">
        <w:t>calculations based on CERE</w:t>
      </w:r>
      <w:r w:rsidR="00566FC0">
        <w:t>P.</w:t>
      </w:r>
    </w:p>
    <w:p w14:paraId="36AEDB26" w14:textId="77777777" w:rsidR="00566FC0" w:rsidRDefault="00566FC0" w:rsidP="00B17160">
      <w:pPr>
        <w:pStyle w:val="FootnoteText"/>
      </w:pPr>
    </w:p>
    <w:p w14:paraId="6D1A16E5" w14:textId="77777777" w:rsidR="00566FC0" w:rsidRDefault="00566FC0" w:rsidP="00B17160">
      <w:pPr>
        <w:pStyle w:val="FootnoteText"/>
      </w:pPr>
    </w:p>
    <w:p w14:paraId="1CED4415" w14:textId="77777777" w:rsidR="000F766A" w:rsidRDefault="000F766A" w:rsidP="00B17160">
      <w:pPr>
        <w:pStyle w:val="FootnoteText"/>
      </w:pPr>
      <w:r>
        <w:br w:type="page"/>
      </w:r>
    </w:p>
    <w:p w14:paraId="55599AE4" w14:textId="4F0166B6" w:rsidR="008E4A6D" w:rsidRDefault="0041788D" w:rsidP="00B17160">
      <w:pPr>
        <w:pStyle w:val="Figuretitle"/>
      </w:pPr>
      <w:bookmarkStart w:id="9" w:name="_Ref390263044"/>
      <w:r w:rsidRPr="0041788D">
        <w:rPr>
          <w:szCs w:val="22"/>
        </w:rPr>
        <w:lastRenderedPageBreak/>
        <w:t xml:space="preserve">Figure </w:t>
      </w:r>
      <w:bookmarkEnd w:id="8"/>
      <w:bookmarkEnd w:id="9"/>
      <w:r w:rsidR="00473F19">
        <w:rPr>
          <w:szCs w:val="22"/>
        </w:rPr>
        <w:t>7</w:t>
      </w:r>
      <w:r w:rsidR="00C45D4A">
        <w:t>:</w:t>
      </w:r>
      <w:r w:rsidR="008E4A6D">
        <w:t xml:space="preserve"> </w:t>
      </w:r>
      <w:r w:rsidR="008A12E8">
        <w:t>Number of defaulted rated items</w:t>
      </w:r>
    </w:p>
    <w:p w14:paraId="6997FEAF" w14:textId="77777777" w:rsidR="00DD36F6" w:rsidRPr="00802A1F" w:rsidRDefault="00DD36F6" w:rsidP="00671D4C"/>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DD36F6" w:rsidRPr="00DD36F6" w14:paraId="248B153F" w14:textId="77777777" w:rsidTr="00671D4C">
        <w:trPr>
          <w:trHeight w:val="300"/>
        </w:trPr>
        <w:tc>
          <w:tcPr>
            <w:tcW w:w="1361" w:type="dxa"/>
            <w:tcBorders>
              <w:bottom w:val="single" w:sz="18" w:space="0" w:color="E98E31" w:themeColor="background2"/>
            </w:tcBorders>
            <w:shd w:val="clear" w:color="auto" w:fill="auto"/>
            <w:noWrap/>
            <w:vAlign w:val="center"/>
          </w:tcPr>
          <w:p w14:paraId="071261F5" w14:textId="77777777" w:rsidR="00DD36F6" w:rsidRPr="00671D4C" w:rsidRDefault="00DD36F6" w:rsidP="009246E8">
            <w:pPr>
              <w:jc w:val="center"/>
              <w:rPr>
                <w:b/>
                <w:color w:val="000000"/>
                <w:szCs w:val="22"/>
              </w:rPr>
            </w:pPr>
            <w:r w:rsidRPr="00671D4C">
              <w:rPr>
                <w:b/>
                <w:color w:val="000000"/>
                <w:szCs w:val="22"/>
              </w:rPr>
              <w:t>Date</w:t>
            </w:r>
          </w:p>
        </w:tc>
        <w:tc>
          <w:tcPr>
            <w:tcW w:w="853" w:type="dxa"/>
            <w:tcBorders>
              <w:bottom w:val="single" w:sz="18" w:space="0" w:color="E98E31" w:themeColor="background2"/>
            </w:tcBorders>
            <w:shd w:val="clear" w:color="auto" w:fill="auto"/>
            <w:noWrap/>
            <w:vAlign w:val="center"/>
          </w:tcPr>
          <w:p w14:paraId="6744BA6F" w14:textId="77777777" w:rsidR="00DD36F6" w:rsidRPr="00671D4C" w:rsidRDefault="00DD36F6" w:rsidP="009246E8">
            <w:pPr>
              <w:jc w:val="center"/>
              <w:rPr>
                <w:b/>
                <w:color w:val="000000"/>
                <w:szCs w:val="22"/>
              </w:rPr>
            </w:pPr>
            <w:r w:rsidRPr="00671D4C">
              <w:rPr>
                <w:b/>
                <w:color w:val="000000"/>
                <w:szCs w:val="22"/>
              </w:rPr>
              <w:t>AAA</w:t>
            </w:r>
          </w:p>
        </w:tc>
        <w:tc>
          <w:tcPr>
            <w:tcW w:w="854" w:type="dxa"/>
            <w:tcBorders>
              <w:bottom w:val="single" w:sz="18" w:space="0" w:color="E98E31" w:themeColor="background2"/>
            </w:tcBorders>
            <w:shd w:val="clear" w:color="auto" w:fill="auto"/>
            <w:noWrap/>
            <w:vAlign w:val="center"/>
          </w:tcPr>
          <w:p w14:paraId="52B12AA3" w14:textId="77777777" w:rsidR="00DD36F6" w:rsidRPr="00671D4C" w:rsidRDefault="00DD36F6" w:rsidP="009246E8">
            <w:pPr>
              <w:jc w:val="center"/>
              <w:rPr>
                <w:b/>
                <w:color w:val="000000"/>
                <w:szCs w:val="22"/>
              </w:rPr>
            </w:pPr>
            <w:r w:rsidRPr="00671D4C">
              <w:rPr>
                <w:b/>
                <w:color w:val="000000"/>
                <w:szCs w:val="22"/>
              </w:rPr>
              <w:t>AA</w:t>
            </w:r>
          </w:p>
        </w:tc>
        <w:tc>
          <w:tcPr>
            <w:tcW w:w="854" w:type="dxa"/>
            <w:tcBorders>
              <w:bottom w:val="single" w:sz="18" w:space="0" w:color="E98E31" w:themeColor="background2"/>
            </w:tcBorders>
            <w:shd w:val="clear" w:color="auto" w:fill="auto"/>
            <w:noWrap/>
            <w:vAlign w:val="center"/>
          </w:tcPr>
          <w:p w14:paraId="71BD81C8" w14:textId="77777777" w:rsidR="00DD36F6" w:rsidRPr="00671D4C" w:rsidRDefault="00DD36F6" w:rsidP="009246E8">
            <w:pPr>
              <w:jc w:val="center"/>
              <w:rPr>
                <w:rFonts w:ascii="Calibri" w:hAnsi="Calibri"/>
                <w:b/>
                <w:color w:val="000000"/>
                <w:szCs w:val="22"/>
              </w:rPr>
            </w:pPr>
            <w:r w:rsidRPr="00671D4C">
              <w:rPr>
                <w:rFonts w:ascii="Calibri" w:hAnsi="Calibri"/>
                <w:b/>
                <w:color w:val="000000"/>
                <w:szCs w:val="22"/>
              </w:rPr>
              <w:t>A</w:t>
            </w:r>
          </w:p>
        </w:tc>
        <w:tc>
          <w:tcPr>
            <w:tcW w:w="854" w:type="dxa"/>
            <w:tcBorders>
              <w:bottom w:val="single" w:sz="18" w:space="0" w:color="E98E31" w:themeColor="background2"/>
            </w:tcBorders>
            <w:shd w:val="clear" w:color="auto" w:fill="auto"/>
            <w:noWrap/>
            <w:vAlign w:val="center"/>
          </w:tcPr>
          <w:p w14:paraId="0E28DC4E" w14:textId="77777777" w:rsidR="00DD36F6" w:rsidRPr="00671D4C" w:rsidRDefault="00DD36F6" w:rsidP="009246E8">
            <w:pPr>
              <w:jc w:val="center"/>
              <w:rPr>
                <w:b/>
                <w:color w:val="000000"/>
                <w:szCs w:val="22"/>
              </w:rPr>
            </w:pPr>
            <w:r w:rsidRPr="00671D4C">
              <w:rPr>
                <w:b/>
                <w:color w:val="000000"/>
                <w:szCs w:val="22"/>
              </w:rPr>
              <w:t>BBB</w:t>
            </w:r>
          </w:p>
        </w:tc>
        <w:tc>
          <w:tcPr>
            <w:tcW w:w="853" w:type="dxa"/>
            <w:tcBorders>
              <w:bottom w:val="single" w:sz="18" w:space="0" w:color="E98E31" w:themeColor="background2"/>
            </w:tcBorders>
            <w:shd w:val="clear" w:color="auto" w:fill="auto"/>
            <w:noWrap/>
            <w:vAlign w:val="center"/>
          </w:tcPr>
          <w:p w14:paraId="50985F8C" w14:textId="77777777" w:rsidR="00DD36F6" w:rsidRPr="00671D4C" w:rsidRDefault="00DD36F6" w:rsidP="009246E8">
            <w:pPr>
              <w:jc w:val="center"/>
              <w:rPr>
                <w:b/>
                <w:color w:val="000000"/>
                <w:szCs w:val="22"/>
              </w:rPr>
            </w:pPr>
            <w:r w:rsidRPr="00671D4C">
              <w:rPr>
                <w:b/>
                <w:color w:val="000000"/>
                <w:szCs w:val="22"/>
              </w:rPr>
              <w:t>BB</w:t>
            </w:r>
          </w:p>
        </w:tc>
        <w:tc>
          <w:tcPr>
            <w:tcW w:w="854" w:type="dxa"/>
            <w:tcBorders>
              <w:bottom w:val="single" w:sz="18" w:space="0" w:color="E98E31" w:themeColor="background2"/>
            </w:tcBorders>
            <w:shd w:val="clear" w:color="auto" w:fill="auto"/>
            <w:noWrap/>
            <w:vAlign w:val="center"/>
          </w:tcPr>
          <w:p w14:paraId="00965515" w14:textId="77777777" w:rsidR="00DD36F6" w:rsidRPr="00671D4C" w:rsidRDefault="00DD36F6" w:rsidP="009246E8">
            <w:pPr>
              <w:jc w:val="center"/>
              <w:rPr>
                <w:b/>
                <w:color w:val="000000"/>
                <w:szCs w:val="22"/>
              </w:rPr>
            </w:pPr>
            <w:r w:rsidRPr="00671D4C">
              <w:rPr>
                <w:b/>
                <w:color w:val="000000"/>
                <w:szCs w:val="22"/>
              </w:rPr>
              <w:t>B</w:t>
            </w:r>
          </w:p>
        </w:tc>
        <w:tc>
          <w:tcPr>
            <w:tcW w:w="903" w:type="dxa"/>
            <w:tcBorders>
              <w:bottom w:val="single" w:sz="18" w:space="0" w:color="E98E31" w:themeColor="background2"/>
            </w:tcBorders>
            <w:vAlign w:val="center"/>
          </w:tcPr>
          <w:p w14:paraId="224AA43A" w14:textId="77777777" w:rsidR="00DD36F6" w:rsidRPr="00671D4C" w:rsidRDefault="00DD36F6" w:rsidP="009246E8">
            <w:pPr>
              <w:jc w:val="center"/>
              <w:rPr>
                <w:b/>
                <w:color w:val="000000"/>
                <w:szCs w:val="22"/>
              </w:rPr>
            </w:pPr>
            <w:r w:rsidRPr="00671D4C">
              <w:rPr>
                <w:b/>
                <w:color w:val="000000"/>
                <w:szCs w:val="22"/>
              </w:rPr>
              <w:t>C</w:t>
            </w:r>
          </w:p>
        </w:tc>
      </w:tr>
      <w:tr w:rsidR="00DD36F6" w:rsidRPr="005607FD" w14:paraId="359AF6BE" w14:textId="77777777" w:rsidTr="00671D4C">
        <w:trPr>
          <w:trHeight w:hRule="exact" w:val="397"/>
        </w:trPr>
        <w:tc>
          <w:tcPr>
            <w:tcW w:w="1361" w:type="dxa"/>
            <w:tcBorders>
              <w:top w:val="single" w:sz="18" w:space="0" w:color="E98E31" w:themeColor="background2"/>
            </w:tcBorders>
            <w:shd w:val="clear" w:color="auto" w:fill="auto"/>
            <w:noWrap/>
            <w:vAlign w:val="center"/>
          </w:tcPr>
          <w:p w14:paraId="06BADE81" w14:textId="77777777" w:rsidR="00DD36F6" w:rsidRPr="00DD36F6" w:rsidRDefault="00DD36F6" w:rsidP="009246E8">
            <w:pPr>
              <w:jc w:val="center"/>
              <w:rPr>
                <w:color w:val="000000"/>
                <w:szCs w:val="22"/>
              </w:rPr>
            </w:pPr>
            <w:r w:rsidRPr="001E2D62">
              <w:rPr>
                <w:color w:val="000000"/>
                <w:szCs w:val="22"/>
              </w:rPr>
              <w:t>01/01/2001</w:t>
            </w:r>
          </w:p>
        </w:tc>
        <w:tc>
          <w:tcPr>
            <w:tcW w:w="853" w:type="dxa"/>
            <w:tcBorders>
              <w:top w:val="single" w:sz="18" w:space="0" w:color="E98E31" w:themeColor="background2"/>
            </w:tcBorders>
            <w:shd w:val="clear" w:color="auto" w:fill="auto"/>
            <w:noWrap/>
            <w:vAlign w:val="center"/>
          </w:tcPr>
          <w:p w14:paraId="49F6B711"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18D9F23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7C2DDA7B"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06238AD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tcBorders>
              <w:top w:val="single" w:sz="18" w:space="0" w:color="E98E31" w:themeColor="background2"/>
            </w:tcBorders>
            <w:shd w:val="clear" w:color="auto" w:fill="auto"/>
            <w:noWrap/>
            <w:vAlign w:val="center"/>
          </w:tcPr>
          <w:p w14:paraId="1C92DC3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tcBorders>
              <w:top w:val="single" w:sz="18" w:space="0" w:color="E98E31" w:themeColor="background2"/>
            </w:tcBorders>
            <w:shd w:val="clear" w:color="auto" w:fill="auto"/>
            <w:noWrap/>
            <w:vAlign w:val="center"/>
          </w:tcPr>
          <w:p w14:paraId="4917BA1F"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tcBorders>
              <w:top w:val="single" w:sz="18" w:space="0" w:color="E98E31" w:themeColor="background2"/>
            </w:tcBorders>
            <w:vAlign w:val="center"/>
          </w:tcPr>
          <w:p w14:paraId="2E4C065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4BE19A5B" w14:textId="77777777" w:rsidTr="00671D4C">
        <w:trPr>
          <w:trHeight w:hRule="exact" w:val="397"/>
        </w:trPr>
        <w:tc>
          <w:tcPr>
            <w:tcW w:w="1361" w:type="dxa"/>
            <w:shd w:val="clear" w:color="auto" w:fill="auto"/>
            <w:noWrap/>
            <w:vAlign w:val="center"/>
          </w:tcPr>
          <w:p w14:paraId="14F89C09" w14:textId="77777777" w:rsidR="00DD36F6" w:rsidRPr="00DD36F6" w:rsidRDefault="00DD36F6" w:rsidP="009246E8">
            <w:pPr>
              <w:jc w:val="center"/>
              <w:rPr>
                <w:color w:val="000000"/>
                <w:szCs w:val="22"/>
              </w:rPr>
            </w:pPr>
            <w:r w:rsidRPr="001E2D62">
              <w:rPr>
                <w:color w:val="000000"/>
                <w:szCs w:val="22"/>
              </w:rPr>
              <w:t>01/07/2001</w:t>
            </w:r>
          </w:p>
        </w:tc>
        <w:tc>
          <w:tcPr>
            <w:tcW w:w="853" w:type="dxa"/>
            <w:shd w:val="clear" w:color="auto" w:fill="auto"/>
            <w:noWrap/>
            <w:vAlign w:val="center"/>
          </w:tcPr>
          <w:p w14:paraId="2086C3E9"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D1695C9"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167D3F8D"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DFBBDB1"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1DA9155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7AA506A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27FDBA5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224FDF3E" w14:textId="77777777" w:rsidTr="00671D4C">
        <w:trPr>
          <w:trHeight w:hRule="exact" w:val="397"/>
        </w:trPr>
        <w:tc>
          <w:tcPr>
            <w:tcW w:w="1361" w:type="dxa"/>
            <w:shd w:val="clear" w:color="auto" w:fill="auto"/>
            <w:noWrap/>
            <w:vAlign w:val="center"/>
          </w:tcPr>
          <w:p w14:paraId="28EB623D" w14:textId="77777777" w:rsidR="00DD36F6" w:rsidRPr="00DD36F6" w:rsidRDefault="00DD36F6" w:rsidP="009246E8">
            <w:pPr>
              <w:jc w:val="center"/>
              <w:rPr>
                <w:color w:val="000000"/>
                <w:szCs w:val="22"/>
              </w:rPr>
            </w:pPr>
            <w:r w:rsidRPr="001E2D62">
              <w:rPr>
                <w:color w:val="000000"/>
                <w:szCs w:val="22"/>
              </w:rPr>
              <w:t>01/01/2002</w:t>
            </w:r>
          </w:p>
        </w:tc>
        <w:tc>
          <w:tcPr>
            <w:tcW w:w="853" w:type="dxa"/>
            <w:shd w:val="clear" w:color="auto" w:fill="auto"/>
            <w:noWrap/>
            <w:vAlign w:val="center"/>
          </w:tcPr>
          <w:p w14:paraId="6924751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6AC85F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139B23D4"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41BA351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1F945CC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19B6E29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1820184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62BA0FDF" w14:textId="77777777" w:rsidTr="00671D4C">
        <w:trPr>
          <w:trHeight w:hRule="exact" w:val="397"/>
        </w:trPr>
        <w:tc>
          <w:tcPr>
            <w:tcW w:w="1361" w:type="dxa"/>
            <w:shd w:val="clear" w:color="auto" w:fill="auto"/>
            <w:noWrap/>
            <w:vAlign w:val="center"/>
          </w:tcPr>
          <w:p w14:paraId="6D340EA2" w14:textId="77777777" w:rsidR="00DD36F6" w:rsidRPr="00DD36F6" w:rsidRDefault="00DD36F6" w:rsidP="009246E8">
            <w:pPr>
              <w:jc w:val="center"/>
              <w:rPr>
                <w:color w:val="000000"/>
                <w:szCs w:val="22"/>
              </w:rPr>
            </w:pPr>
            <w:r w:rsidRPr="001E2D62">
              <w:rPr>
                <w:color w:val="000000"/>
                <w:szCs w:val="22"/>
              </w:rPr>
              <w:t>01/01/2003</w:t>
            </w:r>
          </w:p>
        </w:tc>
        <w:tc>
          <w:tcPr>
            <w:tcW w:w="853" w:type="dxa"/>
            <w:shd w:val="clear" w:color="auto" w:fill="auto"/>
            <w:noWrap/>
            <w:vAlign w:val="center"/>
          </w:tcPr>
          <w:p w14:paraId="01225724"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1D759DFA"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443A4581"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0A89485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4FA9AF2A"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BB1AB8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2A0D7E7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4C19E27A" w14:textId="77777777" w:rsidTr="00671D4C">
        <w:trPr>
          <w:trHeight w:hRule="exact" w:val="397"/>
        </w:trPr>
        <w:tc>
          <w:tcPr>
            <w:tcW w:w="1361" w:type="dxa"/>
            <w:shd w:val="clear" w:color="auto" w:fill="auto"/>
            <w:noWrap/>
            <w:vAlign w:val="center"/>
          </w:tcPr>
          <w:p w14:paraId="16FFBA07" w14:textId="77777777" w:rsidR="00DD36F6" w:rsidRPr="00DD36F6" w:rsidRDefault="00DD36F6" w:rsidP="009246E8">
            <w:pPr>
              <w:jc w:val="center"/>
              <w:rPr>
                <w:color w:val="000000"/>
                <w:szCs w:val="22"/>
              </w:rPr>
            </w:pPr>
            <w:r w:rsidRPr="001E2D62">
              <w:rPr>
                <w:color w:val="000000"/>
                <w:szCs w:val="22"/>
              </w:rPr>
              <w:t>01/07/2003</w:t>
            </w:r>
          </w:p>
        </w:tc>
        <w:tc>
          <w:tcPr>
            <w:tcW w:w="853" w:type="dxa"/>
            <w:shd w:val="clear" w:color="auto" w:fill="auto"/>
            <w:noWrap/>
            <w:vAlign w:val="center"/>
          </w:tcPr>
          <w:p w14:paraId="6B90541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1AF7D7DF"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12138E4"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290431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536BA9E4"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461816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0BAECDC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3F0F0BA4" w14:textId="77777777" w:rsidTr="00671D4C">
        <w:trPr>
          <w:trHeight w:hRule="exact" w:val="397"/>
        </w:trPr>
        <w:tc>
          <w:tcPr>
            <w:tcW w:w="1361" w:type="dxa"/>
            <w:shd w:val="clear" w:color="auto" w:fill="auto"/>
            <w:noWrap/>
            <w:vAlign w:val="center"/>
          </w:tcPr>
          <w:p w14:paraId="18123438" w14:textId="77777777" w:rsidR="00DD36F6" w:rsidRPr="00DD36F6" w:rsidRDefault="00DD36F6" w:rsidP="009246E8">
            <w:pPr>
              <w:jc w:val="center"/>
              <w:rPr>
                <w:color w:val="000000"/>
                <w:szCs w:val="22"/>
              </w:rPr>
            </w:pPr>
            <w:r w:rsidRPr="001E2D62">
              <w:rPr>
                <w:color w:val="000000"/>
                <w:szCs w:val="22"/>
              </w:rPr>
              <w:t>01/01/2004</w:t>
            </w:r>
          </w:p>
        </w:tc>
        <w:tc>
          <w:tcPr>
            <w:tcW w:w="853" w:type="dxa"/>
            <w:shd w:val="clear" w:color="auto" w:fill="auto"/>
            <w:noWrap/>
            <w:vAlign w:val="center"/>
          </w:tcPr>
          <w:p w14:paraId="0D6A104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8FF35A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1BA3AE9"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072BE0E"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5CF20EE1"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4D31A7E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050229E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2D02CCC1" w14:textId="77777777" w:rsidTr="00671D4C">
        <w:trPr>
          <w:trHeight w:hRule="exact" w:val="397"/>
        </w:trPr>
        <w:tc>
          <w:tcPr>
            <w:tcW w:w="1361" w:type="dxa"/>
            <w:shd w:val="clear" w:color="auto" w:fill="auto"/>
            <w:noWrap/>
            <w:vAlign w:val="center"/>
          </w:tcPr>
          <w:p w14:paraId="3F3E624D" w14:textId="77777777" w:rsidR="00DD36F6" w:rsidRPr="00DD36F6" w:rsidRDefault="00DD36F6" w:rsidP="009246E8">
            <w:pPr>
              <w:jc w:val="center"/>
              <w:rPr>
                <w:color w:val="000000"/>
                <w:szCs w:val="22"/>
              </w:rPr>
            </w:pPr>
            <w:r w:rsidRPr="001E2D62">
              <w:rPr>
                <w:color w:val="000000"/>
                <w:szCs w:val="22"/>
              </w:rPr>
              <w:t>01/07/2004</w:t>
            </w:r>
          </w:p>
        </w:tc>
        <w:tc>
          <w:tcPr>
            <w:tcW w:w="853" w:type="dxa"/>
            <w:shd w:val="clear" w:color="auto" w:fill="auto"/>
            <w:noWrap/>
            <w:vAlign w:val="center"/>
          </w:tcPr>
          <w:p w14:paraId="574E080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795D4A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7A0BA650"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2BF84C3E"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6F919FB1"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40A839D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10BFE6B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5D239361" w14:textId="77777777" w:rsidTr="00671D4C">
        <w:trPr>
          <w:trHeight w:hRule="exact" w:val="397"/>
        </w:trPr>
        <w:tc>
          <w:tcPr>
            <w:tcW w:w="1361" w:type="dxa"/>
            <w:shd w:val="clear" w:color="auto" w:fill="auto"/>
            <w:noWrap/>
            <w:vAlign w:val="center"/>
          </w:tcPr>
          <w:p w14:paraId="5F75CC85" w14:textId="77777777" w:rsidR="00DD36F6" w:rsidRPr="00DD36F6" w:rsidRDefault="00DD36F6" w:rsidP="009246E8">
            <w:pPr>
              <w:jc w:val="center"/>
              <w:rPr>
                <w:color w:val="000000"/>
                <w:szCs w:val="22"/>
              </w:rPr>
            </w:pPr>
            <w:r w:rsidRPr="001E2D62">
              <w:rPr>
                <w:color w:val="000000"/>
                <w:szCs w:val="22"/>
              </w:rPr>
              <w:t>01/01/2005</w:t>
            </w:r>
          </w:p>
        </w:tc>
        <w:tc>
          <w:tcPr>
            <w:tcW w:w="853" w:type="dxa"/>
            <w:shd w:val="clear" w:color="auto" w:fill="auto"/>
            <w:noWrap/>
            <w:vAlign w:val="center"/>
          </w:tcPr>
          <w:p w14:paraId="4534044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7795CCB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48DBAB60"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2E4A578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750C5464"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750E80A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486B72E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296F4720" w14:textId="77777777" w:rsidTr="00671D4C">
        <w:trPr>
          <w:trHeight w:hRule="exact" w:val="397"/>
        </w:trPr>
        <w:tc>
          <w:tcPr>
            <w:tcW w:w="1361" w:type="dxa"/>
            <w:shd w:val="clear" w:color="auto" w:fill="auto"/>
            <w:noWrap/>
            <w:vAlign w:val="center"/>
          </w:tcPr>
          <w:p w14:paraId="38D9E86D" w14:textId="77777777" w:rsidR="00DD36F6" w:rsidRPr="00DD36F6" w:rsidRDefault="00DD36F6" w:rsidP="009246E8">
            <w:pPr>
              <w:jc w:val="center"/>
              <w:rPr>
                <w:color w:val="000000"/>
                <w:szCs w:val="22"/>
              </w:rPr>
            </w:pPr>
            <w:r w:rsidRPr="001E2D62">
              <w:rPr>
                <w:color w:val="000000"/>
                <w:szCs w:val="22"/>
              </w:rPr>
              <w:t>01/07/2005</w:t>
            </w:r>
          </w:p>
        </w:tc>
        <w:tc>
          <w:tcPr>
            <w:tcW w:w="853" w:type="dxa"/>
            <w:shd w:val="clear" w:color="auto" w:fill="auto"/>
            <w:noWrap/>
            <w:vAlign w:val="center"/>
          </w:tcPr>
          <w:p w14:paraId="1AB65E9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156804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4E84B01C"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3650D7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66C292A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18002C1"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36F67EE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24FB500B" w14:textId="77777777" w:rsidTr="00671D4C">
        <w:trPr>
          <w:trHeight w:hRule="exact" w:val="397"/>
        </w:trPr>
        <w:tc>
          <w:tcPr>
            <w:tcW w:w="1361" w:type="dxa"/>
            <w:shd w:val="clear" w:color="auto" w:fill="auto"/>
            <w:noWrap/>
            <w:vAlign w:val="center"/>
          </w:tcPr>
          <w:p w14:paraId="2D085CFC" w14:textId="77777777" w:rsidR="00DD36F6" w:rsidRPr="00DD36F6" w:rsidRDefault="00DD36F6" w:rsidP="009246E8">
            <w:pPr>
              <w:jc w:val="center"/>
              <w:rPr>
                <w:color w:val="000000"/>
                <w:szCs w:val="22"/>
              </w:rPr>
            </w:pPr>
            <w:r w:rsidRPr="001E2D62">
              <w:rPr>
                <w:color w:val="000000"/>
                <w:szCs w:val="22"/>
              </w:rPr>
              <w:t>01/01/2006</w:t>
            </w:r>
          </w:p>
        </w:tc>
        <w:tc>
          <w:tcPr>
            <w:tcW w:w="853" w:type="dxa"/>
            <w:shd w:val="clear" w:color="auto" w:fill="auto"/>
            <w:noWrap/>
            <w:vAlign w:val="center"/>
          </w:tcPr>
          <w:p w14:paraId="34E3F88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28C229B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BC7F135"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007D44EA"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60C9837F"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2DC68BB6"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34EA8BA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4BC5A8F1" w14:textId="77777777" w:rsidTr="00671D4C">
        <w:trPr>
          <w:trHeight w:hRule="exact" w:val="397"/>
        </w:trPr>
        <w:tc>
          <w:tcPr>
            <w:tcW w:w="1361" w:type="dxa"/>
            <w:shd w:val="clear" w:color="auto" w:fill="auto"/>
            <w:noWrap/>
            <w:vAlign w:val="center"/>
          </w:tcPr>
          <w:p w14:paraId="583A8472" w14:textId="77777777" w:rsidR="00DD36F6" w:rsidRPr="00DD36F6" w:rsidRDefault="00DD36F6" w:rsidP="009246E8">
            <w:pPr>
              <w:jc w:val="center"/>
              <w:rPr>
                <w:color w:val="000000"/>
                <w:szCs w:val="22"/>
              </w:rPr>
            </w:pPr>
            <w:r w:rsidRPr="001E2D62">
              <w:rPr>
                <w:color w:val="000000"/>
                <w:szCs w:val="22"/>
              </w:rPr>
              <w:t>01/07/2006</w:t>
            </w:r>
          </w:p>
        </w:tc>
        <w:tc>
          <w:tcPr>
            <w:tcW w:w="853" w:type="dxa"/>
            <w:shd w:val="clear" w:color="auto" w:fill="auto"/>
            <w:noWrap/>
            <w:vAlign w:val="center"/>
          </w:tcPr>
          <w:p w14:paraId="57F7EA1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CDB9A84"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FC39BF5"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E42F65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29F08C6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0C47BC8A"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3718C18A"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2CB18FC4" w14:textId="77777777" w:rsidTr="00671D4C">
        <w:trPr>
          <w:trHeight w:hRule="exact" w:val="397"/>
        </w:trPr>
        <w:tc>
          <w:tcPr>
            <w:tcW w:w="1361" w:type="dxa"/>
            <w:shd w:val="clear" w:color="auto" w:fill="auto"/>
            <w:noWrap/>
            <w:vAlign w:val="center"/>
          </w:tcPr>
          <w:p w14:paraId="78EF0F45" w14:textId="77777777" w:rsidR="00DD36F6" w:rsidRPr="00DD36F6" w:rsidRDefault="00DD36F6" w:rsidP="009246E8">
            <w:pPr>
              <w:jc w:val="center"/>
              <w:rPr>
                <w:color w:val="000000"/>
                <w:szCs w:val="22"/>
              </w:rPr>
            </w:pPr>
            <w:r w:rsidRPr="001E2D62">
              <w:rPr>
                <w:color w:val="000000"/>
                <w:szCs w:val="22"/>
              </w:rPr>
              <w:t>01/01/2007</w:t>
            </w:r>
          </w:p>
        </w:tc>
        <w:tc>
          <w:tcPr>
            <w:tcW w:w="853" w:type="dxa"/>
            <w:shd w:val="clear" w:color="auto" w:fill="auto"/>
            <w:noWrap/>
            <w:vAlign w:val="center"/>
          </w:tcPr>
          <w:p w14:paraId="0629D596"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0DF3975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5028348"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C73395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4B6BDD2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0410088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7622B61E"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7D46338B" w14:textId="77777777" w:rsidTr="00671D4C">
        <w:trPr>
          <w:trHeight w:hRule="exact" w:val="397"/>
        </w:trPr>
        <w:tc>
          <w:tcPr>
            <w:tcW w:w="1361" w:type="dxa"/>
            <w:shd w:val="clear" w:color="auto" w:fill="auto"/>
            <w:noWrap/>
            <w:vAlign w:val="center"/>
          </w:tcPr>
          <w:p w14:paraId="32E51737" w14:textId="77777777" w:rsidR="00DD36F6" w:rsidRPr="00DD36F6" w:rsidRDefault="00DD36F6" w:rsidP="009246E8">
            <w:pPr>
              <w:jc w:val="center"/>
              <w:rPr>
                <w:color w:val="000000"/>
                <w:szCs w:val="22"/>
              </w:rPr>
            </w:pPr>
            <w:r w:rsidRPr="001E2D62">
              <w:rPr>
                <w:color w:val="000000"/>
                <w:szCs w:val="22"/>
              </w:rPr>
              <w:t>01/07/2007</w:t>
            </w:r>
          </w:p>
        </w:tc>
        <w:tc>
          <w:tcPr>
            <w:tcW w:w="853" w:type="dxa"/>
            <w:shd w:val="clear" w:color="auto" w:fill="auto"/>
            <w:noWrap/>
            <w:vAlign w:val="center"/>
          </w:tcPr>
          <w:p w14:paraId="19B857A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00642E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1B419773"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E5BD019"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634B273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52B9A61"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04CE66B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7C08E07B" w14:textId="77777777" w:rsidTr="00671D4C">
        <w:trPr>
          <w:trHeight w:hRule="exact" w:val="397"/>
        </w:trPr>
        <w:tc>
          <w:tcPr>
            <w:tcW w:w="1361" w:type="dxa"/>
            <w:shd w:val="clear" w:color="auto" w:fill="auto"/>
            <w:noWrap/>
            <w:vAlign w:val="center"/>
          </w:tcPr>
          <w:p w14:paraId="093451E3" w14:textId="77777777" w:rsidR="00DD36F6" w:rsidRPr="00DD36F6" w:rsidRDefault="00DD36F6" w:rsidP="009246E8">
            <w:pPr>
              <w:jc w:val="center"/>
              <w:rPr>
                <w:color w:val="000000"/>
                <w:szCs w:val="22"/>
              </w:rPr>
            </w:pPr>
            <w:r w:rsidRPr="001E2D62">
              <w:rPr>
                <w:color w:val="000000"/>
                <w:szCs w:val="22"/>
              </w:rPr>
              <w:t>01/01/2008</w:t>
            </w:r>
          </w:p>
        </w:tc>
        <w:tc>
          <w:tcPr>
            <w:tcW w:w="853" w:type="dxa"/>
            <w:shd w:val="clear" w:color="auto" w:fill="auto"/>
            <w:noWrap/>
            <w:vAlign w:val="center"/>
          </w:tcPr>
          <w:p w14:paraId="373624A4"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32883BE"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452D389"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889FB7E"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108210F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8D2187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5F027329"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5CC73B34" w14:textId="77777777" w:rsidTr="00671D4C">
        <w:trPr>
          <w:trHeight w:hRule="exact" w:val="397"/>
        </w:trPr>
        <w:tc>
          <w:tcPr>
            <w:tcW w:w="1361" w:type="dxa"/>
            <w:shd w:val="clear" w:color="auto" w:fill="auto"/>
            <w:noWrap/>
            <w:vAlign w:val="center"/>
          </w:tcPr>
          <w:p w14:paraId="7B98C0CC" w14:textId="77777777" w:rsidR="00DD36F6" w:rsidRPr="00DD36F6" w:rsidRDefault="00DD36F6" w:rsidP="009246E8">
            <w:pPr>
              <w:jc w:val="center"/>
              <w:rPr>
                <w:color w:val="000000"/>
                <w:szCs w:val="22"/>
              </w:rPr>
            </w:pPr>
            <w:r w:rsidRPr="001E2D62">
              <w:rPr>
                <w:color w:val="000000"/>
                <w:szCs w:val="22"/>
              </w:rPr>
              <w:t>01/07/2008</w:t>
            </w:r>
          </w:p>
        </w:tc>
        <w:tc>
          <w:tcPr>
            <w:tcW w:w="853" w:type="dxa"/>
            <w:shd w:val="clear" w:color="auto" w:fill="auto"/>
            <w:noWrap/>
            <w:vAlign w:val="center"/>
          </w:tcPr>
          <w:p w14:paraId="2E29448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0036B09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4D2201AD"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2CA71BBF"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21E044B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3B890D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4A98A38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31EFDEB5" w14:textId="77777777" w:rsidTr="00671D4C">
        <w:trPr>
          <w:trHeight w:hRule="exact" w:val="397"/>
        </w:trPr>
        <w:tc>
          <w:tcPr>
            <w:tcW w:w="1361" w:type="dxa"/>
            <w:shd w:val="clear" w:color="auto" w:fill="auto"/>
            <w:noWrap/>
            <w:vAlign w:val="center"/>
          </w:tcPr>
          <w:p w14:paraId="623711B4" w14:textId="77777777" w:rsidR="00DD36F6" w:rsidRPr="00DD36F6" w:rsidRDefault="00DD36F6" w:rsidP="009246E8">
            <w:pPr>
              <w:jc w:val="center"/>
              <w:rPr>
                <w:color w:val="000000"/>
                <w:szCs w:val="22"/>
              </w:rPr>
            </w:pPr>
            <w:r w:rsidRPr="001E2D62">
              <w:rPr>
                <w:color w:val="000000"/>
                <w:szCs w:val="22"/>
              </w:rPr>
              <w:t>01/01/2009</w:t>
            </w:r>
          </w:p>
        </w:tc>
        <w:tc>
          <w:tcPr>
            <w:tcW w:w="853" w:type="dxa"/>
            <w:shd w:val="clear" w:color="auto" w:fill="auto"/>
            <w:noWrap/>
            <w:vAlign w:val="center"/>
          </w:tcPr>
          <w:p w14:paraId="75AF221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ABBEEA6"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76BF40ED"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222AB02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5AB4529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2D1017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3732C65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36F1A97D" w14:textId="77777777" w:rsidTr="00671D4C">
        <w:trPr>
          <w:trHeight w:hRule="exact" w:val="397"/>
        </w:trPr>
        <w:tc>
          <w:tcPr>
            <w:tcW w:w="1361" w:type="dxa"/>
            <w:shd w:val="clear" w:color="auto" w:fill="auto"/>
            <w:noWrap/>
            <w:vAlign w:val="center"/>
          </w:tcPr>
          <w:p w14:paraId="5A3F9D32" w14:textId="77777777" w:rsidR="00DD36F6" w:rsidRPr="00DD36F6" w:rsidRDefault="00DD36F6" w:rsidP="009246E8">
            <w:pPr>
              <w:jc w:val="center"/>
              <w:rPr>
                <w:color w:val="000000"/>
                <w:szCs w:val="22"/>
              </w:rPr>
            </w:pPr>
            <w:r w:rsidRPr="001E2D62">
              <w:rPr>
                <w:color w:val="000000"/>
                <w:szCs w:val="22"/>
              </w:rPr>
              <w:t>01/07/2009</w:t>
            </w:r>
          </w:p>
        </w:tc>
        <w:tc>
          <w:tcPr>
            <w:tcW w:w="853" w:type="dxa"/>
            <w:shd w:val="clear" w:color="auto" w:fill="auto"/>
            <w:noWrap/>
            <w:vAlign w:val="center"/>
          </w:tcPr>
          <w:p w14:paraId="557E600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C36D6B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0ED81315"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1260D5F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27FDF7B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515192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25728F56"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7B278D73" w14:textId="77777777" w:rsidTr="00671D4C">
        <w:trPr>
          <w:trHeight w:hRule="exact" w:val="397"/>
        </w:trPr>
        <w:tc>
          <w:tcPr>
            <w:tcW w:w="1361" w:type="dxa"/>
            <w:shd w:val="clear" w:color="auto" w:fill="auto"/>
            <w:noWrap/>
            <w:vAlign w:val="center"/>
          </w:tcPr>
          <w:p w14:paraId="6FFFF2AE" w14:textId="77777777" w:rsidR="00DD36F6" w:rsidRPr="00DD36F6" w:rsidRDefault="00DD36F6" w:rsidP="009246E8">
            <w:pPr>
              <w:jc w:val="center"/>
              <w:rPr>
                <w:color w:val="000000"/>
                <w:szCs w:val="22"/>
              </w:rPr>
            </w:pPr>
            <w:r w:rsidRPr="001E2D62">
              <w:rPr>
                <w:color w:val="000000"/>
                <w:szCs w:val="22"/>
              </w:rPr>
              <w:t>01/01/2010</w:t>
            </w:r>
          </w:p>
        </w:tc>
        <w:tc>
          <w:tcPr>
            <w:tcW w:w="853" w:type="dxa"/>
            <w:shd w:val="clear" w:color="auto" w:fill="auto"/>
            <w:noWrap/>
            <w:vAlign w:val="center"/>
          </w:tcPr>
          <w:p w14:paraId="490DE7F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589823E"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77565A3D"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46D0CE9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53918CF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11DA6023"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01A6E839"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1D6858B7" w14:textId="77777777" w:rsidTr="00671D4C">
        <w:trPr>
          <w:trHeight w:hRule="exact" w:val="397"/>
        </w:trPr>
        <w:tc>
          <w:tcPr>
            <w:tcW w:w="1361" w:type="dxa"/>
            <w:shd w:val="clear" w:color="auto" w:fill="auto"/>
            <w:noWrap/>
            <w:vAlign w:val="center"/>
          </w:tcPr>
          <w:p w14:paraId="376A5E34" w14:textId="77777777" w:rsidR="00DD36F6" w:rsidRPr="00DD36F6" w:rsidRDefault="00DD36F6" w:rsidP="009246E8">
            <w:pPr>
              <w:jc w:val="center"/>
              <w:rPr>
                <w:color w:val="000000"/>
                <w:szCs w:val="22"/>
              </w:rPr>
            </w:pPr>
            <w:r w:rsidRPr="001E2D62">
              <w:rPr>
                <w:color w:val="000000"/>
                <w:szCs w:val="22"/>
              </w:rPr>
              <w:t>01/0</w:t>
            </w:r>
            <w:r>
              <w:rPr>
                <w:color w:val="000000"/>
                <w:szCs w:val="22"/>
              </w:rPr>
              <w:t>7</w:t>
            </w:r>
            <w:r w:rsidRPr="001E2D62">
              <w:rPr>
                <w:color w:val="000000"/>
                <w:szCs w:val="22"/>
              </w:rPr>
              <w:t>/2010</w:t>
            </w:r>
          </w:p>
        </w:tc>
        <w:tc>
          <w:tcPr>
            <w:tcW w:w="853" w:type="dxa"/>
            <w:shd w:val="clear" w:color="auto" w:fill="auto"/>
            <w:noWrap/>
            <w:vAlign w:val="center"/>
          </w:tcPr>
          <w:p w14:paraId="06ACC5CA"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2D2C8224"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1F897BEB"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78639BDE"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205F8804"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0BF1B861"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533B1A2F"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54B6CA96" w14:textId="77777777" w:rsidTr="00671D4C">
        <w:trPr>
          <w:trHeight w:hRule="exact" w:val="397"/>
        </w:trPr>
        <w:tc>
          <w:tcPr>
            <w:tcW w:w="1361" w:type="dxa"/>
            <w:shd w:val="clear" w:color="auto" w:fill="auto"/>
            <w:noWrap/>
            <w:vAlign w:val="center"/>
          </w:tcPr>
          <w:p w14:paraId="47201D93" w14:textId="77777777" w:rsidR="00DD36F6" w:rsidRPr="00DD36F6" w:rsidRDefault="00DD36F6" w:rsidP="009246E8">
            <w:pPr>
              <w:jc w:val="center"/>
              <w:rPr>
                <w:color w:val="000000"/>
                <w:szCs w:val="22"/>
              </w:rPr>
            </w:pPr>
            <w:r w:rsidRPr="001E2D62">
              <w:rPr>
                <w:color w:val="000000"/>
                <w:szCs w:val="22"/>
              </w:rPr>
              <w:t>01/0</w:t>
            </w:r>
            <w:r>
              <w:rPr>
                <w:color w:val="000000"/>
                <w:szCs w:val="22"/>
              </w:rPr>
              <w:t>1</w:t>
            </w:r>
            <w:r w:rsidRPr="001E2D62">
              <w:rPr>
                <w:color w:val="000000"/>
                <w:szCs w:val="22"/>
              </w:rPr>
              <w:t>/20</w:t>
            </w:r>
            <w:r>
              <w:rPr>
                <w:color w:val="000000"/>
                <w:szCs w:val="22"/>
              </w:rPr>
              <w:t>11</w:t>
            </w:r>
          </w:p>
        </w:tc>
        <w:tc>
          <w:tcPr>
            <w:tcW w:w="853" w:type="dxa"/>
            <w:shd w:val="clear" w:color="auto" w:fill="auto"/>
            <w:noWrap/>
            <w:vAlign w:val="center"/>
          </w:tcPr>
          <w:p w14:paraId="361B79FA"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7234309"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7ECF9A97"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7D6A8963"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3" w:type="dxa"/>
            <w:shd w:val="clear" w:color="auto" w:fill="auto"/>
            <w:noWrap/>
            <w:vAlign w:val="center"/>
          </w:tcPr>
          <w:p w14:paraId="7B25A8F3"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1</w:t>
            </w:r>
          </w:p>
        </w:tc>
        <w:tc>
          <w:tcPr>
            <w:tcW w:w="854" w:type="dxa"/>
            <w:shd w:val="clear" w:color="auto" w:fill="auto"/>
            <w:noWrap/>
            <w:vAlign w:val="center"/>
          </w:tcPr>
          <w:p w14:paraId="6ECF7A9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289E1C7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0C7D1B3F" w14:textId="77777777" w:rsidTr="00671D4C">
        <w:trPr>
          <w:trHeight w:hRule="exact" w:val="397"/>
        </w:trPr>
        <w:tc>
          <w:tcPr>
            <w:tcW w:w="1361" w:type="dxa"/>
            <w:shd w:val="clear" w:color="auto" w:fill="auto"/>
            <w:noWrap/>
            <w:vAlign w:val="center"/>
          </w:tcPr>
          <w:p w14:paraId="0386AFAB" w14:textId="77777777" w:rsidR="00DD36F6" w:rsidRPr="00DD36F6" w:rsidRDefault="00DD36F6" w:rsidP="009246E8">
            <w:pPr>
              <w:jc w:val="center"/>
              <w:rPr>
                <w:color w:val="000000"/>
                <w:szCs w:val="22"/>
              </w:rPr>
            </w:pPr>
            <w:r w:rsidRPr="001E2D62">
              <w:rPr>
                <w:color w:val="000000"/>
                <w:szCs w:val="22"/>
              </w:rPr>
              <w:t>01/0</w:t>
            </w:r>
            <w:r>
              <w:rPr>
                <w:color w:val="000000"/>
                <w:szCs w:val="22"/>
              </w:rPr>
              <w:t>7</w:t>
            </w:r>
            <w:r w:rsidRPr="001E2D62">
              <w:rPr>
                <w:color w:val="000000"/>
                <w:szCs w:val="22"/>
              </w:rPr>
              <w:t>/20</w:t>
            </w:r>
            <w:r>
              <w:rPr>
                <w:color w:val="000000"/>
                <w:szCs w:val="22"/>
              </w:rPr>
              <w:t>11</w:t>
            </w:r>
          </w:p>
        </w:tc>
        <w:tc>
          <w:tcPr>
            <w:tcW w:w="853" w:type="dxa"/>
            <w:shd w:val="clear" w:color="auto" w:fill="auto"/>
            <w:noWrap/>
            <w:vAlign w:val="center"/>
          </w:tcPr>
          <w:p w14:paraId="610DD80F"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6B26A657"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44C85137"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3E07D53"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3</w:t>
            </w:r>
          </w:p>
        </w:tc>
        <w:tc>
          <w:tcPr>
            <w:tcW w:w="853" w:type="dxa"/>
            <w:shd w:val="clear" w:color="auto" w:fill="auto"/>
            <w:noWrap/>
            <w:vAlign w:val="center"/>
          </w:tcPr>
          <w:p w14:paraId="6634CAE4"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3</w:t>
            </w:r>
          </w:p>
        </w:tc>
        <w:tc>
          <w:tcPr>
            <w:tcW w:w="854" w:type="dxa"/>
            <w:shd w:val="clear" w:color="auto" w:fill="auto"/>
            <w:noWrap/>
            <w:vAlign w:val="center"/>
          </w:tcPr>
          <w:p w14:paraId="125882B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689A8F6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600DF7CC" w14:textId="77777777" w:rsidTr="00671D4C">
        <w:trPr>
          <w:trHeight w:hRule="exact" w:val="397"/>
        </w:trPr>
        <w:tc>
          <w:tcPr>
            <w:tcW w:w="1361" w:type="dxa"/>
            <w:shd w:val="clear" w:color="auto" w:fill="auto"/>
            <w:noWrap/>
            <w:vAlign w:val="center"/>
          </w:tcPr>
          <w:p w14:paraId="368B00C7" w14:textId="77777777" w:rsidR="00DD36F6" w:rsidRPr="00DD36F6" w:rsidRDefault="00DD36F6" w:rsidP="009246E8">
            <w:pPr>
              <w:jc w:val="center"/>
              <w:rPr>
                <w:color w:val="000000"/>
                <w:szCs w:val="22"/>
              </w:rPr>
            </w:pPr>
            <w:r w:rsidRPr="001E2D62">
              <w:rPr>
                <w:color w:val="000000"/>
                <w:szCs w:val="22"/>
              </w:rPr>
              <w:t>01/0</w:t>
            </w:r>
            <w:r>
              <w:rPr>
                <w:color w:val="000000"/>
                <w:szCs w:val="22"/>
              </w:rPr>
              <w:t>1</w:t>
            </w:r>
            <w:r w:rsidRPr="001E2D62">
              <w:rPr>
                <w:color w:val="000000"/>
                <w:szCs w:val="22"/>
              </w:rPr>
              <w:t>/20</w:t>
            </w:r>
            <w:r>
              <w:rPr>
                <w:color w:val="000000"/>
                <w:szCs w:val="22"/>
              </w:rPr>
              <w:t>12</w:t>
            </w:r>
          </w:p>
        </w:tc>
        <w:tc>
          <w:tcPr>
            <w:tcW w:w="853" w:type="dxa"/>
            <w:shd w:val="clear" w:color="auto" w:fill="auto"/>
            <w:noWrap/>
            <w:vAlign w:val="center"/>
          </w:tcPr>
          <w:p w14:paraId="0DA99150"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D385453"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507B8B6"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0445FFAE"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4</w:t>
            </w:r>
          </w:p>
        </w:tc>
        <w:tc>
          <w:tcPr>
            <w:tcW w:w="853" w:type="dxa"/>
            <w:shd w:val="clear" w:color="auto" w:fill="auto"/>
            <w:noWrap/>
            <w:vAlign w:val="center"/>
          </w:tcPr>
          <w:p w14:paraId="0C6E565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6</w:t>
            </w:r>
          </w:p>
        </w:tc>
        <w:tc>
          <w:tcPr>
            <w:tcW w:w="854" w:type="dxa"/>
            <w:shd w:val="clear" w:color="auto" w:fill="auto"/>
            <w:noWrap/>
            <w:vAlign w:val="center"/>
          </w:tcPr>
          <w:p w14:paraId="7FF3B7F9"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1</w:t>
            </w:r>
          </w:p>
        </w:tc>
        <w:tc>
          <w:tcPr>
            <w:tcW w:w="903" w:type="dxa"/>
            <w:vAlign w:val="center"/>
          </w:tcPr>
          <w:p w14:paraId="43E5C04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6EEC31B1" w14:textId="77777777" w:rsidTr="00671D4C">
        <w:trPr>
          <w:trHeight w:hRule="exact" w:val="397"/>
        </w:trPr>
        <w:tc>
          <w:tcPr>
            <w:tcW w:w="1361" w:type="dxa"/>
            <w:shd w:val="clear" w:color="auto" w:fill="auto"/>
            <w:noWrap/>
            <w:vAlign w:val="center"/>
          </w:tcPr>
          <w:p w14:paraId="12E83A0F" w14:textId="77777777" w:rsidR="00DD36F6" w:rsidRPr="00DD36F6" w:rsidRDefault="00DD36F6" w:rsidP="009246E8">
            <w:pPr>
              <w:jc w:val="center"/>
              <w:rPr>
                <w:color w:val="000000"/>
                <w:szCs w:val="22"/>
              </w:rPr>
            </w:pPr>
            <w:r w:rsidRPr="001E2D62">
              <w:rPr>
                <w:color w:val="000000"/>
                <w:szCs w:val="22"/>
              </w:rPr>
              <w:t>01/0</w:t>
            </w:r>
            <w:r>
              <w:rPr>
                <w:color w:val="000000"/>
                <w:szCs w:val="22"/>
              </w:rPr>
              <w:t>7</w:t>
            </w:r>
            <w:r w:rsidRPr="001E2D62">
              <w:rPr>
                <w:color w:val="000000"/>
                <w:szCs w:val="22"/>
              </w:rPr>
              <w:t>/201</w:t>
            </w:r>
            <w:r>
              <w:rPr>
                <w:color w:val="000000"/>
                <w:szCs w:val="22"/>
              </w:rPr>
              <w:t>2</w:t>
            </w:r>
          </w:p>
        </w:tc>
        <w:tc>
          <w:tcPr>
            <w:tcW w:w="853" w:type="dxa"/>
            <w:shd w:val="clear" w:color="auto" w:fill="auto"/>
            <w:noWrap/>
            <w:vAlign w:val="center"/>
          </w:tcPr>
          <w:p w14:paraId="720808F8"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94D02C9"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5A70BA0D"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shd w:val="clear" w:color="auto" w:fill="auto"/>
            <w:noWrap/>
            <w:vAlign w:val="center"/>
          </w:tcPr>
          <w:p w14:paraId="319E672E"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3</w:t>
            </w:r>
          </w:p>
        </w:tc>
        <w:tc>
          <w:tcPr>
            <w:tcW w:w="853" w:type="dxa"/>
            <w:shd w:val="clear" w:color="auto" w:fill="auto"/>
            <w:noWrap/>
            <w:vAlign w:val="center"/>
          </w:tcPr>
          <w:p w14:paraId="24E91D1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8</w:t>
            </w:r>
          </w:p>
        </w:tc>
        <w:tc>
          <w:tcPr>
            <w:tcW w:w="854" w:type="dxa"/>
            <w:shd w:val="clear" w:color="auto" w:fill="auto"/>
            <w:noWrap/>
            <w:vAlign w:val="center"/>
          </w:tcPr>
          <w:p w14:paraId="1E0EAD5D"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vAlign w:val="center"/>
          </w:tcPr>
          <w:p w14:paraId="341D9BBB"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r w:rsidR="00DD36F6" w:rsidRPr="005607FD" w14:paraId="00259F2E" w14:textId="77777777" w:rsidTr="00671D4C">
        <w:trPr>
          <w:trHeight w:hRule="exact" w:val="397"/>
        </w:trPr>
        <w:tc>
          <w:tcPr>
            <w:tcW w:w="1361" w:type="dxa"/>
            <w:tcBorders>
              <w:bottom w:val="single" w:sz="4" w:space="0" w:color="auto"/>
            </w:tcBorders>
            <w:shd w:val="clear" w:color="auto" w:fill="auto"/>
            <w:noWrap/>
            <w:vAlign w:val="center"/>
          </w:tcPr>
          <w:p w14:paraId="763B4E8E" w14:textId="77777777" w:rsidR="00DD36F6" w:rsidRPr="00DD36F6" w:rsidRDefault="00DD36F6" w:rsidP="009246E8">
            <w:pPr>
              <w:jc w:val="center"/>
              <w:rPr>
                <w:color w:val="000000"/>
                <w:szCs w:val="22"/>
              </w:rPr>
            </w:pPr>
            <w:r w:rsidRPr="001E2D62">
              <w:rPr>
                <w:color w:val="000000"/>
                <w:szCs w:val="22"/>
              </w:rPr>
              <w:t>01/0</w:t>
            </w:r>
            <w:r>
              <w:rPr>
                <w:color w:val="000000"/>
                <w:szCs w:val="22"/>
              </w:rPr>
              <w:t>1</w:t>
            </w:r>
            <w:r w:rsidRPr="001E2D62">
              <w:rPr>
                <w:color w:val="000000"/>
                <w:szCs w:val="22"/>
              </w:rPr>
              <w:t>/201</w:t>
            </w:r>
            <w:r>
              <w:rPr>
                <w:color w:val="000000"/>
                <w:szCs w:val="22"/>
              </w:rPr>
              <w:t>3</w:t>
            </w:r>
          </w:p>
        </w:tc>
        <w:tc>
          <w:tcPr>
            <w:tcW w:w="853" w:type="dxa"/>
            <w:tcBorders>
              <w:bottom w:val="single" w:sz="4" w:space="0" w:color="auto"/>
            </w:tcBorders>
            <w:shd w:val="clear" w:color="auto" w:fill="auto"/>
            <w:noWrap/>
            <w:vAlign w:val="center"/>
          </w:tcPr>
          <w:p w14:paraId="5C419625"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center"/>
          </w:tcPr>
          <w:p w14:paraId="5B29ED5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center"/>
          </w:tcPr>
          <w:p w14:paraId="7282417F" w14:textId="77777777" w:rsidR="00DD36F6" w:rsidRPr="00DD36F6" w:rsidRDefault="00DD36F6" w:rsidP="009246E8">
            <w:pPr>
              <w:jc w:val="center"/>
              <w:rPr>
                <w:rFonts w:ascii="Calibri" w:hAnsi="Calibri"/>
                <w:color w:val="000000"/>
                <w:szCs w:val="22"/>
              </w:rPr>
            </w:pPr>
            <w:r w:rsidRPr="00F2000A">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center"/>
          </w:tcPr>
          <w:p w14:paraId="0A1795C2"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4</w:t>
            </w:r>
          </w:p>
        </w:tc>
        <w:tc>
          <w:tcPr>
            <w:tcW w:w="853" w:type="dxa"/>
            <w:tcBorders>
              <w:bottom w:val="single" w:sz="4" w:space="0" w:color="auto"/>
            </w:tcBorders>
            <w:shd w:val="clear" w:color="auto" w:fill="auto"/>
            <w:noWrap/>
            <w:vAlign w:val="center"/>
          </w:tcPr>
          <w:p w14:paraId="45D8E741"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5</w:t>
            </w:r>
          </w:p>
        </w:tc>
        <w:tc>
          <w:tcPr>
            <w:tcW w:w="854" w:type="dxa"/>
            <w:tcBorders>
              <w:bottom w:val="single" w:sz="4" w:space="0" w:color="auto"/>
            </w:tcBorders>
            <w:shd w:val="clear" w:color="auto" w:fill="auto"/>
            <w:noWrap/>
            <w:vAlign w:val="center"/>
          </w:tcPr>
          <w:p w14:paraId="2D2C6FCC"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c>
          <w:tcPr>
            <w:tcW w:w="903" w:type="dxa"/>
            <w:tcBorders>
              <w:bottom w:val="single" w:sz="4" w:space="0" w:color="auto"/>
            </w:tcBorders>
            <w:vAlign w:val="center"/>
          </w:tcPr>
          <w:p w14:paraId="1CC9AE04" w14:textId="77777777" w:rsidR="00DD36F6" w:rsidRPr="00DD36F6" w:rsidRDefault="00DD36F6" w:rsidP="009246E8">
            <w:pPr>
              <w:jc w:val="center"/>
              <w:rPr>
                <w:color w:val="000000"/>
                <w:szCs w:val="22"/>
              </w:rPr>
            </w:pPr>
            <w:r w:rsidRPr="00F2000A">
              <w:rPr>
                <w:rFonts w:ascii="Arial" w:eastAsia="Times New Roman" w:hAnsi="Arial" w:cs="Arial"/>
                <w:color w:val="000000"/>
                <w:sz w:val="20"/>
                <w:szCs w:val="20"/>
                <w:lang w:eastAsia="en-GB"/>
              </w:rPr>
              <w:t>0</w:t>
            </w:r>
          </w:p>
        </w:tc>
      </w:tr>
    </w:tbl>
    <w:p w14:paraId="3E586561" w14:textId="77777777" w:rsidR="000F766A" w:rsidRDefault="00175032" w:rsidP="00B17160">
      <w:pPr>
        <w:pStyle w:val="FootnoteText"/>
      </w:pPr>
      <w:r w:rsidRPr="001512D3">
        <w:t xml:space="preserve">Source: </w:t>
      </w:r>
      <w:r w:rsidR="00186110" w:rsidRPr="001512D3">
        <w:t xml:space="preserve">Joint Committee calculations based on CEREP data </w:t>
      </w:r>
      <w:bookmarkStart w:id="10" w:name="_Ref389059992"/>
    </w:p>
    <w:p w14:paraId="60360085" w14:textId="77777777" w:rsidR="00E30F40" w:rsidRDefault="00E30F40" w:rsidP="00B17160">
      <w:pPr>
        <w:pStyle w:val="FootnoteText"/>
      </w:pPr>
    </w:p>
    <w:p w14:paraId="12BEE515" w14:textId="77777777" w:rsidR="00DD36F6" w:rsidRDefault="00DD36F6">
      <w:pPr>
        <w:rPr>
          <w:sz w:val="18"/>
          <w:szCs w:val="18"/>
          <w:lang w:val="en-US"/>
        </w:rPr>
      </w:pPr>
      <w:r>
        <w:br w:type="page"/>
      </w:r>
    </w:p>
    <w:p w14:paraId="4B68E613" w14:textId="4A39E673" w:rsidR="001512D3" w:rsidRDefault="001512D3" w:rsidP="00B17160">
      <w:pPr>
        <w:pStyle w:val="Figuretitle"/>
      </w:pPr>
      <w:bookmarkStart w:id="11" w:name="_Ref390262833"/>
      <w:r w:rsidRPr="0041788D">
        <w:lastRenderedPageBreak/>
        <w:t xml:space="preserve">Figure </w:t>
      </w:r>
      <w:bookmarkEnd w:id="10"/>
      <w:bookmarkEnd w:id="11"/>
      <w:r w:rsidR="00473F19">
        <w:t>8</w:t>
      </w:r>
      <w:r w:rsidRPr="006A4A1D">
        <w:t xml:space="preserve">: </w:t>
      </w:r>
      <w:r w:rsidRPr="00BE6DB8">
        <w:t>Mapping proposal for rating categories with a non-sufficient number of credit ratings</w:t>
      </w:r>
    </w:p>
    <w:tbl>
      <w:tblPr>
        <w:tblW w:w="7951" w:type="dxa"/>
        <w:tblInd w:w="93" w:type="dxa"/>
        <w:tblLook w:val="04A0" w:firstRow="1" w:lastRow="0" w:firstColumn="1" w:lastColumn="0" w:noHBand="0" w:noVBand="1"/>
      </w:tblPr>
      <w:tblGrid>
        <w:gridCol w:w="4551"/>
        <w:gridCol w:w="1700"/>
        <w:gridCol w:w="1700"/>
      </w:tblGrid>
      <w:tr w:rsidR="00F14592" w:rsidRPr="00651446" w14:paraId="7526CFC5" w14:textId="77777777" w:rsidTr="00E30F40">
        <w:trPr>
          <w:trHeight w:hRule="exact" w:val="454"/>
        </w:trPr>
        <w:tc>
          <w:tcPr>
            <w:tcW w:w="4551" w:type="dxa"/>
            <w:tcBorders>
              <w:top w:val="nil"/>
              <w:left w:val="nil"/>
              <w:bottom w:val="single" w:sz="18" w:space="0" w:color="E98E31" w:themeColor="background2"/>
              <w:right w:val="nil"/>
            </w:tcBorders>
            <w:shd w:val="clear" w:color="auto" w:fill="auto"/>
            <w:vAlign w:val="center"/>
            <w:hideMark/>
          </w:tcPr>
          <w:p w14:paraId="124F52A7" w14:textId="77777777" w:rsidR="00F14592" w:rsidRPr="00651446" w:rsidRDefault="00F14592" w:rsidP="00E30F40">
            <w:pPr>
              <w:rPr>
                <w:rFonts w:ascii="Calibri" w:eastAsia="Times New Roman" w:hAnsi="Calibri" w:cs="Times New Roman"/>
                <w:color w:val="000000"/>
                <w:sz w:val="24"/>
                <w:lang w:eastAsia="en-GB"/>
              </w:rPr>
            </w:pPr>
            <w:r w:rsidRPr="00651446">
              <w:rPr>
                <w:rFonts w:ascii="Calibri" w:eastAsia="Times New Roman" w:hAnsi="Calibri" w:cs="Times New Roman"/>
                <w:color w:val="000000"/>
                <w:sz w:val="24"/>
                <w:lang w:eastAsia="en-GB"/>
              </w:rPr>
              <w:t> </w:t>
            </w:r>
          </w:p>
        </w:tc>
        <w:tc>
          <w:tcPr>
            <w:tcW w:w="1700" w:type="dxa"/>
            <w:tcBorders>
              <w:top w:val="nil"/>
              <w:left w:val="nil"/>
              <w:bottom w:val="single" w:sz="18" w:space="0" w:color="E98E31" w:themeColor="background2"/>
              <w:right w:val="nil"/>
            </w:tcBorders>
            <w:shd w:val="clear" w:color="auto" w:fill="auto"/>
            <w:vAlign w:val="center"/>
            <w:hideMark/>
          </w:tcPr>
          <w:p w14:paraId="08228BCA" w14:textId="77777777" w:rsidR="00F14592" w:rsidRPr="00651446" w:rsidRDefault="00F14592" w:rsidP="00E30F40">
            <w:pPr>
              <w:jc w:val="center"/>
              <w:rPr>
                <w:rFonts w:ascii="Calibri" w:eastAsia="Times New Roman" w:hAnsi="Calibri" w:cs="Times New Roman"/>
                <w:b/>
                <w:bCs/>
                <w:color w:val="000000"/>
                <w:szCs w:val="22"/>
                <w:lang w:eastAsia="en-GB"/>
              </w:rPr>
            </w:pPr>
            <w:r w:rsidRPr="00651446">
              <w:rPr>
                <w:rFonts w:ascii="Calibri" w:eastAsia="Times New Roman" w:hAnsi="Calibri" w:cs="Times New Roman"/>
                <w:b/>
                <w:bCs/>
                <w:color w:val="000000"/>
                <w:szCs w:val="22"/>
                <w:lang w:eastAsia="en-GB"/>
              </w:rPr>
              <w:t>AAA/AA</w:t>
            </w:r>
          </w:p>
        </w:tc>
        <w:tc>
          <w:tcPr>
            <w:tcW w:w="1700" w:type="dxa"/>
            <w:tcBorders>
              <w:top w:val="nil"/>
              <w:left w:val="nil"/>
              <w:bottom w:val="single" w:sz="18" w:space="0" w:color="E98E31" w:themeColor="background2"/>
              <w:right w:val="nil"/>
            </w:tcBorders>
            <w:shd w:val="clear" w:color="auto" w:fill="auto"/>
            <w:vAlign w:val="center"/>
            <w:hideMark/>
          </w:tcPr>
          <w:p w14:paraId="305983EC" w14:textId="77777777" w:rsidR="00F14592" w:rsidRPr="00651446" w:rsidRDefault="00F14592" w:rsidP="00E30F40">
            <w:pPr>
              <w:jc w:val="center"/>
              <w:rPr>
                <w:rFonts w:ascii="Calibri" w:eastAsia="Times New Roman" w:hAnsi="Calibri" w:cs="Times New Roman"/>
                <w:b/>
                <w:bCs/>
                <w:color w:val="000000"/>
                <w:szCs w:val="22"/>
                <w:lang w:eastAsia="en-GB"/>
              </w:rPr>
            </w:pPr>
            <w:r w:rsidRPr="00651446">
              <w:rPr>
                <w:rFonts w:ascii="Calibri" w:eastAsia="Times New Roman" w:hAnsi="Calibri" w:cs="Times New Roman"/>
                <w:b/>
                <w:bCs/>
                <w:color w:val="000000"/>
                <w:szCs w:val="22"/>
                <w:lang w:eastAsia="en-GB"/>
              </w:rPr>
              <w:t>A</w:t>
            </w:r>
          </w:p>
        </w:tc>
      </w:tr>
      <w:tr w:rsidR="00F14592" w:rsidRPr="00651446" w14:paraId="0C9D4345" w14:textId="77777777" w:rsidTr="000E074B">
        <w:trPr>
          <w:trHeight w:hRule="exact" w:val="709"/>
        </w:trPr>
        <w:tc>
          <w:tcPr>
            <w:tcW w:w="4551" w:type="dxa"/>
            <w:tcBorders>
              <w:top w:val="single" w:sz="18" w:space="0" w:color="E98E31" w:themeColor="background2"/>
              <w:left w:val="nil"/>
              <w:bottom w:val="nil"/>
              <w:right w:val="nil"/>
            </w:tcBorders>
            <w:shd w:val="clear" w:color="auto" w:fill="auto"/>
            <w:vAlign w:val="center"/>
            <w:hideMark/>
          </w:tcPr>
          <w:p w14:paraId="6CFDAD01" w14:textId="2A4AB933" w:rsidR="00F14592" w:rsidRPr="00651446" w:rsidRDefault="00F14592" w:rsidP="00E30F40">
            <w:pP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C</w:t>
            </w:r>
            <w:r w:rsidR="00473F19">
              <w:rPr>
                <w:rFonts w:ascii="Calibri" w:eastAsia="Times New Roman" w:hAnsi="Calibri" w:cs="Times New Roman"/>
                <w:color w:val="000000"/>
                <w:szCs w:val="22"/>
                <w:lang w:eastAsia="en-GB"/>
              </w:rPr>
              <w:t>redit Quality Step</w:t>
            </w:r>
            <w:r w:rsidRPr="00651446">
              <w:rPr>
                <w:rFonts w:ascii="Calibri" w:eastAsia="Times New Roman" w:hAnsi="Calibri" w:cs="Times New Roman"/>
                <w:color w:val="000000"/>
                <w:szCs w:val="22"/>
                <w:lang w:eastAsia="en-GB"/>
              </w:rPr>
              <w:t xml:space="preserve"> of equivalent international rating category</w:t>
            </w:r>
          </w:p>
        </w:tc>
        <w:tc>
          <w:tcPr>
            <w:tcW w:w="1700" w:type="dxa"/>
            <w:tcBorders>
              <w:top w:val="single" w:sz="18" w:space="0" w:color="E98E31" w:themeColor="background2"/>
              <w:left w:val="nil"/>
              <w:bottom w:val="nil"/>
              <w:right w:val="nil"/>
            </w:tcBorders>
            <w:shd w:val="clear" w:color="auto" w:fill="auto"/>
            <w:vAlign w:val="center"/>
            <w:hideMark/>
          </w:tcPr>
          <w:p w14:paraId="5AE2E3B1"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CQS1</w:t>
            </w:r>
          </w:p>
        </w:tc>
        <w:tc>
          <w:tcPr>
            <w:tcW w:w="1700" w:type="dxa"/>
            <w:tcBorders>
              <w:top w:val="single" w:sz="18" w:space="0" w:color="E98E31" w:themeColor="background2"/>
              <w:left w:val="nil"/>
              <w:bottom w:val="nil"/>
              <w:right w:val="nil"/>
            </w:tcBorders>
            <w:shd w:val="clear" w:color="auto" w:fill="auto"/>
            <w:vAlign w:val="center"/>
            <w:hideMark/>
          </w:tcPr>
          <w:p w14:paraId="4D45DF88"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CQS 2</w:t>
            </w:r>
          </w:p>
        </w:tc>
      </w:tr>
      <w:tr w:rsidR="00F14592" w:rsidRPr="00651446" w14:paraId="3C37D6DB" w14:textId="77777777" w:rsidTr="00E30F40">
        <w:trPr>
          <w:trHeight w:hRule="exact" w:val="454"/>
        </w:trPr>
        <w:tc>
          <w:tcPr>
            <w:tcW w:w="4551" w:type="dxa"/>
            <w:tcBorders>
              <w:top w:val="nil"/>
              <w:left w:val="nil"/>
              <w:bottom w:val="nil"/>
              <w:right w:val="nil"/>
            </w:tcBorders>
            <w:shd w:val="clear" w:color="auto" w:fill="auto"/>
            <w:vAlign w:val="center"/>
            <w:hideMark/>
          </w:tcPr>
          <w:p w14:paraId="082A5FE6" w14:textId="77777777" w:rsidR="00F14592" w:rsidRPr="00651446" w:rsidRDefault="00F14592" w:rsidP="00E30F40">
            <w:pP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N. observed defaulted items</w:t>
            </w:r>
          </w:p>
        </w:tc>
        <w:tc>
          <w:tcPr>
            <w:tcW w:w="1700" w:type="dxa"/>
            <w:tcBorders>
              <w:top w:val="nil"/>
              <w:left w:val="nil"/>
              <w:bottom w:val="nil"/>
              <w:right w:val="nil"/>
            </w:tcBorders>
            <w:shd w:val="clear" w:color="auto" w:fill="auto"/>
            <w:noWrap/>
            <w:vAlign w:val="center"/>
            <w:hideMark/>
          </w:tcPr>
          <w:p w14:paraId="5CADA603"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0</w:t>
            </w:r>
          </w:p>
        </w:tc>
        <w:tc>
          <w:tcPr>
            <w:tcW w:w="1700" w:type="dxa"/>
            <w:tcBorders>
              <w:top w:val="nil"/>
              <w:left w:val="nil"/>
              <w:bottom w:val="nil"/>
              <w:right w:val="nil"/>
            </w:tcBorders>
            <w:shd w:val="clear" w:color="auto" w:fill="auto"/>
            <w:noWrap/>
            <w:vAlign w:val="center"/>
            <w:hideMark/>
          </w:tcPr>
          <w:p w14:paraId="0CC6A86B"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0</w:t>
            </w:r>
          </w:p>
        </w:tc>
      </w:tr>
      <w:tr w:rsidR="00F14592" w:rsidRPr="00651446" w14:paraId="2EAB3694" w14:textId="77777777" w:rsidTr="00E30F40">
        <w:trPr>
          <w:trHeight w:hRule="exact" w:val="454"/>
        </w:trPr>
        <w:tc>
          <w:tcPr>
            <w:tcW w:w="4551" w:type="dxa"/>
            <w:tcBorders>
              <w:top w:val="nil"/>
              <w:left w:val="nil"/>
              <w:bottom w:val="nil"/>
              <w:right w:val="nil"/>
            </w:tcBorders>
            <w:shd w:val="clear" w:color="auto" w:fill="auto"/>
            <w:vAlign w:val="center"/>
            <w:hideMark/>
          </w:tcPr>
          <w:p w14:paraId="453A5C0F" w14:textId="77777777" w:rsidR="00F14592" w:rsidRPr="00651446" w:rsidRDefault="00F14592" w:rsidP="00E30F40">
            <w:pP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Minimum N. rated items</w:t>
            </w:r>
          </w:p>
        </w:tc>
        <w:tc>
          <w:tcPr>
            <w:tcW w:w="1700" w:type="dxa"/>
            <w:tcBorders>
              <w:top w:val="nil"/>
              <w:left w:val="nil"/>
              <w:bottom w:val="nil"/>
              <w:right w:val="nil"/>
            </w:tcBorders>
            <w:shd w:val="clear" w:color="auto" w:fill="auto"/>
            <w:noWrap/>
            <w:vAlign w:val="center"/>
            <w:hideMark/>
          </w:tcPr>
          <w:p w14:paraId="6AEA96BF"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0</w:t>
            </w:r>
          </w:p>
        </w:tc>
        <w:tc>
          <w:tcPr>
            <w:tcW w:w="1700" w:type="dxa"/>
            <w:tcBorders>
              <w:top w:val="nil"/>
              <w:left w:val="nil"/>
              <w:bottom w:val="nil"/>
              <w:right w:val="nil"/>
            </w:tcBorders>
            <w:shd w:val="clear" w:color="auto" w:fill="auto"/>
            <w:noWrap/>
            <w:vAlign w:val="center"/>
            <w:hideMark/>
          </w:tcPr>
          <w:p w14:paraId="44A5FB6C"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0</w:t>
            </w:r>
          </w:p>
        </w:tc>
      </w:tr>
      <w:tr w:rsidR="00F14592" w:rsidRPr="00651446" w14:paraId="6CFEC7C6" w14:textId="77777777" w:rsidTr="00E30F40">
        <w:trPr>
          <w:trHeight w:hRule="exact" w:val="454"/>
        </w:trPr>
        <w:tc>
          <w:tcPr>
            <w:tcW w:w="4551" w:type="dxa"/>
            <w:tcBorders>
              <w:top w:val="nil"/>
              <w:left w:val="nil"/>
              <w:bottom w:val="single" w:sz="8" w:space="0" w:color="000000"/>
              <w:right w:val="nil"/>
            </w:tcBorders>
            <w:shd w:val="clear" w:color="auto" w:fill="auto"/>
            <w:vAlign w:val="center"/>
            <w:hideMark/>
          </w:tcPr>
          <w:p w14:paraId="79598528" w14:textId="77777777" w:rsidR="00F14592" w:rsidRPr="00651446" w:rsidRDefault="00F14592" w:rsidP="00E30F40">
            <w:pP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Observed N. rated items</w:t>
            </w:r>
          </w:p>
        </w:tc>
        <w:tc>
          <w:tcPr>
            <w:tcW w:w="1700" w:type="dxa"/>
            <w:tcBorders>
              <w:top w:val="nil"/>
              <w:left w:val="nil"/>
              <w:bottom w:val="single" w:sz="8" w:space="0" w:color="000000"/>
              <w:right w:val="nil"/>
            </w:tcBorders>
            <w:shd w:val="clear" w:color="auto" w:fill="auto"/>
            <w:vAlign w:val="center"/>
            <w:hideMark/>
          </w:tcPr>
          <w:p w14:paraId="7A5654FA"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2.5</w:t>
            </w:r>
          </w:p>
        </w:tc>
        <w:tc>
          <w:tcPr>
            <w:tcW w:w="1700" w:type="dxa"/>
            <w:tcBorders>
              <w:top w:val="nil"/>
              <w:left w:val="nil"/>
              <w:bottom w:val="single" w:sz="8" w:space="0" w:color="000000"/>
              <w:right w:val="nil"/>
            </w:tcBorders>
            <w:shd w:val="clear" w:color="auto" w:fill="auto"/>
            <w:vAlign w:val="center"/>
            <w:hideMark/>
          </w:tcPr>
          <w:p w14:paraId="5D06E7FD"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56.5</w:t>
            </w:r>
          </w:p>
        </w:tc>
      </w:tr>
      <w:tr w:rsidR="00F14592" w:rsidRPr="00651446" w14:paraId="726936D7" w14:textId="77777777" w:rsidTr="00E30F40">
        <w:trPr>
          <w:trHeight w:hRule="exact" w:val="454"/>
        </w:trPr>
        <w:tc>
          <w:tcPr>
            <w:tcW w:w="4551" w:type="dxa"/>
            <w:tcBorders>
              <w:top w:val="nil"/>
              <w:left w:val="nil"/>
              <w:bottom w:val="single" w:sz="8" w:space="0" w:color="000000"/>
              <w:right w:val="nil"/>
            </w:tcBorders>
            <w:shd w:val="clear" w:color="auto" w:fill="auto"/>
            <w:vAlign w:val="center"/>
            <w:hideMark/>
          </w:tcPr>
          <w:p w14:paraId="0542E23B" w14:textId="77777777" w:rsidR="00F14592" w:rsidRPr="00651446" w:rsidRDefault="00F14592" w:rsidP="00E30F40">
            <w:pPr>
              <w:rPr>
                <w:rFonts w:ascii="Calibri" w:eastAsia="Times New Roman" w:hAnsi="Calibri" w:cs="Times New Roman"/>
                <w:b/>
                <w:bCs/>
                <w:color w:val="000000"/>
                <w:szCs w:val="22"/>
                <w:lang w:eastAsia="en-GB"/>
              </w:rPr>
            </w:pPr>
            <w:r w:rsidRPr="00651446">
              <w:rPr>
                <w:rFonts w:ascii="Calibri" w:eastAsia="Times New Roman" w:hAnsi="Calibri" w:cs="Times New Roman"/>
                <w:b/>
                <w:bCs/>
                <w:color w:val="000000"/>
                <w:szCs w:val="22"/>
                <w:lang w:eastAsia="en-GB"/>
              </w:rPr>
              <w:t>Mapping proposal</w:t>
            </w:r>
          </w:p>
        </w:tc>
        <w:tc>
          <w:tcPr>
            <w:tcW w:w="1700" w:type="dxa"/>
            <w:tcBorders>
              <w:top w:val="nil"/>
              <w:left w:val="nil"/>
              <w:bottom w:val="single" w:sz="8" w:space="0" w:color="000000"/>
              <w:right w:val="nil"/>
            </w:tcBorders>
            <w:shd w:val="clear" w:color="auto" w:fill="auto"/>
            <w:vAlign w:val="center"/>
            <w:hideMark/>
          </w:tcPr>
          <w:p w14:paraId="71EDA91A"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CQS1</w:t>
            </w:r>
          </w:p>
        </w:tc>
        <w:tc>
          <w:tcPr>
            <w:tcW w:w="1700" w:type="dxa"/>
            <w:tcBorders>
              <w:top w:val="nil"/>
              <w:left w:val="nil"/>
              <w:bottom w:val="single" w:sz="8" w:space="0" w:color="000000"/>
              <w:right w:val="nil"/>
            </w:tcBorders>
            <w:shd w:val="clear" w:color="auto" w:fill="auto"/>
            <w:vAlign w:val="center"/>
            <w:hideMark/>
          </w:tcPr>
          <w:p w14:paraId="457D4913" w14:textId="77777777" w:rsidR="00F14592" w:rsidRPr="00651446" w:rsidRDefault="00F14592" w:rsidP="00E30F40">
            <w:pPr>
              <w:jc w:val="cente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CQS 2</w:t>
            </w:r>
          </w:p>
        </w:tc>
      </w:tr>
    </w:tbl>
    <w:p w14:paraId="4969C73F" w14:textId="77777777" w:rsidR="00F14592" w:rsidRDefault="00F14592" w:rsidP="00BB2D63">
      <w:pPr>
        <w:jc w:val="both"/>
      </w:pPr>
    </w:p>
    <w:p w14:paraId="7A0DA083" w14:textId="77777777" w:rsidR="00F411AD" w:rsidRDefault="00F411AD" w:rsidP="00BB2D63">
      <w:pPr>
        <w:jc w:val="both"/>
      </w:pPr>
    </w:p>
    <w:tbl>
      <w:tblPr>
        <w:tblW w:w="8095" w:type="dxa"/>
        <w:tblInd w:w="93" w:type="dxa"/>
        <w:tblLook w:val="04A0" w:firstRow="1" w:lastRow="0" w:firstColumn="1" w:lastColumn="0" w:noHBand="0" w:noVBand="1"/>
      </w:tblPr>
      <w:tblGrid>
        <w:gridCol w:w="4670"/>
        <w:gridCol w:w="1866"/>
        <w:gridCol w:w="1559"/>
      </w:tblGrid>
      <w:tr w:rsidR="00C50AB3" w:rsidRPr="00232BA2" w14:paraId="57F23A56" w14:textId="77777777" w:rsidTr="00E30F40">
        <w:trPr>
          <w:trHeight w:hRule="exact" w:val="454"/>
        </w:trPr>
        <w:tc>
          <w:tcPr>
            <w:tcW w:w="4670" w:type="dxa"/>
            <w:tcBorders>
              <w:top w:val="nil"/>
              <w:left w:val="nil"/>
              <w:bottom w:val="single" w:sz="18" w:space="0" w:color="E98E31" w:themeColor="background2"/>
              <w:right w:val="nil"/>
            </w:tcBorders>
            <w:shd w:val="clear" w:color="auto" w:fill="auto"/>
            <w:vAlign w:val="center"/>
            <w:hideMark/>
          </w:tcPr>
          <w:p w14:paraId="77D3BF9E" w14:textId="77777777" w:rsidR="00C50AB3" w:rsidRPr="00232BA2" w:rsidRDefault="00C50AB3" w:rsidP="00E30F40">
            <w:pPr>
              <w:jc w:val="center"/>
              <w:rPr>
                <w:rFonts w:ascii="Calibri" w:eastAsia="Times New Roman" w:hAnsi="Calibri" w:cs="Times New Roman"/>
                <w:b/>
                <w:bCs/>
                <w:color w:val="000000"/>
                <w:szCs w:val="22"/>
                <w:lang w:eastAsia="en-GB"/>
              </w:rPr>
            </w:pPr>
            <w:r w:rsidRPr="00232BA2">
              <w:rPr>
                <w:rFonts w:ascii="Calibri" w:eastAsia="Times New Roman" w:hAnsi="Calibri" w:cs="Times New Roman"/>
                <w:b/>
                <w:bCs/>
                <w:color w:val="000000"/>
                <w:szCs w:val="22"/>
                <w:lang w:eastAsia="en-GB"/>
              </w:rPr>
              <w:t>BBB</w:t>
            </w:r>
          </w:p>
        </w:tc>
        <w:tc>
          <w:tcPr>
            <w:tcW w:w="1866" w:type="dxa"/>
            <w:tcBorders>
              <w:top w:val="nil"/>
              <w:left w:val="nil"/>
              <w:bottom w:val="single" w:sz="18" w:space="0" w:color="E98E31" w:themeColor="background2"/>
              <w:right w:val="nil"/>
            </w:tcBorders>
            <w:shd w:val="clear" w:color="auto" w:fill="auto"/>
            <w:vAlign w:val="center"/>
            <w:hideMark/>
          </w:tcPr>
          <w:p w14:paraId="116AFE52"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2004-2008</w:t>
            </w:r>
          </w:p>
        </w:tc>
        <w:tc>
          <w:tcPr>
            <w:tcW w:w="1559" w:type="dxa"/>
            <w:tcBorders>
              <w:top w:val="nil"/>
              <w:left w:val="nil"/>
              <w:bottom w:val="single" w:sz="18" w:space="0" w:color="E98E31" w:themeColor="background2"/>
              <w:right w:val="nil"/>
            </w:tcBorders>
            <w:shd w:val="clear" w:color="auto" w:fill="auto"/>
            <w:vAlign w:val="center"/>
            <w:hideMark/>
          </w:tcPr>
          <w:p w14:paraId="50AB553F"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2009-2013</w:t>
            </w:r>
          </w:p>
        </w:tc>
      </w:tr>
      <w:tr w:rsidR="00C50AB3" w:rsidRPr="00232BA2" w14:paraId="2D65FB82" w14:textId="77777777" w:rsidTr="000E074B">
        <w:trPr>
          <w:trHeight w:hRule="exact" w:val="716"/>
        </w:trPr>
        <w:tc>
          <w:tcPr>
            <w:tcW w:w="4670" w:type="dxa"/>
            <w:tcBorders>
              <w:top w:val="single" w:sz="18" w:space="0" w:color="E98E31" w:themeColor="background2"/>
              <w:left w:val="nil"/>
              <w:bottom w:val="nil"/>
              <w:right w:val="nil"/>
            </w:tcBorders>
            <w:shd w:val="clear" w:color="auto" w:fill="auto"/>
            <w:vAlign w:val="center"/>
            <w:hideMark/>
          </w:tcPr>
          <w:p w14:paraId="02B4D707" w14:textId="0FAF90D4" w:rsidR="00C50AB3" w:rsidRPr="00232BA2" w:rsidRDefault="00473F19" w:rsidP="00E30F40">
            <w:pP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C</w:t>
            </w:r>
            <w:r>
              <w:rPr>
                <w:rFonts w:ascii="Calibri" w:eastAsia="Times New Roman" w:hAnsi="Calibri" w:cs="Times New Roman"/>
                <w:color w:val="000000"/>
                <w:szCs w:val="22"/>
                <w:lang w:eastAsia="en-GB"/>
              </w:rPr>
              <w:t>redit Quality Step</w:t>
            </w:r>
            <w:r w:rsidRPr="00651446">
              <w:rPr>
                <w:rFonts w:ascii="Calibri" w:eastAsia="Times New Roman" w:hAnsi="Calibri" w:cs="Times New Roman"/>
                <w:color w:val="000000"/>
                <w:szCs w:val="22"/>
                <w:lang w:eastAsia="en-GB"/>
              </w:rPr>
              <w:t xml:space="preserve"> </w:t>
            </w:r>
            <w:r w:rsidR="00C50AB3" w:rsidRPr="00232BA2">
              <w:rPr>
                <w:rFonts w:ascii="Calibri" w:eastAsia="Times New Roman" w:hAnsi="Calibri" w:cs="Times New Roman"/>
                <w:color w:val="000000"/>
                <w:szCs w:val="22"/>
                <w:lang w:eastAsia="en-GB"/>
              </w:rPr>
              <w:t>of equivalent international rating category</w:t>
            </w:r>
          </w:p>
        </w:tc>
        <w:tc>
          <w:tcPr>
            <w:tcW w:w="1866" w:type="dxa"/>
            <w:tcBorders>
              <w:top w:val="single" w:sz="18" w:space="0" w:color="E98E31" w:themeColor="background2"/>
              <w:left w:val="nil"/>
              <w:bottom w:val="nil"/>
              <w:right w:val="nil"/>
            </w:tcBorders>
            <w:shd w:val="clear" w:color="auto" w:fill="auto"/>
            <w:vAlign w:val="center"/>
            <w:hideMark/>
          </w:tcPr>
          <w:p w14:paraId="6EA9DC97"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CQS3</w:t>
            </w:r>
          </w:p>
        </w:tc>
        <w:tc>
          <w:tcPr>
            <w:tcW w:w="1559" w:type="dxa"/>
            <w:tcBorders>
              <w:top w:val="single" w:sz="18" w:space="0" w:color="E98E31" w:themeColor="background2"/>
              <w:left w:val="nil"/>
              <w:bottom w:val="nil"/>
              <w:right w:val="nil"/>
            </w:tcBorders>
            <w:shd w:val="clear" w:color="auto" w:fill="auto"/>
            <w:vAlign w:val="center"/>
            <w:hideMark/>
          </w:tcPr>
          <w:p w14:paraId="05807DC7"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CQS3</w:t>
            </w:r>
          </w:p>
        </w:tc>
      </w:tr>
      <w:tr w:rsidR="00C50AB3" w:rsidRPr="00232BA2" w14:paraId="4D8C8569" w14:textId="77777777" w:rsidTr="00E30F40">
        <w:trPr>
          <w:trHeight w:hRule="exact" w:val="454"/>
        </w:trPr>
        <w:tc>
          <w:tcPr>
            <w:tcW w:w="4670" w:type="dxa"/>
            <w:tcBorders>
              <w:top w:val="nil"/>
              <w:left w:val="nil"/>
              <w:bottom w:val="nil"/>
              <w:right w:val="nil"/>
            </w:tcBorders>
            <w:shd w:val="clear" w:color="auto" w:fill="auto"/>
            <w:vAlign w:val="center"/>
            <w:hideMark/>
          </w:tcPr>
          <w:p w14:paraId="3C6E7741" w14:textId="77777777" w:rsidR="00C50AB3" w:rsidRPr="00232BA2" w:rsidRDefault="00C50AB3" w:rsidP="00E30F40">
            <w:pP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N. observed defaulted items</w:t>
            </w:r>
          </w:p>
        </w:tc>
        <w:tc>
          <w:tcPr>
            <w:tcW w:w="1866" w:type="dxa"/>
            <w:tcBorders>
              <w:top w:val="nil"/>
              <w:left w:val="nil"/>
              <w:bottom w:val="nil"/>
              <w:right w:val="nil"/>
            </w:tcBorders>
            <w:shd w:val="clear" w:color="auto" w:fill="auto"/>
            <w:noWrap/>
            <w:vAlign w:val="center"/>
            <w:hideMark/>
          </w:tcPr>
          <w:p w14:paraId="74E1C7F6"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0</w:t>
            </w:r>
          </w:p>
        </w:tc>
        <w:tc>
          <w:tcPr>
            <w:tcW w:w="1559" w:type="dxa"/>
            <w:tcBorders>
              <w:top w:val="nil"/>
              <w:left w:val="nil"/>
              <w:bottom w:val="nil"/>
              <w:right w:val="nil"/>
            </w:tcBorders>
            <w:shd w:val="clear" w:color="auto" w:fill="auto"/>
            <w:noWrap/>
            <w:vAlign w:val="center"/>
            <w:hideMark/>
          </w:tcPr>
          <w:p w14:paraId="14C10FEC"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14</w:t>
            </w:r>
          </w:p>
        </w:tc>
      </w:tr>
      <w:tr w:rsidR="00C50AB3" w:rsidRPr="00232BA2" w14:paraId="150B6EB1" w14:textId="77777777" w:rsidTr="00E30F40">
        <w:trPr>
          <w:trHeight w:hRule="exact" w:val="454"/>
        </w:trPr>
        <w:tc>
          <w:tcPr>
            <w:tcW w:w="4670" w:type="dxa"/>
            <w:tcBorders>
              <w:top w:val="nil"/>
              <w:left w:val="nil"/>
              <w:bottom w:val="nil"/>
              <w:right w:val="nil"/>
            </w:tcBorders>
            <w:shd w:val="clear" w:color="auto" w:fill="auto"/>
            <w:vAlign w:val="center"/>
            <w:hideMark/>
          </w:tcPr>
          <w:p w14:paraId="22E6DB39" w14:textId="77777777" w:rsidR="00C50AB3" w:rsidRPr="00232BA2" w:rsidRDefault="00C50AB3" w:rsidP="00E30F40">
            <w:pP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Minimum N. rated items</w:t>
            </w:r>
          </w:p>
        </w:tc>
        <w:tc>
          <w:tcPr>
            <w:tcW w:w="1866" w:type="dxa"/>
            <w:tcBorders>
              <w:top w:val="nil"/>
              <w:left w:val="nil"/>
              <w:bottom w:val="nil"/>
              <w:right w:val="nil"/>
            </w:tcBorders>
            <w:shd w:val="clear" w:color="auto" w:fill="auto"/>
            <w:noWrap/>
            <w:vAlign w:val="center"/>
            <w:hideMark/>
          </w:tcPr>
          <w:p w14:paraId="0D74D787"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0</w:t>
            </w:r>
          </w:p>
        </w:tc>
        <w:tc>
          <w:tcPr>
            <w:tcW w:w="1559" w:type="dxa"/>
            <w:tcBorders>
              <w:top w:val="nil"/>
              <w:left w:val="nil"/>
              <w:bottom w:val="nil"/>
              <w:right w:val="nil"/>
            </w:tcBorders>
            <w:shd w:val="clear" w:color="auto" w:fill="auto"/>
            <w:noWrap/>
            <w:vAlign w:val="center"/>
            <w:hideMark/>
          </w:tcPr>
          <w:p w14:paraId="567D03E6" w14:textId="77777777" w:rsidR="00C50AB3" w:rsidRPr="00232BA2" w:rsidRDefault="00C50AB3" w:rsidP="00E30F40">
            <w:pPr>
              <w:jc w:val="cente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441</w:t>
            </w:r>
          </w:p>
        </w:tc>
      </w:tr>
      <w:tr w:rsidR="00C50AB3" w:rsidRPr="00232BA2" w14:paraId="498EB705" w14:textId="77777777" w:rsidTr="00E30F40">
        <w:trPr>
          <w:trHeight w:hRule="exact" w:val="454"/>
        </w:trPr>
        <w:tc>
          <w:tcPr>
            <w:tcW w:w="4670" w:type="dxa"/>
            <w:tcBorders>
              <w:top w:val="nil"/>
              <w:left w:val="nil"/>
              <w:bottom w:val="single" w:sz="8" w:space="0" w:color="000000"/>
              <w:right w:val="nil"/>
            </w:tcBorders>
            <w:shd w:val="clear" w:color="auto" w:fill="auto"/>
            <w:vAlign w:val="center"/>
            <w:hideMark/>
          </w:tcPr>
          <w:p w14:paraId="72A2317F" w14:textId="77777777" w:rsidR="00C50AB3" w:rsidRPr="00232BA2" w:rsidRDefault="00C50AB3" w:rsidP="00E30F40">
            <w:pP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Observed N. rated items</w:t>
            </w:r>
          </w:p>
        </w:tc>
        <w:tc>
          <w:tcPr>
            <w:tcW w:w="1866" w:type="dxa"/>
            <w:tcBorders>
              <w:top w:val="nil"/>
              <w:left w:val="nil"/>
              <w:bottom w:val="single" w:sz="8" w:space="0" w:color="auto"/>
              <w:right w:val="nil"/>
            </w:tcBorders>
            <w:shd w:val="clear" w:color="auto" w:fill="auto"/>
            <w:noWrap/>
            <w:vAlign w:val="center"/>
            <w:hideMark/>
          </w:tcPr>
          <w:p w14:paraId="5351D3FD"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14</w:t>
            </w:r>
          </w:p>
        </w:tc>
        <w:tc>
          <w:tcPr>
            <w:tcW w:w="1559" w:type="dxa"/>
            <w:tcBorders>
              <w:top w:val="nil"/>
              <w:left w:val="nil"/>
              <w:bottom w:val="single" w:sz="8" w:space="0" w:color="auto"/>
              <w:right w:val="nil"/>
            </w:tcBorders>
            <w:shd w:val="clear" w:color="auto" w:fill="auto"/>
            <w:noWrap/>
            <w:vAlign w:val="center"/>
            <w:hideMark/>
          </w:tcPr>
          <w:p w14:paraId="053E7EAF"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83</w:t>
            </w:r>
          </w:p>
        </w:tc>
      </w:tr>
      <w:tr w:rsidR="00C50AB3" w:rsidRPr="00232BA2" w14:paraId="174B64E0" w14:textId="77777777" w:rsidTr="00E30F40">
        <w:trPr>
          <w:trHeight w:hRule="exact" w:val="454"/>
        </w:trPr>
        <w:tc>
          <w:tcPr>
            <w:tcW w:w="4670" w:type="dxa"/>
            <w:tcBorders>
              <w:top w:val="nil"/>
              <w:left w:val="nil"/>
              <w:bottom w:val="single" w:sz="8" w:space="0" w:color="000000"/>
              <w:right w:val="nil"/>
            </w:tcBorders>
            <w:shd w:val="clear" w:color="auto" w:fill="auto"/>
            <w:vAlign w:val="center"/>
            <w:hideMark/>
          </w:tcPr>
          <w:p w14:paraId="0310248B" w14:textId="77777777" w:rsidR="00C50AB3" w:rsidRPr="00232BA2" w:rsidRDefault="00C50AB3" w:rsidP="00E30F40">
            <w:pPr>
              <w:rPr>
                <w:rFonts w:ascii="Calibri" w:eastAsia="Times New Roman" w:hAnsi="Calibri" w:cs="Times New Roman"/>
                <w:b/>
                <w:bCs/>
                <w:color w:val="000000"/>
                <w:szCs w:val="22"/>
                <w:lang w:eastAsia="en-GB"/>
              </w:rPr>
            </w:pPr>
            <w:r w:rsidRPr="00232BA2">
              <w:rPr>
                <w:rFonts w:ascii="Calibri" w:eastAsia="Times New Roman" w:hAnsi="Calibri" w:cs="Times New Roman"/>
                <w:b/>
                <w:bCs/>
                <w:color w:val="000000"/>
                <w:szCs w:val="22"/>
                <w:lang w:eastAsia="en-GB"/>
              </w:rPr>
              <w:t>Mapping proposal</w:t>
            </w:r>
          </w:p>
        </w:tc>
        <w:tc>
          <w:tcPr>
            <w:tcW w:w="1866" w:type="dxa"/>
            <w:tcBorders>
              <w:top w:val="nil"/>
              <w:left w:val="nil"/>
              <w:bottom w:val="single" w:sz="8" w:space="0" w:color="000000"/>
              <w:right w:val="nil"/>
            </w:tcBorders>
            <w:shd w:val="clear" w:color="auto" w:fill="auto"/>
            <w:vAlign w:val="center"/>
            <w:hideMark/>
          </w:tcPr>
          <w:p w14:paraId="1D56A74A"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CQS3</w:t>
            </w:r>
          </w:p>
        </w:tc>
        <w:tc>
          <w:tcPr>
            <w:tcW w:w="1559" w:type="dxa"/>
            <w:tcBorders>
              <w:top w:val="nil"/>
              <w:left w:val="nil"/>
              <w:bottom w:val="single" w:sz="8" w:space="0" w:color="000000"/>
              <w:right w:val="nil"/>
            </w:tcBorders>
            <w:shd w:val="clear" w:color="auto" w:fill="auto"/>
            <w:vAlign w:val="center"/>
            <w:hideMark/>
          </w:tcPr>
          <w:p w14:paraId="205C7D9B"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CQS4</w:t>
            </w:r>
          </w:p>
        </w:tc>
      </w:tr>
    </w:tbl>
    <w:p w14:paraId="42699661" w14:textId="77777777" w:rsidR="00C50AB3" w:rsidRDefault="00C50AB3" w:rsidP="00BB2D63">
      <w:pPr>
        <w:jc w:val="both"/>
      </w:pPr>
    </w:p>
    <w:tbl>
      <w:tblPr>
        <w:tblW w:w="8060" w:type="dxa"/>
        <w:tblInd w:w="93" w:type="dxa"/>
        <w:tblLook w:val="04A0" w:firstRow="1" w:lastRow="0" w:firstColumn="1" w:lastColumn="0" w:noHBand="0" w:noVBand="1"/>
      </w:tblPr>
      <w:tblGrid>
        <w:gridCol w:w="4660"/>
        <w:gridCol w:w="1700"/>
        <w:gridCol w:w="1700"/>
      </w:tblGrid>
      <w:tr w:rsidR="00C50AB3" w:rsidRPr="00232BA2" w14:paraId="728E0B7F" w14:textId="77777777" w:rsidTr="00E30F40">
        <w:trPr>
          <w:trHeight w:hRule="exact" w:val="454"/>
        </w:trPr>
        <w:tc>
          <w:tcPr>
            <w:tcW w:w="4660" w:type="dxa"/>
            <w:tcBorders>
              <w:top w:val="nil"/>
              <w:left w:val="nil"/>
              <w:bottom w:val="single" w:sz="18" w:space="0" w:color="E98E31" w:themeColor="background2"/>
              <w:right w:val="nil"/>
            </w:tcBorders>
            <w:shd w:val="clear" w:color="auto" w:fill="auto"/>
            <w:vAlign w:val="center"/>
            <w:hideMark/>
          </w:tcPr>
          <w:p w14:paraId="67BAD922" w14:textId="77777777" w:rsidR="00C50AB3" w:rsidRPr="00232BA2" w:rsidRDefault="00C50AB3" w:rsidP="00E30F40">
            <w:pPr>
              <w:jc w:val="center"/>
              <w:rPr>
                <w:rFonts w:ascii="Calibri" w:eastAsia="Times New Roman" w:hAnsi="Calibri" w:cs="Times New Roman"/>
                <w:b/>
                <w:bCs/>
                <w:color w:val="000000"/>
                <w:szCs w:val="22"/>
                <w:lang w:eastAsia="en-GB"/>
              </w:rPr>
            </w:pPr>
            <w:r w:rsidRPr="00232BA2">
              <w:rPr>
                <w:rFonts w:ascii="Calibri" w:eastAsia="Times New Roman" w:hAnsi="Calibri" w:cs="Times New Roman"/>
                <w:b/>
                <w:bCs/>
                <w:color w:val="000000"/>
                <w:szCs w:val="22"/>
                <w:lang w:eastAsia="en-GB"/>
              </w:rPr>
              <w:t>BB</w:t>
            </w:r>
          </w:p>
        </w:tc>
        <w:tc>
          <w:tcPr>
            <w:tcW w:w="1700" w:type="dxa"/>
            <w:tcBorders>
              <w:top w:val="nil"/>
              <w:left w:val="nil"/>
              <w:bottom w:val="single" w:sz="18" w:space="0" w:color="E98E31" w:themeColor="background2"/>
              <w:right w:val="nil"/>
            </w:tcBorders>
            <w:shd w:val="clear" w:color="auto" w:fill="auto"/>
            <w:vAlign w:val="center"/>
            <w:hideMark/>
          </w:tcPr>
          <w:p w14:paraId="0628DBA6"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2003-2008</w:t>
            </w:r>
          </w:p>
        </w:tc>
        <w:tc>
          <w:tcPr>
            <w:tcW w:w="1700" w:type="dxa"/>
            <w:tcBorders>
              <w:top w:val="nil"/>
              <w:left w:val="nil"/>
              <w:bottom w:val="single" w:sz="18" w:space="0" w:color="E98E31" w:themeColor="background2"/>
              <w:right w:val="nil"/>
            </w:tcBorders>
            <w:shd w:val="clear" w:color="auto" w:fill="auto"/>
            <w:vAlign w:val="center"/>
            <w:hideMark/>
          </w:tcPr>
          <w:p w14:paraId="687F312A"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2009-2013</w:t>
            </w:r>
          </w:p>
        </w:tc>
      </w:tr>
      <w:tr w:rsidR="00C50AB3" w:rsidRPr="00232BA2" w14:paraId="1F82A017" w14:textId="77777777" w:rsidTr="000E074B">
        <w:trPr>
          <w:trHeight w:hRule="exact" w:val="705"/>
        </w:trPr>
        <w:tc>
          <w:tcPr>
            <w:tcW w:w="4660" w:type="dxa"/>
            <w:tcBorders>
              <w:top w:val="single" w:sz="18" w:space="0" w:color="E98E31" w:themeColor="background2"/>
              <w:left w:val="nil"/>
              <w:bottom w:val="nil"/>
              <w:right w:val="nil"/>
            </w:tcBorders>
            <w:shd w:val="clear" w:color="auto" w:fill="auto"/>
            <w:vAlign w:val="center"/>
            <w:hideMark/>
          </w:tcPr>
          <w:p w14:paraId="4E5BEEE9" w14:textId="5D53CA70" w:rsidR="00C50AB3" w:rsidRPr="00232BA2" w:rsidRDefault="00473F19" w:rsidP="00E30F40">
            <w:pP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C</w:t>
            </w:r>
            <w:r>
              <w:rPr>
                <w:rFonts w:ascii="Calibri" w:eastAsia="Times New Roman" w:hAnsi="Calibri" w:cs="Times New Roman"/>
                <w:color w:val="000000"/>
                <w:szCs w:val="22"/>
                <w:lang w:eastAsia="en-GB"/>
              </w:rPr>
              <w:t>redit Quality Step</w:t>
            </w:r>
            <w:r w:rsidR="00C50AB3" w:rsidRPr="00232BA2">
              <w:rPr>
                <w:rFonts w:ascii="Calibri" w:eastAsia="Times New Roman" w:hAnsi="Calibri" w:cs="Times New Roman"/>
                <w:color w:val="000000"/>
                <w:szCs w:val="22"/>
                <w:lang w:eastAsia="en-GB"/>
              </w:rPr>
              <w:t xml:space="preserve"> of equivalent international rating category</w:t>
            </w:r>
          </w:p>
        </w:tc>
        <w:tc>
          <w:tcPr>
            <w:tcW w:w="1700" w:type="dxa"/>
            <w:tcBorders>
              <w:top w:val="single" w:sz="18" w:space="0" w:color="E98E31" w:themeColor="background2"/>
              <w:left w:val="nil"/>
              <w:bottom w:val="nil"/>
              <w:right w:val="nil"/>
            </w:tcBorders>
            <w:shd w:val="clear" w:color="auto" w:fill="auto"/>
            <w:vAlign w:val="center"/>
            <w:hideMark/>
          </w:tcPr>
          <w:p w14:paraId="37E95083"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CQS4</w:t>
            </w:r>
          </w:p>
        </w:tc>
        <w:tc>
          <w:tcPr>
            <w:tcW w:w="1700" w:type="dxa"/>
            <w:tcBorders>
              <w:top w:val="single" w:sz="18" w:space="0" w:color="E98E31" w:themeColor="background2"/>
              <w:left w:val="nil"/>
              <w:bottom w:val="nil"/>
              <w:right w:val="nil"/>
            </w:tcBorders>
            <w:shd w:val="clear" w:color="auto" w:fill="auto"/>
            <w:vAlign w:val="center"/>
            <w:hideMark/>
          </w:tcPr>
          <w:p w14:paraId="0CC292B3"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CQS4</w:t>
            </w:r>
          </w:p>
        </w:tc>
      </w:tr>
      <w:tr w:rsidR="00C50AB3" w:rsidRPr="00232BA2" w14:paraId="2D620BA3" w14:textId="77777777" w:rsidTr="00E30F40">
        <w:trPr>
          <w:trHeight w:hRule="exact" w:val="454"/>
        </w:trPr>
        <w:tc>
          <w:tcPr>
            <w:tcW w:w="4660" w:type="dxa"/>
            <w:tcBorders>
              <w:top w:val="nil"/>
              <w:left w:val="nil"/>
              <w:bottom w:val="nil"/>
              <w:right w:val="nil"/>
            </w:tcBorders>
            <w:shd w:val="clear" w:color="auto" w:fill="auto"/>
            <w:vAlign w:val="center"/>
            <w:hideMark/>
          </w:tcPr>
          <w:p w14:paraId="71445BA2" w14:textId="77777777" w:rsidR="00C50AB3" w:rsidRPr="00232BA2" w:rsidRDefault="00C50AB3" w:rsidP="00E30F40">
            <w:pP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N. observed defaulted items</w:t>
            </w:r>
          </w:p>
        </w:tc>
        <w:tc>
          <w:tcPr>
            <w:tcW w:w="1700" w:type="dxa"/>
            <w:tcBorders>
              <w:top w:val="nil"/>
              <w:left w:val="nil"/>
              <w:bottom w:val="nil"/>
              <w:right w:val="nil"/>
            </w:tcBorders>
            <w:shd w:val="clear" w:color="auto" w:fill="auto"/>
            <w:noWrap/>
            <w:vAlign w:val="center"/>
            <w:hideMark/>
          </w:tcPr>
          <w:p w14:paraId="667C486A"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0</w:t>
            </w:r>
          </w:p>
        </w:tc>
        <w:tc>
          <w:tcPr>
            <w:tcW w:w="1700" w:type="dxa"/>
            <w:tcBorders>
              <w:top w:val="nil"/>
              <w:left w:val="nil"/>
              <w:bottom w:val="nil"/>
              <w:right w:val="nil"/>
            </w:tcBorders>
            <w:shd w:val="clear" w:color="auto" w:fill="auto"/>
            <w:noWrap/>
            <w:vAlign w:val="center"/>
            <w:hideMark/>
          </w:tcPr>
          <w:p w14:paraId="48F3005F"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23</w:t>
            </w:r>
          </w:p>
        </w:tc>
      </w:tr>
      <w:tr w:rsidR="00C50AB3" w:rsidRPr="00232BA2" w14:paraId="58CE7668" w14:textId="77777777" w:rsidTr="00E30F40">
        <w:trPr>
          <w:trHeight w:hRule="exact" w:val="454"/>
        </w:trPr>
        <w:tc>
          <w:tcPr>
            <w:tcW w:w="4660" w:type="dxa"/>
            <w:tcBorders>
              <w:top w:val="nil"/>
              <w:left w:val="nil"/>
              <w:bottom w:val="nil"/>
              <w:right w:val="nil"/>
            </w:tcBorders>
            <w:shd w:val="clear" w:color="auto" w:fill="auto"/>
            <w:vAlign w:val="center"/>
            <w:hideMark/>
          </w:tcPr>
          <w:p w14:paraId="25653EDD" w14:textId="77777777" w:rsidR="00C50AB3" w:rsidRPr="00232BA2" w:rsidRDefault="00C50AB3" w:rsidP="00E30F40">
            <w:pP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Minimum N. rated items</w:t>
            </w:r>
          </w:p>
        </w:tc>
        <w:tc>
          <w:tcPr>
            <w:tcW w:w="1700" w:type="dxa"/>
            <w:tcBorders>
              <w:top w:val="nil"/>
              <w:left w:val="nil"/>
              <w:bottom w:val="nil"/>
              <w:right w:val="nil"/>
            </w:tcBorders>
            <w:shd w:val="clear" w:color="auto" w:fill="auto"/>
            <w:noWrap/>
            <w:vAlign w:val="center"/>
            <w:hideMark/>
          </w:tcPr>
          <w:p w14:paraId="3829652D"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0</w:t>
            </w:r>
          </w:p>
        </w:tc>
        <w:tc>
          <w:tcPr>
            <w:tcW w:w="1700" w:type="dxa"/>
            <w:tcBorders>
              <w:top w:val="nil"/>
              <w:left w:val="nil"/>
              <w:bottom w:val="nil"/>
              <w:right w:val="nil"/>
            </w:tcBorders>
            <w:shd w:val="clear" w:color="auto" w:fill="auto"/>
            <w:noWrap/>
            <w:vAlign w:val="center"/>
            <w:hideMark/>
          </w:tcPr>
          <w:p w14:paraId="271B2E5D" w14:textId="77777777" w:rsidR="00C50AB3" w:rsidRPr="00232BA2" w:rsidRDefault="00C50AB3" w:rsidP="00E30F40">
            <w:pPr>
              <w:jc w:val="center"/>
              <w:rPr>
                <w:rFonts w:ascii="Calibri" w:eastAsia="Times New Roman" w:hAnsi="Calibri" w:cs="Times New Roman"/>
                <w:color w:val="000000"/>
                <w:szCs w:val="22"/>
                <w:lang w:eastAsia="en-GB"/>
              </w:rPr>
            </w:pPr>
            <w:proofErr w:type="spellStart"/>
            <w:r w:rsidRPr="00232BA2">
              <w:rPr>
                <w:rFonts w:ascii="Calibri" w:eastAsia="Times New Roman" w:hAnsi="Calibri" w:cs="Times New Roman"/>
                <w:color w:val="000000"/>
                <w:szCs w:val="22"/>
                <w:lang w:eastAsia="en-GB"/>
              </w:rPr>
              <w:t>n.a</w:t>
            </w:r>
            <w:proofErr w:type="spellEnd"/>
            <w:r w:rsidRPr="00232BA2">
              <w:rPr>
                <w:rFonts w:ascii="Calibri" w:eastAsia="Times New Roman" w:hAnsi="Calibri" w:cs="Times New Roman"/>
                <w:color w:val="000000"/>
                <w:szCs w:val="22"/>
                <w:lang w:eastAsia="en-GB"/>
              </w:rPr>
              <w:t>.</w:t>
            </w:r>
          </w:p>
        </w:tc>
      </w:tr>
      <w:tr w:rsidR="00C50AB3" w:rsidRPr="00232BA2" w14:paraId="4AFC65F0" w14:textId="77777777" w:rsidTr="00E30F40">
        <w:trPr>
          <w:trHeight w:hRule="exact" w:val="454"/>
        </w:trPr>
        <w:tc>
          <w:tcPr>
            <w:tcW w:w="4660" w:type="dxa"/>
            <w:tcBorders>
              <w:top w:val="nil"/>
              <w:left w:val="nil"/>
              <w:bottom w:val="single" w:sz="8" w:space="0" w:color="000000"/>
              <w:right w:val="nil"/>
            </w:tcBorders>
            <w:shd w:val="clear" w:color="auto" w:fill="auto"/>
            <w:vAlign w:val="center"/>
            <w:hideMark/>
          </w:tcPr>
          <w:p w14:paraId="03A15EB5" w14:textId="77777777" w:rsidR="00C50AB3" w:rsidRPr="00232BA2" w:rsidRDefault="00C50AB3" w:rsidP="00E30F40">
            <w:pP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Observed N. rated items</w:t>
            </w:r>
          </w:p>
        </w:tc>
        <w:tc>
          <w:tcPr>
            <w:tcW w:w="1700" w:type="dxa"/>
            <w:tcBorders>
              <w:top w:val="nil"/>
              <w:left w:val="nil"/>
              <w:bottom w:val="single" w:sz="8" w:space="0" w:color="auto"/>
              <w:right w:val="nil"/>
            </w:tcBorders>
            <w:shd w:val="clear" w:color="auto" w:fill="auto"/>
            <w:noWrap/>
            <w:vAlign w:val="center"/>
            <w:hideMark/>
          </w:tcPr>
          <w:p w14:paraId="60BB00F2"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6</w:t>
            </w:r>
          </w:p>
        </w:tc>
        <w:tc>
          <w:tcPr>
            <w:tcW w:w="1700" w:type="dxa"/>
            <w:tcBorders>
              <w:top w:val="nil"/>
              <w:left w:val="nil"/>
              <w:bottom w:val="single" w:sz="8" w:space="0" w:color="auto"/>
              <w:right w:val="nil"/>
            </w:tcBorders>
            <w:shd w:val="clear" w:color="auto" w:fill="auto"/>
            <w:noWrap/>
            <w:vAlign w:val="center"/>
            <w:hideMark/>
          </w:tcPr>
          <w:p w14:paraId="012030CA"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82</w:t>
            </w:r>
          </w:p>
        </w:tc>
      </w:tr>
      <w:tr w:rsidR="00C50AB3" w:rsidRPr="00232BA2" w14:paraId="75AAE82F" w14:textId="77777777" w:rsidTr="00E30F40">
        <w:trPr>
          <w:trHeight w:hRule="exact" w:val="454"/>
        </w:trPr>
        <w:tc>
          <w:tcPr>
            <w:tcW w:w="4660" w:type="dxa"/>
            <w:tcBorders>
              <w:top w:val="nil"/>
              <w:left w:val="nil"/>
              <w:bottom w:val="single" w:sz="8" w:space="0" w:color="000000"/>
              <w:right w:val="nil"/>
            </w:tcBorders>
            <w:shd w:val="clear" w:color="auto" w:fill="auto"/>
            <w:vAlign w:val="center"/>
            <w:hideMark/>
          </w:tcPr>
          <w:p w14:paraId="4FDF76A3" w14:textId="77777777" w:rsidR="00C50AB3" w:rsidRPr="00232BA2" w:rsidRDefault="00C50AB3" w:rsidP="00E30F40">
            <w:pPr>
              <w:rPr>
                <w:rFonts w:ascii="Calibri" w:eastAsia="Times New Roman" w:hAnsi="Calibri" w:cs="Times New Roman"/>
                <w:b/>
                <w:bCs/>
                <w:color w:val="000000"/>
                <w:szCs w:val="22"/>
                <w:lang w:eastAsia="en-GB"/>
              </w:rPr>
            </w:pPr>
            <w:r w:rsidRPr="00232BA2">
              <w:rPr>
                <w:rFonts w:ascii="Calibri" w:eastAsia="Times New Roman" w:hAnsi="Calibri" w:cs="Times New Roman"/>
                <w:b/>
                <w:bCs/>
                <w:color w:val="000000"/>
                <w:szCs w:val="22"/>
                <w:lang w:eastAsia="en-GB"/>
              </w:rPr>
              <w:t>Mapping proposal</w:t>
            </w:r>
          </w:p>
        </w:tc>
        <w:tc>
          <w:tcPr>
            <w:tcW w:w="1700" w:type="dxa"/>
            <w:tcBorders>
              <w:top w:val="nil"/>
              <w:left w:val="nil"/>
              <w:bottom w:val="single" w:sz="8" w:space="0" w:color="000000"/>
              <w:right w:val="nil"/>
            </w:tcBorders>
            <w:shd w:val="clear" w:color="auto" w:fill="auto"/>
            <w:vAlign w:val="center"/>
            <w:hideMark/>
          </w:tcPr>
          <w:p w14:paraId="4AD73756"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CQS4</w:t>
            </w:r>
          </w:p>
        </w:tc>
        <w:tc>
          <w:tcPr>
            <w:tcW w:w="1700" w:type="dxa"/>
            <w:tcBorders>
              <w:top w:val="nil"/>
              <w:left w:val="nil"/>
              <w:bottom w:val="single" w:sz="8" w:space="0" w:color="000000"/>
              <w:right w:val="nil"/>
            </w:tcBorders>
            <w:shd w:val="clear" w:color="auto" w:fill="auto"/>
            <w:vAlign w:val="center"/>
            <w:hideMark/>
          </w:tcPr>
          <w:p w14:paraId="3D72BC34"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CQS5</w:t>
            </w:r>
          </w:p>
        </w:tc>
      </w:tr>
    </w:tbl>
    <w:p w14:paraId="389A5659" w14:textId="77777777" w:rsidR="00C50AB3" w:rsidRDefault="00C50AB3" w:rsidP="00BB2D63">
      <w:pPr>
        <w:jc w:val="both"/>
      </w:pPr>
    </w:p>
    <w:tbl>
      <w:tblPr>
        <w:tblW w:w="6360" w:type="dxa"/>
        <w:tblInd w:w="93" w:type="dxa"/>
        <w:tblLook w:val="04A0" w:firstRow="1" w:lastRow="0" w:firstColumn="1" w:lastColumn="0" w:noHBand="0" w:noVBand="1"/>
      </w:tblPr>
      <w:tblGrid>
        <w:gridCol w:w="4660"/>
        <w:gridCol w:w="1700"/>
      </w:tblGrid>
      <w:tr w:rsidR="00C50AB3" w:rsidRPr="00232BA2" w14:paraId="00FE2C4E" w14:textId="77777777" w:rsidTr="00E30F40">
        <w:trPr>
          <w:trHeight w:hRule="exact" w:val="454"/>
        </w:trPr>
        <w:tc>
          <w:tcPr>
            <w:tcW w:w="4660" w:type="dxa"/>
            <w:tcBorders>
              <w:top w:val="nil"/>
              <w:left w:val="nil"/>
              <w:bottom w:val="single" w:sz="18" w:space="0" w:color="E98E31" w:themeColor="background2"/>
              <w:right w:val="nil"/>
            </w:tcBorders>
            <w:shd w:val="clear" w:color="auto" w:fill="auto"/>
            <w:vAlign w:val="center"/>
            <w:hideMark/>
          </w:tcPr>
          <w:p w14:paraId="13EF772A" w14:textId="77777777" w:rsidR="00C50AB3" w:rsidRPr="00232BA2" w:rsidRDefault="00C50AB3" w:rsidP="00E30F40">
            <w:pPr>
              <w:jc w:val="center"/>
              <w:rPr>
                <w:rFonts w:ascii="Calibri" w:eastAsia="Times New Roman" w:hAnsi="Calibri" w:cs="Times New Roman"/>
                <w:b/>
                <w:bCs/>
                <w:color w:val="000000"/>
                <w:szCs w:val="22"/>
                <w:lang w:eastAsia="en-GB"/>
              </w:rPr>
            </w:pPr>
            <w:r w:rsidRPr="00232BA2">
              <w:rPr>
                <w:rFonts w:ascii="Calibri" w:eastAsia="Times New Roman" w:hAnsi="Calibri" w:cs="Times New Roman"/>
                <w:b/>
                <w:bCs/>
                <w:color w:val="000000"/>
                <w:szCs w:val="22"/>
                <w:lang w:eastAsia="en-GB"/>
              </w:rPr>
              <w:t>B</w:t>
            </w:r>
          </w:p>
        </w:tc>
        <w:tc>
          <w:tcPr>
            <w:tcW w:w="1700" w:type="dxa"/>
            <w:tcBorders>
              <w:top w:val="nil"/>
              <w:left w:val="nil"/>
              <w:bottom w:val="single" w:sz="18" w:space="0" w:color="E98E31" w:themeColor="background2"/>
              <w:right w:val="nil"/>
            </w:tcBorders>
            <w:shd w:val="clear" w:color="auto" w:fill="auto"/>
            <w:vAlign w:val="center"/>
            <w:hideMark/>
          </w:tcPr>
          <w:p w14:paraId="64BB5023"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2012-2013</w:t>
            </w:r>
          </w:p>
        </w:tc>
      </w:tr>
      <w:tr w:rsidR="00C50AB3" w:rsidRPr="00232BA2" w14:paraId="24C4AC04" w14:textId="77777777" w:rsidTr="000E074B">
        <w:trPr>
          <w:trHeight w:hRule="exact" w:val="608"/>
        </w:trPr>
        <w:tc>
          <w:tcPr>
            <w:tcW w:w="4660" w:type="dxa"/>
            <w:tcBorders>
              <w:top w:val="single" w:sz="18" w:space="0" w:color="E98E31" w:themeColor="background2"/>
              <w:left w:val="nil"/>
              <w:bottom w:val="nil"/>
              <w:right w:val="nil"/>
            </w:tcBorders>
            <w:shd w:val="clear" w:color="auto" w:fill="auto"/>
            <w:vAlign w:val="center"/>
            <w:hideMark/>
          </w:tcPr>
          <w:p w14:paraId="31F65ACB" w14:textId="728A1814" w:rsidR="00C50AB3" w:rsidRPr="00232BA2" w:rsidRDefault="00473F19" w:rsidP="00E30F40">
            <w:pPr>
              <w:rPr>
                <w:rFonts w:ascii="Calibri" w:eastAsia="Times New Roman" w:hAnsi="Calibri" w:cs="Times New Roman"/>
                <w:color w:val="000000"/>
                <w:szCs w:val="22"/>
                <w:lang w:eastAsia="en-GB"/>
              </w:rPr>
            </w:pPr>
            <w:r w:rsidRPr="00651446">
              <w:rPr>
                <w:rFonts w:ascii="Calibri" w:eastAsia="Times New Roman" w:hAnsi="Calibri" w:cs="Times New Roman"/>
                <w:color w:val="000000"/>
                <w:szCs w:val="22"/>
                <w:lang w:eastAsia="en-GB"/>
              </w:rPr>
              <w:t>C</w:t>
            </w:r>
            <w:r>
              <w:rPr>
                <w:rFonts w:ascii="Calibri" w:eastAsia="Times New Roman" w:hAnsi="Calibri" w:cs="Times New Roman"/>
                <w:color w:val="000000"/>
                <w:szCs w:val="22"/>
                <w:lang w:eastAsia="en-GB"/>
              </w:rPr>
              <w:t>redit Quality Step</w:t>
            </w:r>
            <w:r w:rsidR="00C50AB3" w:rsidRPr="00232BA2">
              <w:rPr>
                <w:rFonts w:ascii="Calibri" w:eastAsia="Times New Roman" w:hAnsi="Calibri" w:cs="Times New Roman"/>
                <w:color w:val="000000"/>
                <w:szCs w:val="22"/>
                <w:lang w:eastAsia="en-GB"/>
              </w:rPr>
              <w:t xml:space="preserve"> of equivalent international rating category</w:t>
            </w:r>
          </w:p>
        </w:tc>
        <w:tc>
          <w:tcPr>
            <w:tcW w:w="1700" w:type="dxa"/>
            <w:tcBorders>
              <w:top w:val="single" w:sz="18" w:space="0" w:color="E98E31" w:themeColor="background2"/>
              <w:left w:val="nil"/>
              <w:bottom w:val="nil"/>
              <w:right w:val="nil"/>
            </w:tcBorders>
            <w:shd w:val="clear" w:color="auto" w:fill="auto"/>
            <w:vAlign w:val="center"/>
            <w:hideMark/>
          </w:tcPr>
          <w:p w14:paraId="5305E8E6"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CQS5</w:t>
            </w:r>
          </w:p>
        </w:tc>
      </w:tr>
      <w:tr w:rsidR="00C50AB3" w:rsidRPr="00232BA2" w14:paraId="0C8AC805" w14:textId="77777777" w:rsidTr="00E30F40">
        <w:trPr>
          <w:trHeight w:hRule="exact" w:val="454"/>
        </w:trPr>
        <w:tc>
          <w:tcPr>
            <w:tcW w:w="4660" w:type="dxa"/>
            <w:tcBorders>
              <w:top w:val="nil"/>
              <w:left w:val="nil"/>
              <w:bottom w:val="nil"/>
              <w:right w:val="nil"/>
            </w:tcBorders>
            <w:shd w:val="clear" w:color="auto" w:fill="auto"/>
            <w:vAlign w:val="center"/>
            <w:hideMark/>
          </w:tcPr>
          <w:p w14:paraId="2807D931" w14:textId="77777777" w:rsidR="00C50AB3" w:rsidRPr="00232BA2" w:rsidRDefault="00C50AB3" w:rsidP="00E30F40">
            <w:pP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N. observed defaulted items</w:t>
            </w:r>
          </w:p>
        </w:tc>
        <w:tc>
          <w:tcPr>
            <w:tcW w:w="1700" w:type="dxa"/>
            <w:tcBorders>
              <w:top w:val="nil"/>
              <w:left w:val="nil"/>
              <w:bottom w:val="nil"/>
              <w:right w:val="nil"/>
            </w:tcBorders>
            <w:shd w:val="clear" w:color="auto" w:fill="auto"/>
            <w:noWrap/>
            <w:vAlign w:val="center"/>
            <w:hideMark/>
          </w:tcPr>
          <w:p w14:paraId="5023E812"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1</w:t>
            </w:r>
          </w:p>
        </w:tc>
      </w:tr>
      <w:tr w:rsidR="00C50AB3" w:rsidRPr="00232BA2" w14:paraId="0292780B" w14:textId="77777777" w:rsidTr="00E30F40">
        <w:trPr>
          <w:trHeight w:hRule="exact" w:val="454"/>
        </w:trPr>
        <w:tc>
          <w:tcPr>
            <w:tcW w:w="4660" w:type="dxa"/>
            <w:tcBorders>
              <w:top w:val="nil"/>
              <w:left w:val="nil"/>
              <w:bottom w:val="nil"/>
              <w:right w:val="nil"/>
            </w:tcBorders>
            <w:shd w:val="clear" w:color="auto" w:fill="auto"/>
            <w:vAlign w:val="center"/>
            <w:hideMark/>
          </w:tcPr>
          <w:p w14:paraId="43281440" w14:textId="77777777" w:rsidR="00C50AB3" w:rsidRPr="00232BA2" w:rsidRDefault="00C50AB3" w:rsidP="00E30F40">
            <w:pP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Minimum N. rated items</w:t>
            </w:r>
          </w:p>
        </w:tc>
        <w:tc>
          <w:tcPr>
            <w:tcW w:w="1700" w:type="dxa"/>
            <w:tcBorders>
              <w:top w:val="nil"/>
              <w:left w:val="nil"/>
              <w:bottom w:val="nil"/>
              <w:right w:val="nil"/>
            </w:tcBorders>
            <w:shd w:val="clear" w:color="auto" w:fill="auto"/>
            <w:noWrap/>
            <w:vAlign w:val="center"/>
            <w:hideMark/>
          </w:tcPr>
          <w:p w14:paraId="739DAA12"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11</w:t>
            </w:r>
          </w:p>
        </w:tc>
      </w:tr>
      <w:tr w:rsidR="00C50AB3" w:rsidRPr="00232BA2" w14:paraId="6E3C3D20" w14:textId="77777777" w:rsidTr="00E30F40">
        <w:trPr>
          <w:trHeight w:hRule="exact" w:val="454"/>
        </w:trPr>
        <w:tc>
          <w:tcPr>
            <w:tcW w:w="4660" w:type="dxa"/>
            <w:tcBorders>
              <w:top w:val="nil"/>
              <w:left w:val="nil"/>
              <w:bottom w:val="single" w:sz="8" w:space="0" w:color="000000"/>
              <w:right w:val="nil"/>
            </w:tcBorders>
            <w:shd w:val="clear" w:color="auto" w:fill="auto"/>
            <w:vAlign w:val="center"/>
            <w:hideMark/>
          </w:tcPr>
          <w:p w14:paraId="4813E914" w14:textId="77777777" w:rsidR="00C50AB3" w:rsidRPr="00232BA2" w:rsidRDefault="00C50AB3" w:rsidP="00E30F40">
            <w:pP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Observed N. rated items</w:t>
            </w:r>
          </w:p>
        </w:tc>
        <w:tc>
          <w:tcPr>
            <w:tcW w:w="1700" w:type="dxa"/>
            <w:tcBorders>
              <w:top w:val="nil"/>
              <w:left w:val="nil"/>
              <w:bottom w:val="single" w:sz="8" w:space="0" w:color="auto"/>
              <w:right w:val="nil"/>
            </w:tcBorders>
            <w:shd w:val="clear" w:color="auto" w:fill="auto"/>
            <w:noWrap/>
            <w:vAlign w:val="center"/>
            <w:hideMark/>
          </w:tcPr>
          <w:p w14:paraId="3EE18F1E"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2</w:t>
            </w:r>
          </w:p>
        </w:tc>
      </w:tr>
      <w:tr w:rsidR="00C50AB3" w:rsidRPr="00232BA2" w14:paraId="5E2F269F" w14:textId="77777777" w:rsidTr="00E30F40">
        <w:trPr>
          <w:trHeight w:hRule="exact" w:val="454"/>
        </w:trPr>
        <w:tc>
          <w:tcPr>
            <w:tcW w:w="4660" w:type="dxa"/>
            <w:tcBorders>
              <w:top w:val="nil"/>
              <w:left w:val="nil"/>
              <w:bottom w:val="single" w:sz="8" w:space="0" w:color="000000"/>
              <w:right w:val="nil"/>
            </w:tcBorders>
            <w:shd w:val="clear" w:color="auto" w:fill="auto"/>
            <w:vAlign w:val="center"/>
            <w:hideMark/>
          </w:tcPr>
          <w:p w14:paraId="1801DC8E" w14:textId="77777777" w:rsidR="00C50AB3" w:rsidRPr="00232BA2" w:rsidRDefault="00C50AB3" w:rsidP="00E30F40">
            <w:pPr>
              <w:rPr>
                <w:rFonts w:ascii="Calibri" w:eastAsia="Times New Roman" w:hAnsi="Calibri" w:cs="Times New Roman"/>
                <w:b/>
                <w:bCs/>
                <w:color w:val="000000"/>
                <w:szCs w:val="22"/>
                <w:lang w:eastAsia="en-GB"/>
              </w:rPr>
            </w:pPr>
            <w:r w:rsidRPr="00232BA2">
              <w:rPr>
                <w:rFonts w:ascii="Calibri" w:eastAsia="Times New Roman" w:hAnsi="Calibri" w:cs="Times New Roman"/>
                <w:b/>
                <w:bCs/>
                <w:color w:val="000000"/>
                <w:szCs w:val="22"/>
                <w:lang w:eastAsia="en-GB"/>
              </w:rPr>
              <w:t>Mapping proposal</w:t>
            </w:r>
          </w:p>
        </w:tc>
        <w:tc>
          <w:tcPr>
            <w:tcW w:w="1700" w:type="dxa"/>
            <w:tcBorders>
              <w:top w:val="nil"/>
              <w:left w:val="nil"/>
              <w:bottom w:val="single" w:sz="8" w:space="0" w:color="000000"/>
              <w:right w:val="nil"/>
            </w:tcBorders>
            <w:shd w:val="clear" w:color="auto" w:fill="auto"/>
            <w:vAlign w:val="center"/>
            <w:hideMark/>
          </w:tcPr>
          <w:p w14:paraId="1A76E4AB" w14:textId="77777777" w:rsidR="00C50AB3" w:rsidRPr="00232BA2" w:rsidRDefault="00C50AB3" w:rsidP="00E30F40">
            <w:pPr>
              <w:jc w:val="center"/>
              <w:rPr>
                <w:rFonts w:ascii="Calibri" w:eastAsia="Times New Roman" w:hAnsi="Calibri" w:cs="Times New Roman"/>
                <w:color w:val="000000"/>
                <w:szCs w:val="22"/>
                <w:lang w:eastAsia="en-GB"/>
              </w:rPr>
            </w:pPr>
            <w:r w:rsidRPr="00232BA2">
              <w:rPr>
                <w:rFonts w:ascii="Calibri" w:eastAsia="Times New Roman" w:hAnsi="Calibri" w:cs="Times New Roman"/>
                <w:color w:val="000000"/>
                <w:szCs w:val="22"/>
                <w:lang w:eastAsia="en-GB"/>
              </w:rPr>
              <w:t>CQS6</w:t>
            </w:r>
          </w:p>
        </w:tc>
      </w:tr>
    </w:tbl>
    <w:p w14:paraId="07AA386E" w14:textId="77777777" w:rsidR="00B56CE0" w:rsidRPr="00FC5912" w:rsidRDefault="00B56CE0" w:rsidP="00BB2D63">
      <w:pPr>
        <w:jc w:val="both"/>
        <w:sectPr w:rsidR="00B56CE0" w:rsidRPr="00FC5912" w:rsidSect="00924B10">
          <w:headerReference w:type="even" r:id="rId20"/>
          <w:headerReference w:type="default" r:id="rId21"/>
          <w:footerReference w:type="even" r:id="rId22"/>
          <w:footerReference w:type="default" r:id="rId23"/>
          <w:headerReference w:type="first" r:id="rId24"/>
          <w:footerReference w:type="first" r:id="rId25"/>
          <w:pgSz w:w="11900" w:h="16840"/>
          <w:pgMar w:top="2268" w:right="1418" w:bottom="1134" w:left="1701" w:header="709" w:footer="709" w:gutter="0"/>
          <w:cols w:space="708"/>
          <w:titlePg/>
          <w:docGrid w:linePitch="299"/>
        </w:sectPr>
      </w:pPr>
    </w:p>
    <w:p w14:paraId="284376F4" w14:textId="421899EE" w:rsidR="00F815E0" w:rsidRDefault="00F434D1" w:rsidP="00D83AAF">
      <w:pPr>
        <w:pStyle w:val="Titlelevel2"/>
        <w:outlineLvl w:val="0"/>
      </w:pPr>
      <w:r w:rsidRPr="00BE6527">
        <w:lastRenderedPageBreak/>
        <w:t xml:space="preserve">Appendix </w:t>
      </w:r>
      <w:r w:rsidR="008B3F92">
        <w:t>4</w:t>
      </w:r>
      <w:r w:rsidRPr="00BE6527">
        <w:t xml:space="preserve"> </w:t>
      </w:r>
    </w:p>
    <w:p w14:paraId="3F3741D0" w14:textId="36CABEF6" w:rsidR="00C50AB3" w:rsidRDefault="00C50AB3" w:rsidP="00B17160">
      <w:pPr>
        <w:pStyle w:val="Figuretitle"/>
      </w:pPr>
      <w:r w:rsidRPr="0041788D">
        <w:rPr>
          <w:szCs w:val="22"/>
        </w:rPr>
        <w:t xml:space="preserve">Figure </w:t>
      </w:r>
      <w:r w:rsidR="00473F19">
        <w:rPr>
          <w:szCs w:val="22"/>
        </w:rPr>
        <w:t>9</w:t>
      </w:r>
      <w:r>
        <w:t>:</w:t>
      </w:r>
      <w:r w:rsidRPr="00E25C65">
        <w:t xml:space="preserve"> Mapping of </w:t>
      </w:r>
      <w:r>
        <w:t>Creditreform’</w:t>
      </w:r>
      <w:r w:rsidRPr="00E25C65">
        <w:t xml:space="preserve">s </w:t>
      </w:r>
      <w:r>
        <w:t xml:space="preserve">Long-term </w:t>
      </w:r>
      <w:r w:rsidR="00B17160">
        <w:t xml:space="preserve">issuer </w:t>
      </w:r>
      <w:r>
        <w:t>rating scale</w:t>
      </w:r>
    </w:p>
    <w:tbl>
      <w:tblPr>
        <w:tblStyle w:val="TableGrid"/>
        <w:tblW w:w="5988" w:type="dxa"/>
        <w:tblInd w:w="108" w:type="dxa"/>
        <w:tblLayout w:type="fixed"/>
        <w:tblLook w:val="04A0" w:firstRow="1" w:lastRow="0" w:firstColumn="1" w:lastColumn="0" w:noHBand="0" w:noVBand="1"/>
      </w:tblPr>
      <w:tblGrid>
        <w:gridCol w:w="2869"/>
        <w:gridCol w:w="3119"/>
      </w:tblGrid>
      <w:tr w:rsidR="00473F19" w:rsidRPr="00157D76" w14:paraId="74C03699" w14:textId="77777777" w:rsidTr="000E074B">
        <w:trPr>
          <w:cnfStyle w:val="100000000000" w:firstRow="1" w:lastRow="0" w:firstColumn="0" w:lastColumn="0" w:oddVBand="0" w:evenVBand="0" w:oddHBand="0" w:evenHBand="0" w:firstRowFirstColumn="0" w:firstRowLastColumn="0" w:lastRowFirstColumn="0" w:lastRowLastColumn="0"/>
          <w:trHeight w:val="567"/>
        </w:trPr>
        <w:tc>
          <w:tcPr>
            <w:tcW w:w="2869" w:type="dxa"/>
            <w:tcBorders>
              <w:bottom w:val="single" w:sz="18" w:space="0" w:color="E98E31" w:themeColor="background2"/>
            </w:tcBorders>
          </w:tcPr>
          <w:p w14:paraId="45E493DE" w14:textId="77777777" w:rsidR="00473F19" w:rsidRPr="00157D76" w:rsidRDefault="00473F19" w:rsidP="00E30F40">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3119" w:type="dxa"/>
            <w:tcBorders>
              <w:bottom w:val="single" w:sz="18" w:space="0" w:color="E98E31" w:themeColor="background2"/>
            </w:tcBorders>
          </w:tcPr>
          <w:p w14:paraId="74305201" w14:textId="57764F1C" w:rsidR="00473F19" w:rsidRPr="00157D76" w:rsidRDefault="00473F19" w:rsidP="00E30F40">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473F19" w:rsidRPr="00157D76" w14:paraId="4597A330" w14:textId="77777777" w:rsidTr="000E074B">
        <w:trPr>
          <w:trHeight w:hRule="exact" w:val="482"/>
        </w:trPr>
        <w:tc>
          <w:tcPr>
            <w:tcW w:w="2869" w:type="dxa"/>
            <w:tcBorders>
              <w:top w:val="single" w:sz="18" w:space="0" w:color="E98E31" w:themeColor="background2"/>
              <w:bottom w:val="dashed" w:sz="4" w:space="0" w:color="auto"/>
            </w:tcBorders>
          </w:tcPr>
          <w:p w14:paraId="0CFB83FF" w14:textId="77777777" w:rsidR="00473F19" w:rsidRPr="00157D76" w:rsidRDefault="00473F19" w:rsidP="00671D4C">
            <w:pPr>
              <w:pStyle w:val="BodyText1"/>
              <w:jc w:val="center"/>
              <w:rPr>
                <w:rFonts w:asciiTheme="majorHAnsi" w:hAnsiTheme="majorHAnsi" w:cs="Arial"/>
                <w:b/>
                <w:sz w:val="22"/>
                <w:szCs w:val="22"/>
              </w:rPr>
            </w:pPr>
            <w:r w:rsidRPr="00157D76">
              <w:rPr>
                <w:rFonts w:asciiTheme="majorHAnsi" w:hAnsiTheme="majorHAnsi" w:cs="Arial"/>
                <w:b/>
                <w:sz w:val="22"/>
                <w:szCs w:val="22"/>
              </w:rPr>
              <w:t>AAA</w:t>
            </w:r>
          </w:p>
        </w:tc>
        <w:tc>
          <w:tcPr>
            <w:tcW w:w="3119" w:type="dxa"/>
            <w:tcBorders>
              <w:top w:val="single" w:sz="18" w:space="0" w:color="E98E31" w:themeColor="background2"/>
              <w:bottom w:val="single" w:sz="4" w:space="0" w:color="auto"/>
            </w:tcBorders>
          </w:tcPr>
          <w:p w14:paraId="563CD354" w14:textId="77777777" w:rsidR="00473F19" w:rsidRPr="00157D76" w:rsidRDefault="00473F19" w:rsidP="00671D4C">
            <w:pPr>
              <w:pStyle w:val="BodyText1"/>
              <w:ind w:right="81"/>
              <w:jc w:val="center"/>
              <w:rPr>
                <w:rFonts w:asciiTheme="majorHAnsi" w:hAnsiTheme="majorHAnsi" w:cs="Arial"/>
                <w:b/>
                <w:sz w:val="22"/>
                <w:szCs w:val="22"/>
              </w:rPr>
            </w:pPr>
            <w:r>
              <w:rPr>
                <w:rFonts w:asciiTheme="majorHAnsi" w:hAnsiTheme="majorHAnsi" w:cs="Arial"/>
                <w:b/>
                <w:sz w:val="22"/>
                <w:szCs w:val="22"/>
              </w:rPr>
              <w:t>1</w:t>
            </w:r>
          </w:p>
        </w:tc>
      </w:tr>
      <w:tr w:rsidR="00473F19" w:rsidRPr="00157D76" w14:paraId="4FD1F551" w14:textId="77777777" w:rsidTr="000E074B">
        <w:trPr>
          <w:trHeight w:hRule="exact" w:val="482"/>
        </w:trPr>
        <w:tc>
          <w:tcPr>
            <w:tcW w:w="2869" w:type="dxa"/>
            <w:tcBorders>
              <w:bottom w:val="dashed" w:sz="4" w:space="0" w:color="auto"/>
            </w:tcBorders>
          </w:tcPr>
          <w:p w14:paraId="655C31CA" w14:textId="77777777" w:rsidR="00473F19" w:rsidRPr="00157D76" w:rsidRDefault="00473F19" w:rsidP="00671D4C">
            <w:pPr>
              <w:pStyle w:val="BodyText1"/>
              <w:jc w:val="center"/>
              <w:rPr>
                <w:rFonts w:asciiTheme="majorHAnsi" w:hAnsiTheme="majorHAnsi" w:cs="Arial"/>
                <w:b/>
                <w:sz w:val="22"/>
                <w:szCs w:val="22"/>
              </w:rPr>
            </w:pPr>
            <w:r w:rsidRPr="00157D76">
              <w:rPr>
                <w:rFonts w:asciiTheme="majorHAnsi" w:hAnsiTheme="majorHAnsi" w:cs="Arial"/>
                <w:b/>
                <w:sz w:val="22"/>
                <w:szCs w:val="22"/>
              </w:rPr>
              <w:t>AA</w:t>
            </w:r>
          </w:p>
        </w:tc>
        <w:tc>
          <w:tcPr>
            <w:tcW w:w="3119" w:type="dxa"/>
            <w:tcBorders>
              <w:top w:val="single" w:sz="4" w:space="0" w:color="auto"/>
              <w:bottom w:val="single" w:sz="4" w:space="0" w:color="auto"/>
            </w:tcBorders>
          </w:tcPr>
          <w:p w14:paraId="03B21262" w14:textId="77777777" w:rsidR="00473F19" w:rsidRPr="00157D76" w:rsidRDefault="00473F19" w:rsidP="00671D4C">
            <w:pPr>
              <w:pStyle w:val="BodyText1"/>
              <w:ind w:right="81"/>
              <w:jc w:val="center"/>
              <w:rPr>
                <w:rFonts w:asciiTheme="majorHAnsi" w:hAnsiTheme="majorHAnsi" w:cs="Arial"/>
                <w:b/>
                <w:sz w:val="22"/>
                <w:szCs w:val="22"/>
              </w:rPr>
            </w:pPr>
            <w:r>
              <w:rPr>
                <w:rFonts w:asciiTheme="majorHAnsi" w:hAnsiTheme="majorHAnsi" w:cs="Arial"/>
                <w:b/>
                <w:sz w:val="22"/>
                <w:szCs w:val="22"/>
              </w:rPr>
              <w:t>1</w:t>
            </w:r>
          </w:p>
        </w:tc>
      </w:tr>
      <w:tr w:rsidR="00473F19" w:rsidRPr="00157D76" w14:paraId="4B8C5AE3" w14:textId="77777777" w:rsidTr="000E074B">
        <w:trPr>
          <w:trHeight w:hRule="exact" w:val="482"/>
        </w:trPr>
        <w:tc>
          <w:tcPr>
            <w:tcW w:w="2869" w:type="dxa"/>
            <w:tcBorders>
              <w:bottom w:val="dashed" w:sz="4" w:space="0" w:color="auto"/>
            </w:tcBorders>
          </w:tcPr>
          <w:p w14:paraId="44BD0F33" w14:textId="77777777" w:rsidR="00473F19" w:rsidRPr="00157D76" w:rsidRDefault="00473F19" w:rsidP="00671D4C">
            <w:pPr>
              <w:pStyle w:val="BodyText1"/>
              <w:jc w:val="center"/>
              <w:rPr>
                <w:rFonts w:asciiTheme="majorHAnsi" w:hAnsiTheme="majorHAnsi" w:cs="Arial"/>
                <w:b/>
                <w:sz w:val="22"/>
                <w:szCs w:val="22"/>
              </w:rPr>
            </w:pPr>
            <w:r w:rsidRPr="00157D76">
              <w:rPr>
                <w:rFonts w:asciiTheme="majorHAnsi" w:hAnsiTheme="majorHAnsi" w:cs="Arial"/>
                <w:b/>
                <w:sz w:val="22"/>
                <w:szCs w:val="22"/>
              </w:rPr>
              <w:t>A</w:t>
            </w:r>
          </w:p>
        </w:tc>
        <w:tc>
          <w:tcPr>
            <w:tcW w:w="3119" w:type="dxa"/>
            <w:tcBorders>
              <w:top w:val="single" w:sz="4" w:space="0" w:color="auto"/>
              <w:bottom w:val="single" w:sz="4" w:space="0" w:color="auto"/>
            </w:tcBorders>
          </w:tcPr>
          <w:p w14:paraId="7FEE20C0" w14:textId="77777777" w:rsidR="00473F19" w:rsidRPr="00157D76" w:rsidRDefault="00473F19" w:rsidP="00671D4C">
            <w:pPr>
              <w:pStyle w:val="BodyText1"/>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473F19" w:rsidRPr="00157D76" w14:paraId="4823AC04" w14:textId="77777777" w:rsidTr="000E074B">
        <w:trPr>
          <w:trHeight w:hRule="exact" w:val="482"/>
        </w:trPr>
        <w:tc>
          <w:tcPr>
            <w:tcW w:w="2869" w:type="dxa"/>
          </w:tcPr>
          <w:p w14:paraId="62879FBD" w14:textId="77777777" w:rsidR="00473F19" w:rsidRPr="00157D76" w:rsidRDefault="00473F19" w:rsidP="00671D4C">
            <w:pPr>
              <w:pStyle w:val="BodyText1"/>
              <w:jc w:val="center"/>
              <w:rPr>
                <w:rFonts w:asciiTheme="majorHAnsi" w:hAnsiTheme="majorHAnsi" w:cs="Arial"/>
                <w:b/>
                <w:sz w:val="22"/>
                <w:szCs w:val="22"/>
              </w:rPr>
            </w:pPr>
            <w:r w:rsidRPr="00157D76">
              <w:rPr>
                <w:rFonts w:asciiTheme="majorHAnsi" w:hAnsiTheme="majorHAnsi" w:cs="Arial"/>
                <w:b/>
                <w:sz w:val="22"/>
                <w:szCs w:val="22"/>
              </w:rPr>
              <w:t>BBB</w:t>
            </w:r>
          </w:p>
        </w:tc>
        <w:tc>
          <w:tcPr>
            <w:tcW w:w="3119" w:type="dxa"/>
            <w:tcBorders>
              <w:top w:val="single" w:sz="4" w:space="0" w:color="auto"/>
            </w:tcBorders>
          </w:tcPr>
          <w:p w14:paraId="6B4286E4" w14:textId="77777777" w:rsidR="00473F19" w:rsidRPr="00A34CF0" w:rsidRDefault="00473F19" w:rsidP="00671D4C">
            <w:pPr>
              <w:pStyle w:val="BodyText1"/>
              <w:ind w:right="81"/>
              <w:jc w:val="center"/>
              <w:rPr>
                <w:rFonts w:asciiTheme="majorHAnsi" w:hAnsiTheme="majorHAnsi" w:cs="Arial"/>
                <w:b/>
                <w:sz w:val="22"/>
                <w:szCs w:val="22"/>
              </w:rPr>
            </w:pPr>
            <w:r w:rsidRPr="00671D4C">
              <w:rPr>
                <w:rFonts w:asciiTheme="majorHAnsi" w:hAnsiTheme="majorHAnsi" w:cs="Arial"/>
                <w:b/>
                <w:sz w:val="22"/>
                <w:szCs w:val="22"/>
              </w:rPr>
              <w:t>4</w:t>
            </w:r>
          </w:p>
        </w:tc>
      </w:tr>
      <w:tr w:rsidR="00473F19" w:rsidRPr="00157D76" w14:paraId="3BCB4ADC" w14:textId="77777777" w:rsidTr="000E074B">
        <w:trPr>
          <w:trHeight w:hRule="exact" w:val="482"/>
        </w:trPr>
        <w:tc>
          <w:tcPr>
            <w:tcW w:w="2869" w:type="dxa"/>
          </w:tcPr>
          <w:p w14:paraId="1B8AFFA1" w14:textId="77777777" w:rsidR="00473F19" w:rsidRPr="00157D76" w:rsidRDefault="00473F19" w:rsidP="00671D4C">
            <w:pPr>
              <w:pStyle w:val="BodyText1"/>
              <w:jc w:val="center"/>
              <w:rPr>
                <w:rFonts w:asciiTheme="majorHAnsi" w:hAnsiTheme="majorHAnsi" w:cs="Arial"/>
                <w:b/>
                <w:sz w:val="22"/>
                <w:szCs w:val="22"/>
              </w:rPr>
            </w:pPr>
            <w:r w:rsidRPr="00157D76">
              <w:rPr>
                <w:rFonts w:asciiTheme="majorHAnsi" w:hAnsiTheme="majorHAnsi" w:cs="Arial"/>
                <w:b/>
                <w:sz w:val="22"/>
                <w:szCs w:val="22"/>
              </w:rPr>
              <w:t>BB</w:t>
            </w:r>
          </w:p>
        </w:tc>
        <w:tc>
          <w:tcPr>
            <w:tcW w:w="3119" w:type="dxa"/>
            <w:tcBorders>
              <w:top w:val="single" w:sz="4" w:space="0" w:color="auto"/>
            </w:tcBorders>
          </w:tcPr>
          <w:p w14:paraId="78A3CC44" w14:textId="77777777" w:rsidR="00473F19" w:rsidRPr="00A34CF0" w:rsidRDefault="00473F19" w:rsidP="00671D4C">
            <w:pPr>
              <w:pStyle w:val="BodyText1"/>
              <w:ind w:right="81"/>
              <w:jc w:val="center"/>
              <w:rPr>
                <w:rFonts w:asciiTheme="majorHAnsi" w:hAnsiTheme="majorHAnsi" w:cs="Arial"/>
                <w:b/>
                <w:sz w:val="22"/>
                <w:szCs w:val="22"/>
              </w:rPr>
            </w:pPr>
            <w:r w:rsidRPr="00671D4C">
              <w:rPr>
                <w:rFonts w:asciiTheme="majorHAnsi" w:hAnsiTheme="majorHAnsi" w:cs="Arial"/>
                <w:b/>
                <w:sz w:val="22"/>
                <w:szCs w:val="22"/>
              </w:rPr>
              <w:t>5</w:t>
            </w:r>
          </w:p>
        </w:tc>
      </w:tr>
      <w:tr w:rsidR="00473F19" w:rsidRPr="00157D76" w14:paraId="1DB968F8" w14:textId="77777777" w:rsidTr="000E074B">
        <w:trPr>
          <w:trHeight w:hRule="exact" w:val="482"/>
        </w:trPr>
        <w:tc>
          <w:tcPr>
            <w:tcW w:w="2869" w:type="dxa"/>
          </w:tcPr>
          <w:p w14:paraId="0103ABE6" w14:textId="77777777" w:rsidR="00473F19" w:rsidRPr="00157D76" w:rsidRDefault="00473F19" w:rsidP="00671D4C">
            <w:pPr>
              <w:pStyle w:val="BodyText1"/>
              <w:jc w:val="center"/>
              <w:rPr>
                <w:rFonts w:asciiTheme="majorHAnsi" w:hAnsiTheme="majorHAnsi" w:cs="Arial"/>
                <w:b/>
                <w:sz w:val="22"/>
                <w:szCs w:val="22"/>
              </w:rPr>
            </w:pPr>
            <w:r w:rsidRPr="00157D76">
              <w:rPr>
                <w:rFonts w:asciiTheme="majorHAnsi" w:hAnsiTheme="majorHAnsi" w:cs="Arial"/>
                <w:b/>
                <w:sz w:val="22"/>
                <w:szCs w:val="22"/>
              </w:rPr>
              <w:t>B</w:t>
            </w:r>
          </w:p>
        </w:tc>
        <w:tc>
          <w:tcPr>
            <w:tcW w:w="3119" w:type="dxa"/>
            <w:tcBorders>
              <w:top w:val="single" w:sz="4" w:space="0" w:color="auto"/>
            </w:tcBorders>
          </w:tcPr>
          <w:p w14:paraId="331C3C9E" w14:textId="77777777" w:rsidR="00473F19" w:rsidRPr="00A34CF0" w:rsidRDefault="00473F19" w:rsidP="00671D4C">
            <w:pPr>
              <w:pStyle w:val="BodyText1"/>
              <w:ind w:right="81"/>
              <w:jc w:val="center"/>
              <w:rPr>
                <w:rFonts w:asciiTheme="majorHAnsi" w:hAnsiTheme="majorHAnsi" w:cs="Arial"/>
                <w:b/>
                <w:sz w:val="22"/>
                <w:szCs w:val="22"/>
              </w:rPr>
            </w:pPr>
            <w:r w:rsidRPr="00671D4C">
              <w:rPr>
                <w:rFonts w:asciiTheme="majorHAnsi" w:hAnsiTheme="majorHAnsi" w:cs="Arial"/>
                <w:b/>
                <w:sz w:val="22"/>
                <w:szCs w:val="22"/>
              </w:rPr>
              <w:t>6</w:t>
            </w:r>
          </w:p>
        </w:tc>
      </w:tr>
      <w:tr w:rsidR="00473F19" w:rsidRPr="00157D76" w14:paraId="75114413" w14:textId="77777777" w:rsidTr="000E074B">
        <w:trPr>
          <w:trHeight w:hRule="exact" w:val="482"/>
        </w:trPr>
        <w:tc>
          <w:tcPr>
            <w:tcW w:w="2869" w:type="dxa"/>
          </w:tcPr>
          <w:p w14:paraId="6CFCA6C4" w14:textId="77777777" w:rsidR="00473F19" w:rsidRPr="00157D76" w:rsidRDefault="00473F19" w:rsidP="00671D4C">
            <w:pPr>
              <w:pStyle w:val="BodyText1"/>
              <w:jc w:val="center"/>
              <w:rPr>
                <w:rFonts w:asciiTheme="majorHAnsi" w:hAnsiTheme="majorHAnsi" w:cs="Arial"/>
                <w:b/>
                <w:sz w:val="22"/>
                <w:szCs w:val="22"/>
              </w:rPr>
            </w:pPr>
            <w:r w:rsidRPr="00157D76">
              <w:rPr>
                <w:rFonts w:asciiTheme="majorHAnsi" w:hAnsiTheme="majorHAnsi" w:cs="Arial"/>
                <w:b/>
                <w:sz w:val="22"/>
                <w:szCs w:val="22"/>
              </w:rPr>
              <w:t>C</w:t>
            </w:r>
          </w:p>
        </w:tc>
        <w:tc>
          <w:tcPr>
            <w:tcW w:w="3119" w:type="dxa"/>
            <w:tcBorders>
              <w:top w:val="single" w:sz="4" w:space="0" w:color="auto"/>
            </w:tcBorders>
          </w:tcPr>
          <w:p w14:paraId="5C974A70" w14:textId="77777777" w:rsidR="00473F19" w:rsidRPr="00157D76" w:rsidRDefault="00473F19" w:rsidP="00671D4C">
            <w:pPr>
              <w:pStyle w:val="BodyText1"/>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473F19" w:rsidRPr="00157D76" w14:paraId="5D84F17D" w14:textId="77777777" w:rsidTr="000E074B">
        <w:trPr>
          <w:trHeight w:hRule="exact" w:val="482"/>
        </w:trPr>
        <w:tc>
          <w:tcPr>
            <w:tcW w:w="2869" w:type="dxa"/>
          </w:tcPr>
          <w:p w14:paraId="326D84B7" w14:textId="77777777" w:rsidR="00473F19" w:rsidRPr="00157D76" w:rsidRDefault="00473F19" w:rsidP="00671D4C">
            <w:pPr>
              <w:pStyle w:val="BodyText1"/>
              <w:jc w:val="center"/>
              <w:rPr>
                <w:rFonts w:asciiTheme="majorHAnsi" w:hAnsiTheme="majorHAnsi" w:cs="Arial"/>
                <w:b/>
                <w:sz w:val="22"/>
                <w:szCs w:val="22"/>
              </w:rPr>
            </w:pPr>
            <w:r w:rsidRPr="00157D76">
              <w:rPr>
                <w:rFonts w:asciiTheme="majorHAnsi" w:hAnsiTheme="majorHAnsi" w:cs="Arial"/>
                <w:b/>
                <w:sz w:val="22"/>
                <w:szCs w:val="22"/>
              </w:rPr>
              <w:t>D</w:t>
            </w:r>
          </w:p>
        </w:tc>
        <w:tc>
          <w:tcPr>
            <w:tcW w:w="3119" w:type="dxa"/>
            <w:tcBorders>
              <w:top w:val="single" w:sz="4" w:space="0" w:color="auto"/>
              <w:bottom w:val="single" w:sz="4" w:space="0" w:color="auto"/>
            </w:tcBorders>
          </w:tcPr>
          <w:p w14:paraId="76B2684E" w14:textId="77777777" w:rsidR="00473F19" w:rsidRPr="00157D76" w:rsidRDefault="00473F19" w:rsidP="00671D4C">
            <w:pPr>
              <w:pStyle w:val="BodyText1"/>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473F19" w:rsidRPr="00157D76" w14:paraId="0836011A" w14:textId="77777777" w:rsidTr="000E074B">
        <w:trPr>
          <w:trHeight w:hRule="exact" w:val="482"/>
        </w:trPr>
        <w:tc>
          <w:tcPr>
            <w:tcW w:w="2869" w:type="dxa"/>
          </w:tcPr>
          <w:p w14:paraId="50312E63" w14:textId="77777777" w:rsidR="00473F19" w:rsidRPr="00157D76" w:rsidRDefault="00473F19" w:rsidP="00671D4C">
            <w:pPr>
              <w:pStyle w:val="BodyText1"/>
              <w:jc w:val="center"/>
              <w:rPr>
                <w:rFonts w:asciiTheme="majorHAnsi" w:hAnsiTheme="majorHAnsi" w:cs="Arial"/>
                <w:b/>
                <w:sz w:val="22"/>
                <w:szCs w:val="22"/>
              </w:rPr>
            </w:pPr>
            <w:r>
              <w:rPr>
                <w:rFonts w:asciiTheme="majorHAnsi" w:hAnsiTheme="majorHAnsi" w:cs="Arial"/>
                <w:b/>
                <w:sz w:val="22"/>
                <w:szCs w:val="22"/>
              </w:rPr>
              <w:t>SD</w:t>
            </w:r>
          </w:p>
        </w:tc>
        <w:tc>
          <w:tcPr>
            <w:tcW w:w="3119" w:type="dxa"/>
            <w:tcBorders>
              <w:top w:val="single" w:sz="4" w:space="0" w:color="auto"/>
            </w:tcBorders>
          </w:tcPr>
          <w:p w14:paraId="1AEFA7B3" w14:textId="77777777" w:rsidR="00473F19" w:rsidRPr="00157D76" w:rsidRDefault="00473F19" w:rsidP="00671D4C">
            <w:pPr>
              <w:pStyle w:val="BodyText1"/>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14:paraId="1AD4F985" w14:textId="11477DC4" w:rsidR="00B17160" w:rsidRDefault="00B17160" w:rsidP="00671D4C">
      <w:pPr>
        <w:pStyle w:val="Titlelevel2"/>
        <w:outlineLvl w:val="0"/>
      </w:pPr>
    </w:p>
    <w:p w14:paraId="7EB085F1" w14:textId="77777777" w:rsidR="00B17160" w:rsidRDefault="00B17160">
      <w:pPr>
        <w:rPr>
          <w:rFonts w:asciiTheme="majorHAnsi" w:eastAsiaTheme="majorEastAsia" w:hAnsiTheme="majorHAnsi" w:cstheme="majorBidi"/>
          <w:bCs/>
          <w:color w:val="2F5773" w:themeColor="text2"/>
          <w:sz w:val="32"/>
          <w:lang w:val="en-US"/>
        </w:rPr>
      </w:pPr>
      <w:r>
        <w:br w:type="page"/>
      </w:r>
    </w:p>
    <w:p w14:paraId="18C6FCFD" w14:textId="77777777" w:rsidR="00B17160" w:rsidRDefault="00B17160" w:rsidP="00B17160">
      <w:pPr>
        <w:pStyle w:val="Figuretitle"/>
        <w:rPr>
          <w:szCs w:val="22"/>
        </w:rPr>
      </w:pPr>
    </w:p>
    <w:p w14:paraId="0E776321" w14:textId="77777777" w:rsidR="00B17160" w:rsidRDefault="00B17160" w:rsidP="00B17160">
      <w:pPr>
        <w:pStyle w:val="Figuretitle"/>
        <w:rPr>
          <w:szCs w:val="22"/>
        </w:rPr>
      </w:pPr>
    </w:p>
    <w:p w14:paraId="320698AF" w14:textId="70C5D0C4" w:rsidR="00B17160" w:rsidRDefault="00B17160" w:rsidP="00B17160">
      <w:pPr>
        <w:pStyle w:val="Figuretitle"/>
      </w:pPr>
      <w:r w:rsidRPr="0041788D">
        <w:rPr>
          <w:szCs w:val="22"/>
        </w:rPr>
        <w:t xml:space="preserve">Figure </w:t>
      </w:r>
      <w:r w:rsidR="00473F19">
        <w:rPr>
          <w:szCs w:val="22"/>
        </w:rPr>
        <w:t>10</w:t>
      </w:r>
      <w:r>
        <w:t>:</w:t>
      </w:r>
      <w:r w:rsidRPr="00E25C65">
        <w:t xml:space="preserve"> Mapping of </w:t>
      </w:r>
      <w:r>
        <w:t>Creditreform’</w:t>
      </w:r>
      <w:r w:rsidRPr="00E25C65">
        <w:t xml:space="preserve">s </w:t>
      </w:r>
      <w:r>
        <w:t>Short-term credit rating scale</w:t>
      </w:r>
    </w:p>
    <w:p w14:paraId="037DBDC9" w14:textId="693682B8" w:rsidR="005B7224" w:rsidRDefault="005B7224" w:rsidP="004D71C2"/>
    <w:tbl>
      <w:tblPr>
        <w:tblStyle w:val="TableGrid"/>
        <w:tblW w:w="5453" w:type="dxa"/>
        <w:tblInd w:w="108" w:type="dxa"/>
        <w:tblBorders>
          <w:bottom w:val="single" w:sz="2" w:space="0" w:color="auto"/>
          <w:insideH w:val="single" w:sz="2" w:space="0" w:color="auto"/>
        </w:tblBorders>
        <w:tblLayout w:type="fixed"/>
        <w:tblCellMar>
          <w:left w:w="79" w:type="dxa"/>
          <w:right w:w="79" w:type="dxa"/>
        </w:tblCellMar>
        <w:tblLook w:val="04A0" w:firstRow="1" w:lastRow="0" w:firstColumn="1" w:lastColumn="0" w:noHBand="0" w:noVBand="1"/>
      </w:tblPr>
      <w:tblGrid>
        <w:gridCol w:w="2302"/>
        <w:gridCol w:w="3151"/>
      </w:tblGrid>
      <w:tr w:rsidR="00473F19" w:rsidRPr="004F73DB" w14:paraId="1949560E" w14:textId="77777777" w:rsidTr="000E074B">
        <w:trPr>
          <w:cnfStyle w:val="100000000000" w:firstRow="1" w:lastRow="0" w:firstColumn="0" w:lastColumn="0" w:oddVBand="0" w:evenVBand="0" w:oddHBand="0" w:evenHBand="0" w:firstRowFirstColumn="0" w:firstRowLastColumn="0" w:lastRowFirstColumn="0" w:lastRowLastColumn="0"/>
          <w:trHeight w:val="408"/>
        </w:trPr>
        <w:tc>
          <w:tcPr>
            <w:tcW w:w="2302" w:type="dxa"/>
            <w:tcBorders>
              <w:bottom w:val="single" w:sz="13" w:space="0" w:color="E98E31" w:themeColor="background2"/>
            </w:tcBorders>
          </w:tcPr>
          <w:p w14:paraId="64F18671" w14:textId="77777777" w:rsidR="00473F19" w:rsidRPr="004F73DB" w:rsidRDefault="00473F19" w:rsidP="009E4DAA">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3151" w:type="dxa"/>
            <w:tcBorders>
              <w:bottom w:val="single" w:sz="13" w:space="0" w:color="E98E31" w:themeColor="background2"/>
            </w:tcBorders>
          </w:tcPr>
          <w:p w14:paraId="61002048" w14:textId="28666EA9" w:rsidR="00473F19" w:rsidRPr="004F73DB" w:rsidRDefault="00473F19" w:rsidP="009E4DAA">
            <w:pPr>
              <w:pStyle w:val="BodyText1"/>
              <w:spacing w:before="60" w:after="60" w:line="240" w:lineRule="exact"/>
              <w:jc w:val="center"/>
              <w:rPr>
                <w:rFonts w:asciiTheme="majorHAnsi" w:hAnsiTheme="majorHAnsi" w:cs="Arial"/>
                <w:b/>
                <w:sz w:val="22"/>
                <w:szCs w:val="22"/>
              </w:rPr>
            </w:pPr>
            <w:r>
              <w:rPr>
                <w:rFonts w:asciiTheme="majorHAnsi" w:hAnsiTheme="majorHAnsi" w:cs="Arial"/>
                <w:b/>
                <w:sz w:val="22"/>
                <w:szCs w:val="22"/>
              </w:rPr>
              <w:t>Credit Quality Step</w:t>
            </w:r>
          </w:p>
        </w:tc>
      </w:tr>
      <w:tr w:rsidR="00473F19" w:rsidRPr="00157D76" w14:paraId="7998ECCA" w14:textId="77777777" w:rsidTr="000E074B">
        <w:trPr>
          <w:trHeight w:val="293"/>
        </w:trPr>
        <w:tc>
          <w:tcPr>
            <w:tcW w:w="2302" w:type="dxa"/>
            <w:tcBorders>
              <w:top w:val="single" w:sz="13" w:space="0" w:color="E98E31" w:themeColor="background2"/>
              <w:bottom w:val="dashed" w:sz="2" w:space="0" w:color="auto"/>
            </w:tcBorders>
          </w:tcPr>
          <w:p w14:paraId="2D772636" w14:textId="1F3FF58B" w:rsidR="00473F19" w:rsidRPr="00157D76" w:rsidRDefault="00473F19" w:rsidP="009E4DAA">
            <w:pPr>
              <w:pStyle w:val="BodyText1"/>
              <w:spacing w:before="120" w:after="120"/>
              <w:jc w:val="center"/>
              <w:rPr>
                <w:rFonts w:asciiTheme="majorHAnsi" w:hAnsiTheme="majorHAnsi" w:cs="Arial"/>
                <w:b/>
                <w:sz w:val="22"/>
                <w:szCs w:val="22"/>
              </w:rPr>
            </w:pPr>
            <w:r>
              <w:rPr>
                <w:rFonts w:asciiTheme="majorHAnsi" w:hAnsiTheme="majorHAnsi" w:cs="Arial"/>
                <w:b/>
                <w:sz w:val="22"/>
                <w:szCs w:val="22"/>
              </w:rPr>
              <w:t>L1</w:t>
            </w:r>
          </w:p>
        </w:tc>
        <w:tc>
          <w:tcPr>
            <w:tcW w:w="3151" w:type="dxa"/>
            <w:tcBorders>
              <w:top w:val="single" w:sz="13" w:space="0" w:color="E98E31" w:themeColor="background2"/>
              <w:bottom w:val="single" w:sz="2" w:space="0" w:color="auto"/>
            </w:tcBorders>
          </w:tcPr>
          <w:p w14:paraId="6F708B3B" w14:textId="77777777" w:rsidR="00473F19" w:rsidRPr="00157D76" w:rsidRDefault="00473F19" w:rsidP="009E4DAA">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473F19" w:rsidRPr="00157D76" w14:paraId="1ADB7F2E" w14:textId="77777777" w:rsidTr="000E074B">
        <w:trPr>
          <w:trHeight w:val="293"/>
        </w:trPr>
        <w:tc>
          <w:tcPr>
            <w:tcW w:w="2302" w:type="dxa"/>
            <w:tcBorders>
              <w:bottom w:val="dashed" w:sz="2" w:space="0" w:color="auto"/>
            </w:tcBorders>
          </w:tcPr>
          <w:p w14:paraId="7AC1094D" w14:textId="3C75C38A" w:rsidR="00473F19" w:rsidRPr="00157D76" w:rsidRDefault="00473F19" w:rsidP="009E4DAA">
            <w:pPr>
              <w:pStyle w:val="BodyText1"/>
              <w:spacing w:before="120" w:after="120"/>
              <w:jc w:val="center"/>
              <w:rPr>
                <w:rFonts w:asciiTheme="majorHAnsi" w:hAnsiTheme="majorHAnsi" w:cs="Arial"/>
                <w:b/>
                <w:sz w:val="22"/>
                <w:szCs w:val="22"/>
              </w:rPr>
            </w:pPr>
            <w:r>
              <w:rPr>
                <w:rFonts w:asciiTheme="majorHAnsi" w:hAnsiTheme="majorHAnsi" w:cs="Arial"/>
                <w:b/>
                <w:sz w:val="22"/>
                <w:szCs w:val="22"/>
              </w:rPr>
              <w:t>L2</w:t>
            </w:r>
          </w:p>
        </w:tc>
        <w:tc>
          <w:tcPr>
            <w:tcW w:w="3151" w:type="dxa"/>
            <w:tcBorders>
              <w:bottom w:val="single" w:sz="2" w:space="0" w:color="auto"/>
            </w:tcBorders>
          </w:tcPr>
          <w:p w14:paraId="0C156C12" w14:textId="77777777" w:rsidR="00473F19" w:rsidRPr="00157D76" w:rsidRDefault="00473F19" w:rsidP="009E4DAA">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473F19" w:rsidRPr="00157D76" w14:paraId="34B1669A" w14:textId="77777777" w:rsidTr="000E074B">
        <w:trPr>
          <w:trHeight w:val="293"/>
        </w:trPr>
        <w:tc>
          <w:tcPr>
            <w:tcW w:w="2302" w:type="dxa"/>
            <w:tcBorders>
              <w:bottom w:val="dashed" w:sz="2" w:space="0" w:color="auto"/>
            </w:tcBorders>
          </w:tcPr>
          <w:p w14:paraId="71AABCFB" w14:textId="5DC4ACC9" w:rsidR="00473F19" w:rsidRPr="00157D76" w:rsidRDefault="00473F19" w:rsidP="009E4DAA">
            <w:pPr>
              <w:pStyle w:val="BodyText1"/>
              <w:spacing w:before="120" w:after="120"/>
              <w:jc w:val="center"/>
              <w:rPr>
                <w:rFonts w:asciiTheme="majorHAnsi" w:hAnsiTheme="majorHAnsi" w:cs="Arial"/>
                <w:b/>
                <w:sz w:val="22"/>
                <w:szCs w:val="22"/>
              </w:rPr>
            </w:pPr>
            <w:r>
              <w:rPr>
                <w:rFonts w:asciiTheme="majorHAnsi" w:hAnsiTheme="majorHAnsi" w:cs="Arial"/>
                <w:b/>
                <w:sz w:val="22"/>
                <w:szCs w:val="22"/>
              </w:rPr>
              <w:t>L3</w:t>
            </w:r>
          </w:p>
        </w:tc>
        <w:tc>
          <w:tcPr>
            <w:tcW w:w="3151" w:type="dxa"/>
            <w:tcBorders>
              <w:bottom w:val="single" w:sz="2" w:space="0" w:color="auto"/>
            </w:tcBorders>
          </w:tcPr>
          <w:p w14:paraId="487DA825" w14:textId="37CB9312" w:rsidR="00473F19" w:rsidRPr="00157D76" w:rsidRDefault="00473F19" w:rsidP="009E4DAA">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r>
      <w:tr w:rsidR="00473F19" w:rsidRPr="00157D76" w14:paraId="3136A9DB" w14:textId="77777777" w:rsidTr="000E074B">
        <w:trPr>
          <w:trHeight w:val="293"/>
        </w:trPr>
        <w:tc>
          <w:tcPr>
            <w:tcW w:w="2302" w:type="dxa"/>
          </w:tcPr>
          <w:p w14:paraId="14BA0262" w14:textId="44A6A549" w:rsidR="00473F19" w:rsidRPr="00157D76" w:rsidRDefault="00473F19" w:rsidP="009E4DAA">
            <w:pPr>
              <w:pStyle w:val="BodyText1"/>
              <w:spacing w:before="120" w:after="120"/>
              <w:jc w:val="center"/>
              <w:rPr>
                <w:rFonts w:asciiTheme="majorHAnsi" w:hAnsiTheme="majorHAnsi" w:cs="Arial"/>
                <w:b/>
                <w:sz w:val="22"/>
                <w:szCs w:val="22"/>
              </w:rPr>
            </w:pPr>
            <w:r>
              <w:rPr>
                <w:rFonts w:asciiTheme="majorHAnsi" w:hAnsiTheme="majorHAnsi" w:cs="Arial"/>
                <w:b/>
                <w:sz w:val="22"/>
                <w:szCs w:val="22"/>
              </w:rPr>
              <w:t>NEL</w:t>
            </w:r>
          </w:p>
        </w:tc>
        <w:tc>
          <w:tcPr>
            <w:tcW w:w="3151" w:type="dxa"/>
          </w:tcPr>
          <w:p w14:paraId="1F6AC05F" w14:textId="22E2A1F4" w:rsidR="00473F19" w:rsidRPr="00157D76" w:rsidRDefault="00473F19" w:rsidP="009E4DAA">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r>
      <w:tr w:rsidR="00473F19" w:rsidRPr="00157D76" w14:paraId="469FB8FE" w14:textId="77777777" w:rsidTr="000E074B">
        <w:trPr>
          <w:trHeight w:val="293"/>
        </w:trPr>
        <w:tc>
          <w:tcPr>
            <w:tcW w:w="2302" w:type="dxa"/>
          </w:tcPr>
          <w:p w14:paraId="191EFC78" w14:textId="2E5B6AB6" w:rsidR="00473F19" w:rsidRPr="00157D76" w:rsidRDefault="00473F19" w:rsidP="009E4DAA">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3151" w:type="dxa"/>
          </w:tcPr>
          <w:p w14:paraId="775EE7A7" w14:textId="77777777" w:rsidR="00473F19" w:rsidRPr="00157D76" w:rsidRDefault="00473F19" w:rsidP="009E4DAA">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bl>
    <w:p w14:paraId="6B41BC43" w14:textId="77777777" w:rsidR="008C630D" w:rsidRDefault="008C630D" w:rsidP="004D71C2"/>
    <w:p w14:paraId="27BD3162" w14:textId="5DBCB439" w:rsidR="008C630D" w:rsidRDefault="008C630D" w:rsidP="004D71C2"/>
    <w:p w14:paraId="2B5AE326" w14:textId="51D0B9A6" w:rsidR="008C630D" w:rsidRDefault="008C630D" w:rsidP="004D71C2"/>
    <w:p w14:paraId="4F6EED6B" w14:textId="75548351" w:rsidR="008C630D" w:rsidRDefault="008C630D" w:rsidP="004D71C2"/>
    <w:p w14:paraId="463EB216" w14:textId="2A5029A8" w:rsidR="00473F19" w:rsidRDefault="00473F19">
      <w:r>
        <w:br w:type="page"/>
      </w:r>
    </w:p>
    <w:p w14:paraId="605ADBE9" w14:textId="77777777" w:rsidR="008C630D" w:rsidRDefault="008C630D" w:rsidP="004D71C2"/>
    <w:p w14:paraId="66C76310" w14:textId="77777777" w:rsidR="008C630D" w:rsidRPr="004D71C2" w:rsidRDefault="008C630D" w:rsidP="004D71C2"/>
    <w:p w14:paraId="4E4D7840" w14:textId="7CB0215B" w:rsidR="00B17160" w:rsidRDefault="00B17160" w:rsidP="00B17160">
      <w:pPr>
        <w:pStyle w:val="Figuretitle"/>
      </w:pPr>
      <w:r w:rsidRPr="0041788D">
        <w:rPr>
          <w:szCs w:val="22"/>
        </w:rPr>
        <w:t xml:space="preserve">Figure </w:t>
      </w:r>
      <w:r>
        <w:rPr>
          <w:szCs w:val="22"/>
        </w:rPr>
        <w:t>1</w:t>
      </w:r>
      <w:r w:rsidR="00473F19">
        <w:rPr>
          <w:szCs w:val="22"/>
        </w:rPr>
        <w:t>1</w:t>
      </w:r>
      <w:r>
        <w:t>:</w:t>
      </w:r>
      <w:r w:rsidRPr="00E25C65">
        <w:t xml:space="preserve"> Mapping of </w:t>
      </w:r>
      <w:r>
        <w:t>Creditreform’</w:t>
      </w:r>
      <w:r w:rsidRPr="00E25C65">
        <w:t xml:space="preserve">s </w:t>
      </w:r>
      <w:r>
        <w:t>Long-term issue credit rating scale</w:t>
      </w:r>
    </w:p>
    <w:tbl>
      <w:tblPr>
        <w:tblStyle w:val="TableGrid"/>
        <w:tblW w:w="6730" w:type="dxa"/>
        <w:tblInd w:w="108" w:type="dxa"/>
        <w:tblLayout w:type="fixed"/>
        <w:tblLook w:val="04A0" w:firstRow="1" w:lastRow="0" w:firstColumn="1" w:lastColumn="0" w:noHBand="0" w:noVBand="1"/>
      </w:tblPr>
      <w:tblGrid>
        <w:gridCol w:w="2869"/>
        <w:gridCol w:w="3861"/>
      </w:tblGrid>
      <w:tr w:rsidR="00473F19" w:rsidRPr="00CD1257" w14:paraId="78A51B67" w14:textId="77777777" w:rsidTr="000E074B">
        <w:trPr>
          <w:cnfStyle w:val="100000000000" w:firstRow="1" w:lastRow="0" w:firstColumn="0" w:lastColumn="0" w:oddVBand="0" w:evenVBand="0" w:oddHBand="0" w:evenHBand="0" w:firstRowFirstColumn="0" w:firstRowLastColumn="0" w:lastRowFirstColumn="0" w:lastRowLastColumn="0"/>
          <w:trHeight w:val="642"/>
        </w:trPr>
        <w:tc>
          <w:tcPr>
            <w:tcW w:w="2869" w:type="dxa"/>
            <w:tcBorders>
              <w:bottom w:val="single" w:sz="18" w:space="0" w:color="E98E31" w:themeColor="background2"/>
            </w:tcBorders>
          </w:tcPr>
          <w:p w14:paraId="750CA22C" w14:textId="77777777" w:rsidR="00473F19" w:rsidRPr="00CD1257" w:rsidRDefault="00473F19" w:rsidP="009E4DAA">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3861" w:type="dxa"/>
            <w:tcBorders>
              <w:bottom w:val="single" w:sz="18" w:space="0" w:color="E98E31" w:themeColor="background2"/>
            </w:tcBorders>
          </w:tcPr>
          <w:p w14:paraId="2801282E" w14:textId="6927D692" w:rsidR="00473F19" w:rsidRPr="00CD1257" w:rsidRDefault="00473F19" w:rsidP="009E4DAA">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473F19" w:rsidRPr="00CD1257" w14:paraId="665BBAD4" w14:textId="77777777" w:rsidTr="000E074B">
        <w:trPr>
          <w:trHeight w:val="454"/>
        </w:trPr>
        <w:tc>
          <w:tcPr>
            <w:tcW w:w="2869" w:type="dxa"/>
            <w:tcBorders>
              <w:top w:val="single" w:sz="18" w:space="0" w:color="E98E31" w:themeColor="background2"/>
              <w:bottom w:val="dashed" w:sz="4" w:space="0" w:color="auto"/>
            </w:tcBorders>
          </w:tcPr>
          <w:p w14:paraId="71193EFE" w14:textId="77777777" w:rsidR="00473F19" w:rsidRPr="00CD1257" w:rsidRDefault="00473F19" w:rsidP="009E4DAA">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AAA</w:t>
            </w:r>
          </w:p>
        </w:tc>
        <w:tc>
          <w:tcPr>
            <w:tcW w:w="3861" w:type="dxa"/>
            <w:tcBorders>
              <w:top w:val="single" w:sz="18" w:space="0" w:color="E98E31" w:themeColor="background2"/>
              <w:bottom w:val="single" w:sz="4" w:space="0" w:color="auto"/>
            </w:tcBorders>
          </w:tcPr>
          <w:p w14:paraId="66251DAA" w14:textId="77777777" w:rsidR="00473F19" w:rsidRPr="00CD1257" w:rsidRDefault="00473F19" w:rsidP="009E4DAA">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r>
      <w:tr w:rsidR="00473F19" w:rsidRPr="00CD1257" w14:paraId="71841A1F" w14:textId="77777777" w:rsidTr="000E074B">
        <w:trPr>
          <w:trHeight w:val="454"/>
        </w:trPr>
        <w:tc>
          <w:tcPr>
            <w:tcW w:w="2869" w:type="dxa"/>
            <w:tcBorders>
              <w:bottom w:val="dashed" w:sz="4" w:space="0" w:color="auto"/>
            </w:tcBorders>
          </w:tcPr>
          <w:p w14:paraId="681B3E1D" w14:textId="77777777" w:rsidR="00473F19" w:rsidRPr="00CD1257" w:rsidRDefault="00473F19" w:rsidP="009E4DAA">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w:t>
            </w:r>
          </w:p>
        </w:tc>
        <w:tc>
          <w:tcPr>
            <w:tcW w:w="3861" w:type="dxa"/>
            <w:tcBorders>
              <w:bottom w:val="single" w:sz="4" w:space="0" w:color="auto"/>
            </w:tcBorders>
          </w:tcPr>
          <w:p w14:paraId="6D24BBEA" w14:textId="77777777" w:rsidR="00473F19" w:rsidRPr="00CD1257" w:rsidRDefault="00473F19" w:rsidP="009E4DAA">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r>
      <w:tr w:rsidR="00473F19" w:rsidRPr="00CD1257" w14:paraId="03E43802" w14:textId="77777777" w:rsidTr="000E074B">
        <w:trPr>
          <w:trHeight w:val="454"/>
        </w:trPr>
        <w:tc>
          <w:tcPr>
            <w:tcW w:w="2869" w:type="dxa"/>
            <w:tcBorders>
              <w:bottom w:val="dashed" w:sz="4" w:space="0" w:color="auto"/>
            </w:tcBorders>
          </w:tcPr>
          <w:p w14:paraId="73EAF91E" w14:textId="77777777" w:rsidR="00473F19" w:rsidRPr="00CD1257" w:rsidRDefault="00473F19" w:rsidP="009E4DAA">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w:t>
            </w:r>
          </w:p>
        </w:tc>
        <w:tc>
          <w:tcPr>
            <w:tcW w:w="3861" w:type="dxa"/>
            <w:tcBorders>
              <w:bottom w:val="single" w:sz="4" w:space="0" w:color="auto"/>
            </w:tcBorders>
          </w:tcPr>
          <w:p w14:paraId="54037A74" w14:textId="77777777" w:rsidR="00473F19" w:rsidRPr="00CD1257" w:rsidRDefault="00473F19" w:rsidP="009E4DAA">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r>
      <w:tr w:rsidR="00473F19" w:rsidRPr="00CD1257" w14:paraId="4435358B" w14:textId="77777777" w:rsidTr="000E074B">
        <w:trPr>
          <w:trHeight w:val="454"/>
        </w:trPr>
        <w:tc>
          <w:tcPr>
            <w:tcW w:w="2869" w:type="dxa"/>
          </w:tcPr>
          <w:p w14:paraId="6545617E" w14:textId="77777777" w:rsidR="00473F19" w:rsidRPr="00CD1257" w:rsidRDefault="00473F19" w:rsidP="009E4DAA">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BBB</w:t>
            </w:r>
          </w:p>
        </w:tc>
        <w:tc>
          <w:tcPr>
            <w:tcW w:w="3861" w:type="dxa"/>
          </w:tcPr>
          <w:p w14:paraId="39436DC2" w14:textId="1A43995C" w:rsidR="00473F19" w:rsidRPr="00CD1257" w:rsidRDefault="00473F19" w:rsidP="009E4DAA">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r>
      <w:tr w:rsidR="00473F19" w:rsidRPr="00CD1257" w14:paraId="0AD01806" w14:textId="77777777" w:rsidTr="000E074B">
        <w:trPr>
          <w:trHeight w:val="454"/>
        </w:trPr>
        <w:tc>
          <w:tcPr>
            <w:tcW w:w="2869" w:type="dxa"/>
          </w:tcPr>
          <w:p w14:paraId="4853F8A0" w14:textId="77777777" w:rsidR="00473F19" w:rsidRPr="00CD1257" w:rsidRDefault="00473F19" w:rsidP="009E4DAA">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w:t>
            </w:r>
          </w:p>
        </w:tc>
        <w:tc>
          <w:tcPr>
            <w:tcW w:w="3861" w:type="dxa"/>
          </w:tcPr>
          <w:p w14:paraId="37A4F16C" w14:textId="57D8C92B" w:rsidR="00473F19" w:rsidRPr="00CD1257" w:rsidRDefault="00473F19" w:rsidP="009E4DAA">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r>
      <w:tr w:rsidR="00473F19" w:rsidRPr="00CD1257" w14:paraId="06CF3A04" w14:textId="77777777" w:rsidTr="000E074B">
        <w:trPr>
          <w:trHeight w:val="454"/>
        </w:trPr>
        <w:tc>
          <w:tcPr>
            <w:tcW w:w="2869" w:type="dxa"/>
          </w:tcPr>
          <w:p w14:paraId="6C365ACB" w14:textId="77777777" w:rsidR="00473F19" w:rsidRPr="00CD1257" w:rsidRDefault="00473F19" w:rsidP="009E4DAA">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3861" w:type="dxa"/>
          </w:tcPr>
          <w:p w14:paraId="22DE4CB2" w14:textId="66261A0F" w:rsidR="00473F19" w:rsidRPr="00CD1257" w:rsidRDefault="00473F19" w:rsidP="009E4DAA">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473F19" w:rsidRPr="00CD1257" w14:paraId="30A7F6D8" w14:textId="77777777" w:rsidTr="000E074B">
        <w:trPr>
          <w:trHeight w:val="454"/>
        </w:trPr>
        <w:tc>
          <w:tcPr>
            <w:tcW w:w="2869" w:type="dxa"/>
          </w:tcPr>
          <w:p w14:paraId="30BBB13F" w14:textId="77777777" w:rsidR="00473F19" w:rsidRPr="00CD1257" w:rsidRDefault="00473F19" w:rsidP="009E4DAA">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w:t>
            </w:r>
          </w:p>
        </w:tc>
        <w:tc>
          <w:tcPr>
            <w:tcW w:w="3861" w:type="dxa"/>
          </w:tcPr>
          <w:p w14:paraId="0EEA6659" w14:textId="77777777" w:rsidR="00473F19" w:rsidRPr="00CD1257" w:rsidRDefault="00473F19" w:rsidP="009E4DAA">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r>
      <w:tr w:rsidR="00473F19" w:rsidRPr="00CD1257" w14:paraId="0FE30F30" w14:textId="77777777" w:rsidTr="000E074B">
        <w:trPr>
          <w:trHeight w:val="454"/>
        </w:trPr>
        <w:tc>
          <w:tcPr>
            <w:tcW w:w="2869" w:type="dxa"/>
          </w:tcPr>
          <w:p w14:paraId="36B5848D" w14:textId="77777777" w:rsidR="00473F19" w:rsidRPr="00CD1257" w:rsidRDefault="00473F19" w:rsidP="009E4DAA">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D</w:t>
            </w:r>
          </w:p>
        </w:tc>
        <w:tc>
          <w:tcPr>
            <w:tcW w:w="3861" w:type="dxa"/>
          </w:tcPr>
          <w:p w14:paraId="4E9DA316" w14:textId="77777777" w:rsidR="00473F19" w:rsidRPr="00CD1257" w:rsidRDefault="00473F19" w:rsidP="009E4DAA">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r>
    </w:tbl>
    <w:p w14:paraId="265B2281" w14:textId="77777777" w:rsidR="00A92358" w:rsidRPr="004D71C2" w:rsidRDefault="00A92358" w:rsidP="00671D4C">
      <w:pPr>
        <w:pStyle w:val="Titlelevel2"/>
        <w:outlineLvl w:val="0"/>
        <w:rPr>
          <w:lang w:val="en-GB"/>
        </w:rPr>
      </w:pPr>
    </w:p>
    <w:sectPr w:rsidR="00A92358" w:rsidRPr="004D71C2" w:rsidSect="00010D71">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5AE87" w14:textId="77777777" w:rsidR="009E4DAA" w:rsidRDefault="009E4DAA" w:rsidP="00A00E34">
      <w:r>
        <w:separator/>
      </w:r>
    </w:p>
    <w:p w14:paraId="2BA55945" w14:textId="77777777" w:rsidR="009E4DAA" w:rsidRDefault="009E4DAA"/>
  </w:endnote>
  <w:endnote w:type="continuationSeparator" w:id="0">
    <w:p w14:paraId="20529D54" w14:textId="77777777" w:rsidR="009E4DAA" w:rsidRDefault="009E4DAA" w:rsidP="00A00E34">
      <w:r>
        <w:continuationSeparator/>
      </w:r>
    </w:p>
    <w:p w14:paraId="1C6A68F3" w14:textId="77777777" w:rsidR="009E4DAA" w:rsidRDefault="009E4D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7CED0" w14:textId="77777777" w:rsidR="009E4DAA" w:rsidRDefault="009E4DAA"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45D927" w14:textId="77777777" w:rsidR="009E4DAA" w:rsidRDefault="009E4DAA"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17307" w14:textId="0AC6BE57" w:rsidR="009E4DAA" w:rsidRDefault="009E4DAA"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3B7D">
      <w:rPr>
        <w:rStyle w:val="PageNumber"/>
        <w:noProof/>
      </w:rPr>
      <w:t>1</w:t>
    </w:r>
    <w:r>
      <w:rPr>
        <w:rStyle w:val="PageNumber"/>
      </w:rPr>
      <w:fldChar w:fldCharType="end"/>
    </w:r>
  </w:p>
  <w:p w14:paraId="66E69687" w14:textId="2F58978E" w:rsidR="009E4DAA" w:rsidRDefault="009E4DAA"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1D1DD5F3" wp14:editId="1CA59888">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3DA9E9"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9B22A" w14:textId="3E9CB44D" w:rsidR="009E4DAA" w:rsidRDefault="009E4DAA"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104BA45" w14:textId="77777777" w:rsidR="009E4DAA" w:rsidRDefault="009E4DAA"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240E4320" wp14:editId="5231D833">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9081E1"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6427" w14:textId="77777777" w:rsidR="009E4DAA" w:rsidRDefault="009E4DAA"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41F91F" w14:textId="77777777" w:rsidR="009E4DAA" w:rsidRDefault="009E4DAA"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99941" w14:textId="76F6C482" w:rsidR="009E4DAA" w:rsidRDefault="009E4DAA"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3B7D">
      <w:rPr>
        <w:rStyle w:val="PageNumber"/>
        <w:noProof/>
      </w:rPr>
      <w:t>10</w:t>
    </w:r>
    <w:r>
      <w:rPr>
        <w:rStyle w:val="PageNumber"/>
      </w:rPr>
      <w:fldChar w:fldCharType="end"/>
    </w:r>
  </w:p>
  <w:p w14:paraId="5B8906C3" w14:textId="77777777" w:rsidR="009E4DAA" w:rsidRDefault="009E4DAA" w:rsidP="00610305">
    <w:pPr>
      <w:pStyle w:val="Footer"/>
      <w:ind w:right="360"/>
    </w:pPr>
    <w:r>
      <w:rPr>
        <w:noProof/>
        <w:lang w:eastAsia="en-GB"/>
      </w:rPr>
      <mc:AlternateContent>
        <mc:Choice Requires="wps">
          <w:drawing>
            <wp:anchor distT="4294967295" distB="4294967295" distL="114300" distR="114300" simplePos="0" relativeHeight="251675648" behindDoc="1" locked="1" layoutInCell="1" allowOverlap="1" wp14:anchorId="6C317FC8" wp14:editId="42001E42">
              <wp:simplePos x="0" y="0"/>
              <wp:positionH relativeFrom="column">
                <wp:posOffset>-71120</wp:posOffset>
              </wp:positionH>
              <wp:positionV relativeFrom="page">
                <wp:posOffset>9973309</wp:posOffset>
              </wp:positionV>
              <wp:extent cx="5723890" cy="0"/>
              <wp:effectExtent l="0" t="0" r="101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072E3F" id="Straight Connector 5"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kqy9z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1ACC" w14:textId="1C125415" w:rsidR="009E4DAA" w:rsidRDefault="009E4DAA"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3B7D">
      <w:rPr>
        <w:rStyle w:val="PageNumber"/>
        <w:noProof/>
      </w:rPr>
      <w:t>8</w:t>
    </w:r>
    <w:r>
      <w:rPr>
        <w:rStyle w:val="PageNumber"/>
      </w:rPr>
      <w:fldChar w:fldCharType="end"/>
    </w:r>
  </w:p>
  <w:p w14:paraId="41E9D675" w14:textId="77777777" w:rsidR="009E4DAA" w:rsidRDefault="009E4DAA" w:rsidP="002F6CF0">
    <w:pPr>
      <w:pStyle w:val="Footer"/>
      <w:ind w:right="360"/>
    </w:pPr>
    <w:r>
      <w:rPr>
        <w:noProof/>
        <w:lang w:eastAsia="en-GB"/>
      </w:rPr>
      <mc:AlternateContent>
        <mc:Choice Requires="wps">
          <w:drawing>
            <wp:anchor distT="4294967295" distB="4294967295" distL="114300" distR="114300" simplePos="0" relativeHeight="251676672" behindDoc="1" locked="1" layoutInCell="1" allowOverlap="1" wp14:anchorId="54161746" wp14:editId="6E87CD51">
              <wp:simplePos x="0" y="0"/>
              <wp:positionH relativeFrom="column">
                <wp:posOffset>-71120</wp:posOffset>
              </wp:positionH>
              <wp:positionV relativeFrom="page">
                <wp:posOffset>9973309</wp:posOffset>
              </wp:positionV>
              <wp:extent cx="5723890" cy="0"/>
              <wp:effectExtent l="0" t="0" r="1016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04E5EF" id="Straight Connector 6" o:spid="_x0000_s1026" style="position:absolute;z-index:-251639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Pw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yEHj8D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DC0FC" w14:textId="77777777" w:rsidR="009E4DAA" w:rsidRDefault="009E4DAA"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4161E1" w14:textId="77777777" w:rsidR="009E4DAA" w:rsidRDefault="009E4DAA"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6C831" w14:textId="45B10CEB" w:rsidR="009E4DAA" w:rsidRDefault="009E4DAA"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3B7D">
      <w:rPr>
        <w:rStyle w:val="PageNumber"/>
        <w:noProof/>
      </w:rPr>
      <w:t>17</w:t>
    </w:r>
    <w:r>
      <w:rPr>
        <w:rStyle w:val="PageNumber"/>
      </w:rPr>
      <w:fldChar w:fldCharType="end"/>
    </w:r>
  </w:p>
  <w:p w14:paraId="0EEAF272" w14:textId="77777777" w:rsidR="009E4DAA" w:rsidRDefault="009E4DAA"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361F5456" wp14:editId="6AF32668">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A5E4C6"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770BA" w14:textId="295C80A1" w:rsidR="009E4DAA" w:rsidRDefault="009E4DAA"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3B7D">
      <w:rPr>
        <w:rStyle w:val="PageNumber"/>
        <w:noProof/>
      </w:rPr>
      <w:t>15</w:t>
    </w:r>
    <w:r>
      <w:rPr>
        <w:rStyle w:val="PageNumber"/>
      </w:rPr>
      <w:fldChar w:fldCharType="end"/>
    </w:r>
  </w:p>
  <w:p w14:paraId="524C6404" w14:textId="77777777" w:rsidR="009E4DAA" w:rsidRDefault="009E4DAA"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01FB2092" wp14:editId="1A1D3844">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210D15"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0D51C" w14:textId="77777777" w:rsidR="009E4DAA" w:rsidRPr="00DB5E8F" w:rsidRDefault="009E4DAA">
      <w:pPr>
        <w:rPr>
          <w:sz w:val="12"/>
          <w:szCs w:val="12"/>
        </w:rPr>
      </w:pPr>
      <w:r w:rsidRPr="00DB5E8F">
        <w:rPr>
          <w:sz w:val="12"/>
          <w:szCs w:val="12"/>
        </w:rPr>
        <w:separator/>
      </w:r>
    </w:p>
  </w:footnote>
  <w:footnote w:type="continuationSeparator" w:id="0">
    <w:p w14:paraId="1F4B0F8A" w14:textId="77777777" w:rsidR="009E4DAA" w:rsidRDefault="009E4DAA" w:rsidP="00A00E34">
      <w:r>
        <w:continuationSeparator/>
      </w:r>
    </w:p>
    <w:p w14:paraId="1D9FDB34" w14:textId="77777777" w:rsidR="009E4DAA" w:rsidRDefault="009E4DAA"/>
  </w:footnote>
  <w:footnote w:type="continuationNotice" w:id="1">
    <w:p w14:paraId="2CE20DBD" w14:textId="77777777" w:rsidR="009E4DAA" w:rsidRDefault="009E4DAA"/>
  </w:footnote>
  <w:footnote w:id="2">
    <w:p w14:paraId="313FEEB0" w14:textId="77777777" w:rsidR="0038678F" w:rsidRDefault="0038678F" w:rsidP="0038678F">
      <w:pPr>
        <w:pStyle w:val="FootnoteText"/>
      </w:pPr>
      <w:r>
        <w:rPr>
          <w:rStyle w:val="FootnoteReference"/>
        </w:rPr>
        <w:footnoteRef/>
      </w:r>
      <w:r>
        <w:t xml:space="preserve"> The Joint Committee (JC) of the European Supervisory Authorities (ESAs) produces mapping reports illustrating how the outcome of the mapping assessment has been reached, based on the methodology set out in the Implementing Regulation (EU) 2016/1799 of 7 October 2016. While mapping reports are not mandated by the Capital Requirements Regulation, they are produced by own initiative to enhance transparency. </w:t>
      </w:r>
    </w:p>
    <w:p w14:paraId="07D82360" w14:textId="7CB49699" w:rsidR="0038678F" w:rsidRPr="0038678F" w:rsidRDefault="0038678F" w:rsidP="0038678F">
      <w:pPr>
        <w:pStyle w:val="FootnoteText"/>
        <w:rPr>
          <w:lang w:val="en-GB"/>
        </w:rPr>
      </w:pPr>
      <w:r>
        <w:t xml:space="preserve">The JC of the ESAs has not received the consent from </w:t>
      </w:r>
      <w:proofErr w:type="spellStart"/>
      <w:r>
        <w:t>Creditreform</w:t>
      </w:r>
      <w:proofErr w:type="spellEnd"/>
      <w:r>
        <w:t xml:space="preserve"> Rating AG to publish the information transmitted by the ECAI for the purposes of assessing the mapping. </w:t>
      </w:r>
      <w:proofErr w:type="gramStart"/>
      <w:r>
        <w:t>Therefore ,</w:t>
      </w:r>
      <w:proofErr w:type="gramEnd"/>
      <w:r>
        <w:t xml:space="preserve"> the JC of the ESAs is not in a position to provide similar information for </w:t>
      </w:r>
      <w:proofErr w:type="spellStart"/>
      <w:r>
        <w:t>Creditreform</w:t>
      </w:r>
      <w:proofErr w:type="spellEnd"/>
      <w:r>
        <w:t xml:space="preserve"> Rating AG as for other ECAIs having consented to the publication of their mapping reports.</w:t>
      </w:r>
    </w:p>
  </w:footnote>
  <w:footnote w:id="3">
    <w:p w14:paraId="32C5020D" w14:textId="77777777" w:rsidR="009E4DAA" w:rsidRPr="007B26B2" w:rsidRDefault="009E4DAA" w:rsidP="00B17160">
      <w:pPr>
        <w:pStyle w:val="FootnoteText"/>
      </w:pPr>
      <w:r>
        <w:rPr>
          <w:rStyle w:val="FootnoteReference"/>
        </w:rPr>
        <w:footnoteRef/>
      </w:r>
      <w:r>
        <w:t xml:space="preserve"> </w:t>
      </w:r>
      <w:r w:rsidRPr="00AA648D">
        <w:t>OJ L 275, 12.10.2016, p. 3-18</w:t>
      </w:r>
    </w:p>
  </w:footnote>
  <w:footnote w:id="4">
    <w:p w14:paraId="6EAE1716" w14:textId="1EF439AD" w:rsidR="009E4DAA" w:rsidRPr="00DF71B5" w:rsidRDefault="009E4DAA" w:rsidP="00B17160">
      <w:pPr>
        <w:pStyle w:val="FootnoteText"/>
        <w:rPr>
          <w:lang w:val="en-GB"/>
        </w:rPr>
      </w:pPr>
      <w:r>
        <w:rPr>
          <w:rStyle w:val="FootnoteReference"/>
        </w:rPr>
        <w:footnoteRef/>
      </w:r>
      <w:r>
        <w:t xml:space="preserve"> In this regard please consider </w:t>
      </w:r>
      <w:hyperlink r:id="rId1" w:history="1">
        <w:r w:rsidRPr="00015032">
          <w:rPr>
            <w:rStyle w:val="Hyperlink"/>
          </w:rPr>
          <w:t>https://www.esma.europa.eu/sites/default/files/library/esma_2015-1473_report_on_the_possibility_of_establishing_one_or_more_mapping.pdf</w:t>
        </w:r>
      </w:hyperlink>
      <w:r>
        <w:t>.</w:t>
      </w:r>
    </w:p>
  </w:footnote>
  <w:footnote w:id="5">
    <w:p w14:paraId="27B89690" w14:textId="77777777" w:rsidR="009E4DAA" w:rsidRPr="008B7151" w:rsidRDefault="009E4DAA" w:rsidP="00B17160">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proofErr w:type="spellStart"/>
      <w:r>
        <w:t>Creditreform</w:t>
      </w:r>
      <w:proofErr w:type="spellEnd"/>
      <w:r w:rsidRPr="00540BB7">
        <w:t xml:space="preserve"> carried out by ESMA.</w:t>
      </w:r>
    </w:p>
  </w:footnote>
  <w:footnote w:id="6">
    <w:p w14:paraId="7080C946" w14:textId="77777777" w:rsidR="009E4DAA" w:rsidRPr="00AA648D" w:rsidRDefault="009E4DAA" w:rsidP="00B17160">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14:paraId="17B66C75" w14:textId="77777777" w:rsidR="009E4DAA" w:rsidRDefault="009E4DAA" w:rsidP="00B17160">
      <w:pPr>
        <w:pStyle w:val="FootnoteText"/>
      </w:pPr>
      <w:r>
        <w:rPr>
          <w:rStyle w:val="FootnoteReference"/>
        </w:rPr>
        <w:footnoteRef/>
      </w:r>
      <w:r>
        <w:t xml:space="preserve"> As explained in recital 4 of the Implementing Regulation,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 w:id="8">
    <w:p w14:paraId="5209284E" w14:textId="77777777" w:rsidR="009E4DAA" w:rsidRPr="00255385" w:rsidRDefault="009E4DAA" w:rsidP="00B17160">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81C50" w14:textId="77777777" w:rsidR="009E4DAA" w:rsidRDefault="008B3B7D">
    <w:sdt>
      <w:sdtPr>
        <w:id w:val="281232736"/>
        <w:temporary/>
        <w:showingPlcHdr/>
      </w:sdtPr>
      <w:sdtEndPr/>
      <w:sdtContent>
        <w:r w:rsidR="009E4DAA">
          <w:t>[Type text]</w:t>
        </w:r>
      </w:sdtContent>
    </w:sdt>
    <w:r w:rsidR="009E4DAA">
      <w:ptab w:relativeTo="margin" w:alignment="center" w:leader="none"/>
    </w:r>
    <w:sdt>
      <w:sdtPr>
        <w:id w:val="-870461426"/>
        <w:temporary/>
        <w:showingPlcHdr/>
      </w:sdtPr>
      <w:sdtEndPr/>
      <w:sdtContent>
        <w:r w:rsidR="009E4DAA">
          <w:t>[Type text]</w:t>
        </w:r>
      </w:sdtContent>
    </w:sdt>
    <w:r w:rsidR="009E4DAA">
      <w:ptab w:relativeTo="margin" w:alignment="right" w:leader="none"/>
    </w:r>
    <w:sdt>
      <w:sdtPr>
        <w:id w:val="298495450"/>
        <w:temporary/>
        <w:showingPlcHdr/>
      </w:sdtPr>
      <w:sdtEndPr/>
      <w:sdtContent>
        <w:r w:rsidR="009E4DAA">
          <w:t>[Type text]</w:t>
        </w:r>
      </w:sdtContent>
    </w:sdt>
  </w:p>
  <w:p w14:paraId="6AB318B4" w14:textId="77777777" w:rsidR="009E4DAA" w:rsidRDefault="009E4DA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F7D2B" w14:textId="77777777" w:rsidR="009E4DAA" w:rsidRPr="000069A9" w:rsidRDefault="009E4DAA" w:rsidP="000069A9">
    <w:pPr>
      <w:pStyle w:val="Header"/>
    </w:pPr>
    <w:r w:rsidRPr="000069A9">
      <w:rPr>
        <w:noProof/>
        <w:lang w:eastAsia="en-GB"/>
      </w:rPr>
      <w:drawing>
        <wp:inline distT="0" distB="0" distL="0" distR="0" wp14:anchorId="0419C40E" wp14:editId="6B8309DA">
          <wp:extent cx="5547360" cy="609600"/>
          <wp:effectExtent l="0" t="0" r="0" b="0"/>
          <wp:docPr id="1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DE02B" w14:textId="77777777" w:rsidR="009E4DAA" w:rsidRPr="000069A9" w:rsidRDefault="009E4DAA" w:rsidP="000069A9">
    <w:pPr>
      <w:pStyle w:val="Header"/>
    </w:pPr>
    <w:r w:rsidRPr="000069A9">
      <w:rPr>
        <w:noProof/>
        <w:lang w:eastAsia="en-GB"/>
      </w:rPr>
      <w:drawing>
        <wp:inline distT="0" distB="0" distL="0" distR="0" wp14:anchorId="17D9574D" wp14:editId="07F6D9CD">
          <wp:extent cx="5547360" cy="609600"/>
          <wp:effectExtent l="0" t="0" r="0" b="0"/>
          <wp:docPr id="1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9EE6" w14:textId="77777777" w:rsidR="009E4DAA" w:rsidRDefault="008B3B7D">
    <w:sdt>
      <w:sdtPr>
        <w:id w:val="-706806077"/>
        <w:temporary/>
        <w:showingPlcHdr/>
      </w:sdtPr>
      <w:sdtEndPr/>
      <w:sdtContent>
        <w:r w:rsidR="009E4DAA">
          <w:t>[Type text]</w:t>
        </w:r>
      </w:sdtContent>
    </w:sdt>
    <w:r w:rsidR="009E4DAA">
      <w:ptab w:relativeTo="margin" w:alignment="center" w:leader="none"/>
    </w:r>
    <w:sdt>
      <w:sdtPr>
        <w:id w:val="-301154841"/>
        <w:temporary/>
        <w:showingPlcHdr/>
      </w:sdtPr>
      <w:sdtEndPr/>
      <w:sdtContent>
        <w:r w:rsidR="009E4DAA">
          <w:t>[Type text]</w:t>
        </w:r>
      </w:sdtContent>
    </w:sdt>
    <w:r w:rsidR="009E4DAA">
      <w:ptab w:relativeTo="margin" w:alignment="right" w:leader="none"/>
    </w:r>
    <w:sdt>
      <w:sdtPr>
        <w:id w:val="-1376000512"/>
        <w:temporary/>
        <w:showingPlcHdr/>
      </w:sdtPr>
      <w:sdtEndPr/>
      <w:sdtContent>
        <w:r w:rsidR="009E4DAA">
          <w:t>[Type text]</w:t>
        </w:r>
      </w:sdtContent>
    </w:sdt>
  </w:p>
  <w:p w14:paraId="65CCC238" w14:textId="77777777" w:rsidR="009E4DAA" w:rsidRDefault="009E4DA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514F" w14:textId="77777777" w:rsidR="009E4DAA" w:rsidRPr="000069A9" w:rsidRDefault="009E4DAA" w:rsidP="000069A9">
    <w:pPr>
      <w:pStyle w:val="Header"/>
    </w:pPr>
    <w:r w:rsidRPr="000069A9">
      <w:rPr>
        <w:noProof/>
        <w:lang w:eastAsia="en-GB"/>
      </w:rPr>
      <w:drawing>
        <wp:inline distT="0" distB="0" distL="0" distR="0" wp14:anchorId="5D3FF17F" wp14:editId="79206E39">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C08F3" w14:textId="77777777" w:rsidR="009E4DAA" w:rsidRPr="000069A9" w:rsidRDefault="009E4DAA" w:rsidP="000069A9">
    <w:pPr>
      <w:pStyle w:val="Header"/>
    </w:pPr>
    <w:r w:rsidRPr="000069A9">
      <w:rPr>
        <w:noProof/>
        <w:lang w:eastAsia="en-GB"/>
      </w:rPr>
      <w:drawing>
        <wp:inline distT="0" distB="0" distL="0" distR="0" wp14:anchorId="19959488" wp14:editId="1A6FF4FC">
          <wp:extent cx="5547360" cy="609600"/>
          <wp:effectExtent l="0" t="0" r="0" b="0"/>
          <wp:docPr id="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8D278" w14:textId="77777777" w:rsidR="009E4DAA" w:rsidRDefault="008B3B7D">
    <w:sdt>
      <w:sdtPr>
        <w:id w:val="1866786327"/>
        <w:temporary/>
        <w:showingPlcHdr/>
      </w:sdtPr>
      <w:sdtEndPr/>
      <w:sdtContent>
        <w:r w:rsidR="009E4DAA">
          <w:t>[Type text]</w:t>
        </w:r>
      </w:sdtContent>
    </w:sdt>
    <w:r w:rsidR="009E4DAA">
      <w:ptab w:relativeTo="margin" w:alignment="center" w:leader="none"/>
    </w:r>
    <w:sdt>
      <w:sdtPr>
        <w:id w:val="1990597107"/>
        <w:temporary/>
        <w:showingPlcHdr/>
      </w:sdtPr>
      <w:sdtEndPr/>
      <w:sdtContent>
        <w:r w:rsidR="009E4DAA">
          <w:t>[Type text]</w:t>
        </w:r>
      </w:sdtContent>
    </w:sdt>
    <w:r w:rsidR="009E4DAA">
      <w:ptab w:relativeTo="margin" w:alignment="right" w:leader="none"/>
    </w:r>
    <w:sdt>
      <w:sdtPr>
        <w:id w:val="-765308557"/>
        <w:temporary/>
        <w:showingPlcHdr/>
      </w:sdtPr>
      <w:sdtEndPr/>
      <w:sdtContent>
        <w:r w:rsidR="009E4DAA">
          <w:t>[Type text]</w:t>
        </w:r>
      </w:sdtContent>
    </w:sdt>
  </w:p>
  <w:p w14:paraId="444F0F53" w14:textId="77777777" w:rsidR="009E4DAA" w:rsidRDefault="009E4DAA"/>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73F88" w14:textId="77777777" w:rsidR="009E4DAA" w:rsidRPr="000069A9" w:rsidRDefault="009E4DAA" w:rsidP="000069A9">
    <w:pPr>
      <w:pStyle w:val="Header"/>
    </w:pPr>
    <w:r w:rsidRPr="000069A9">
      <w:rPr>
        <w:noProof/>
        <w:lang w:eastAsia="en-GB"/>
      </w:rPr>
      <w:drawing>
        <wp:inline distT="0" distB="0" distL="0" distR="0" wp14:anchorId="490AFCF0" wp14:editId="459667F7">
          <wp:extent cx="5547360" cy="609600"/>
          <wp:effectExtent l="0" t="0" r="0" b="0"/>
          <wp:docPr id="2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E6C74" w14:textId="77777777" w:rsidR="009E4DAA" w:rsidRPr="000069A9" w:rsidRDefault="009E4DAA" w:rsidP="000069A9">
    <w:pPr>
      <w:pStyle w:val="Header"/>
    </w:pPr>
    <w:r w:rsidRPr="000069A9">
      <w:rPr>
        <w:noProof/>
        <w:lang w:eastAsia="en-GB"/>
      </w:rPr>
      <w:drawing>
        <wp:inline distT="0" distB="0" distL="0" distR="0" wp14:anchorId="0D154258" wp14:editId="039EE671">
          <wp:extent cx="5547360" cy="609600"/>
          <wp:effectExtent l="0" t="0" r="0" b="0"/>
          <wp:docPr id="2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F5502"/>
    <w:multiLevelType w:val="hybridMultilevel"/>
    <w:tmpl w:val="CBAA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7"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3C2B82"/>
    <w:multiLevelType w:val="hybridMultilevel"/>
    <w:tmpl w:val="87C409BA"/>
    <w:lvl w:ilvl="0" w:tplc="98626418">
      <w:numFmt w:val="bullet"/>
      <w:lvlText w:val="-"/>
      <w:lvlJc w:val="left"/>
      <w:pPr>
        <w:ind w:left="644" w:hanging="360"/>
      </w:pPr>
      <w:rPr>
        <w:rFonts w:ascii="Calibri" w:eastAsiaTheme="minorEastAsia" w:hAnsi="Calibri" w:cstheme="minorBidi"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9"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206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1BA70E60"/>
    <w:multiLevelType w:val="hybridMultilevel"/>
    <w:tmpl w:val="3BC21076"/>
    <w:lvl w:ilvl="0" w:tplc="08090001">
      <w:start w:val="1"/>
      <w:numFmt w:val="bullet"/>
      <w:lvlText w:val=""/>
      <w:lvlJc w:val="left"/>
      <w:pPr>
        <w:tabs>
          <w:tab w:val="num" w:pos="284"/>
        </w:tabs>
        <w:ind w:left="284" w:hanging="284"/>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2E02C5E"/>
    <w:multiLevelType w:val="hybridMultilevel"/>
    <w:tmpl w:val="8B78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6" w15:restartNumberingAfterBreak="0">
    <w:nsid w:val="23DF49B3"/>
    <w:multiLevelType w:val="hybridMultilevel"/>
    <w:tmpl w:val="4E324A94"/>
    <w:lvl w:ilvl="0" w:tplc="08090001">
      <w:start w:val="1"/>
      <w:numFmt w:val="bullet"/>
      <w:lvlText w:val=""/>
      <w:lvlJc w:val="left"/>
      <w:pPr>
        <w:ind w:left="1076" w:hanging="360"/>
      </w:pPr>
      <w:rPr>
        <w:rFonts w:ascii="Symbol" w:hAnsi="Symbol" w:hint="default"/>
      </w:rPr>
    </w:lvl>
    <w:lvl w:ilvl="1" w:tplc="08090003" w:tentative="1">
      <w:start w:val="1"/>
      <w:numFmt w:val="bullet"/>
      <w:lvlText w:val="o"/>
      <w:lvlJc w:val="left"/>
      <w:pPr>
        <w:ind w:left="1436" w:hanging="360"/>
      </w:pPr>
      <w:rPr>
        <w:rFonts w:ascii="Courier New" w:hAnsi="Courier New" w:cs="Courier New" w:hint="default"/>
      </w:rPr>
    </w:lvl>
    <w:lvl w:ilvl="2" w:tplc="08090005" w:tentative="1">
      <w:start w:val="1"/>
      <w:numFmt w:val="bullet"/>
      <w:lvlText w:val=""/>
      <w:lvlJc w:val="left"/>
      <w:pPr>
        <w:ind w:left="2156" w:hanging="360"/>
      </w:pPr>
      <w:rPr>
        <w:rFonts w:ascii="Wingdings" w:hAnsi="Wingdings" w:hint="default"/>
      </w:rPr>
    </w:lvl>
    <w:lvl w:ilvl="3" w:tplc="08090001" w:tentative="1">
      <w:start w:val="1"/>
      <w:numFmt w:val="bullet"/>
      <w:lvlText w:val=""/>
      <w:lvlJc w:val="left"/>
      <w:pPr>
        <w:ind w:left="2876" w:hanging="360"/>
      </w:pPr>
      <w:rPr>
        <w:rFonts w:ascii="Symbol" w:hAnsi="Symbol" w:hint="default"/>
      </w:rPr>
    </w:lvl>
    <w:lvl w:ilvl="4" w:tplc="08090003" w:tentative="1">
      <w:start w:val="1"/>
      <w:numFmt w:val="bullet"/>
      <w:lvlText w:val="o"/>
      <w:lvlJc w:val="left"/>
      <w:pPr>
        <w:ind w:left="3596" w:hanging="360"/>
      </w:pPr>
      <w:rPr>
        <w:rFonts w:ascii="Courier New" w:hAnsi="Courier New" w:cs="Courier New" w:hint="default"/>
      </w:rPr>
    </w:lvl>
    <w:lvl w:ilvl="5" w:tplc="08090005" w:tentative="1">
      <w:start w:val="1"/>
      <w:numFmt w:val="bullet"/>
      <w:lvlText w:val=""/>
      <w:lvlJc w:val="left"/>
      <w:pPr>
        <w:ind w:left="4316" w:hanging="360"/>
      </w:pPr>
      <w:rPr>
        <w:rFonts w:ascii="Wingdings" w:hAnsi="Wingdings" w:hint="default"/>
      </w:rPr>
    </w:lvl>
    <w:lvl w:ilvl="6" w:tplc="08090001" w:tentative="1">
      <w:start w:val="1"/>
      <w:numFmt w:val="bullet"/>
      <w:lvlText w:val=""/>
      <w:lvlJc w:val="left"/>
      <w:pPr>
        <w:ind w:left="5036" w:hanging="360"/>
      </w:pPr>
      <w:rPr>
        <w:rFonts w:ascii="Symbol" w:hAnsi="Symbol" w:hint="default"/>
      </w:rPr>
    </w:lvl>
    <w:lvl w:ilvl="7" w:tplc="08090003" w:tentative="1">
      <w:start w:val="1"/>
      <w:numFmt w:val="bullet"/>
      <w:lvlText w:val="o"/>
      <w:lvlJc w:val="left"/>
      <w:pPr>
        <w:ind w:left="5756" w:hanging="360"/>
      </w:pPr>
      <w:rPr>
        <w:rFonts w:ascii="Courier New" w:hAnsi="Courier New" w:cs="Courier New" w:hint="default"/>
      </w:rPr>
    </w:lvl>
    <w:lvl w:ilvl="8" w:tplc="08090005" w:tentative="1">
      <w:start w:val="1"/>
      <w:numFmt w:val="bullet"/>
      <w:lvlText w:val=""/>
      <w:lvlJc w:val="left"/>
      <w:pPr>
        <w:ind w:left="6476" w:hanging="360"/>
      </w:pPr>
      <w:rPr>
        <w:rFonts w:ascii="Wingdings" w:hAnsi="Wingdings" w:hint="default"/>
      </w:rPr>
    </w:lvl>
  </w:abstractNum>
  <w:abstractNum w:abstractNumId="17"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0" w15:restartNumberingAfterBreak="0">
    <w:nsid w:val="32B050E1"/>
    <w:multiLevelType w:val="hybridMultilevel"/>
    <w:tmpl w:val="427877EE"/>
    <w:lvl w:ilvl="0" w:tplc="04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45D1A90"/>
    <w:multiLevelType w:val="hybridMultilevel"/>
    <w:tmpl w:val="7206C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BC4694"/>
    <w:multiLevelType w:val="hybridMultilevel"/>
    <w:tmpl w:val="D2DA8FC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15:restartNumberingAfterBreak="0">
    <w:nsid w:val="44C27D48"/>
    <w:multiLevelType w:val="hybridMultilevel"/>
    <w:tmpl w:val="547801AE"/>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55061DB"/>
    <w:multiLevelType w:val="hybridMultilevel"/>
    <w:tmpl w:val="A6DCF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50227369"/>
    <w:multiLevelType w:val="hybridMultilevel"/>
    <w:tmpl w:val="CBF042EA"/>
    <w:lvl w:ilvl="0" w:tplc="69AE966A">
      <w:start w:val="1"/>
      <w:numFmt w:val="decimal"/>
      <w:pStyle w:val="numberedparagraph"/>
      <w:lvlText w:val="%1."/>
      <w:lvlJc w:val="left"/>
      <w:pPr>
        <w:tabs>
          <w:tab w:val="num" w:pos="976"/>
        </w:tabs>
        <w:ind w:left="976" w:hanging="284"/>
      </w:pPr>
      <w:rPr>
        <w:rFonts w:hint="default"/>
        <w:color w:val="auto"/>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0"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19"/>
  </w:num>
  <w:num w:numId="4">
    <w:abstractNumId w:val="22"/>
  </w:num>
  <w:num w:numId="5">
    <w:abstractNumId w:val="36"/>
  </w:num>
  <w:num w:numId="6">
    <w:abstractNumId w:val="1"/>
  </w:num>
  <w:num w:numId="7">
    <w:abstractNumId w:val="34"/>
  </w:num>
  <w:num w:numId="8">
    <w:abstractNumId w:val="29"/>
  </w:num>
  <w:num w:numId="9">
    <w:abstractNumId w:val="29"/>
    <w:lvlOverride w:ilvl="0">
      <w:startOverride w:val="1"/>
    </w:lvlOverride>
  </w:num>
  <w:num w:numId="10">
    <w:abstractNumId w:val="29"/>
    <w:lvlOverride w:ilvl="0">
      <w:startOverride w:val="1"/>
    </w:lvlOverride>
  </w:num>
  <w:num w:numId="11">
    <w:abstractNumId w:val="29"/>
    <w:lvlOverride w:ilvl="0">
      <w:startOverride w:val="1"/>
    </w:lvlOverride>
  </w:num>
  <w:num w:numId="12">
    <w:abstractNumId w:val="29"/>
    <w:lvlOverride w:ilvl="0">
      <w:startOverride w:val="1"/>
    </w:lvlOverride>
  </w:num>
  <w:num w:numId="13">
    <w:abstractNumId w:val="29"/>
    <w:lvlOverride w:ilvl="0">
      <w:startOverride w:val="1"/>
    </w:lvlOverride>
  </w:num>
  <w:num w:numId="14">
    <w:abstractNumId w:val="29"/>
    <w:lvlOverride w:ilvl="0">
      <w:startOverride w:val="1"/>
    </w:lvlOverride>
  </w:num>
  <w:num w:numId="15">
    <w:abstractNumId w:val="0"/>
  </w:num>
  <w:num w:numId="16">
    <w:abstractNumId w:val="6"/>
  </w:num>
  <w:num w:numId="17">
    <w:abstractNumId w:val="15"/>
  </w:num>
  <w:num w:numId="18">
    <w:abstractNumId w:val="11"/>
  </w:num>
  <w:num w:numId="19">
    <w:abstractNumId w:val="18"/>
  </w:num>
  <w:num w:numId="20">
    <w:abstractNumId w:val="30"/>
  </w:num>
  <w:num w:numId="21">
    <w:abstractNumId w:val="27"/>
  </w:num>
  <w:num w:numId="22">
    <w:abstractNumId w:val="10"/>
  </w:num>
  <w:num w:numId="23">
    <w:abstractNumId w:val="17"/>
  </w:num>
  <w:num w:numId="24">
    <w:abstractNumId w:val="33"/>
  </w:num>
  <w:num w:numId="25">
    <w:abstractNumId w:val="7"/>
  </w:num>
  <w:num w:numId="26">
    <w:abstractNumId w:val="5"/>
  </w:num>
  <w:num w:numId="27">
    <w:abstractNumId w:val="31"/>
  </w:num>
  <w:num w:numId="28">
    <w:abstractNumId w:val="23"/>
  </w:num>
  <w:num w:numId="29">
    <w:abstractNumId w:val="3"/>
  </w:num>
  <w:num w:numId="30">
    <w:abstractNumId w:val="32"/>
  </w:num>
  <w:num w:numId="31">
    <w:abstractNumId w:val="9"/>
  </w:num>
  <w:num w:numId="32">
    <w:abstractNumId w:val="13"/>
  </w:num>
  <w:num w:numId="33">
    <w:abstractNumId w:val="28"/>
  </w:num>
  <w:num w:numId="34">
    <w:abstractNumId w:val="35"/>
  </w:num>
  <w:num w:numId="35">
    <w:abstractNumId w:val="29"/>
  </w:num>
  <w:num w:numId="36">
    <w:abstractNumId w:val="4"/>
  </w:num>
  <w:num w:numId="37">
    <w:abstractNumId w:val="25"/>
  </w:num>
  <w:num w:numId="38">
    <w:abstractNumId w:val="14"/>
  </w:num>
  <w:num w:numId="39">
    <w:abstractNumId w:val="21"/>
  </w:num>
  <w:num w:numId="40">
    <w:abstractNumId w:val="12"/>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29"/>
    <w:lvlOverride w:ilvl="0">
      <w:startOverride w:val="7"/>
    </w:lvlOverride>
  </w:num>
  <w:num w:numId="44">
    <w:abstractNumId w:val="9"/>
  </w:num>
  <w:num w:numId="45">
    <w:abstractNumId w:val="25"/>
  </w:num>
  <w:num w:numId="46">
    <w:abstractNumId w:val="9"/>
  </w:num>
  <w:num w:numId="47">
    <w:abstractNumId w:val="29"/>
  </w:num>
  <w:num w:numId="48">
    <w:abstractNumId w:val="9"/>
  </w:num>
  <w:num w:numId="49">
    <w:abstractNumId w:val="9"/>
  </w:num>
  <w:num w:numId="50">
    <w:abstractNumId w:val="9"/>
  </w:num>
  <w:num w:numId="51">
    <w:abstractNumId w:val="9"/>
  </w:num>
  <w:num w:numId="52">
    <w:abstractNumId w:val="25"/>
  </w:num>
  <w:num w:numId="53">
    <w:abstractNumId w:val="29"/>
  </w:num>
  <w:num w:numId="54">
    <w:abstractNumId w:val="29"/>
  </w:num>
  <w:num w:numId="55">
    <w:abstractNumId w:val="29"/>
  </w:num>
  <w:num w:numId="56">
    <w:abstractNumId w:val="25"/>
  </w:num>
  <w:num w:numId="57">
    <w:abstractNumId w:val="25"/>
  </w:num>
  <w:num w:numId="58">
    <w:abstractNumId w:val="29"/>
  </w:num>
  <w:num w:numId="59">
    <w:abstractNumId w:val="29"/>
  </w:num>
  <w:num w:numId="60">
    <w:abstractNumId w:val="29"/>
  </w:num>
  <w:num w:numId="61">
    <w:abstractNumId w:val="29"/>
  </w:num>
  <w:num w:numId="62">
    <w:abstractNumId w:val="9"/>
  </w:num>
  <w:num w:numId="63">
    <w:abstractNumId w:val="9"/>
  </w:num>
  <w:num w:numId="64">
    <w:abstractNumId w:val="29"/>
  </w:num>
  <w:num w:numId="65">
    <w:abstractNumId w:val="29"/>
  </w:num>
  <w:num w:numId="66">
    <w:abstractNumId w:val="29"/>
  </w:num>
  <w:num w:numId="67">
    <w:abstractNumId w:val="20"/>
  </w:num>
  <w:num w:numId="68">
    <w:abstractNumId w:val="16"/>
  </w:num>
  <w:num w:numId="69">
    <w:abstractNumId w:val="2"/>
  </w:num>
  <w:num w:numId="70">
    <w:abstractNumId w:val="25"/>
  </w:num>
  <w:num w:numId="71">
    <w:abstractNumId w:val="25"/>
  </w:num>
  <w:num w:numId="72">
    <w:abstractNumId w:val="8"/>
  </w:num>
  <w:num w:numId="73">
    <w:abstractNumId w:val="26"/>
  </w:num>
  <w:num w:numId="74">
    <w:abstractNumId w:val="9"/>
  </w:num>
  <w:num w:numId="75">
    <w:abstractNumId w:val="29"/>
  </w:num>
  <w:num w:numId="76">
    <w:abstractNumId w:val="29"/>
  </w:num>
  <w:num w:numId="77">
    <w:abstractNumId w:val="25"/>
  </w:num>
  <w:num w:numId="78">
    <w:abstractNumId w:val="24"/>
  </w:num>
  <w:num w:numId="79">
    <w:abstractNumId w:val="29"/>
  </w:num>
  <w:num w:numId="80">
    <w:abstractNumId w:val="2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0EA3"/>
    <w:rsid w:val="00003F50"/>
    <w:rsid w:val="000052A8"/>
    <w:rsid w:val="00006205"/>
    <w:rsid w:val="000069A9"/>
    <w:rsid w:val="00010D71"/>
    <w:rsid w:val="00013281"/>
    <w:rsid w:val="00015032"/>
    <w:rsid w:val="00015276"/>
    <w:rsid w:val="00016399"/>
    <w:rsid w:val="00021CC0"/>
    <w:rsid w:val="000231B7"/>
    <w:rsid w:val="000269E1"/>
    <w:rsid w:val="00027CA0"/>
    <w:rsid w:val="000302B7"/>
    <w:rsid w:val="00030D65"/>
    <w:rsid w:val="0003221D"/>
    <w:rsid w:val="00032E18"/>
    <w:rsid w:val="00033932"/>
    <w:rsid w:val="000357D7"/>
    <w:rsid w:val="00036322"/>
    <w:rsid w:val="00040494"/>
    <w:rsid w:val="00040BAD"/>
    <w:rsid w:val="000514E3"/>
    <w:rsid w:val="00051700"/>
    <w:rsid w:val="00052FFB"/>
    <w:rsid w:val="00053879"/>
    <w:rsid w:val="00057350"/>
    <w:rsid w:val="00060F40"/>
    <w:rsid w:val="00067CB6"/>
    <w:rsid w:val="00070E66"/>
    <w:rsid w:val="00071338"/>
    <w:rsid w:val="000843CD"/>
    <w:rsid w:val="00097383"/>
    <w:rsid w:val="00097F2B"/>
    <w:rsid w:val="000A1C81"/>
    <w:rsid w:val="000A4BCA"/>
    <w:rsid w:val="000A55EF"/>
    <w:rsid w:val="000A6115"/>
    <w:rsid w:val="000A76B5"/>
    <w:rsid w:val="000B1645"/>
    <w:rsid w:val="000C1204"/>
    <w:rsid w:val="000C2645"/>
    <w:rsid w:val="000C29A3"/>
    <w:rsid w:val="000C463F"/>
    <w:rsid w:val="000C4BAC"/>
    <w:rsid w:val="000C5A8A"/>
    <w:rsid w:val="000C7779"/>
    <w:rsid w:val="000D66F6"/>
    <w:rsid w:val="000D7A44"/>
    <w:rsid w:val="000E074B"/>
    <w:rsid w:val="000E0C27"/>
    <w:rsid w:val="000E1BD9"/>
    <w:rsid w:val="000E3581"/>
    <w:rsid w:val="000E3B7D"/>
    <w:rsid w:val="000E6D15"/>
    <w:rsid w:val="000E6E82"/>
    <w:rsid w:val="000E7CD6"/>
    <w:rsid w:val="000F37DB"/>
    <w:rsid w:val="000F6495"/>
    <w:rsid w:val="000F6FD8"/>
    <w:rsid w:val="000F7453"/>
    <w:rsid w:val="000F766A"/>
    <w:rsid w:val="00105E4A"/>
    <w:rsid w:val="0011332C"/>
    <w:rsid w:val="0011517F"/>
    <w:rsid w:val="0011627A"/>
    <w:rsid w:val="00116C21"/>
    <w:rsid w:val="00121BB0"/>
    <w:rsid w:val="00122140"/>
    <w:rsid w:val="00125AFF"/>
    <w:rsid w:val="0013090C"/>
    <w:rsid w:val="00131C5D"/>
    <w:rsid w:val="001365CA"/>
    <w:rsid w:val="001414BD"/>
    <w:rsid w:val="00141DDB"/>
    <w:rsid w:val="00143F5E"/>
    <w:rsid w:val="00145096"/>
    <w:rsid w:val="00145D24"/>
    <w:rsid w:val="00147FE9"/>
    <w:rsid w:val="001512D3"/>
    <w:rsid w:val="00151755"/>
    <w:rsid w:val="00152832"/>
    <w:rsid w:val="00153C26"/>
    <w:rsid w:val="0015648E"/>
    <w:rsid w:val="00157D76"/>
    <w:rsid w:val="001600FC"/>
    <w:rsid w:val="001610F7"/>
    <w:rsid w:val="00166DCD"/>
    <w:rsid w:val="00167E1F"/>
    <w:rsid w:val="00171121"/>
    <w:rsid w:val="00172007"/>
    <w:rsid w:val="0017242E"/>
    <w:rsid w:val="0017446F"/>
    <w:rsid w:val="00175032"/>
    <w:rsid w:val="001755CA"/>
    <w:rsid w:val="0017676B"/>
    <w:rsid w:val="00177CB7"/>
    <w:rsid w:val="001826E4"/>
    <w:rsid w:val="001834D4"/>
    <w:rsid w:val="001836A7"/>
    <w:rsid w:val="00186110"/>
    <w:rsid w:val="00190E5E"/>
    <w:rsid w:val="00191244"/>
    <w:rsid w:val="00192287"/>
    <w:rsid w:val="00193C0C"/>
    <w:rsid w:val="001A016C"/>
    <w:rsid w:val="001A023A"/>
    <w:rsid w:val="001A236F"/>
    <w:rsid w:val="001A2A81"/>
    <w:rsid w:val="001A3FD7"/>
    <w:rsid w:val="001A690D"/>
    <w:rsid w:val="001A716E"/>
    <w:rsid w:val="001A7F04"/>
    <w:rsid w:val="001B0ECA"/>
    <w:rsid w:val="001B2C0D"/>
    <w:rsid w:val="001B3A5E"/>
    <w:rsid w:val="001B6017"/>
    <w:rsid w:val="001B631A"/>
    <w:rsid w:val="001B7A0B"/>
    <w:rsid w:val="001B7A13"/>
    <w:rsid w:val="001B7EB3"/>
    <w:rsid w:val="001C1FD9"/>
    <w:rsid w:val="001C5043"/>
    <w:rsid w:val="001C5BC2"/>
    <w:rsid w:val="001D0179"/>
    <w:rsid w:val="001D0ECA"/>
    <w:rsid w:val="001D4963"/>
    <w:rsid w:val="001E1188"/>
    <w:rsid w:val="001E1DF0"/>
    <w:rsid w:val="001E3599"/>
    <w:rsid w:val="001E73E0"/>
    <w:rsid w:val="001F027E"/>
    <w:rsid w:val="001F1CB9"/>
    <w:rsid w:val="001F1E8A"/>
    <w:rsid w:val="001F2314"/>
    <w:rsid w:val="001F2A7B"/>
    <w:rsid w:val="001F572A"/>
    <w:rsid w:val="001F7501"/>
    <w:rsid w:val="002015DD"/>
    <w:rsid w:val="00205878"/>
    <w:rsid w:val="00211FED"/>
    <w:rsid w:val="00213D7B"/>
    <w:rsid w:val="00214376"/>
    <w:rsid w:val="00214DEC"/>
    <w:rsid w:val="002214CC"/>
    <w:rsid w:val="00222D5C"/>
    <w:rsid w:val="0022391F"/>
    <w:rsid w:val="00224761"/>
    <w:rsid w:val="00224A3F"/>
    <w:rsid w:val="00226463"/>
    <w:rsid w:val="002268DA"/>
    <w:rsid w:val="00227FA4"/>
    <w:rsid w:val="002306C7"/>
    <w:rsid w:val="002326C6"/>
    <w:rsid w:val="00232CB9"/>
    <w:rsid w:val="002332BA"/>
    <w:rsid w:val="00237008"/>
    <w:rsid w:val="00240789"/>
    <w:rsid w:val="00241BD8"/>
    <w:rsid w:val="002434B0"/>
    <w:rsid w:val="00245B9F"/>
    <w:rsid w:val="00245FF8"/>
    <w:rsid w:val="00246BCD"/>
    <w:rsid w:val="0025349E"/>
    <w:rsid w:val="00254634"/>
    <w:rsid w:val="002562EE"/>
    <w:rsid w:val="00260E8C"/>
    <w:rsid w:val="002613A6"/>
    <w:rsid w:val="00263258"/>
    <w:rsid w:val="002650DE"/>
    <w:rsid w:val="00265E7C"/>
    <w:rsid w:val="0027010A"/>
    <w:rsid w:val="002726D6"/>
    <w:rsid w:val="0027418E"/>
    <w:rsid w:val="00274D09"/>
    <w:rsid w:val="0027552A"/>
    <w:rsid w:val="00280C77"/>
    <w:rsid w:val="00281AAE"/>
    <w:rsid w:val="00281C79"/>
    <w:rsid w:val="00282934"/>
    <w:rsid w:val="00283C5F"/>
    <w:rsid w:val="00285AB7"/>
    <w:rsid w:val="00285BEA"/>
    <w:rsid w:val="00286AD6"/>
    <w:rsid w:val="00287055"/>
    <w:rsid w:val="00290DA3"/>
    <w:rsid w:val="00293E6A"/>
    <w:rsid w:val="00295746"/>
    <w:rsid w:val="00297EA3"/>
    <w:rsid w:val="002A03A6"/>
    <w:rsid w:val="002A7D7C"/>
    <w:rsid w:val="002A7FE3"/>
    <w:rsid w:val="002B0A4B"/>
    <w:rsid w:val="002B3344"/>
    <w:rsid w:val="002B4621"/>
    <w:rsid w:val="002B61CA"/>
    <w:rsid w:val="002B6F3D"/>
    <w:rsid w:val="002C07FD"/>
    <w:rsid w:val="002C0DCF"/>
    <w:rsid w:val="002C3E7A"/>
    <w:rsid w:val="002C4C73"/>
    <w:rsid w:val="002C5B8A"/>
    <w:rsid w:val="002D1867"/>
    <w:rsid w:val="002D4A47"/>
    <w:rsid w:val="002D55D1"/>
    <w:rsid w:val="002E13E2"/>
    <w:rsid w:val="002E238F"/>
    <w:rsid w:val="002E3C63"/>
    <w:rsid w:val="002F1296"/>
    <w:rsid w:val="002F2009"/>
    <w:rsid w:val="002F528A"/>
    <w:rsid w:val="002F62B4"/>
    <w:rsid w:val="002F6CF0"/>
    <w:rsid w:val="002F7608"/>
    <w:rsid w:val="00300924"/>
    <w:rsid w:val="00301D4E"/>
    <w:rsid w:val="003025A8"/>
    <w:rsid w:val="00306C46"/>
    <w:rsid w:val="003119B2"/>
    <w:rsid w:val="00312622"/>
    <w:rsid w:val="003129B6"/>
    <w:rsid w:val="00314D6E"/>
    <w:rsid w:val="00315AC1"/>
    <w:rsid w:val="00315B30"/>
    <w:rsid w:val="00320E57"/>
    <w:rsid w:val="00320F9A"/>
    <w:rsid w:val="003221EF"/>
    <w:rsid w:val="003248A2"/>
    <w:rsid w:val="00330C5F"/>
    <w:rsid w:val="003311F5"/>
    <w:rsid w:val="00332611"/>
    <w:rsid w:val="0033710E"/>
    <w:rsid w:val="003430AC"/>
    <w:rsid w:val="00343AA3"/>
    <w:rsid w:val="0035113D"/>
    <w:rsid w:val="0035415A"/>
    <w:rsid w:val="0035477B"/>
    <w:rsid w:val="003553C0"/>
    <w:rsid w:val="00362163"/>
    <w:rsid w:val="00366D05"/>
    <w:rsid w:val="00370CE9"/>
    <w:rsid w:val="00372BEC"/>
    <w:rsid w:val="00375432"/>
    <w:rsid w:val="0037706B"/>
    <w:rsid w:val="0038116B"/>
    <w:rsid w:val="0038678F"/>
    <w:rsid w:val="0039037C"/>
    <w:rsid w:val="00392385"/>
    <w:rsid w:val="0039648A"/>
    <w:rsid w:val="00397E56"/>
    <w:rsid w:val="003A1AE9"/>
    <w:rsid w:val="003A28B6"/>
    <w:rsid w:val="003A6079"/>
    <w:rsid w:val="003A6E09"/>
    <w:rsid w:val="003B0B19"/>
    <w:rsid w:val="003B3918"/>
    <w:rsid w:val="003B5496"/>
    <w:rsid w:val="003B78BE"/>
    <w:rsid w:val="003C1767"/>
    <w:rsid w:val="003C1866"/>
    <w:rsid w:val="003C6D69"/>
    <w:rsid w:val="003C70FC"/>
    <w:rsid w:val="003D0F46"/>
    <w:rsid w:val="003D2BB3"/>
    <w:rsid w:val="003D469C"/>
    <w:rsid w:val="003D5344"/>
    <w:rsid w:val="003D7A72"/>
    <w:rsid w:val="003E06FF"/>
    <w:rsid w:val="003E29BE"/>
    <w:rsid w:val="003E5AE9"/>
    <w:rsid w:val="003F2C9F"/>
    <w:rsid w:val="003F5F1F"/>
    <w:rsid w:val="003F7919"/>
    <w:rsid w:val="00400FB6"/>
    <w:rsid w:val="00407E45"/>
    <w:rsid w:val="004123B6"/>
    <w:rsid w:val="00412567"/>
    <w:rsid w:val="00412B0E"/>
    <w:rsid w:val="00413FAB"/>
    <w:rsid w:val="00415BAA"/>
    <w:rsid w:val="0041788D"/>
    <w:rsid w:val="00421262"/>
    <w:rsid w:val="00424530"/>
    <w:rsid w:val="00427AA0"/>
    <w:rsid w:val="00427F8E"/>
    <w:rsid w:val="00431C02"/>
    <w:rsid w:val="0043577F"/>
    <w:rsid w:val="00441F85"/>
    <w:rsid w:val="004461E6"/>
    <w:rsid w:val="00447CE3"/>
    <w:rsid w:val="00450321"/>
    <w:rsid w:val="0045301B"/>
    <w:rsid w:val="00454279"/>
    <w:rsid w:val="004548EA"/>
    <w:rsid w:val="00455E0E"/>
    <w:rsid w:val="00457EB9"/>
    <w:rsid w:val="00466AB5"/>
    <w:rsid w:val="004719B4"/>
    <w:rsid w:val="00471CA1"/>
    <w:rsid w:val="00471CCE"/>
    <w:rsid w:val="0047217D"/>
    <w:rsid w:val="00473F19"/>
    <w:rsid w:val="00475282"/>
    <w:rsid w:val="004811EC"/>
    <w:rsid w:val="00481AC4"/>
    <w:rsid w:val="00482581"/>
    <w:rsid w:val="00482E98"/>
    <w:rsid w:val="00482FB6"/>
    <w:rsid w:val="0048377E"/>
    <w:rsid w:val="00484CD8"/>
    <w:rsid w:val="00494781"/>
    <w:rsid w:val="00495404"/>
    <w:rsid w:val="004958AE"/>
    <w:rsid w:val="00497679"/>
    <w:rsid w:val="004A49BC"/>
    <w:rsid w:val="004A5D8B"/>
    <w:rsid w:val="004A6164"/>
    <w:rsid w:val="004A6E15"/>
    <w:rsid w:val="004A749C"/>
    <w:rsid w:val="004B13CF"/>
    <w:rsid w:val="004B2FC0"/>
    <w:rsid w:val="004B456D"/>
    <w:rsid w:val="004B50DD"/>
    <w:rsid w:val="004B7065"/>
    <w:rsid w:val="004B7784"/>
    <w:rsid w:val="004C1B19"/>
    <w:rsid w:val="004C29AE"/>
    <w:rsid w:val="004C39C2"/>
    <w:rsid w:val="004C551E"/>
    <w:rsid w:val="004C6392"/>
    <w:rsid w:val="004C7565"/>
    <w:rsid w:val="004D0B02"/>
    <w:rsid w:val="004D0F14"/>
    <w:rsid w:val="004D6FA8"/>
    <w:rsid w:val="004D71C2"/>
    <w:rsid w:val="004E160A"/>
    <w:rsid w:val="004E405B"/>
    <w:rsid w:val="004E5BFD"/>
    <w:rsid w:val="004E7906"/>
    <w:rsid w:val="004F0AB6"/>
    <w:rsid w:val="004F4F9A"/>
    <w:rsid w:val="004F5DAB"/>
    <w:rsid w:val="004F63DB"/>
    <w:rsid w:val="004F6F11"/>
    <w:rsid w:val="004F73DB"/>
    <w:rsid w:val="005105EF"/>
    <w:rsid w:val="00512306"/>
    <w:rsid w:val="00512A94"/>
    <w:rsid w:val="00513979"/>
    <w:rsid w:val="005144FF"/>
    <w:rsid w:val="00515FF7"/>
    <w:rsid w:val="00516D08"/>
    <w:rsid w:val="0052129A"/>
    <w:rsid w:val="00522471"/>
    <w:rsid w:val="00523895"/>
    <w:rsid w:val="005271F4"/>
    <w:rsid w:val="005273D0"/>
    <w:rsid w:val="00532352"/>
    <w:rsid w:val="00535DC4"/>
    <w:rsid w:val="00540BB7"/>
    <w:rsid w:val="005410AB"/>
    <w:rsid w:val="005423AE"/>
    <w:rsid w:val="005506D4"/>
    <w:rsid w:val="00551699"/>
    <w:rsid w:val="00551A5F"/>
    <w:rsid w:val="005527E3"/>
    <w:rsid w:val="00553A2D"/>
    <w:rsid w:val="00553D2F"/>
    <w:rsid w:val="005549B4"/>
    <w:rsid w:val="005636A8"/>
    <w:rsid w:val="00565691"/>
    <w:rsid w:val="00566FC0"/>
    <w:rsid w:val="00567919"/>
    <w:rsid w:val="0057148A"/>
    <w:rsid w:val="00571BB6"/>
    <w:rsid w:val="00573971"/>
    <w:rsid w:val="00575BA7"/>
    <w:rsid w:val="005768CB"/>
    <w:rsid w:val="00582256"/>
    <w:rsid w:val="00582AA7"/>
    <w:rsid w:val="0058477C"/>
    <w:rsid w:val="00585DE5"/>
    <w:rsid w:val="005875F3"/>
    <w:rsid w:val="00591F9E"/>
    <w:rsid w:val="00594BA3"/>
    <w:rsid w:val="00595CB9"/>
    <w:rsid w:val="005970E3"/>
    <w:rsid w:val="00597DA8"/>
    <w:rsid w:val="005A681F"/>
    <w:rsid w:val="005B4F4B"/>
    <w:rsid w:val="005B56F9"/>
    <w:rsid w:val="005B5C09"/>
    <w:rsid w:val="005B7224"/>
    <w:rsid w:val="005B7C26"/>
    <w:rsid w:val="005C070A"/>
    <w:rsid w:val="005C2B58"/>
    <w:rsid w:val="005C40AB"/>
    <w:rsid w:val="005C498B"/>
    <w:rsid w:val="005C569C"/>
    <w:rsid w:val="005C7CBF"/>
    <w:rsid w:val="005D4005"/>
    <w:rsid w:val="005D40D1"/>
    <w:rsid w:val="005D5C1A"/>
    <w:rsid w:val="005D6BD6"/>
    <w:rsid w:val="005E03FA"/>
    <w:rsid w:val="005E2101"/>
    <w:rsid w:val="005E34F0"/>
    <w:rsid w:val="005E40AB"/>
    <w:rsid w:val="005E4CD9"/>
    <w:rsid w:val="005F0395"/>
    <w:rsid w:val="005F05D7"/>
    <w:rsid w:val="005F12D5"/>
    <w:rsid w:val="005F3ADF"/>
    <w:rsid w:val="005F56FF"/>
    <w:rsid w:val="00604E3F"/>
    <w:rsid w:val="00605C43"/>
    <w:rsid w:val="00605D18"/>
    <w:rsid w:val="006066FB"/>
    <w:rsid w:val="00607FD8"/>
    <w:rsid w:val="00610305"/>
    <w:rsid w:val="00610419"/>
    <w:rsid w:val="00611723"/>
    <w:rsid w:val="00611DDB"/>
    <w:rsid w:val="006124E3"/>
    <w:rsid w:val="00612C7B"/>
    <w:rsid w:val="006224C1"/>
    <w:rsid w:val="006250D1"/>
    <w:rsid w:val="006269B7"/>
    <w:rsid w:val="00633DC7"/>
    <w:rsid w:val="00636112"/>
    <w:rsid w:val="00636E1D"/>
    <w:rsid w:val="006379F0"/>
    <w:rsid w:val="00637DB1"/>
    <w:rsid w:val="00637EBA"/>
    <w:rsid w:val="00645BD2"/>
    <w:rsid w:val="006469F4"/>
    <w:rsid w:val="00656ACB"/>
    <w:rsid w:val="00656C6C"/>
    <w:rsid w:val="00662B9C"/>
    <w:rsid w:val="00662C54"/>
    <w:rsid w:val="00663B0A"/>
    <w:rsid w:val="006641F8"/>
    <w:rsid w:val="00665925"/>
    <w:rsid w:val="00670254"/>
    <w:rsid w:val="0067028E"/>
    <w:rsid w:val="00670B56"/>
    <w:rsid w:val="00671D4C"/>
    <w:rsid w:val="006733CB"/>
    <w:rsid w:val="00674D7F"/>
    <w:rsid w:val="006755FC"/>
    <w:rsid w:val="00683926"/>
    <w:rsid w:val="00683B02"/>
    <w:rsid w:val="00686902"/>
    <w:rsid w:val="00692097"/>
    <w:rsid w:val="00695340"/>
    <w:rsid w:val="00696E7D"/>
    <w:rsid w:val="006973AC"/>
    <w:rsid w:val="006A2EFD"/>
    <w:rsid w:val="006A38EC"/>
    <w:rsid w:val="006A4317"/>
    <w:rsid w:val="006A4A1D"/>
    <w:rsid w:val="006A5845"/>
    <w:rsid w:val="006A71AD"/>
    <w:rsid w:val="006B26BF"/>
    <w:rsid w:val="006B2788"/>
    <w:rsid w:val="006B286A"/>
    <w:rsid w:val="006B30EB"/>
    <w:rsid w:val="006B491C"/>
    <w:rsid w:val="006B5193"/>
    <w:rsid w:val="006C186D"/>
    <w:rsid w:val="006C1C41"/>
    <w:rsid w:val="006C4821"/>
    <w:rsid w:val="006D5E19"/>
    <w:rsid w:val="006D63DD"/>
    <w:rsid w:val="006D78D2"/>
    <w:rsid w:val="006F1F42"/>
    <w:rsid w:val="006F292F"/>
    <w:rsid w:val="006F2A13"/>
    <w:rsid w:val="006F445D"/>
    <w:rsid w:val="0070038F"/>
    <w:rsid w:val="007036AB"/>
    <w:rsid w:val="00703E4E"/>
    <w:rsid w:val="007042CC"/>
    <w:rsid w:val="007071C6"/>
    <w:rsid w:val="00711E1C"/>
    <w:rsid w:val="00713F6E"/>
    <w:rsid w:val="00717E68"/>
    <w:rsid w:val="0072034F"/>
    <w:rsid w:val="00721FBA"/>
    <w:rsid w:val="00722733"/>
    <w:rsid w:val="00724F1F"/>
    <w:rsid w:val="007250A7"/>
    <w:rsid w:val="0072636B"/>
    <w:rsid w:val="00730012"/>
    <w:rsid w:val="00730352"/>
    <w:rsid w:val="007304AC"/>
    <w:rsid w:val="0074065A"/>
    <w:rsid w:val="007409DB"/>
    <w:rsid w:val="00742839"/>
    <w:rsid w:val="0074383B"/>
    <w:rsid w:val="00743AB9"/>
    <w:rsid w:val="00744A8D"/>
    <w:rsid w:val="00744AD5"/>
    <w:rsid w:val="007507C3"/>
    <w:rsid w:val="007510FE"/>
    <w:rsid w:val="00752AC6"/>
    <w:rsid w:val="00754E0E"/>
    <w:rsid w:val="00755505"/>
    <w:rsid w:val="007572ED"/>
    <w:rsid w:val="00760A58"/>
    <w:rsid w:val="0076316D"/>
    <w:rsid w:val="00764D59"/>
    <w:rsid w:val="007668EC"/>
    <w:rsid w:val="0076781B"/>
    <w:rsid w:val="007704C7"/>
    <w:rsid w:val="00772993"/>
    <w:rsid w:val="00772C54"/>
    <w:rsid w:val="00775496"/>
    <w:rsid w:val="00780580"/>
    <w:rsid w:val="007815FB"/>
    <w:rsid w:val="00781D80"/>
    <w:rsid w:val="007836BA"/>
    <w:rsid w:val="0078590E"/>
    <w:rsid w:val="00785A6C"/>
    <w:rsid w:val="007861AC"/>
    <w:rsid w:val="00792C67"/>
    <w:rsid w:val="007937BA"/>
    <w:rsid w:val="00796869"/>
    <w:rsid w:val="007A0054"/>
    <w:rsid w:val="007A2170"/>
    <w:rsid w:val="007A30B9"/>
    <w:rsid w:val="007A44A6"/>
    <w:rsid w:val="007A5353"/>
    <w:rsid w:val="007B0C7C"/>
    <w:rsid w:val="007B3685"/>
    <w:rsid w:val="007B3D63"/>
    <w:rsid w:val="007B6937"/>
    <w:rsid w:val="007C05FC"/>
    <w:rsid w:val="007C258C"/>
    <w:rsid w:val="007C4C8E"/>
    <w:rsid w:val="007C55D0"/>
    <w:rsid w:val="007C7B33"/>
    <w:rsid w:val="007D05EB"/>
    <w:rsid w:val="007D1453"/>
    <w:rsid w:val="007D15E5"/>
    <w:rsid w:val="007E428E"/>
    <w:rsid w:val="007E4ACA"/>
    <w:rsid w:val="007E5DE3"/>
    <w:rsid w:val="007E5E4C"/>
    <w:rsid w:val="007E7CB3"/>
    <w:rsid w:val="008019A5"/>
    <w:rsid w:val="00801A10"/>
    <w:rsid w:val="00802A1F"/>
    <w:rsid w:val="0080362B"/>
    <w:rsid w:val="00804343"/>
    <w:rsid w:val="00805065"/>
    <w:rsid w:val="00810EDF"/>
    <w:rsid w:val="00810F1F"/>
    <w:rsid w:val="008122E2"/>
    <w:rsid w:val="00813BAC"/>
    <w:rsid w:val="00813CD4"/>
    <w:rsid w:val="00821472"/>
    <w:rsid w:val="00821B9D"/>
    <w:rsid w:val="00824CF0"/>
    <w:rsid w:val="00826200"/>
    <w:rsid w:val="00831BD5"/>
    <w:rsid w:val="00831EEF"/>
    <w:rsid w:val="00834E5B"/>
    <w:rsid w:val="008354B2"/>
    <w:rsid w:val="008404CE"/>
    <w:rsid w:val="0084101F"/>
    <w:rsid w:val="0084468C"/>
    <w:rsid w:val="008455B3"/>
    <w:rsid w:val="00847035"/>
    <w:rsid w:val="00847D5B"/>
    <w:rsid w:val="008512EB"/>
    <w:rsid w:val="008552A0"/>
    <w:rsid w:val="00860525"/>
    <w:rsid w:val="00860DEF"/>
    <w:rsid w:val="00861E9F"/>
    <w:rsid w:val="00862630"/>
    <w:rsid w:val="00864722"/>
    <w:rsid w:val="00864B9E"/>
    <w:rsid w:val="00865492"/>
    <w:rsid w:val="00867CB4"/>
    <w:rsid w:val="008708AB"/>
    <w:rsid w:val="0087101F"/>
    <w:rsid w:val="00871C44"/>
    <w:rsid w:val="00872947"/>
    <w:rsid w:val="00873312"/>
    <w:rsid w:val="00873D40"/>
    <w:rsid w:val="00874A94"/>
    <w:rsid w:val="00874ED5"/>
    <w:rsid w:val="0087603A"/>
    <w:rsid w:val="008817AA"/>
    <w:rsid w:val="008818C1"/>
    <w:rsid w:val="00883CA5"/>
    <w:rsid w:val="00883CD0"/>
    <w:rsid w:val="00883E4D"/>
    <w:rsid w:val="0088558E"/>
    <w:rsid w:val="0089107D"/>
    <w:rsid w:val="00892B01"/>
    <w:rsid w:val="00894200"/>
    <w:rsid w:val="008957D2"/>
    <w:rsid w:val="00897123"/>
    <w:rsid w:val="008A12E8"/>
    <w:rsid w:val="008A1F18"/>
    <w:rsid w:val="008A2942"/>
    <w:rsid w:val="008A4E54"/>
    <w:rsid w:val="008A6EFA"/>
    <w:rsid w:val="008B0B45"/>
    <w:rsid w:val="008B2DCC"/>
    <w:rsid w:val="008B3B7D"/>
    <w:rsid w:val="008B3F8D"/>
    <w:rsid w:val="008B3F92"/>
    <w:rsid w:val="008B7151"/>
    <w:rsid w:val="008B7AB3"/>
    <w:rsid w:val="008C258E"/>
    <w:rsid w:val="008C2FEF"/>
    <w:rsid w:val="008C4D41"/>
    <w:rsid w:val="008C5B82"/>
    <w:rsid w:val="008C630D"/>
    <w:rsid w:val="008C64DC"/>
    <w:rsid w:val="008D0886"/>
    <w:rsid w:val="008D43C0"/>
    <w:rsid w:val="008D6082"/>
    <w:rsid w:val="008D626B"/>
    <w:rsid w:val="008E0126"/>
    <w:rsid w:val="008E0444"/>
    <w:rsid w:val="008E4A38"/>
    <w:rsid w:val="008E4A6D"/>
    <w:rsid w:val="008E5294"/>
    <w:rsid w:val="008E5927"/>
    <w:rsid w:val="008E63DC"/>
    <w:rsid w:val="008F108C"/>
    <w:rsid w:val="008F138D"/>
    <w:rsid w:val="008F312E"/>
    <w:rsid w:val="008F3908"/>
    <w:rsid w:val="008F3964"/>
    <w:rsid w:val="008F4C09"/>
    <w:rsid w:val="009014B6"/>
    <w:rsid w:val="009058AF"/>
    <w:rsid w:val="00910418"/>
    <w:rsid w:val="00912882"/>
    <w:rsid w:val="00912895"/>
    <w:rsid w:val="0091548C"/>
    <w:rsid w:val="00916BDE"/>
    <w:rsid w:val="009210DE"/>
    <w:rsid w:val="0092128B"/>
    <w:rsid w:val="00921EDE"/>
    <w:rsid w:val="00922663"/>
    <w:rsid w:val="009245EB"/>
    <w:rsid w:val="009246E8"/>
    <w:rsid w:val="00924B10"/>
    <w:rsid w:val="009250E4"/>
    <w:rsid w:val="00930656"/>
    <w:rsid w:val="0093262C"/>
    <w:rsid w:val="00936C93"/>
    <w:rsid w:val="00936DE2"/>
    <w:rsid w:val="00941A02"/>
    <w:rsid w:val="00943B87"/>
    <w:rsid w:val="00946A03"/>
    <w:rsid w:val="00950A3A"/>
    <w:rsid w:val="00952C61"/>
    <w:rsid w:val="0096160F"/>
    <w:rsid w:val="00961A6A"/>
    <w:rsid w:val="009645A4"/>
    <w:rsid w:val="00965B80"/>
    <w:rsid w:val="00971D4E"/>
    <w:rsid w:val="0097323B"/>
    <w:rsid w:val="0097396D"/>
    <w:rsid w:val="00975580"/>
    <w:rsid w:val="009768F7"/>
    <w:rsid w:val="00982472"/>
    <w:rsid w:val="00987924"/>
    <w:rsid w:val="00990C58"/>
    <w:rsid w:val="00991524"/>
    <w:rsid w:val="009929ED"/>
    <w:rsid w:val="00994F53"/>
    <w:rsid w:val="00995112"/>
    <w:rsid w:val="00995CD7"/>
    <w:rsid w:val="009A0A26"/>
    <w:rsid w:val="009A2FC7"/>
    <w:rsid w:val="009A56CF"/>
    <w:rsid w:val="009B2CEA"/>
    <w:rsid w:val="009B57B1"/>
    <w:rsid w:val="009B7D6B"/>
    <w:rsid w:val="009C05F4"/>
    <w:rsid w:val="009C0C33"/>
    <w:rsid w:val="009C11C7"/>
    <w:rsid w:val="009C12C9"/>
    <w:rsid w:val="009C1CE7"/>
    <w:rsid w:val="009C1FDB"/>
    <w:rsid w:val="009C2E35"/>
    <w:rsid w:val="009D55F7"/>
    <w:rsid w:val="009D6BE1"/>
    <w:rsid w:val="009D7768"/>
    <w:rsid w:val="009E4DAA"/>
    <w:rsid w:val="009E7462"/>
    <w:rsid w:val="009E76BE"/>
    <w:rsid w:val="009E79BF"/>
    <w:rsid w:val="009F228F"/>
    <w:rsid w:val="009F2B84"/>
    <w:rsid w:val="009F3FE6"/>
    <w:rsid w:val="009F53AF"/>
    <w:rsid w:val="009F598D"/>
    <w:rsid w:val="009F655A"/>
    <w:rsid w:val="00A00E34"/>
    <w:rsid w:val="00A00FFA"/>
    <w:rsid w:val="00A01D73"/>
    <w:rsid w:val="00A0216B"/>
    <w:rsid w:val="00A02F8A"/>
    <w:rsid w:val="00A04ABB"/>
    <w:rsid w:val="00A07B28"/>
    <w:rsid w:val="00A10257"/>
    <w:rsid w:val="00A11497"/>
    <w:rsid w:val="00A14332"/>
    <w:rsid w:val="00A2787D"/>
    <w:rsid w:val="00A27D88"/>
    <w:rsid w:val="00A3016D"/>
    <w:rsid w:val="00A304D0"/>
    <w:rsid w:val="00A31305"/>
    <w:rsid w:val="00A3276E"/>
    <w:rsid w:val="00A34CF0"/>
    <w:rsid w:val="00A37181"/>
    <w:rsid w:val="00A37A35"/>
    <w:rsid w:val="00A4000F"/>
    <w:rsid w:val="00A41F33"/>
    <w:rsid w:val="00A4373F"/>
    <w:rsid w:val="00A455C2"/>
    <w:rsid w:val="00A4607D"/>
    <w:rsid w:val="00A47C95"/>
    <w:rsid w:val="00A47E48"/>
    <w:rsid w:val="00A537E7"/>
    <w:rsid w:val="00A53EC9"/>
    <w:rsid w:val="00A55627"/>
    <w:rsid w:val="00A55B69"/>
    <w:rsid w:val="00A561A3"/>
    <w:rsid w:val="00A6078E"/>
    <w:rsid w:val="00A6183A"/>
    <w:rsid w:val="00A651D6"/>
    <w:rsid w:val="00A659A4"/>
    <w:rsid w:val="00A774CB"/>
    <w:rsid w:val="00A804BB"/>
    <w:rsid w:val="00A813C4"/>
    <w:rsid w:val="00A82CA6"/>
    <w:rsid w:val="00A844D3"/>
    <w:rsid w:val="00A86D8A"/>
    <w:rsid w:val="00A8796D"/>
    <w:rsid w:val="00A87D9F"/>
    <w:rsid w:val="00A92358"/>
    <w:rsid w:val="00A92440"/>
    <w:rsid w:val="00A93289"/>
    <w:rsid w:val="00A94C96"/>
    <w:rsid w:val="00A9621C"/>
    <w:rsid w:val="00AA1E8D"/>
    <w:rsid w:val="00AA3437"/>
    <w:rsid w:val="00AA4857"/>
    <w:rsid w:val="00AA79EC"/>
    <w:rsid w:val="00AB104D"/>
    <w:rsid w:val="00AB3336"/>
    <w:rsid w:val="00AB396A"/>
    <w:rsid w:val="00AB464A"/>
    <w:rsid w:val="00AB5C82"/>
    <w:rsid w:val="00AB5E53"/>
    <w:rsid w:val="00AB6F2C"/>
    <w:rsid w:val="00AC1D58"/>
    <w:rsid w:val="00AD07AB"/>
    <w:rsid w:val="00AD0988"/>
    <w:rsid w:val="00AD0C73"/>
    <w:rsid w:val="00AD0E70"/>
    <w:rsid w:val="00AD55B9"/>
    <w:rsid w:val="00AE1586"/>
    <w:rsid w:val="00AE1A2D"/>
    <w:rsid w:val="00AE39E3"/>
    <w:rsid w:val="00AE52F5"/>
    <w:rsid w:val="00AE5347"/>
    <w:rsid w:val="00AE5542"/>
    <w:rsid w:val="00AE55F6"/>
    <w:rsid w:val="00AE56DB"/>
    <w:rsid w:val="00AE59F8"/>
    <w:rsid w:val="00AE6929"/>
    <w:rsid w:val="00AE6F37"/>
    <w:rsid w:val="00AF2077"/>
    <w:rsid w:val="00AF58B2"/>
    <w:rsid w:val="00AF6764"/>
    <w:rsid w:val="00B04A92"/>
    <w:rsid w:val="00B04CA9"/>
    <w:rsid w:val="00B06033"/>
    <w:rsid w:val="00B06884"/>
    <w:rsid w:val="00B06A3B"/>
    <w:rsid w:val="00B07D99"/>
    <w:rsid w:val="00B13C87"/>
    <w:rsid w:val="00B14230"/>
    <w:rsid w:val="00B166C6"/>
    <w:rsid w:val="00B16ACA"/>
    <w:rsid w:val="00B16CDE"/>
    <w:rsid w:val="00B1710D"/>
    <w:rsid w:val="00B17160"/>
    <w:rsid w:val="00B17D1D"/>
    <w:rsid w:val="00B2057D"/>
    <w:rsid w:val="00B24F23"/>
    <w:rsid w:val="00B24FB5"/>
    <w:rsid w:val="00B30E65"/>
    <w:rsid w:val="00B32405"/>
    <w:rsid w:val="00B32510"/>
    <w:rsid w:val="00B33E91"/>
    <w:rsid w:val="00B36454"/>
    <w:rsid w:val="00B36A68"/>
    <w:rsid w:val="00B36D5E"/>
    <w:rsid w:val="00B40176"/>
    <w:rsid w:val="00B45069"/>
    <w:rsid w:val="00B4521D"/>
    <w:rsid w:val="00B45B66"/>
    <w:rsid w:val="00B470C6"/>
    <w:rsid w:val="00B526A8"/>
    <w:rsid w:val="00B53EFA"/>
    <w:rsid w:val="00B55FAB"/>
    <w:rsid w:val="00B5696C"/>
    <w:rsid w:val="00B56CE0"/>
    <w:rsid w:val="00B61349"/>
    <w:rsid w:val="00B62478"/>
    <w:rsid w:val="00B65835"/>
    <w:rsid w:val="00B6734E"/>
    <w:rsid w:val="00B67852"/>
    <w:rsid w:val="00B71894"/>
    <w:rsid w:val="00B751AC"/>
    <w:rsid w:val="00B75C63"/>
    <w:rsid w:val="00B769AC"/>
    <w:rsid w:val="00B77649"/>
    <w:rsid w:val="00B778A1"/>
    <w:rsid w:val="00B77F38"/>
    <w:rsid w:val="00B83D9D"/>
    <w:rsid w:val="00B84529"/>
    <w:rsid w:val="00B85D67"/>
    <w:rsid w:val="00B86634"/>
    <w:rsid w:val="00B86C82"/>
    <w:rsid w:val="00B87B87"/>
    <w:rsid w:val="00B87E75"/>
    <w:rsid w:val="00B903B8"/>
    <w:rsid w:val="00B91B73"/>
    <w:rsid w:val="00B930A4"/>
    <w:rsid w:val="00B93D6D"/>
    <w:rsid w:val="00B94687"/>
    <w:rsid w:val="00B9508E"/>
    <w:rsid w:val="00B96F7F"/>
    <w:rsid w:val="00BA0B75"/>
    <w:rsid w:val="00BA7B95"/>
    <w:rsid w:val="00BB2111"/>
    <w:rsid w:val="00BB2729"/>
    <w:rsid w:val="00BB2D20"/>
    <w:rsid w:val="00BB2D63"/>
    <w:rsid w:val="00BB4F06"/>
    <w:rsid w:val="00BC593F"/>
    <w:rsid w:val="00BC689F"/>
    <w:rsid w:val="00BC7FD2"/>
    <w:rsid w:val="00BD01BB"/>
    <w:rsid w:val="00BD1B8E"/>
    <w:rsid w:val="00BD1CD8"/>
    <w:rsid w:val="00BD62DE"/>
    <w:rsid w:val="00BE384C"/>
    <w:rsid w:val="00BE6199"/>
    <w:rsid w:val="00BE626F"/>
    <w:rsid w:val="00BE6527"/>
    <w:rsid w:val="00BE6DB8"/>
    <w:rsid w:val="00BE7BB4"/>
    <w:rsid w:val="00BF42A1"/>
    <w:rsid w:val="00BF5E3F"/>
    <w:rsid w:val="00C00E91"/>
    <w:rsid w:val="00C01AEA"/>
    <w:rsid w:val="00C03AE7"/>
    <w:rsid w:val="00C04DE0"/>
    <w:rsid w:val="00C05D9D"/>
    <w:rsid w:val="00C106B9"/>
    <w:rsid w:val="00C12D50"/>
    <w:rsid w:val="00C13158"/>
    <w:rsid w:val="00C2248E"/>
    <w:rsid w:val="00C261A6"/>
    <w:rsid w:val="00C346C5"/>
    <w:rsid w:val="00C35592"/>
    <w:rsid w:val="00C356AF"/>
    <w:rsid w:val="00C3575F"/>
    <w:rsid w:val="00C35883"/>
    <w:rsid w:val="00C41927"/>
    <w:rsid w:val="00C41F00"/>
    <w:rsid w:val="00C439D6"/>
    <w:rsid w:val="00C43FD9"/>
    <w:rsid w:val="00C44EB2"/>
    <w:rsid w:val="00C454D5"/>
    <w:rsid w:val="00C459CF"/>
    <w:rsid w:val="00C45D4A"/>
    <w:rsid w:val="00C46E50"/>
    <w:rsid w:val="00C47A5A"/>
    <w:rsid w:val="00C47E8F"/>
    <w:rsid w:val="00C50AB3"/>
    <w:rsid w:val="00C519C1"/>
    <w:rsid w:val="00C60555"/>
    <w:rsid w:val="00C60915"/>
    <w:rsid w:val="00C62913"/>
    <w:rsid w:val="00C62E9A"/>
    <w:rsid w:val="00C63EC1"/>
    <w:rsid w:val="00C65DE9"/>
    <w:rsid w:val="00C66D5F"/>
    <w:rsid w:val="00C67B7C"/>
    <w:rsid w:val="00C732A9"/>
    <w:rsid w:val="00C746C8"/>
    <w:rsid w:val="00C74B24"/>
    <w:rsid w:val="00C763B3"/>
    <w:rsid w:val="00C76E4C"/>
    <w:rsid w:val="00C87BD5"/>
    <w:rsid w:val="00C91B21"/>
    <w:rsid w:val="00C964B8"/>
    <w:rsid w:val="00CA097E"/>
    <w:rsid w:val="00CA4671"/>
    <w:rsid w:val="00CA5B8F"/>
    <w:rsid w:val="00CA681A"/>
    <w:rsid w:val="00CA78F7"/>
    <w:rsid w:val="00CA7EBA"/>
    <w:rsid w:val="00CB06AC"/>
    <w:rsid w:val="00CB49EB"/>
    <w:rsid w:val="00CC4E5F"/>
    <w:rsid w:val="00CC50AA"/>
    <w:rsid w:val="00CC6198"/>
    <w:rsid w:val="00CD021B"/>
    <w:rsid w:val="00CD1257"/>
    <w:rsid w:val="00CD4233"/>
    <w:rsid w:val="00CD5BC4"/>
    <w:rsid w:val="00CE04D9"/>
    <w:rsid w:val="00CE2C6B"/>
    <w:rsid w:val="00CE41B4"/>
    <w:rsid w:val="00CE659B"/>
    <w:rsid w:val="00CE6659"/>
    <w:rsid w:val="00CE70FC"/>
    <w:rsid w:val="00CF1030"/>
    <w:rsid w:val="00CF2311"/>
    <w:rsid w:val="00CF3412"/>
    <w:rsid w:val="00CF4990"/>
    <w:rsid w:val="00CF5A63"/>
    <w:rsid w:val="00D007FD"/>
    <w:rsid w:val="00D010A2"/>
    <w:rsid w:val="00D0135C"/>
    <w:rsid w:val="00D01670"/>
    <w:rsid w:val="00D02E9F"/>
    <w:rsid w:val="00D03431"/>
    <w:rsid w:val="00D042BA"/>
    <w:rsid w:val="00D057CD"/>
    <w:rsid w:val="00D10CFF"/>
    <w:rsid w:val="00D1108D"/>
    <w:rsid w:val="00D13BBF"/>
    <w:rsid w:val="00D15249"/>
    <w:rsid w:val="00D152E7"/>
    <w:rsid w:val="00D1775A"/>
    <w:rsid w:val="00D212DD"/>
    <w:rsid w:val="00D21F91"/>
    <w:rsid w:val="00D2291E"/>
    <w:rsid w:val="00D23327"/>
    <w:rsid w:val="00D248E3"/>
    <w:rsid w:val="00D30519"/>
    <w:rsid w:val="00D314F1"/>
    <w:rsid w:val="00D31A73"/>
    <w:rsid w:val="00D32703"/>
    <w:rsid w:val="00D4230E"/>
    <w:rsid w:val="00D42A3E"/>
    <w:rsid w:val="00D42A90"/>
    <w:rsid w:val="00D44360"/>
    <w:rsid w:val="00D50E72"/>
    <w:rsid w:val="00D50FFD"/>
    <w:rsid w:val="00D52998"/>
    <w:rsid w:val="00D54686"/>
    <w:rsid w:val="00D549B9"/>
    <w:rsid w:val="00D557EE"/>
    <w:rsid w:val="00D56058"/>
    <w:rsid w:val="00D57F4B"/>
    <w:rsid w:val="00D63A88"/>
    <w:rsid w:val="00D656AD"/>
    <w:rsid w:val="00D7084A"/>
    <w:rsid w:val="00D73901"/>
    <w:rsid w:val="00D74683"/>
    <w:rsid w:val="00D76E91"/>
    <w:rsid w:val="00D83AAF"/>
    <w:rsid w:val="00D848B3"/>
    <w:rsid w:val="00D8716A"/>
    <w:rsid w:val="00D872D1"/>
    <w:rsid w:val="00D93B1A"/>
    <w:rsid w:val="00D94CDD"/>
    <w:rsid w:val="00D95722"/>
    <w:rsid w:val="00DA0961"/>
    <w:rsid w:val="00DA0CB5"/>
    <w:rsid w:val="00DA5265"/>
    <w:rsid w:val="00DA550A"/>
    <w:rsid w:val="00DB1BC4"/>
    <w:rsid w:val="00DB3817"/>
    <w:rsid w:val="00DB4809"/>
    <w:rsid w:val="00DB5E8F"/>
    <w:rsid w:val="00DB634B"/>
    <w:rsid w:val="00DC0AD8"/>
    <w:rsid w:val="00DC1511"/>
    <w:rsid w:val="00DC3925"/>
    <w:rsid w:val="00DC4B65"/>
    <w:rsid w:val="00DC5D04"/>
    <w:rsid w:val="00DC5FBF"/>
    <w:rsid w:val="00DC6AB8"/>
    <w:rsid w:val="00DC6EE3"/>
    <w:rsid w:val="00DC7C3E"/>
    <w:rsid w:val="00DD04D3"/>
    <w:rsid w:val="00DD129E"/>
    <w:rsid w:val="00DD227B"/>
    <w:rsid w:val="00DD36F6"/>
    <w:rsid w:val="00DD71C2"/>
    <w:rsid w:val="00DE082A"/>
    <w:rsid w:val="00DE30E0"/>
    <w:rsid w:val="00DE79E9"/>
    <w:rsid w:val="00DF1288"/>
    <w:rsid w:val="00DF3102"/>
    <w:rsid w:val="00DF31CE"/>
    <w:rsid w:val="00DF71B5"/>
    <w:rsid w:val="00E00BB5"/>
    <w:rsid w:val="00E0157A"/>
    <w:rsid w:val="00E0399C"/>
    <w:rsid w:val="00E0491F"/>
    <w:rsid w:val="00E063FC"/>
    <w:rsid w:val="00E07B0F"/>
    <w:rsid w:val="00E103F9"/>
    <w:rsid w:val="00E11150"/>
    <w:rsid w:val="00E1277B"/>
    <w:rsid w:val="00E12A26"/>
    <w:rsid w:val="00E14384"/>
    <w:rsid w:val="00E14C9C"/>
    <w:rsid w:val="00E15F0F"/>
    <w:rsid w:val="00E20421"/>
    <w:rsid w:val="00E20A17"/>
    <w:rsid w:val="00E22132"/>
    <w:rsid w:val="00E22BCE"/>
    <w:rsid w:val="00E25B7D"/>
    <w:rsid w:val="00E2655F"/>
    <w:rsid w:val="00E26E33"/>
    <w:rsid w:val="00E27AC5"/>
    <w:rsid w:val="00E30F40"/>
    <w:rsid w:val="00E3173B"/>
    <w:rsid w:val="00E326FF"/>
    <w:rsid w:val="00E32E5D"/>
    <w:rsid w:val="00E361B0"/>
    <w:rsid w:val="00E4051D"/>
    <w:rsid w:val="00E41D4A"/>
    <w:rsid w:val="00E467B7"/>
    <w:rsid w:val="00E46B4F"/>
    <w:rsid w:val="00E5011C"/>
    <w:rsid w:val="00E50227"/>
    <w:rsid w:val="00E52267"/>
    <w:rsid w:val="00E62D98"/>
    <w:rsid w:val="00E62DB8"/>
    <w:rsid w:val="00E64563"/>
    <w:rsid w:val="00E647D2"/>
    <w:rsid w:val="00E67772"/>
    <w:rsid w:val="00E677EF"/>
    <w:rsid w:val="00E7429B"/>
    <w:rsid w:val="00E7507B"/>
    <w:rsid w:val="00E77739"/>
    <w:rsid w:val="00E8028D"/>
    <w:rsid w:val="00E81ACB"/>
    <w:rsid w:val="00E859DF"/>
    <w:rsid w:val="00E86753"/>
    <w:rsid w:val="00E86F20"/>
    <w:rsid w:val="00E87041"/>
    <w:rsid w:val="00E87B11"/>
    <w:rsid w:val="00E91434"/>
    <w:rsid w:val="00E95201"/>
    <w:rsid w:val="00E9540A"/>
    <w:rsid w:val="00E97C2F"/>
    <w:rsid w:val="00EA1807"/>
    <w:rsid w:val="00EA4947"/>
    <w:rsid w:val="00EA5762"/>
    <w:rsid w:val="00EC0C41"/>
    <w:rsid w:val="00EC1594"/>
    <w:rsid w:val="00ED0519"/>
    <w:rsid w:val="00ED2AF7"/>
    <w:rsid w:val="00ED528D"/>
    <w:rsid w:val="00EE3755"/>
    <w:rsid w:val="00EE456B"/>
    <w:rsid w:val="00EE53A0"/>
    <w:rsid w:val="00EE5E3A"/>
    <w:rsid w:val="00EF1680"/>
    <w:rsid w:val="00EF482B"/>
    <w:rsid w:val="00F00C37"/>
    <w:rsid w:val="00F034AC"/>
    <w:rsid w:val="00F038EA"/>
    <w:rsid w:val="00F04125"/>
    <w:rsid w:val="00F045E9"/>
    <w:rsid w:val="00F10ADA"/>
    <w:rsid w:val="00F14419"/>
    <w:rsid w:val="00F14592"/>
    <w:rsid w:val="00F14F6D"/>
    <w:rsid w:val="00F160D2"/>
    <w:rsid w:val="00F20607"/>
    <w:rsid w:val="00F21798"/>
    <w:rsid w:val="00F21CCB"/>
    <w:rsid w:val="00F23638"/>
    <w:rsid w:val="00F23FB7"/>
    <w:rsid w:val="00F258BF"/>
    <w:rsid w:val="00F2633E"/>
    <w:rsid w:val="00F26E39"/>
    <w:rsid w:val="00F3580F"/>
    <w:rsid w:val="00F368B4"/>
    <w:rsid w:val="00F407C5"/>
    <w:rsid w:val="00F40B8C"/>
    <w:rsid w:val="00F411AD"/>
    <w:rsid w:val="00F41C1C"/>
    <w:rsid w:val="00F434D1"/>
    <w:rsid w:val="00F4352E"/>
    <w:rsid w:val="00F4538A"/>
    <w:rsid w:val="00F46B9E"/>
    <w:rsid w:val="00F4748D"/>
    <w:rsid w:val="00F50115"/>
    <w:rsid w:val="00F54BA5"/>
    <w:rsid w:val="00F5567A"/>
    <w:rsid w:val="00F605CC"/>
    <w:rsid w:val="00F6101E"/>
    <w:rsid w:val="00F612B3"/>
    <w:rsid w:val="00F617C8"/>
    <w:rsid w:val="00F6376B"/>
    <w:rsid w:val="00F63E17"/>
    <w:rsid w:val="00F669C8"/>
    <w:rsid w:val="00F66F0E"/>
    <w:rsid w:val="00F6721C"/>
    <w:rsid w:val="00F7064A"/>
    <w:rsid w:val="00F71812"/>
    <w:rsid w:val="00F71E45"/>
    <w:rsid w:val="00F72BF7"/>
    <w:rsid w:val="00F747AD"/>
    <w:rsid w:val="00F7539E"/>
    <w:rsid w:val="00F76E9E"/>
    <w:rsid w:val="00F778D6"/>
    <w:rsid w:val="00F815E0"/>
    <w:rsid w:val="00F82725"/>
    <w:rsid w:val="00F832FE"/>
    <w:rsid w:val="00F942CA"/>
    <w:rsid w:val="00F9452C"/>
    <w:rsid w:val="00F96B88"/>
    <w:rsid w:val="00FA055C"/>
    <w:rsid w:val="00FA0DC0"/>
    <w:rsid w:val="00FA1349"/>
    <w:rsid w:val="00FA1F28"/>
    <w:rsid w:val="00FA2305"/>
    <w:rsid w:val="00FA371F"/>
    <w:rsid w:val="00FB45B8"/>
    <w:rsid w:val="00FB7206"/>
    <w:rsid w:val="00FB7AAF"/>
    <w:rsid w:val="00FC1D72"/>
    <w:rsid w:val="00FC5496"/>
    <w:rsid w:val="00FC5912"/>
    <w:rsid w:val="00FC5EFA"/>
    <w:rsid w:val="00FC7712"/>
    <w:rsid w:val="00FE0C27"/>
    <w:rsid w:val="00FE1837"/>
    <w:rsid w:val="00FE23A0"/>
    <w:rsid w:val="00FE361D"/>
    <w:rsid w:val="00FE4269"/>
    <w:rsid w:val="00FE5577"/>
    <w:rsid w:val="00FF188A"/>
    <w:rsid w:val="00FF191E"/>
    <w:rsid w:val="00FF34CA"/>
    <w:rsid w:val="00FF6080"/>
    <w:rsid w:val="00FF6F7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5C1580C"/>
  <w15:docId w15:val="{1C6D434F-BE16-4078-8311-2F8DBF0B5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17160"/>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B17160"/>
    <w:pPr>
      <w:spacing w:before="80" w:after="0" w:line="200" w:lineRule="exact"/>
      <w:jc w:val="left"/>
    </w:pPr>
    <w:rPr>
      <w:sz w:val="18"/>
      <w:szCs w:val="18"/>
    </w:rPr>
  </w:style>
  <w:style w:type="character" w:customStyle="1" w:styleId="FootnoteTextChar">
    <w:name w:val="Footnote Text Char"/>
    <w:basedOn w:val="DefaultParagraphFont"/>
    <w:link w:val="FootnoteText"/>
    <w:rsid w:val="00B17160"/>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paragraph" w:styleId="EndnoteText">
    <w:name w:val="endnote text"/>
    <w:basedOn w:val="Normal"/>
    <w:link w:val="EndnoteTextChar"/>
    <w:uiPriority w:val="99"/>
    <w:semiHidden/>
    <w:rsid w:val="004A6E15"/>
    <w:rPr>
      <w:sz w:val="20"/>
      <w:szCs w:val="20"/>
    </w:rPr>
  </w:style>
  <w:style w:type="character" w:customStyle="1" w:styleId="EndnoteTextChar">
    <w:name w:val="Endnote Text Char"/>
    <w:basedOn w:val="DefaultParagraphFont"/>
    <w:link w:val="EndnoteText"/>
    <w:uiPriority w:val="99"/>
    <w:semiHidden/>
    <w:rsid w:val="004A6E15"/>
    <w:rPr>
      <w:sz w:val="20"/>
      <w:szCs w:val="20"/>
      <w:lang w:val="en-GB"/>
    </w:rPr>
  </w:style>
  <w:style w:type="character" w:styleId="EndnoteReference">
    <w:name w:val="endnote reference"/>
    <w:basedOn w:val="DefaultParagraphFont"/>
    <w:uiPriority w:val="99"/>
    <w:semiHidden/>
    <w:rsid w:val="004A6E15"/>
    <w:rPr>
      <w:vertAlign w:val="superscript"/>
    </w:rPr>
  </w:style>
  <w:style w:type="paragraph" w:styleId="PlainText">
    <w:name w:val="Plain Text"/>
    <w:basedOn w:val="Normal"/>
    <w:link w:val="PlainTextChar"/>
    <w:uiPriority w:val="99"/>
    <w:unhideWhenUsed/>
    <w:rsid w:val="00286AD6"/>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286AD6"/>
    <w:rPr>
      <w:rFonts w:ascii="Calibri" w:eastAsia="Times New Roman" w:hAnsi="Calibri" w:cs="Times New Roman"/>
      <w:sz w:val="22"/>
      <w:szCs w:val="21"/>
      <w:lang w:val="en-GB" w:eastAsia="en-GB"/>
    </w:rPr>
  </w:style>
  <w:style w:type="character" w:customStyle="1" w:styleId="numberedparagraphChar">
    <w:name w:val="numbered paragraph Char"/>
    <w:basedOn w:val="DefaultParagraphFont"/>
    <w:link w:val="numberedparagraph"/>
    <w:rsid w:val="00F41C1C"/>
    <w:rPr>
      <w:sz w:val="22"/>
    </w:rPr>
  </w:style>
  <w:style w:type="paragraph" w:customStyle="1" w:styleId="Default">
    <w:name w:val="Default"/>
    <w:rsid w:val="00B86C82"/>
    <w:pPr>
      <w:autoSpaceDE w:val="0"/>
      <w:autoSpaceDN w:val="0"/>
      <w:adjustRightInd w:val="0"/>
    </w:pPr>
    <w:rPr>
      <w:rFonts w:ascii="Arial" w:hAnsi="Arial" w:cs="Arial"/>
      <w:color w:val="000000"/>
      <w:lang w:val="en-GB"/>
    </w:rPr>
  </w:style>
  <w:style w:type="paragraph" w:styleId="Revision">
    <w:name w:val="Revision"/>
    <w:hidden/>
    <w:uiPriority w:val="99"/>
    <w:semiHidden/>
    <w:rsid w:val="009A0A26"/>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872145">
      <w:bodyDiv w:val="1"/>
      <w:marLeft w:val="0"/>
      <w:marRight w:val="0"/>
      <w:marTop w:val="0"/>
      <w:marBottom w:val="0"/>
      <w:divBdr>
        <w:top w:val="none" w:sz="0" w:space="0" w:color="auto"/>
        <w:left w:val="none" w:sz="0" w:space="0" w:color="auto"/>
        <w:bottom w:val="none" w:sz="0" w:space="0" w:color="auto"/>
        <w:right w:val="none" w:sz="0" w:space="0" w:color="auto"/>
      </w:divBdr>
    </w:div>
    <w:div w:id="415130940">
      <w:bodyDiv w:val="1"/>
      <w:marLeft w:val="0"/>
      <w:marRight w:val="0"/>
      <w:marTop w:val="0"/>
      <w:marBottom w:val="0"/>
      <w:divBdr>
        <w:top w:val="none" w:sz="0" w:space="0" w:color="auto"/>
        <w:left w:val="none" w:sz="0" w:space="0" w:color="auto"/>
        <w:bottom w:val="none" w:sz="0" w:space="0" w:color="auto"/>
        <w:right w:val="none" w:sz="0" w:space="0" w:color="auto"/>
      </w:divBdr>
    </w:div>
    <w:div w:id="804808566">
      <w:bodyDiv w:val="1"/>
      <w:marLeft w:val="0"/>
      <w:marRight w:val="0"/>
      <w:marTop w:val="0"/>
      <w:marBottom w:val="0"/>
      <w:divBdr>
        <w:top w:val="none" w:sz="0" w:space="0" w:color="auto"/>
        <w:left w:val="none" w:sz="0" w:space="0" w:color="auto"/>
        <w:bottom w:val="none" w:sz="0" w:space="0" w:color="auto"/>
        <w:right w:val="none" w:sz="0" w:space="0" w:color="auto"/>
      </w:divBdr>
    </w:div>
    <w:div w:id="108429807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53761776">
      <w:bodyDiv w:val="1"/>
      <w:marLeft w:val="0"/>
      <w:marRight w:val="0"/>
      <w:marTop w:val="0"/>
      <w:marBottom w:val="0"/>
      <w:divBdr>
        <w:top w:val="none" w:sz="0" w:space="0" w:color="auto"/>
        <w:left w:val="none" w:sz="0" w:space="0" w:color="auto"/>
        <w:bottom w:val="none" w:sz="0" w:space="0" w:color="auto"/>
        <w:right w:val="none" w:sz="0" w:space="0" w:color="auto"/>
      </w:divBdr>
    </w:div>
    <w:div w:id="1542328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6182F-47FB-4D4A-A09A-CA77099FF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17</Pages>
  <Words>2946</Words>
  <Characters>16797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19704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30</cp:revision>
  <cp:lastPrinted>2018-03-19T18:51:00Z</cp:lastPrinted>
  <dcterms:created xsi:type="dcterms:W3CDTF">2019-03-27T13:48:00Z</dcterms:created>
  <dcterms:modified xsi:type="dcterms:W3CDTF">2019-05-16T10:13:00Z</dcterms:modified>
</cp:coreProperties>
</file>