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9ED" w:rsidRDefault="007C59ED" w:rsidP="007C59ED">
      <w:pPr>
        <w:pStyle w:val="Titologenerale"/>
        <w:spacing w:line="320" w:lineRule="exact"/>
        <w:rPr>
          <w:sz w:val="32"/>
          <w:szCs w:val="32"/>
        </w:rPr>
      </w:pPr>
      <w:bookmarkStart w:id="0" w:name="OLE_LINK1"/>
      <w:bookmarkStart w:id="1" w:name="_GoBack"/>
      <w:bookmarkEnd w:id="1"/>
    </w:p>
    <w:p w:rsidR="00402F3B" w:rsidRPr="008A0F36" w:rsidRDefault="00402F3B" w:rsidP="007C59ED">
      <w:pPr>
        <w:pStyle w:val="Titologenerale"/>
        <w:spacing w:line="320" w:lineRule="exact"/>
        <w:rPr>
          <w:sz w:val="32"/>
          <w:szCs w:val="32"/>
        </w:rPr>
      </w:pPr>
    </w:p>
    <w:p w:rsidR="007C59ED" w:rsidRPr="008A0F36" w:rsidRDefault="007C59ED" w:rsidP="007C59ED">
      <w:pPr>
        <w:pStyle w:val="Titologenerale"/>
        <w:spacing w:line="320" w:lineRule="exact"/>
        <w:rPr>
          <w:sz w:val="32"/>
          <w:szCs w:val="32"/>
        </w:rPr>
      </w:pPr>
    </w:p>
    <w:p w:rsidR="007C59ED" w:rsidRPr="008A0F36" w:rsidRDefault="007C59ED" w:rsidP="007C59ED">
      <w:pPr>
        <w:pStyle w:val="Titologenerale"/>
        <w:spacing w:line="320" w:lineRule="exact"/>
        <w:rPr>
          <w:sz w:val="32"/>
          <w:szCs w:val="32"/>
        </w:rPr>
      </w:pPr>
    </w:p>
    <w:p w:rsidR="007C59ED" w:rsidRPr="008A0F36" w:rsidRDefault="007C59ED" w:rsidP="007C59ED">
      <w:pPr>
        <w:pStyle w:val="Titologenerale"/>
        <w:spacing w:line="320" w:lineRule="exact"/>
        <w:rPr>
          <w:sz w:val="32"/>
          <w:szCs w:val="32"/>
        </w:rPr>
      </w:pPr>
    </w:p>
    <w:p w:rsidR="007C59ED" w:rsidRPr="008A0F36" w:rsidRDefault="007C59ED" w:rsidP="007C59ED">
      <w:pPr>
        <w:pStyle w:val="Titologenerale"/>
        <w:spacing w:line="320" w:lineRule="exact"/>
        <w:rPr>
          <w:sz w:val="32"/>
          <w:szCs w:val="32"/>
        </w:rPr>
      </w:pPr>
    </w:p>
    <w:p w:rsidR="007C59ED" w:rsidRPr="008A0F36" w:rsidRDefault="007C59ED" w:rsidP="007C59ED">
      <w:pPr>
        <w:pStyle w:val="Titologenerale"/>
        <w:spacing w:line="320" w:lineRule="exact"/>
        <w:rPr>
          <w:sz w:val="32"/>
          <w:szCs w:val="32"/>
        </w:rPr>
      </w:pPr>
    </w:p>
    <w:p w:rsidR="00413CC8" w:rsidRPr="008A0F36" w:rsidRDefault="00413CC8" w:rsidP="007C59ED">
      <w:pPr>
        <w:pStyle w:val="Titologenerale"/>
        <w:spacing w:line="320" w:lineRule="exact"/>
        <w:rPr>
          <w:sz w:val="32"/>
          <w:szCs w:val="32"/>
        </w:rPr>
      </w:pPr>
    </w:p>
    <w:p w:rsidR="00413CC8" w:rsidRPr="008A0F36" w:rsidRDefault="00413CC8" w:rsidP="007C59ED">
      <w:pPr>
        <w:pStyle w:val="Titologenerale"/>
        <w:spacing w:line="320" w:lineRule="exact"/>
        <w:rPr>
          <w:sz w:val="32"/>
          <w:szCs w:val="32"/>
        </w:rPr>
      </w:pPr>
    </w:p>
    <w:p w:rsidR="00413CC8" w:rsidRPr="008A0F36" w:rsidRDefault="00413CC8" w:rsidP="007C59ED">
      <w:pPr>
        <w:pStyle w:val="Titologenerale"/>
        <w:spacing w:line="320" w:lineRule="exact"/>
        <w:rPr>
          <w:sz w:val="32"/>
          <w:szCs w:val="32"/>
        </w:rPr>
      </w:pPr>
    </w:p>
    <w:p w:rsidR="00413CC8" w:rsidRPr="008A0F36" w:rsidRDefault="00413CC8" w:rsidP="007C59ED">
      <w:pPr>
        <w:pStyle w:val="Titologenerale"/>
        <w:spacing w:line="320" w:lineRule="exact"/>
        <w:rPr>
          <w:sz w:val="32"/>
          <w:szCs w:val="32"/>
        </w:rPr>
      </w:pPr>
    </w:p>
    <w:p w:rsidR="00413CC8" w:rsidRPr="008A0F36" w:rsidRDefault="00413CC8" w:rsidP="007C59ED">
      <w:pPr>
        <w:pStyle w:val="Titologenerale"/>
        <w:spacing w:line="320" w:lineRule="exact"/>
        <w:rPr>
          <w:sz w:val="32"/>
          <w:szCs w:val="32"/>
        </w:rPr>
      </w:pPr>
    </w:p>
    <w:p w:rsidR="007C59ED" w:rsidRPr="008A0F36" w:rsidRDefault="007C59ED" w:rsidP="007C59ED">
      <w:pPr>
        <w:pStyle w:val="Titologenerale"/>
        <w:spacing w:line="320" w:lineRule="exact"/>
        <w:rPr>
          <w:sz w:val="32"/>
          <w:szCs w:val="32"/>
        </w:rPr>
      </w:pPr>
    </w:p>
    <w:p w:rsidR="007C59ED" w:rsidRPr="008A0F36" w:rsidRDefault="007C59ED" w:rsidP="007C59ED">
      <w:pPr>
        <w:pStyle w:val="Titologenerale"/>
        <w:spacing w:line="320" w:lineRule="exact"/>
        <w:rPr>
          <w:sz w:val="32"/>
          <w:szCs w:val="32"/>
        </w:rPr>
      </w:pPr>
    </w:p>
    <w:p w:rsidR="00413CC8" w:rsidRPr="008A0F36" w:rsidRDefault="00413CC8" w:rsidP="007C59ED">
      <w:pPr>
        <w:pStyle w:val="Titologenerale"/>
        <w:spacing w:line="320" w:lineRule="exact"/>
        <w:rPr>
          <w:sz w:val="32"/>
          <w:szCs w:val="32"/>
        </w:rPr>
      </w:pPr>
    </w:p>
    <w:p w:rsidR="00413CC8" w:rsidRPr="008A0F36" w:rsidRDefault="00413CC8" w:rsidP="007C59ED">
      <w:pPr>
        <w:pStyle w:val="Titologenerale"/>
        <w:spacing w:line="320" w:lineRule="exact"/>
        <w:rPr>
          <w:sz w:val="32"/>
          <w:szCs w:val="32"/>
        </w:rPr>
      </w:pPr>
    </w:p>
    <w:p w:rsidR="00413CC8" w:rsidRPr="008A0F36" w:rsidRDefault="00413CC8" w:rsidP="007C59ED">
      <w:pPr>
        <w:pStyle w:val="Titologenerale"/>
        <w:spacing w:line="320" w:lineRule="exact"/>
        <w:rPr>
          <w:sz w:val="32"/>
          <w:szCs w:val="32"/>
        </w:rPr>
      </w:pPr>
    </w:p>
    <w:p w:rsidR="00725691" w:rsidRDefault="007C59ED" w:rsidP="00515C65">
      <w:pPr>
        <w:pStyle w:val="Titologenerale"/>
        <w:spacing w:line="320" w:lineRule="exact"/>
        <w:rPr>
          <w:sz w:val="30"/>
          <w:szCs w:val="30"/>
        </w:rPr>
      </w:pPr>
      <w:r w:rsidRPr="00725691">
        <w:rPr>
          <w:sz w:val="30"/>
          <w:szCs w:val="30"/>
        </w:rPr>
        <w:t>LISTA DI CONTROLLO DELLE INFORMAZIONI INTEGRATIVE (</w:t>
      </w:r>
      <w:r w:rsidRPr="00725691">
        <w:rPr>
          <w:i/>
          <w:sz w:val="30"/>
          <w:szCs w:val="30"/>
        </w:rPr>
        <w:t>DISCLOSURES</w:t>
      </w:r>
      <w:r w:rsidRPr="00725691">
        <w:rPr>
          <w:sz w:val="30"/>
          <w:szCs w:val="30"/>
        </w:rPr>
        <w:t xml:space="preserve">) DA FORNIRE NELLE NOTE AI BILANCI REDATTI SECONDO I PRINCIPI CONTABILI INTERNAZIONALI (IAS/IFRS), COSÌ COME </w:t>
      </w:r>
      <w:r w:rsidR="00D56CBC" w:rsidRPr="00725691">
        <w:rPr>
          <w:sz w:val="30"/>
          <w:szCs w:val="30"/>
        </w:rPr>
        <w:t xml:space="preserve">OMOLOGATI </w:t>
      </w:r>
      <w:r w:rsidRPr="00725691">
        <w:rPr>
          <w:sz w:val="30"/>
          <w:szCs w:val="30"/>
        </w:rPr>
        <w:t>(“</w:t>
      </w:r>
      <w:r w:rsidRPr="00725691">
        <w:rPr>
          <w:i/>
          <w:sz w:val="30"/>
          <w:szCs w:val="30"/>
        </w:rPr>
        <w:t>ENDORSED</w:t>
      </w:r>
      <w:r w:rsidRPr="00725691">
        <w:rPr>
          <w:sz w:val="30"/>
          <w:szCs w:val="30"/>
        </w:rPr>
        <w:t xml:space="preserve">”) </w:t>
      </w:r>
    </w:p>
    <w:p w:rsidR="007C59ED" w:rsidRPr="00725691" w:rsidRDefault="007C59ED" w:rsidP="00725691">
      <w:pPr>
        <w:pStyle w:val="Titologenerale"/>
        <w:spacing w:line="320" w:lineRule="exact"/>
        <w:rPr>
          <w:sz w:val="30"/>
          <w:szCs w:val="30"/>
        </w:rPr>
      </w:pPr>
      <w:r w:rsidRPr="00725691">
        <w:rPr>
          <w:sz w:val="30"/>
          <w:szCs w:val="30"/>
        </w:rPr>
        <w:t>DALL</w:t>
      </w:r>
      <w:r w:rsidR="00BF4E43" w:rsidRPr="00725691">
        <w:rPr>
          <w:sz w:val="30"/>
          <w:szCs w:val="30"/>
        </w:rPr>
        <w:t>’</w:t>
      </w:r>
      <w:r w:rsidR="004E53BD" w:rsidRPr="00725691">
        <w:rPr>
          <w:sz w:val="30"/>
          <w:szCs w:val="30"/>
        </w:rPr>
        <w:t>UNIONE EUROPEA (UE)</w:t>
      </w:r>
    </w:p>
    <w:p w:rsidR="007C59ED" w:rsidRPr="008A0F36" w:rsidRDefault="007C59ED" w:rsidP="00484E86">
      <w:pPr>
        <w:jc w:val="center"/>
        <w:rPr>
          <w:b/>
          <w:sz w:val="24"/>
          <w:szCs w:val="24"/>
          <w:lang w:val="it-IT"/>
        </w:rPr>
      </w:pPr>
    </w:p>
    <w:p w:rsidR="007C59ED" w:rsidRPr="008A0F36" w:rsidRDefault="007C59ED" w:rsidP="007C59ED">
      <w:pPr>
        <w:pStyle w:val="Titologenerale"/>
      </w:pPr>
    </w:p>
    <w:p w:rsidR="007C59ED" w:rsidRPr="008A0F36" w:rsidRDefault="007C59ED" w:rsidP="007C59ED">
      <w:pPr>
        <w:pStyle w:val="Titologenerale"/>
      </w:pPr>
    </w:p>
    <w:p w:rsidR="007C59ED" w:rsidRPr="008A0F36" w:rsidRDefault="007C59ED" w:rsidP="007C59ED">
      <w:pPr>
        <w:pStyle w:val="Titologenerale"/>
      </w:pPr>
    </w:p>
    <w:p w:rsidR="00DD2634" w:rsidRPr="001E4DDA" w:rsidRDefault="00DD2634" w:rsidP="00DD2634">
      <w:pPr>
        <w:pStyle w:val="Titologenerale"/>
        <w:spacing w:line="280" w:lineRule="exact"/>
        <w:rPr>
          <w:sz w:val="26"/>
          <w:szCs w:val="26"/>
        </w:rPr>
      </w:pPr>
      <w:r w:rsidRPr="001E4DDA">
        <w:rPr>
          <w:sz w:val="26"/>
          <w:szCs w:val="26"/>
        </w:rPr>
        <w:t>SULLA BASE DEI PRINCIPI IN VIGORE AL 3</w:t>
      </w:r>
      <w:r w:rsidR="000F56BA" w:rsidRPr="001E4DDA">
        <w:rPr>
          <w:sz w:val="26"/>
          <w:szCs w:val="26"/>
        </w:rPr>
        <w:t>1</w:t>
      </w:r>
      <w:r w:rsidRPr="001E4DDA">
        <w:rPr>
          <w:sz w:val="26"/>
          <w:szCs w:val="26"/>
        </w:rPr>
        <w:t xml:space="preserve"> </w:t>
      </w:r>
      <w:r w:rsidR="000F56BA" w:rsidRPr="001E4DDA">
        <w:rPr>
          <w:sz w:val="26"/>
          <w:szCs w:val="26"/>
        </w:rPr>
        <w:t>OTTOBRE</w:t>
      </w:r>
      <w:r w:rsidRPr="001E4DDA">
        <w:rPr>
          <w:sz w:val="26"/>
          <w:szCs w:val="26"/>
        </w:rPr>
        <w:t xml:space="preserve"> 201</w:t>
      </w:r>
      <w:r w:rsidR="00A2090A">
        <w:rPr>
          <w:sz w:val="26"/>
          <w:szCs w:val="26"/>
        </w:rPr>
        <w:t>6</w:t>
      </w:r>
    </w:p>
    <w:p w:rsidR="007C59ED" w:rsidRPr="008A0F36" w:rsidRDefault="007C59ED" w:rsidP="00413CC8">
      <w:pPr>
        <w:pStyle w:val="Titologenerale"/>
        <w:spacing w:line="320" w:lineRule="exact"/>
        <w:rPr>
          <w:sz w:val="32"/>
          <w:szCs w:val="32"/>
        </w:rPr>
      </w:pPr>
    </w:p>
    <w:p w:rsidR="007C59ED" w:rsidRPr="008A0F36" w:rsidRDefault="007C59ED" w:rsidP="00413CC8">
      <w:pPr>
        <w:pStyle w:val="Titologenerale"/>
        <w:spacing w:line="320" w:lineRule="exact"/>
        <w:rPr>
          <w:sz w:val="32"/>
          <w:szCs w:val="32"/>
        </w:rPr>
      </w:pPr>
    </w:p>
    <w:p w:rsidR="007C59ED" w:rsidRPr="008A0F36" w:rsidRDefault="007C59ED" w:rsidP="00413CC8">
      <w:pPr>
        <w:pStyle w:val="Titologenerale"/>
        <w:spacing w:line="320" w:lineRule="exact"/>
        <w:rPr>
          <w:sz w:val="32"/>
          <w:szCs w:val="32"/>
        </w:rPr>
      </w:pPr>
    </w:p>
    <w:p w:rsidR="007C59ED" w:rsidRPr="008A0F36" w:rsidRDefault="007C59ED" w:rsidP="00413CC8">
      <w:pPr>
        <w:pStyle w:val="Titologenerale"/>
        <w:spacing w:line="320" w:lineRule="exact"/>
        <w:rPr>
          <w:sz w:val="32"/>
          <w:szCs w:val="32"/>
        </w:rPr>
      </w:pPr>
    </w:p>
    <w:p w:rsidR="007C59ED" w:rsidRPr="008A0F36" w:rsidRDefault="007C59ED" w:rsidP="00413CC8">
      <w:pPr>
        <w:pStyle w:val="Titologenerale"/>
        <w:spacing w:line="320" w:lineRule="exact"/>
        <w:rPr>
          <w:sz w:val="32"/>
          <w:szCs w:val="32"/>
        </w:rPr>
      </w:pPr>
    </w:p>
    <w:p w:rsidR="007C59ED" w:rsidRPr="008A0F36" w:rsidRDefault="007C59ED" w:rsidP="00413CC8">
      <w:pPr>
        <w:pStyle w:val="Titologenerale"/>
        <w:spacing w:line="320" w:lineRule="exact"/>
        <w:rPr>
          <w:sz w:val="32"/>
          <w:szCs w:val="32"/>
        </w:rPr>
      </w:pPr>
    </w:p>
    <w:p w:rsidR="007C59ED" w:rsidRPr="008A0F36" w:rsidRDefault="007C59ED" w:rsidP="00413CC8">
      <w:pPr>
        <w:pStyle w:val="Titologenerale"/>
        <w:spacing w:line="320" w:lineRule="exact"/>
        <w:rPr>
          <w:sz w:val="32"/>
          <w:szCs w:val="32"/>
        </w:rPr>
      </w:pPr>
    </w:p>
    <w:p w:rsidR="007C59ED" w:rsidRPr="008A0F36" w:rsidRDefault="007C59ED" w:rsidP="00413CC8">
      <w:pPr>
        <w:pStyle w:val="Titologenerale"/>
        <w:spacing w:line="320" w:lineRule="exact"/>
        <w:rPr>
          <w:sz w:val="32"/>
          <w:szCs w:val="32"/>
        </w:rPr>
      </w:pPr>
    </w:p>
    <w:p w:rsidR="007C59ED" w:rsidRPr="008A0F36" w:rsidRDefault="007C59ED" w:rsidP="00413CC8">
      <w:pPr>
        <w:pStyle w:val="Titologenerale"/>
        <w:spacing w:line="320" w:lineRule="exact"/>
        <w:rPr>
          <w:sz w:val="32"/>
          <w:szCs w:val="32"/>
        </w:rPr>
      </w:pPr>
    </w:p>
    <w:p w:rsidR="007C59ED" w:rsidRPr="008A0F36" w:rsidRDefault="007C59ED" w:rsidP="00413CC8">
      <w:pPr>
        <w:pStyle w:val="Titologenerale"/>
        <w:spacing w:line="320" w:lineRule="exact"/>
        <w:rPr>
          <w:sz w:val="32"/>
          <w:szCs w:val="32"/>
        </w:rPr>
      </w:pPr>
    </w:p>
    <w:p w:rsidR="007C59ED" w:rsidRPr="008A0F36" w:rsidRDefault="007C59ED" w:rsidP="00413CC8">
      <w:pPr>
        <w:pStyle w:val="Titologenerale"/>
        <w:spacing w:line="320" w:lineRule="exact"/>
        <w:rPr>
          <w:sz w:val="32"/>
          <w:szCs w:val="32"/>
        </w:rPr>
      </w:pPr>
    </w:p>
    <w:p w:rsidR="007C59ED" w:rsidRPr="008A0F36" w:rsidRDefault="007C59ED" w:rsidP="00413CC8">
      <w:pPr>
        <w:pStyle w:val="Titologenerale"/>
        <w:spacing w:line="320" w:lineRule="exact"/>
        <w:rPr>
          <w:sz w:val="32"/>
          <w:szCs w:val="32"/>
        </w:rPr>
      </w:pPr>
    </w:p>
    <w:p w:rsidR="007C59ED" w:rsidRPr="008A0F36" w:rsidRDefault="007C59ED" w:rsidP="00413CC8">
      <w:pPr>
        <w:pStyle w:val="Titologenerale"/>
        <w:spacing w:line="320" w:lineRule="exact"/>
        <w:rPr>
          <w:sz w:val="32"/>
          <w:szCs w:val="32"/>
        </w:rPr>
      </w:pPr>
    </w:p>
    <w:p w:rsidR="007C59ED" w:rsidRPr="008A0F36" w:rsidRDefault="007C59ED" w:rsidP="00413CC8">
      <w:pPr>
        <w:pStyle w:val="Titologenerale"/>
        <w:spacing w:line="320" w:lineRule="exact"/>
        <w:rPr>
          <w:sz w:val="32"/>
          <w:szCs w:val="32"/>
        </w:rPr>
      </w:pPr>
    </w:p>
    <w:p w:rsidR="007C59ED" w:rsidRPr="008A0F36" w:rsidRDefault="007C59ED" w:rsidP="00413CC8">
      <w:pPr>
        <w:pStyle w:val="Titologenerale"/>
        <w:spacing w:line="320" w:lineRule="exact"/>
        <w:rPr>
          <w:sz w:val="32"/>
          <w:szCs w:val="32"/>
        </w:rPr>
      </w:pPr>
    </w:p>
    <w:p w:rsidR="007C59ED" w:rsidRPr="008A0F36" w:rsidRDefault="007C59ED" w:rsidP="00413CC8">
      <w:pPr>
        <w:pStyle w:val="Titologenerale"/>
        <w:spacing w:line="320" w:lineRule="exact"/>
        <w:rPr>
          <w:sz w:val="32"/>
          <w:szCs w:val="32"/>
        </w:rPr>
      </w:pPr>
    </w:p>
    <w:p w:rsidR="007C59ED" w:rsidRPr="008A0F36" w:rsidRDefault="007C59ED" w:rsidP="007C59ED">
      <w:pPr>
        <w:pStyle w:val="Titologenerale"/>
        <w:rPr>
          <w:sz w:val="28"/>
        </w:rPr>
      </w:pPr>
    </w:p>
    <w:p w:rsidR="007C59ED" w:rsidRPr="008A0F36" w:rsidRDefault="007C59ED" w:rsidP="00484E86">
      <w:pPr>
        <w:jc w:val="center"/>
        <w:rPr>
          <w:b/>
          <w:sz w:val="24"/>
          <w:szCs w:val="24"/>
          <w:lang w:val="it-IT"/>
        </w:rPr>
        <w:sectPr w:rsidR="007C59ED" w:rsidRPr="008A0F36" w:rsidSect="00C84E82">
          <w:headerReference w:type="default" r:id="rId14"/>
          <w:footerReference w:type="default" r:id="rId15"/>
          <w:pgSz w:w="11906" w:h="16838" w:code="9"/>
          <w:pgMar w:top="1418" w:right="851" w:bottom="1418" w:left="851" w:header="709" w:footer="567" w:gutter="0"/>
          <w:cols w:space="708"/>
        </w:sectPr>
      </w:pPr>
    </w:p>
    <w:p w:rsidR="00C96DD4" w:rsidRPr="008A0F36" w:rsidRDefault="00C96DD4" w:rsidP="00620DEC">
      <w:pPr>
        <w:pStyle w:val="Corpotesto"/>
        <w:rPr>
          <w:lang w:val="it-IT"/>
        </w:rPr>
      </w:pPr>
    </w:p>
    <w:p w:rsidR="00C96DD4" w:rsidRPr="008A0F36" w:rsidRDefault="00C96DD4" w:rsidP="00620DEC">
      <w:pPr>
        <w:pStyle w:val="Corpotesto"/>
        <w:rPr>
          <w:lang w:val="it-IT"/>
        </w:rPr>
      </w:pPr>
    </w:p>
    <w:p w:rsidR="00C96DD4" w:rsidRPr="008A0F36" w:rsidRDefault="00C96DD4" w:rsidP="00620DEC">
      <w:pPr>
        <w:pStyle w:val="Corpotesto"/>
        <w:rPr>
          <w:lang w:val="it-IT"/>
        </w:rPr>
      </w:pPr>
    </w:p>
    <w:p w:rsidR="00C96DD4" w:rsidRPr="008A0F36" w:rsidRDefault="00C96DD4" w:rsidP="00620DEC">
      <w:pPr>
        <w:pStyle w:val="Corpotesto"/>
        <w:rPr>
          <w:lang w:val="it-IT"/>
        </w:rPr>
      </w:pPr>
    </w:p>
    <w:p w:rsidR="00C96DD4" w:rsidRPr="008A0F36" w:rsidRDefault="00C96DD4" w:rsidP="00620DEC">
      <w:pPr>
        <w:pStyle w:val="Corpotesto"/>
        <w:rPr>
          <w:lang w:val="it-IT"/>
        </w:rPr>
      </w:pPr>
    </w:p>
    <w:p w:rsidR="00C96DD4" w:rsidRPr="008A0F36" w:rsidRDefault="00C96DD4" w:rsidP="00620DEC">
      <w:pPr>
        <w:pStyle w:val="Corpotesto"/>
        <w:rPr>
          <w:lang w:val="it-IT"/>
        </w:rPr>
      </w:pPr>
    </w:p>
    <w:p w:rsidR="00C96DD4" w:rsidRPr="008A0F36" w:rsidRDefault="00C96DD4" w:rsidP="00620DEC">
      <w:pPr>
        <w:pStyle w:val="Corpotesto"/>
        <w:rPr>
          <w:lang w:val="it-IT"/>
        </w:rPr>
      </w:pPr>
    </w:p>
    <w:p w:rsidR="00C96DD4" w:rsidRPr="008A0F36" w:rsidRDefault="00C96DD4" w:rsidP="00620DEC">
      <w:pPr>
        <w:pStyle w:val="Corpotesto"/>
        <w:rPr>
          <w:lang w:val="it-IT"/>
        </w:rPr>
      </w:pPr>
    </w:p>
    <w:p w:rsidR="00C96DD4" w:rsidRPr="008A0F36" w:rsidRDefault="00C96DD4" w:rsidP="00620DEC">
      <w:pPr>
        <w:pStyle w:val="Corpotesto"/>
        <w:rPr>
          <w:lang w:val="it-IT"/>
        </w:rPr>
      </w:pPr>
    </w:p>
    <w:p w:rsidR="00C96DD4" w:rsidRPr="008A0F36" w:rsidRDefault="00C96DD4" w:rsidP="00620DEC">
      <w:pPr>
        <w:pStyle w:val="Corpotesto"/>
        <w:rPr>
          <w:lang w:val="it-IT"/>
        </w:rPr>
      </w:pPr>
    </w:p>
    <w:p w:rsidR="00C96DD4" w:rsidRPr="008A0F36" w:rsidRDefault="00C96DD4" w:rsidP="00620DEC">
      <w:pPr>
        <w:pStyle w:val="Corpotesto"/>
        <w:rPr>
          <w:lang w:val="it-IT"/>
        </w:rPr>
      </w:pPr>
    </w:p>
    <w:p w:rsidR="00C96DD4" w:rsidRPr="008A0F36" w:rsidRDefault="00C96DD4" w:rsidP="00620DEC">
      <w:pPr>
        <w:pStyle w:val="Corpotesto"/>
        <w:rPr>
          <w:lang w:val="it-IT"/>
        </w:rPr>
      </w:pPr>
    </w:p>
    <w:p w:rsidR="00C96DD4" w:rsidRPr="008A0F36" w:rsidRDefault="00C96DD4" w:rsidP="00620DEC">
      <w:pPr>
        <w:pStyle w:val="Corpotesto"/>
        <w:rPr>
          <w:lang w:val="it-IT"/>
        </w:rPr>
      </w:pPr>
    </w:p>
    <w:p w:rsidR="00C96DD4" w:rsidRPr="008A0F36" w:rsidRDefault="00C96DD4" w:rsidP="00620DEC">
      <w:pPr>
        <w:pStyle w:val="Corpotesto"/>
        <w:rPr>
          <w:lang w:val="it-IT"/>
        </w:rPr>
      </w:pPr>
    </w:p>
    <w:p w:rsidR="00C96DD4" w:rsidRPr="008A0F36" w:rsidRDefault="00C96DD4" w:rsidP="00620DEC">
      <w:pPr>
        <w:pStyle w:val="Corpotesto"/>
        <w:rPr>
          <w:lang w:val="it-IT"/>
        </w:rPr>
      </w:pPr>
    </w:p>
    <w:p w:rsidR="00C96DD4" w:rsidRPr="008A0F36" w:rsidRDefault="00C96DD4" w:rsidP="00620DEC">
      <w:pPr>
        <w:pStyle w:val="Corpotesto"/>
        <w:rPr>
          <w:lang w:val="it-IT"/>
        </w:rPr>
      </w:pPr>
    </w:p>
    <w:p w:rsidR="00C96DD4" w:rsidRPr="008A0F36" w:rsidRDefault="00C96DD4" w:rsidP="00620DEC">
      <w:pPr>
        <w:pStyle w:val="Corpotesto"/>
        <w:rPr>
          <w:lang w:val="it-IT"/>
        </w:rPr>
      </w:pPr>
    </w:p>
    <w:p w:rsidR="00C96DD4" w:rsidRPr="008A0F36" w:rsidRDefault="00C96DD4" w:rsidP="00620DEC">
      <w:pPr>
        <w:pStyle w:val="Corpotesto"/>
        <w:rPr>
          <w:lang w:val="it-IT"/>
        </w:rPr>
      </w:pPr>
    </w:p>
    <w:p w:rsidR="00C96DD4" w:rsidRPr="008A0F36" w:rsidRDefault="00C96DD4" w:rsidP="00620DEC">
      <w:pPr>
        <w:pStyle w:val="Corpotesto"/>
        <w:rPr>
          <w:lang w:val="it-IT"/>
        </w:rPr>
      </w:pPr>
    </w:p>
    <w:p w:rsidR="00C96DD4" w:rsidRPr="008A0F36" w:rsidRDefault="00C96DD4" w:rsidP="00620DEC">
      <w:pPr>
        <w:pStyle w:val="Corpotesto"/>
        <w:rPr>
          <w:lang w:val="it-IT"/>
        </w:rPr>
      </w:pPr>
    </w:p>
    <w:p w:rsidR="00C96DD4" w:rsidRPr="008A0F36" w:rsidRDefault="00C96DD4" w:rsidP="00620DEC">
      <w:pPr>
        <w:pStyle w:val="Corpotesto"/>
        <w:rPr>
          <w:lang w:val="it-IT"/>
        </w:rPr>
      </w:pPr>
    </w:p>
    <w:p w:rsidR="00C96DD4" w:rsidRPr="008A0F36" w:rsidRDefault="00C96DD4" w:rsidP="00620DEC">
      <w:pPr>
        <w:pStyle w:val="Corpotesto"/>
        <w:rPr>
          <w:lang w:val="it-IT"/>
        </w:rPr>
      </w:pPr>
    </w:p>
    <w:p w:rsidR="00C96DD4" w:rsidRPr="008A0F36" w:rsidRDefault="00C96DD4" w:rsidP="00620DEC">
      <w:pPr>
        <w:pStyle w:val="Corpotesto"/>
        <w:rPr>
          <w:lang w:val="it-IT"/>
        </w:rPr>
      </w:pPr>
    </w:p>
    <w:p w:rsidR="00C96DD4" w:rsidRPr="008A0F36" w:rsidRDefault="00C96DD4" w:rsidP="00620DEC">
      <w:pPr>
        <w:pStyle w:val="Corpotesto"/>
        <w:rPr>
          <w:lang w:val="it-IT"/>
        </w:rPr>
      </w:pPr>
    </w:p>
    <w:p w:rsidR="00C96DD4" w:rsidRPr="008A0F36" w:rsidRDefault="00C96DD4" w:rsidP="00620DEC">
      <w:pPr>
        <w:pStyle w:val="Corpotesto"/>
        <w:rPr>
          <w:lang w:val="it-IT"/>
        </w:rPr>
      </w:pPr>
    </w:p>
    <w:p w:rsidR="00C96DD4" w:rsidRPr="008A0F36" w:rsidRDefault="00C96DD4" w:rsidP="00620DEC">
      <w:pPr>
        <w:pStyle w:val="Corpotesto"/>
        <w:rPr>
          <w:lang w:val="it-IT"/>
        </w:rPr>
      </w:pPr>
    </w:p>
    <w:p w:rsidR="00C96DD4" w:rsidRPr="008A0F36" w:rsidRDefault="00C96DD4" w:rsidP="00620DEC">
      <w:pPr>
        <w:pStyle w:val="Corpotesto"/>
        <w:rPr>
          <w:lang w:val="it-IT"/>
        </w:rPr>
      </w:pPr>
    </w:p>
    <w:p w:rsidR="00584681" w:rsidRPr="00584681" w:rsidRDefault="00584681" w:rsidP="00584681">
      <w:pPr>
        <w:pStyle w:val="Corpotesto"/>
      </w:pPr>
      <w:r w:rsidRPr="00584681">
        <w:t xml:space="preserve">Le liste di controllo pubblicate sono state predisposte esclusivamente a scopo esemplificativo e di supporto alle società di revisione associate ad </w:t>
      </w:r>
      <w:r w:rsidR="00790E28">
        <w:t>ASSIREVI</w:t>
      </w:r>
      <w:r w:rsidRPr="00584681">
        <w:t>, ai fini della preparazione da parte di queste ultime di check-list da utilizzare, dopo essere state opportunamente adattate alle specifiche circostanze del caso, nello svolgimento dell’attività di revisione.</w:t>
      </w:r>
    </w:p>
    <w:p w:rsidR="00584681" w:rsidRPr="00584681" w:rsidRDefault="00584681" w:rsidP="00584681">
      <w:pPr>
        <w:pStyle w:val="Corpotesto"/>
      </w:pPr>
      <w:r w:rsidRPr="00584681">
        <w:t>Ancorché tali liste di controllo rappresentino un utile strumento ai fini dell’analisi della conformità dell’informativa di bilancio con le norme ed i principi contabili,</w:t>
      </w:r>
      <w:r w:rsidR="007D281B">
        <w:t xml:space="preserve"> </w:t>
      </w:r>
      <w:r w:rsidRPr="00584681">
        <w:t>avendo carattere generale, non necessariamente includono tutti gli aspetti significativi che possono emergere nel corso del lavoro di revisione e potrebbero contenere aspetti non rilevanti in tutte le fattispecie.</w:t>
      </w:r>
    </w:p>
    <w:p w:rsidR="00584681" w:rsidRPr="00584681" w:rsidRDefault="00584681" w:rsidP="00584681">
      <w:pPr>
        <w:pStyle w:val="Corpotesto"/>
      </w:pPr>
      <w:r w:rsidRPr="00584681">
        <w:t>La forma, il contenuto e l’ampiezza delle check-list in concreto utilizzate nell’ambito della revisione dipendono, quindi, da vari fattori la cui valutazione compete al soggetto incaricato della revisione il quale provvede ad elaborarle adattandole opportunamente alle particolarità dell’incarico, tenendo conto delle dimensioni aziendali, della natura dell’attività dell’impresa e della valutazione dei rischi di revisione, nonché di eventuali modifiche normative, regolamentari e nei principi contabili di riferimento intervenute. In concreto quindi le check-list utilizzate nell’ambito della revisione potranno differire anche significativamente dalle liste di controllo pubblicate sul sito A</w:t>
      </w:r>
      <w:r w:rsidR="007D281B">
        <w:t>SSIREVI</w:t>
      </w:r>
      <w:r w:rsidRPr="00584681">
        <w:t>.</w:t>
      </w:r>
    </w:p>
    <w:p w:rsidR="00584681" w:rsidRPr="00584681" w:rsidRDefault="00584681" w:rsidP="00584681">
      <w:pPr>
        <w:pStyle w:val="Corpotesto"/>
      </w:pPr>
      <w:r w:rsidRPr="00584681">
        <w:t>Le liste di controllo sono</w:t>
      </w:r>
      <w:r w:rsidR="007D281B">
        <w:t xml:space="preserve"> </w:t>
      </w:r>
      <w:r w:rsidRPr="00584681">
        <w:t xml:space="preserve">state elaborate e organizzate da </w:t>
      </w:r>
      <w:r w:rsidR="007D281B" w:rsidRPr="00584681">
        <w:t>A</w:t>
      </w:r>
      <w:r w:rsidR="007D281B">
        <w:t>SSIREV</w:t>
      </w:r>
      <w:r w:rsidR="00A80512">
        <w:t>I</w:t>
      </w:r>
      <w:r w:rsidRPr="00584681">
        <w:t xml:space="preserve">, che ne è pertanto l’autore, e si riferiscono alle disposizioni normative, regolamentari nonché ai principi contabili vigenti </w:t>
      </w:r>
      <w:r w:rsidR="007D281B">
        <w:t>alla data cui fanno riferimento.</w:t>
      </w:r>
    </w:p>
    <w:p w:rsidR="00584681" w:rsidRPr="00584681" w:rsidRDefault="00584681" w:rsidP="00584681">
      <w:pPr>
        <w:pStyle w:val="Corpotesto"/>
      </w:pPr>
      <w:r w:rsidRPr="00584681">
        <w:t xml:space="preserve">Le liste potranno essere citate, riprodotte e, in generale, utilizzate, a condizione che ciò avvenga sempre con menzione della fonte. </w:t>
      </w:r>
    </w:p>
    <w:p w:rsidR="00584681" w:rsidRPr="00584681" w:rsidRDefault="00A80512" w:rsidP="00584681">
      <w:pPr>
        <w:pStyle w:val="Corpotesto"/>
      </w:pPr>
      <w:r>
        <w:t xml:space="preserve">ASSIREVI </w:t>
      </w:r>
      <w:r w:rsidR="00584681" w:rsidRPr="00584681">
        <w:t>non garantisce la completezza, l’aggiornamento, l’adeguatezza delle liste al raggiungimento di particolari scopi o risultati, né l’assenza di errori, inesattezze, imprecisioni delle liste stesse, essendo onere degli utilizzatori verificarle alla luce delle vigenti disposizioni normative e regolamentari, ovvero interpretazioni</w:t>
      </w:r>
      <w:r w:rsidR="005A2E67">
        <w:t xml:space="preserve"> dottrinali e giurisprudenziali.</w:t>
      </w:r>
    </w:p>
    <w:p w:rsidR="00620DEC" w:rsidRPr="00584681" w:rsidRDefault="00584681" w:rsidP="00584681">
      <w:pPr>
        <w:pStyle w:val="Corpotesto"/>
      </w:pPr>
      <w:r w:rsidRPr="00584681">
        <w:t>Tutti i diritti riservati.</w:t>
      </w:r>
    </w:p>
    <w:p w:rsidR="00620DEC" w:rsidRPr="008A0F36" w:rsidRDefault="00620DEC" w:rsidP="00620DEC">
      <w:pPr>
        <w:overflowPunct/>
        <w:autoSpaceDE/>
        <w:autoSpaceDN/>
        <w:adjustRightInd/>
        <w:spacing w:before="0" w:after="0" w:line="240" w:lineRule="auto"/>
        <w:textAlignment w:val="auto"/>
        <w:rPr>
          <w:lang w:val="it-IT"/>
        </w:rPr>
      </w:pPr>
      <w:r w:rsidRPr="008A0F36">
        <w:rPr>
          <w:lang w:val="it-IT"/>
        </w:rPr>
        <w:br w:type="page"/>
      </w:r>
    </w:p>
    <w:p w:rsidR="009F0867" w:rsidRPr="008A0F36" w:rsidRDefault="008E710C" w:rsidP="00620DEC">
      <w:pPr>
        <w:jc w:val="center"/>
        <w:rPr>
          <w:b/>
          <w:sz w:val="24"/>
          <w:szCs w:val="24"/>
          <w:lang w:val="it-IT"/>
        </w:rPr>
      </w:pPr>
      <w:r w:rsidRPr="008A0F36">
        <w:rPr>
          <w:b/>
          <w:sz w:val="24"/>
          <w:szCs w:val="24"/>
          <w:lang w:val="it-IT"/>
        </w:rPr>
        <w:lastRenderedPageBreak/>
        <w:t>LISTA DI CONTROLLO DELLE INFORMAZIONI INTEGRATIVE (DISCLOSURES) DA FORNIRE NELLE NOTE AI BILANCI REDATTI SECONDO I PRINCIPI CONTABILI INTERNAZIONALI (IAS/IFRS), COSÌ COME OMOLOGATI (“ENDORSED”) DALL</w:t>
      </w:r>
      <w:r w:rsidR="00BF4E43" w:rsidRPr="008A0F36">
        <w:rPr>
          <w:sz w:val="24"/>
          <w:szCs w:val="24"/>
          <w:lang w:val="it-IT"/>
        </w:rPr>
        <w:t>’</w:t>
      </w:r>
      <w:r w:rsidRPr="008A0F36">
        <w:rPr>
          <w:b/>
          <w:sz w:val="24"/>
          <w:szCs w:val="24"/>
          <w:lang w:val="it-IT"/>
        </w:rPr>
        <w:t>UNIONE EUROPEA (UE).</w:t>
      </w:r>
    </w:p>
    <w:p w:rsidR="000E0DC6" w:rsidRPr="008A0F36" w:rsidRDefault="00D26439" w:rsidP="000E0DC6">
      <w:pPr>
        <w:rPr>
          <w:rFonts w:ascii="Times New Roman" w:hAnsi="Times New Roman"/>
          <w:b/>
          <w:lang w:val="it-IT"/>
        </w:rPr>
      </w:pPr>
      <w:r w:rsidRPr="008A0F36">
        <w:rPr>
          <w:rFonts w:ascii="Times New Roman" w:hAnsi="Times New Roman"/>
          <w:b/>
          <w:lang w:val="it-IT"/>
        </w:rPr>
        <w:tab/>
      </w:r>
    </w:p>
    <w:p w:rsidR="000E0DC6" w:rsidRPr="008A0F36" w:rsidRDefault="009C2D70" w:rsidP="00484E86">
      <w:pPr>
        <w:rPr>
          <w:b/>
          <w:lang w:val="it-IT"/>
        </w:rPr>
      </w:pPr>
      <w:r w:rsidRPr="008A0F36">
        <w:rPr>
          <w:b/>
          <w:lang w:val="it-IT"/>
        </w:rPr>
        <w:t>Ambito d</w:t>
      </w:r>
      <w:r w:rsidR="00BF4E43" w:rsidRPr="008A0F36">
        <w:rPr>
          <w:lang w:val="it-IT"/>
        </w:rPr>
        <w:t>’</w:t>
      </w:r>
      <w:r w:rsidR="000E0DC6" w:rsidRPr="008A0F36">
        <w:rPr>
          <w:b/>
          <w:lang w:val="it-IT"/>
        </w:rPr>
        <w:t>applicazione e contenuti</w:t>
      </w:r>
    </w:p>
    <w:p w:rsidR="000E0DC6" w:rsidRPr="008A0F36" w:rsidRDefault="000E0DC6" w:rsidP="00484E86">
      <w:pPr>
        <w:rPr>
          <w:lang w:val="it-IT"/>
        </w:rPr>
      </w:pPr>
      <w:r w:rsidRPr="008A0F36">
        <w:rPr>
          <w:lang w:val="it-IT"/>
        </w:rPr>
        <w:t xml:space="preserve">La presente lista di controllo include le informazioni integrative da fornire nelle note ai bilanci redatti secondo i </w:t>
      </w:r>
      <w:r w:rsidRPr="008A0F36">
        <w:rPr>
          <w:b/>
          <w:bCs/>
          <w:lang w:val="it-IT"/>
        </w:rPr>
        <w:t>principi contabili internazionali (IAS/IFRS)</w:t>
      </w:r>
      <w:r w:rsidR="00DC1A10" w:rsidRPr="008A0F36">
        <w:rPr>
          <w:b/>
          <w:bCs/>
          <w:lang w:val="it-IT"/>
        </w:rPr>
        <w:t xml:space="preserve">, omologati </w:t>
      </w:r>
      <w:r w:rsidR="009C2D70" w:rsidRPr="008A0F36">
        <w:rPr>
          <w:b/>
          <w:bCs/>
          <w:lang w:val="it-IT"/>
        </w:rPr>
        <w:t>dall</w:t>
      </w:r>
      <w:r w:rsidR="00BF4E43" w:rsidRPr="008A0F36">
        <w:rPr>
          <w:bCs/>
          <w:lang w:val="it-IT"/>
        </w:rPr>
        <w:t>’</w:t>
      </w:r>
      <w:r w:rsidR="00DC1A10" w:rsidRPr="008A0F36">
        <w:rPr>
          <w:b/>
          <w:bCs/>
          <w:lang w:val="it-IT"/>
        </w:rPr>
        <w:t>UE</w:t>
      </w:r>
      <w:r w:rsidR="00DC1A10" w:rsidRPr="008A0F36">
        <w:rPr>
          <w:lang w:val="it-IT"/>
        </w:rPr>
        <w:t>,</w:t>
      </w:r>
      <w:r w:rsidRPr="008A0F36">
        <w:rPr>
          <w:lang w:val="it-IT"/>
        </w:rPr>
        <w:t xml:space="preserve"> e non intende </w:t>
      </w:r>
      <w:r w:rsidR="002C57D5" w:rsidRPr="008A0F36">
        <w:rPr>
          <w:lang w:val="it-IT"/>
        </w:rPr>
        <w:t xml:space="preserve">sostituire i testi ufficiali, </w:t>
      </w:r>
      <w:r w:rsidRPr="008A0F36">
        <w:rPr>
          <w:lang w:val="it-IT"/>
        </w:rPr>
        <w:t>cui occorre fare riferimento per i trattamenti contabili da adottare e per la soluzione dei problemi applicativi. Per tale ragione ogni domanda è corredata dai principali riferimenti in cui la materia è trattata.</w:t>
      </w:r>
    </w:p>
    <w:p w:rsidR="000E0DC6" w:rsidRPr="008A0F36" w:rsidRDefault="000E0DC6" w:rsidP="00484E86">
      <w:pPr>
        <w:rPr>
          <w:lang w:val="it-IT"/>
        </w:rPr>
      </w:pPr>
      <w:r w:rsidRPr="008A0F36">
        <w:rPr>
          <w:lang w:val="it-IT"/>
        </w:rPr>
        <w:t>In alcuni casi, per facilitare l</w:t>
      </w:r>
      <w:r w:rsidR="00BF4E43" w:rsidRPr="008A0F36">
        <w:rPr>
          <w:lang w:val="it-IT"/>
        </w:rPr>
        <w:t>’</w:t>
      </w:r>
      <w:r w:rsidRPr="008A0F36">
        <w:rPr>
          <w:lang w:val="it-IT"/>
        </w:rPr>
        <w:t>uso del documento, l</w:t>
      </w:r>
      <w:r w:rsidR="00BF4E43" w:rsidRPr="008A0F36">
        <w:rPr>
          <w:lang w:val="it-IT"/>
        </w:rPr>
        <w:t>’</w:t>
      </w:r>
      <w:r w:rsidRPr="008A0F36">
        <w:rPr>
          <w:lang w:val="it-IT"/>
        </w:rPr>
        <w:t xml:space="preserve">informativa richiesta dal principio contabile internazionale è stata parafrasata; si raccomanda pertanto, anche in questo caso di fare riferimento ai testi ufficiali per i dettagli completi. </w:t>
      </w:r>
    </w:p>
    <w:p w:rsidR="000E0DC6" w:rsidRPr="008A0F36" w:rsidRDefault="00123177" w:rsidP="00484E86">
      <w:pPr>
        <w:rPr>
          <w:lang w:val="it-IT"/>
        </w:rPr>
      </w:pPr>
      <w:r>
        <w:rPr>
          <w:lang w:val="it-IT"/>
        </w:rPr>
        <w:t>S</w:t>
      </w:r>
      <w:r w:rsidR="000E0DC6" w:rsidRPr="008A0F36">
        <w:rPr>
          <w:lang w:val="it-IT"/>
        </w:rPr>
        <w:t>ono stati</w:t>
      </w:r>
      <w:r>
        <w:rPr>
          <w:lang w:val="it-IT"/>
        </w:rPr>
        <w:t>, inoltre,</w:t>
      </w:r>
      <w:r w:rsidR="000E0DC6" w:rsidRPr="008A0F36">
        <w:rPr>
          <w:lang w:val="it-IT"/>
        </w:rPr>
        <w:t xml:space="preserve"> inclusi </w:t>
      </w:r>
      <w:r w:rsidR="000E0DC6" w:rsidRPr="008A0F36">
        <w:rPr>
          <w:b/>
          <w:bCs/>
          <w:bdr w:val="single" w:sz="4" w:space="0" w:color="auto"/>
          <w:lang w:val="it-IT"/>
        </w:rPr>
        <w:t>commenti in riquadri</w:t>
      </w:r>
      <w:r w:rsidR="000E0DC6" w:rsidRPr="008A0F36">
        <w:rPr>
          <w:lang w:val="it-IT"/>
        </w:rPr>
        <w:t xml:space="preserve"> che sintetizzano e/o si riferiscono a guide IAS/IFRS</w:t>
      </w:r>
      <w:r w:rsidR="009C2D70" w:rsidRPr="008A0F36">
        <w:rPr>
          <w:lang w:val="it-IT"/>
        </w:rPr>
        <w:t xml:space="preserve"> </w:t>
      </w:r>
      <w:r w:rsidR="000E0DC6" w:rsidRPr="008A0F36">
        <w:rPr>
          <w:lang w:val="it-IT"/>
        </w:rPr>
        <w:t>relative allo scopo e all</w:t>
      </w:r>
      <w:r w:rsidR="00BF4E43" w:rsidRPr="008A0F36">
        <w:rPr>
          <w:lang w:val="it-IT"/>
        </w:rPr>
        <w:t>’</w:t>
      </w:r>
      <w:r w:rsidR="000E0DC6" w:rsidRPr="008A0F36">
        <w:rPr>
          <w:lang w:val="it-IT"/>
        </w:rPr>
        <w:t xml:space="preserve">interpretazione di alcune disposizioni in materia </w:t>
      </w:r>
      <w:r w:rsidR="00095B50" w:rsidRPr="008A0F36">
        <w:rPr>
          <w:lang w:val="it-IT"/>
        </w:rPr>
        <w:t>d</w:t>
      </w:r>
      <w:r w:rsidR="00BF4E43" w:rsidRPr="008A0F36">
        <w:rPr>
          <w:lang w:val="it-IT"/>
        </w:rPr>
        <w:t>’</w:t>
      </w:r>
      <w:r w:rsidR="000E0DC6" w:rsidRPr="008A0F36">
        <w:rPr>
          <w:lang w:val="it-IT"/>
        </w:rPr>
        <w:t xml:space="preserve">informativa di bilancio. </w:t>
      </w:r>
    </w:p>
    <w:p w:rsidR="00607314" w:rsidRPr="008A0F36" w:rsidRDefault="00AC5EC1" w:rsidP="00484E86">
      <w:pPr>
        <w:rPr>
          <w:lang w:val="it-IT"/>
        </w:rPr>
      </w:pPr>
      <w:r w:rsidRPr="008A0F36">
        <w:rPr>
          <w:lang w:val="it-IT"/>
        </w:rPr>
        <w:t xml:space="preserve">Con riferimento alle </w:t>
      </w:r>
      <w:r w:rsidR="00123177">
        <w:rPr>
          <w:lang w:val="it-IT"/>
        </w:rPr>
        <w:t xml:space="preserve">informazioni integrative </w:t>
      </w:r>
      <w:r w:rsidRPr="008A0F36">
        <w:rPr>
          <w:lang w:val="it-IT"/>
        </w:rPr>
        <w:t xml:space="preserve">previste specificatamente dalla normativa italiana e dalle delibere/comunicazioni CONSOB occorre fare riferimento </w:t>
      </w:r>
      <w:r w:rsidR="00095B50" w:rsidRPr="008A0F36">
        <w:rPr>
          <w:lang w:val="it-IT"/>
        </w:rPr>
        <w:t>all</w:t>
      </w:r>
      <w:r w:rsidR="00BF4E43" w:rsidRPr="008A0F36">
        <w:rPr>
          <w:lang w:val="it-IT"/>
        </w:rPr>
        <w:t>’</w:t>
      </w:r>
      <w:r w:rsidR="005E0C2F" w:rsidRPr="008A0F36">
        <w:rPr>
          <w:lang w:val="it-IT"/>
        </w:rPr>
        <w:t xml:space="preserve">apposita </w:t>
      </w:r>
      <w:r w:rsidRPr="008A0F36">
        <w:rPr>
          <w:lang w:val="it-IT"/>
        </w:rPr>
        <w:t>lista di controllo CONSOB.</w:t>
      </w:r>
    </w:p>
    <w:p w:rsidR="00484E86" w:rsidRPr="008A0F36" w:rsidRDefault="00484E86" w:rsidP="00484E86">
      <w:pPr>
        <w:rPr>
          <w:b/>
          <w:lang w:val="it-IT"/>
        </w:rPr>
      </w:pPr>
    </w:p>
    <w:p w:rsidR="00DC1A10" w:rsidRPr="008A0F36" w:rsidRDefault="00DC1A10" w:rsidP="00484E86">
      <w:pPr>
        <w:rPr>
          <w:b/>
          <w:lang w:val="it-IT"/>
        </w:rPr>
      </w:pPr>
      <w:r w:rsidRPr="008A0F36">
        <w:rPr>
          <w:b/>
          <w:lang w:val="it-IT"/>
        </w:rPr>
        <w:t>Struttura della lista di controllo</w:t>
      </w:r>
    </w:p>
    <w:p w:rsidR="000E0DC6" w:rsidRPr="008A0F36" w:rsidRDefault="00D97D95" w:rsidP="00484E86">
      <w:pPr>
        <w:rPr>
          <w:lang w:val="it-IT"/>
        </w:rPr>
      </w:pPr>
      <w:r w:rsidRPr="008A0F36">
        <w:rPr>
          <w:lang w:val="it-IT"/>
        </w:rPr>
        <w:t xml:space="preserve">La presente lista di controllo indica tutte le informazioni integrative previste dai principi contabili internazionali (IAS/IFRS) e dalle relative interpretazioni (SIC/IFRIC) </w:t>
      </w:r>
      <w:r w:rsidRPr="008A0F36">
        <w:rPr>
          <w:b/>
          <w:bCs/>
          <w:lang w:val="it-IT"/>
        </w:rPr>
        <w:t>applicabili obbligatoriamente</w:t>
      </w:r>
      <w:r w:rsidRPr="008A0F36">
        <w:rPr>
          <w:lang w:val="it-IT"/>
        </w:rPr>
        <w:t xml:space="preserve"> ai bilanci per gli esercizi</w:t>
      </w:r>
      <w:r w:rsidR="00745E60" w:rsidRPr="008A0F36">
        <w:rPr>
          <w:lang w:val="it-IT"/>
        </w:rPr>
        <w:t xml:space="preserve"> che iniziano il 1° gennaio 201</w:t>
      </w:r>
      <w:r w:rsidR="00A2090A">
        <w:rPr>
          <w:lang w:val="it-IT"/>
        </w:rPr>
        <w:t>6</w:t>
      </w:r>
      <w:r w:rsidRPr="008A0F36">
        <w:rPr>
          <w:lang w:val="it-IT"/>
        </w:rPr>
        <w:t>.</w:t>
      </w:r>
      <w:r w:rsidR="000E0DC6" w:rsidRPr="008A0F36">
        <w:rPr>
          <w:lang w:val="it-IT"/>
        </w:rPr>
        <w:t xml:space="preserve"> </w:t>
      </w:r>
      <w:r w:rsidRPr="008A0F36">
        <w:rPr>
          <w:lang w:val="it-IT"/>
        </w:rPr>
        <w:t>[Nell</w:t>
      </w:r>
      <w:r w:rsidR="00BF4E43" w:rsidRPr="008A0F36">
        <w:rPr>
          <w:lang w:val="it-IT"/>
        </w:rPr>
        <w:t>’</w:t>
      </w:r>
      <w:r w:rsidR="001567F1">
        <w:rPr>
          <w:b/>
          <w:bCs/>
          <w:lang w:val="it-IT"/>
        </w:rPr>
        <w:t>A</w:t>
      </w:r>
      <w:r w:rsidRPr="008A0F36">
        <w:rPr>
          <w:b/>
          <w:bCs/>
          <w:lang w:val="it-IT"/>
        </w:rPr>
        <w:t>llegato 1</w:t>
      </w:r>
      <w:r w:rsidRPr="008A0F36">
        <w:rPr>
          <w:bCs/>
          <w:lang w:val="it-IT"/>
        </w:rPr>
        <w:t xml:space="preserve"> sono riportati i nuovi documenti che sono applicabili obbligatoriamente a partire dai bilanci per gli esercizi che iniziano al 1° gennaio 20</w:t>
      </w:r>
      <w:r w:rsidR="00745E60" w:rsidRPr="008A0F36">
        <w:rPr>
          <w:bCs/>
          <w:lang w:val="it-IT"/>
        </w:rPr>
        <w:t>1</w:t>
      </w:r>
      <w:r w:rsidR="00A2090A">
        <w:rPr>
          <w:bCs/>
          <w:lang w:val="it-IT"/>
        </w:rPr>
        <w:t>6</w:t>
      </w:r>
      <w:r w:rsidRPr="008A0F36">
        <w:rPr>
          <w:lang w:val="it-IT"/>
        </w:rPr>
        <w:t>].</w:t>
      </w:r>
      <w:r w:rsidR="00254657">
        <w:rPr>
          <w:lang w:val="it-IT"/>
        </w:rPr>
        <w:t xml:space="preserve"> </w:t>
      </w:r>
    </w:p>
    <w:p w:rsidR="00AA78EB" w:rsidRDefault="00AA78EB" w:rsidP="00AA78EB">
      <w:pPr>
        <w:rPr>
          <w:lang w:val="it-IT"/>
        </w:rPr>
      </w:pPr>
      <w:r w:rsidRPr="00497D32">
        <w:rPr>
          <w:lang w:val="it-IT"/>
        </w:rPr>
        <w:t xml:space="preserve">Inoltre in questa lista di controllo sono anche inserite le informazioni integrative previste dai documenti, </w:t>
      </w:r>
      <w:r w:rsidRPr="00497D32">
        <w:rPr>
          <w:b/>
          <w:bCs/>
          <w:lang w:val="it-IT"/>
        </w:rPr>
        <w:t>già omologati dalla UE</w:t>
      </w:r>
      <w:r w:rsidRPr="00497D32">
        <w:rPr>
          <w:lang w:val="it-IT"/>
        </w:rPr>
        <w:t>, aventi data di entrata in vigore successiva al 1° gennaio 201</w:t>
      </w:r>
      <w:r w:rsidR="00A2090A" w:rsidRPr="00497D32">
        <w:rPr>
          <w:lang w:val="it-IT"/>
        </w:rPr>
        <w:t>6</w:t>
      </w:r>
      <w:r w:rsidRPr="00497D32">
        <w:rPr>
          <w:lang w:val="it-IT"/>
        </w:rPr>
        <w:t xml:space="preserve"> e la cui applicazione </w:t>
      </w:r>
      <w:r w:rsidR="002C0C34" w:rsidRPr="00497D32">
        <w:rPr>
          <w:lang w:val="it-IT"/>
        </w:rPr>
        <w:t xml:space="preserve">anticipata </w:t>
      </w:r>
      <w:r w:rsidRPr="00497D32">
        <w:rPr>
          <w:b/>
          <w:bCs/>
          <w:lang w:val="it-IT"/>
        </w:rPr>
        <w:t>è consentita</w:t>
      </w:r>
      <w:r w:rsidRPr="00497D32">
        <w:rPr>
          <w:lang w:val="it-IT"/>
        </w:rPr>
        <w:t xml:space="preserve"> [la lista di tali documenti è riportata nell’</w:t>
      </w:r>
      <w:r w:rsidR="001567F1" w:rsidRPr="00497D32">
        <w:rPr>
          <w:b/>
          <w:bCs/>
          <w:lang w:val="it-IT"/>
        </w:rPr>
        <w:t>A</w:t>
      </w:r>
      <w:r w:rsidRPr="00497D32">
        <w:rPr>
          <w:b/>
          <w:bCs/>
          <w:lang w:val="it-IT"/>
        </w:rPr>
        <w:t xml:space="preserve">llegato 2 - </w:t>
      </w:r>
      <w:r w:rsidR="001567F1" w:rsidRPr="00497D32">
        <w:rPr>
          <w:b/>
          <w:bCs/>
          <w:lang w:val="it-IT"/>
        </w:rPr>
        <w:t>P</w:t>
      </w:r>
      <w:r w:rsidRPr="00497D32">
        <w:rPr>
          <w:b/>
          <w:bCs/>
          <w:lang w:val="it-IT"/>
        </w:rPr>
        <w:t>arte A</w:t>
      </w:r>
      <w:r w:rsidRPr="00497D32">
        <w:rPr>
          <w:lang w:val="it-IT"/>
        </w:rPr>
        <w:t>].</w:t>
      </w:r>
    </w:p>
    <w:p w:rsidR="00254657" w:rsidRDefault="00254657" w:rsidP="00AA78EB">
      <w:pPr>
        <w:rPr>
          <w:lang w:val="it-IT"/>
        </w:rPr>
      </w:pPr>
    </w:p>
    <w:p w:rsidR="00DC1A10" w:rsidRPr="008A0F36" w:rsidRDefault="00DC1A10" w:rsidP="00484E86">
      <w:pPr>
        <w:rPr>
          <w:b/>
          <w:lang w:val="it-IT"/>
        </w:rPr>
      </w:pPr>
      <w:r w:rsidRPr="008A0F36">
        <w:rPr>
          <w:b/>
          <w:lang w:val="it-IT"/>
        </w:rPr>
        <w:t>Nuovi principi contabili (IFRS) e interpretazioni (IFRIC)</w:t>
      </w:r>
      <w:r w:rsidR="00AA78EB" w:rsidRPr="008A0F36">
        <w:rPr>
          <w:b/>
          <w:lang w:val="it-IT"/>
        </w:rPr>
        <w:t xml:space="preserve"> non inseriti nella presente lista di controllo</w:t>
      </w:r>
    </w:p>
    <w:p w:rsidR="00B24280" w:rsidRPr="008A0F36" w:rsidRDefault="00DC1A10" w:rsidP="00484E86">
      <w:pPr>
        <w:rPr>
          <w:lang w:val="it-IT"/>
        </w:rPr>
      </w:pPr>
      <w:r w:rsidRPr="008A0F36">
        <w:rPr>
          <w:lang w:val="it-IT"/>
        </w:rPr>
        <w:t>Nell</w:t>
      </w:r>
      <w:r w:rsidR="00BF4E43" w:rsidRPr="008A0F36">
        <w:rPr>
          <w:lang w:val="it-IT"/>
        </w:rPr>
        <w:t>’</w:t>
      </w:r>
      <w:r w:rsidR="001567F1">
        <w:rPr>
          <w:b/>
          <w:bCs/>
          <w:lang w:val="it-IT"/>
        </w:rPr>
        <w:t>A</w:t>
      </w:r>
      <w:r w:rsidRPr="008A0F36">
        <w:rPr>
          <w:b/>
          <w:bCs/>
          <w:lang w:val="it-IT"/>
        </w:rPr>
        <w:t xml:space="preserve">llegato </w:t>
      </w:r>
      <w:r w:rsidR="00555D8D" w:rsidRPr="008A0F36">
        <w:rPr>
          <w:b/>
          <w:bCs/>
          <w:lang w:val="it-IT"/>
        </w:rPr>
        <w:t>2</w:t>
      </w:r>
      <w:r w:rsidR="00AA78EB" w:rsidRPr="008A0F36">
        <w:rPr>
          <w:b/>
          <w:bCs/>
          <w:lang w:val="it-IT"/>
        </w:rPr>
        <w:t xml:space="preserve"> –</w:t>
      </w:r>
      <w:r w:rsidR="0040494C">
        <w:rPr>
          <w:b/>
          <w:bCs/>
          <w:lang w:val="it-IT"/>
        </w:rPr>
        <w:t xml:space="preserve"> </w:t>
      </w:r>
      <w:r w:rsidR="001567F1">
        <w:rPr>
          <w:b/>
          <w:bCs/>
          <w:lang w:val="it-IT"/>
        </w:rPr>
        <w:t>P</w:t>
      </w:r>
      <w:r w:rsidR="00AA78EB" w:rsidRPr="008A0F36">
        <w:rPr>
          <w:b/>
          <w:bCs/>
          <w:lang w:val="it-IT"/>
        </w:rPr>
        <w:t>arte B</w:t>
      </w:r>
      <w:r w:rsidR="00555D8D" w:rsidRPr="008A0F36">
        <w:rPr>
          <w:b/>
          <w:bCs/>
          <w:lang w:val="it-IT"/>
        </w:rPr>
        <w:t xml:space="preserve"> </w:t>
      </w:r>
      <w:r w:rsidRPr="008A0F36">
        <w:rPr>
          <w:lang w:val="it-IT"/>
        </w:rPr>
        <w:t>si ripo</w:t>
      </w:r>
      <w:r w:rsidR="00904FCD" w:rsidRPr="008A0F36">
        <w:rPr>
          <w:lang w:val="it-IT"/>
        </w:rPr>
        <w:t>r</w:t>
      </w:r>
      <w:r w:rsidRPr="008A0F36">
        <w:rPr>
          <w:lang w:val="it-IT"/>
        </w:rPr>
        <w:t>ta l</w:t>
      </w:r>
      <w:r w:rsidR="00BF4E43" w:rsidRPr="008A0F36">
        <w:rPr>
          <w:lang w:val="it-IT"/>
        </w:rPr>
        <w:t>’</w:t>
      </w:r>
      <w:r w:rsidRPr="008A0F36">
        <w:rPr>
          <w:lang w:val="it-IT"/>
        </w:rPr>
        <w:t>elenco dei documenti emessi dallo IASB, ma p</w:t>
      </w:r>
      <w:r w:rsidR="002C57D5" w:rsidRPr="008A0F36">
        <w:rPr>
          <w:lang w:val="it-IT"/>
        </w:rPr>
        <w:t xml:space="preserve">er i quali al </w:t>
      </w:r>
      <w:r w:rsidR="008675A2" w:rsidRPr="008A0F36">
        <w:rPr>
          <w:lang w:val="it-IT"/>
        </w:rPr>
        <w:t>3</w:t>
      </w:r>
      <w:r w:rsidR="000F56BA">
        <w:rPr>
          <w:lang w:val="it-IT"/>
        </w:rPr>
        <w:t>1 ottobre</w:t>
      </w:r>
      <w:r w:rsidR="00745E60" w:rsidRPr="008A0F36">
        <w:rPr>
          <w:lang w:val="it-IT"/>
        </w:rPr>
        <w:t xml:space="preserve"> </w:t>
      </w:r>
      <w:r w:rsidR="00EC135B" w:rsidRPr="008A0F36">
        <w:rPr>
          <w:lang w:val="it-IT"/>
        </w:rPr>
        <w:t>201</w:t>
      </w:r>
      <w:r w:rsidR="00A2090A">
        <w:rPr>
          <w:lang w:val="it-IT"/>
        </w:rPr>
        <w:t>6</w:t>
      </w:r>
      <w:r w:rsidRPr="008A0F36">
        <w:rPr>
          <w:lang w:val="it-IT"/>
        </w:rPr>
        <w:t xml:space="preserve"> non si è ancora concluso il processo di omologazione da parte dell</w:t>
      </w:r>
      <w:r w:rsidR="00BF4E43" w:rsidRPr="008A0F36">
        <w:rPr>
          <w:lang w:val="it-IT"/>
        </w:rPr>
        <w:t>’</w:t>
      </w:r>
      <w:r w:rsidR="00926031" w:rsidRPr="008A0F36">
        <w:rPr>
          <w:lang w:val="it-IT"/>
        </w:rPr>
        <w:t>Unione Europea</w:t>
      </w:r>
      <w:r w:rsidRPr="008A0F36">
        <w:rPr>
          <w:lang w:val="it-IT"/>
        </w:rPr>
        <w:t xml:space="preserve">. </w:t>
      </w:r>
    </w:p>
    <w:p w:rsidR="00AA78EB" w:rsidRPr="008A0F36" w:rsidRDefault="00AA78EB" w:rsidP="00484E86">
      <w:pPr>
        <w:rPr>
          <w:lang w:val="it-IT"/>
        </w:rPr>
      </w:pPr>
    </w:p>
    <w:p w:rsidR="00607314" w:rsidRPr="008A0F36" w:rsidRDefault="00390F5D" w:rsidP="00484E86">
      <w:pPr>
        <w:rPr>
          <w:lang w:val="it-IT"/>
        </w:rPr>
      </w:pPr>
      <w:r w:rsidRPr="00470BD2">
        <w:rPr>
          <w:lang w:val="it-IT"/>
        </w:rPr>
        <w:t>E’ necessario dare indicazione in bilancio dell’esistenza di tali documenti in attesa di omologazione da parte dell’UE, fornendo, se conosciute o ragionevolmente stimabili</w:t>
      </w:r>
      <w:r w:rsidR="002C0C34">
        <w:rPr>
          <w:lang w:val="it-IT"/>
        </w:rPr>
        <w:t>,</w:t>
      </w:r>
      <w:r w:rsidRPr="00470BD2">
        <w:rPr>
          <w:lang w:val="it-IT"/>
        </w:rPr>
        <w:t xml:space="preserve"> le informazioni previste dallo IAS 8.30 in relazione ai loro possibili impatti al momento della loro prima applicazione.</w:t>
      </w:r>
      <w:r w:rsidR="00607314" w:rsidRPr="00470BD2">
        <w:rPr>
          <w:lang w:val="it-IT"/>
        </w:rPr>
        <w:t xml:space="preserve"> Si segnala inoltre, con riferimento alle nuove interpretazioni non omologate dall</w:t>
      </w:r>
      <w:r w:rsidR="00BF4E43" w:rsidRPr="00470BD2">
        <w:rPr>
          <w:lang w:val="it-IT"/>
        </w:rPr>
        <w:t>’</w:t>
      </w:r>
      <w:r w:rsidR="00607314" w:rsidRPr="00470BD2">
        <w:rPr>
          <w:lang w:val="it-IT"/>
        </w:rPr>
        <w:t>UE, che se tali documenti dovessero risolvere dei dubbi interpretativi sugli attuali principi contabili in vigore, se ne consiglia comunque il loro utilizzo, pur non facendone esplicita menzione in bilancio, in quanto rappresentano ad oggi una soluzione contabile già condivisa a livello internazionale.</w:t>
      </w:r>
      <w:r w:rsidR="00A20313" w:rsidRPr="00470BD2">
        <w:rPr>
          <w:lang w:val="it-IT"/>
        </w:rPr>
        <w:t xml:space="preserve"> Tale decisione non contrasta con quanto già previsto dallo IAS 8.12 “</w:t>
      </w:r>
      <w:r w:rsidR="00A20313" w:rsidRPr="00470BD2">
        <w:rPr>
          <w:i/>
          <w:iCs/>
          <w:lang w:val="it-IT"/>
        </w:rPr>
        <w:t xml:space="preserve">… la direzione aziendale può inoltre considerare le disposizioni più recenti emanate da altri organismi preposti alla statuizione dei principi contabili che utilizzano un Quadro </w:t>
      </w:r>
      <w:r w:rsidR="0014428F">
        <w:rPr>
          <w:i/>
          <w:iCs/>
          <w:lang w:val="it-IT"/>
        </w:rPr>
        <w:t>S</w:t>
      </w:r>
      <w:r w:rsidR="00A20313" w:rsidRPr="00470BD2">
        <w:rPr>
          <w:i/>
          <w:iCs/>
          <w:lang w:val="it-IT"/>
        </w:rPr>
        <w:t>istematico (</w:t>
      </w:r>
      <w:r w:rsidR="00AD6286" w:rsidRPr="00470BD2">
        <w:rPr>
          <w:i/>
          <w:iCs/>
          <w:lang w:val="it-IT"/>
        </w:rPr>
        <w:t>Framework</w:t>
      </w:r>
      <w:r w:rsidR="00A20313" w:rsidRPr="00470BD2">
        <w:rPr>
          <w:i/>
          <w:iCs/>
          <w:lang w:val="it-IT"/>
        </w:rPr>
        <w:t>) concettualmente simile per sviluppare i principi contabili, altra letteratura contabile e prassi consoli</w:t>
      </w:r>
      <w:r w:rsidR="00904FCD" w:rsidRPr="00470BD2">
        <w:rPr>
          <w:i/>
          <w:iCs/>
          <w:lang w:val="it-IT"/>
        </w:rPr>
        <w:t>da</w:t>
      </w:r>
      <w:r w:rsidR="00A20313" w:rsidRPr="00470BD2">
        <w:rPr>
          <w:i/>
          <w:iCs/>
          <w:lang w:val="it-IT"/>
        </w:rPr>
        <w:t>te nel settore, ….</w:t>
      </w:r>
      <w:r w:rsidR="00A20313" w:rsidRPr="00470BD2">
        <w:rPr>
          <w:lang w:val="it-IT"/>
        </w:rPr>
        <w:t>”</w:t>
      </w:r>
      <w:r w:rsidR="00962AEA" w:rsidRPr="00470BD2">
        <w:rPr>
          <w:lang w:val="it-IT"/>
        </w:rPr>
        <w:t>.</w:t>
      </w:r>
    </w:p>
    <w:p w:rsidR="00484E86" w:rsidRPr="008A0F36" w:rsidRDefault="00484E86" w:rsidP="000E0DC6">
      <w:pPr>
        <w:rPr>
          <w:rFonts w:ascii="Times New Roman" w:hAnsi="Times New Roman"/>
          <w:b/>
          <w:bCs/>
          <w:lang w:val="it-IT"/>
        </w:rPr>
      </w:pPr>
    </w:p>
    <w:p w:rsidR="000E0DC6" w:rsidRPr="008A0F36" w:rsidRDefault="000E0DC6" w:rsidP="00484E86">
      <w:pPr>
        <w:rPr>
          <w:b/>
          <w:lang w:val="it-IT"/>
        </w:rPr>
      </w:pPr>
      <w:r w:rsidRPr="008A0F36">
        <w:rPr>
          <w:b/>
          <w:lang w:val="it-IT"/>
        </w:rPr>
        <w:t>Istruzioni per l</w:t>
      </w:r>
      <w:r w:rsidR="00BF4E43" w:rsidRPr="008A0F36">
        <w:rPr>
          <w:lang w:val="it-IT"/>
        </w:rPr>
        <w:t>’</w:t>
      </w:r>
      <w:r w:rsidRPr="008A0F36">
        <w:rPr>
          <w:b/>
          <w:lang w:val="it-IT"/>
        </w:rPr>
        <w:t>utilizzo</w:t>
      </w:r>
    </w:p>
    <w:p w:rsidR="002F7A0D" w:rsidRPr="008A0F36" w:rsidRDefault="002F7A0D" w:rsidP="00484E86">
      <w:pPr>
        <w:rPr>
          <w:lang w:val="it-IT"/>
        </w:rPr>
      </w:pPr>
      <w:r w:rsidRPr="008A0F36">
        <w:rPr>
          <w:lang w:val="it-IT"/>
        </w:rPr>
        <w:t xml:space="preserve">Per ogni affermazione </w:t>
      </w:r>
      <w:r w:rsidR="002159F5">
        <w:rPr>
          <w:lang w:val="it-IT"/>
        </w:rPr>
        <w:t>dovrebbe</w:t>
      </w:r>
      <w:r w:rsidR="00123177">
        <w:rPr>
          <w:lang w:val="it-IT"/>
        </w:rPr>
        <w:t xml:space="preserve"> </w:t>
      </w:r>
      <w:r w:rsidRPr="008A0F36">
        <w:rPr>
          <w:lang w:val="it-IT"/>
        </w:rPr>
        <w:t>essere posta una spunta nella colonna appropriata:</w:t>
      </w:r>
    </w:p>
    <w:tbl>
      <w:tblPr>
        <w:tblW w:w="0" w:type="auto"/>
        <w:tblInd w:w="284" w:type="dxa"/>
        <w:tblLayout w:type="fixed"/>
        <w:tblLook w:val="0000" w:firstRow="0" w:lastRow="0" w:firstColumn="0" w:lastColumn="0" w:noHBand="0" w:noVBand="0"/>
      </w:tblPr>
      <w:tblGrid>
        <w:gridCol w:w="624"/>
        <w:gridCol w:w="8272"/>
      </w:tblGrid>
      <w:tr w:rsidR="002F7A0D" w:rsidRPr="008A0F36">
        <w:tc>
          <w:tcPr>
            <w:tcW w:w="624" w:type="dxa"/>
          </w:tcPr>
          <w:p w:rsidR="002F7A0D" w:rsidRPr="008A0F36" w:rsidRDefault="00484E86" w:rsidP="00484E86">
            <w:pPr>
              <w:rPr>
                <w:lang w:val="it-IT"/>
              </w:rPr>
            </w:pPr>
            <w:r w:rsidRPr="008A0F36">
              <w:rPr>
                <w:lang w:val="it-IT"/>
              </w:rPr>
              <w:t>SI</w:t>
            </w:r>
          </w:p>
        </w:tc>
        <w:tc>
          <w:tcPr>
            <w:tcW w:w="8272" w:type="dxa"/>
          </w:tcPr>
          <w:p w:rsidR="002F7A0D" w:rsidRPr="008A0F36" w:rsidRDefault="002F7A0D" w:rsidP="00E9115E">
            <w:pPr>
              <w:ind w:left="172" w:hanging="172"/>
              <w:rPr>
                <w:lang w:val="it-IT"/>
              </w:rPr>
            </w:pPr>
            <w:r w:rsidRPr="008A0F36">
              <w:rPr>
                <w:lang w:val="it-IT"/>
              </w:rPr>
              <w:t>=</w:t>
            </w:r>
            <w:r w:rsidR="00484E86" w:rsidRPr="008A0F36">
              <w:rPr>
                <w:lang w:val="it-IT"/>
              </w:rPr>
              <w:t xml:space="preserve"> </w:t>
            </w:r>
            <w:r w:rsidR="00E9115E">
              <w:rPr>
                <w:lang w:val="it-IT"/>
              </w:rPr>
              <w:tab/>
            </w:r>
            <w:r w:rsidRPr="008A0F36">
              <w:rPr>
                <w:lang w:val="it-IT"/>
              </w:rPr>
              <w:t>l</w:t>
            </w:r>
            <w:r w:rsidR="00BF4E43" w:rsidRPr="008A0F36">
              <w:rPr>
                <w:lang w:val="it-IT"/>
              </w:rPr>
              <w:t>’</w:t>
            </w:r>
            <w:r w:rsidRPr="008A0F36">
              <w:rPr>
                <w:lang w:val="it-IT"/>
              </w:rPr>
              <w:t>informativa è stata data</w:t>
            </w:r>
          </w:p>
        </w:tc>
      </w:tr>
      <w:tr w:rsidR="002F7A0D" w:rsidRPr="00A44ECD">
        <w:tc>
          <w:tcPr>
            <w:tcW w:w="624" w:type="dxa"/>
          </w:tcPr>
          <w:p w:rsidR="002F7A0D" w:rsidRPr="008A0F36" w:rsidRDefault="00484E86" w:rsidP="00484E86">
            <w:pPr>
              <w:rPr>
                <w:lang w:val="it-IT"/>
              </w:rPr>
            </w:pPr>
            <w:r w:rsidRPr="008A0F36">
              <w:rPr>
                <w:lang w:val="it-IT"/>
              </w:rPr>
              <w:t>NO</w:t>
            </w:r>
          </w:p>
        </w:tc>
        <w:tc>
          <w:tcPr>
            <w:tcW w:w="8272" w:type="dxa"/>
          </w:tcPr>
          <w:p w:rsidR="002F7A0D" w:rsidRPr="008A0F36" w:rsidRDefault="002F7A0D" w:rsidP="00E9115E">
            <w:pPr>
              <w:ind w:left="172" w:hanging="172"/>
              <w:rPr>
                <w:lang w:val="it-IT"/>
              </w:rPr>
            </w:pPr>
            <w:r w:rsidRPr="008A0F36">
              <w:rPr>
                <w:lang w:val="it-IT"/>
              </w:rPr>
              <w:t>=</w:t>
            </w:r>
            <w:r w:rsidR="00484E86" w:rsidRPr="008A0F36">
              <w:rPr>
                <w:lang w:val="it-IT"/>
              </w:rPr>
              <w:t xml:space="preserve"> </w:t>
            </w:r>
            <w:r w:rsidR="00E9115E">
              <w:rPr>
                <w:lang w:val="it-IT"/>
              </w:rPr>
              <w:tab/>
            </w:r>
            <w:r w:rsidRPr="008A0F36">
              <w:rPr>
                <w:lang w:val="it-IT"/>
              </w:rPr>
              <w:t>l</w:t>
            </w:r>
            <w:r w:rsidR="00BF4E43" w:rsidRPr="008A0F36">
              <w:rPr>
                <w:lang w:val="it-IT"/>
              </w:rPr>
              <w:t>’</w:t>
            </w:r>
            <w:r w:rsidRPr="008A0F36">
              <w:rPr>
                <w:lang w:val="it-IT"/>
              </w:rPr>
              <w:t>informativa non è stata data anche se è obbligatoria per l</w:t>
            </w:r>
            <w:r w:rsidR="00BF4E43" w:rsidRPr="008A0F36">
              <w:rPr>
                <w:lang w:val="it-IT"/>
              </w:rPr>
              <w:t>’</w:t>
            </w:r>
            <w:r w:rsidRPr="008A0F36">
              <w:rPr>
                <w:lang w:val="it-IT"/>
              </w:rPr>
              <w:t>entità</w:t>
            </w:r>
          </w:p>
        </w:tc>
      </w:tr>
      <w:tr w:rsidR="002F7A0D" w:rsidRPr="00A44ECD">
        <w:tc>
          <w:tcPr>
            <w:tcW w:w="624" w:type="dxa"/>
          </w:tcPr>
          <w:p w:rsidR="002F7A0D" w:rsidRPr="008A0F36" w:rsidRDefault="002F7A0D" w:rsidP="00484E86">
            <w:pPr>
              <w:rPr>
                <w:lang w:val="it-IT"/>
              </w:rPr>
            </w:pPr>
            <w:r w:rsidRPr="008A0F36">
              <w:rPr>
                <w:lang w:val="it-IT"/>
              </w:rPr>
              <w:t>N/A</w:t>
            </w:r>
          </w:p>
        </w:tc>
        <w:tc>
          <w:tcPr>
            <w:tcW w:w="8272" w:type="dxa"/>
          </w:tcPr>
          <w:p w:rsidR="002F7A0D" w:rsidRPr="008A0F36" w:rsidRDefault="002F7A0D" w:rsidP="00E9115E">
            <w:pPr>
              <w:ind w:left="172" w:hanging="172"/>
              <w:rPr>
                <w:lang w:val="it-IT"/>
              </w:rPr>
            </w:pPr>
            <w:r w:rsidRPr="008A0F36">
              <w:rPr>
                <w:lang w:val="it-IT"/>
              </w:rPr>
              <w:t>=</w:t>
            </w:r>
            <w:r w:rsidR="00E9115E">
              <w:rPr>
                <w:lang w:val="it-IT"/>
              </w:rPr>
              <w:tab/>
            </w:r>
            <w:r w:rsidR="00123177">
              <w:rPr>
                <w:lang w:val="it-IT"/>
              </w:rPr>
              <w:t>l’informativa non è applicabile all’entità oppure non è obbligatoria oppure la corrispondente voce di bilancio o la specifica informativa non è stata considerata significativa ai fini della revisione contabile</w:t>
            </w:r>
            <w:r w:rsidRPr="008A0F36">
              <w:rPr>
                <w:lang w:val="it-IT"/>
              </w:rPr>
              <w:t xml:space="preserve">. </w:t>
            </w:r>
          </w:p>
        </w:tc>
      </w:tr>
    </w:tbl>
    <w:p w:rsidR="002F7A0D" w:rsidRPr="008A0F36" w:rsidRDefault="002F7A0D" w:rsidP="00484E86">
      <w:pPr>
        <w:rPr>
          <w:lang w:val="it-IT"/>
        </w:rPr>
      </w:pPr>
      <w:r w:rsidRPr="008A0F36">
        <w:rPr>
          <w:lang w:val="it-IT"/>
        </w:rPr>
        <w:t xml:space="preserve">Ogni risposta NO </w:t>
      </w:r>
      <w:r w:rsidR="002159F5">
        <w:rPr>
          <w:lang w:val="it-IT"/>
        </w:rPr>
        <w:t xml:space="preserve">dovrebbe </w:t>
      </w:r>
      <w:r w:rsidRPr="008A0F36">
        <w:rPr>
          <w:lang w:val="it-IT"/>
        </w:rPr>
        <w:t>essere accompagnata da una esauriente spiegazione o da un riferimento alle carte di lavoro in cui il problema è stato esaminato.</w:t>
      </w:r>
    </w:p>
    <w:p w:rsidR="009424E5" w:rsidRPr="008A0F36" w:rsidRDefault="009424E5" w:rsidP="0089073E">
      <w:pPr>
        <w:rPr>
          <w:rFonts w:ascii="Times New Roman" w:hAnsi="Times New Roman"/>
          <w:b/>
          <w:lang w:val="it-IT"/>
        </w:rPr>
      </w:pPr>
    </w:p>
    <w:p w:rsidR="009F0867" w:rsidRPr="008A0F36" w:rsidRDefault="00137FDD" w:rsidP="0089073E">
      <w:pPr>
        <w:rPr>
          <w:rFonts w:ascii="Times New Roman" w:hAnsi="Times New Roman"/>
          <w:spacing w:val="-2"/>
          <w:lang w:val="it-IT"/>
        </w:rPr>
      </w:pPr>
      <w:r w:rsidRPr="008A0F36">
        <w:rPr>
          <w:rFonts w:ascii="Times New Roman" w:hAnsi="Times New Roman"/>
          <w:spacing w:val="-2"/>
          <w:lang w:val="it-IT"/>
        </w:rPr>
        <w:br w:type="page"/>
      </w:r>
    </w:p>
    <w:p w:rsidR="003C0506" w:rsidRPr="003B704A" w:rsidRDefault="005D257C" w:rsidP="003C0506">
      <w:pPr>
        <w:spacing w:before="240" w:after="60" w:line="240" w:lineRule="auto"/>
        <w:outlineLvl w:val="0"/>
        <w:rPr>
          <w:b/>
          <w:caps/>
          <w:szCs w:val="24"/>
          <w:lang w:val="it-IT"/>
        </w:rPr>
      </w:pPr>
      <w:r w:rsidRPr="003B704A">
        <w:rPr>
          <w:b/>
          <w:caps/>
          <w:szCs w:val="24"/>
          <w:lang w:val="it-IT"/>
        </w:rPr>
        <w:t>indice</w:t>
      </w:r>
      <w:r w:rsidR="0078772D" w:rsidRPr="003B704A">
        <w:rPr>
          <w:b/>
          <w:caps/>
          <w:szCs w:val="24"/>
          <w:lang w:val="it-IT"/>
        </w:rPr>
        <w:t xml:space="preserve"> </w:t>
      </w:r>
    </w:p>
    <w:tbl>
      <w:tblPr>
        <w:tblW w:w="9906" w:type="dxa"/>
        <w:tblInd w:w="108" w:type="dxa"/>
        <w:tblLook w:val="0000" w:firstRow="0" w:lastRow="0" w:firstColumn="0" w:lastColumn="0" w:noHBand="0" w:noVBand="0"/>
      </w:tblPr>
      <w:tblGrid>
        <w:gridCol w:w="8080"/>
        <w:gridCol w:w="779"/>
        <w:gridCol w:w="283"/>
        <w:gridCol w:w="764"/>
      </w:tblGrid>
      <w:tr w:rsidR="008D09E4" w:rsidRPr="00DC5A4D" w:rsidTr="00621C50">
        <w:trPr>
          <w:trHeight w:val="170"/>
        </w:trPr>
        <w:tc>
          <w:tcPr>
            <w:tcW w:w="8080" w:type="dxa"/>
            <w:tcBorders>
              <w:top w:val="nil"/>
              <w:left w:val="nil"/>
              <w:bottom w:val="single" w:sz="4" w:space="0" w:color="auto"/>
              <w:right w:val="nil"/>
            </w:tcBorders>
            <w:shd w:val="clear" w:color="auto" w:fill="auto"/>
            <w:noWrap/>
            <w:vAlign w:val="bottom"/>
          </w:tcPr>
          <w:p w:rsidR="008D09E4" w:rsidRPr="00DC5A4D" w:rsidRDefault="008D09E4" w:rsidP="00DD0E8C">
            <w:pPr>
              <w:overflowPunct/>
              <w:autoSpaceDE/>
              <w:autoSpaceDN/>
              <w:adjustRightInd/>
              <w:textAlignment w:val="auto"/>
              <w:rPr>
                <w:lang w:val="it-IT"/>
              </w:rPr>
            </w:pPr>
            <w:r w:rsidRPr="00DC5A4D">
              <w:rPr>
                <w:lang w:val="it-IT"/>
              </w:rPr>
              <w:t>Generale</w:t>
            </w:r>
          </w:p>
        </w:tc>
        <w:tc>
          <w:tcPr>
            <w:tcW w:w="779"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right"/>
              <w:textAlignment w:val="auto"/>
              <w:rPr>
                <w:b/>
                <w:bCs/>
                <w:lang w:val="it-IT"/>
              </w:rPr>
            </w:pPr>
            <w:r w:rsidRPr="00DC5A4D">
              <w:rPr>
                <w:b/>
                <w:bCs/>
                <w:lang w:val="it-IT"/>
              </w:rPr>
              <w:t>1</w:t>
            </w:r>
          </w:p>
        </w:tc>
        <w:tc>
          <w:tcPr>
            <w:tcW w:w="283"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center"/>
              <w:textAlignment w:val="auto"/>
              <w:rPr>
                <w:b/>
                <w:bCs/>
                <w:lang w:val="it-IT"/>
              </w:rPr>
            </w:pPr>
            <w:r w:rsidRPr="00DC5A4D">
              <w:rPr>
                <w:b/>
                <w:bCs/>
                <w:lang w:val="it-IT"/>
              </w:rPr>
              <w:t>-</w:t>
            </w:r>
          </w:p>
        </w:tc>
        <w:tc>
          <w:tcPr>
            <w:tcW w:w="764"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textAlignment w:val="auto"/>
              <w:rPr>
                <w:b/>
                <w:bCs/>
                <w:lang w:val="it-IT"/>
              </w:rPr>
            </w:pPr>
            <w:r>
              <w:rPr>
                <w:b/>
                <w:bCs/>
                <w:lang w:val="it-IT"/>
              </w:rPr>
              <w:t>21</w:t>
            </w:r>
          </w:p>
        </w:tc>
      </w:tr>
      <w:tr w:rsidR="008D09E4" w:rsidRPr="00DC5A4D" w:rsidTr="00621C50">
        <w:trPr>
          <w:trHeight w:val="170"/>
        </w:trPr>
        <w:tc>
          <w:tcPr>
            <w:tcW w:w="8080" w:type="dxa"/>
            <w:tcBorders>
              <w:top w:val="nil"/>
              <w:left w:val="nil"/>
              <w:bottom w:val="single" w:sz="4" w:space="0" w:color="auto"/>
              <w:right w:val="nil"/>
            </w:tcBorders>
            <w:shd w:val="clear" w:color="auto" w:fill="auto"/>
            <w:noWrap/>
            <w:vAlign w:val="bottom"/>
          </w:tcPr>
          <w:p w:rsidR="008D09E4" w:rsidRPr="00DC5A4D" w:rsidRDefault="008D09E4" w:rsidP="00DD0E8C">
            <w:pPr>
              <w:overflowPunct/>
              <w:autoSpaceDE/>
              <w:autoSpaceDN/>
              <w:adjustRightInd/>
              <w:textAlignment w:val="auto"/>
              <w:rPr>
                <w:lang w:val="it-IT"/>
              </w:rPr>
            </w:pPr>
            <w:r w:rsidRPr="00DC5A4D">
              <w:rPr>
                <w:lang w:val="it-IT"/>
              </w:rPr>
              <w:t>Prima adozione degli IAS/IFRS</w:t>
            </w:r>
          </w:p>
        </w:tc>
        <w:tc>
          <w:tcPr>
            <w:tcW w:w="779"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right"/>
              <w:textAlignment w:val="auto"/>
              <w:rPr>
                <w:b/>
                <w:bCs/>
                <w:lang w:val="it-IT"/>
              </w:rPr>
            </w:pPr>
            <w:r w:rsidRPr="00DC5A4D">
              <w:rPr>
                <w:b/>
                <w:bCs/>
                <w:lang w:val="it-IT"/>
              </w:rPr>
              <w:t>2</w:t>
            </w:r>
            <w:r>
              <w:rPr>
                <w:b/>
                <w:bCs/>
                <w:lang w:val="it-IT"/>
              </w:rPr>
              <w:t>2</w:t>
            </w:r>
          </w:p>
        </w:tc>
        <w:tc>
          <w:tcPr>
            <w:tcW w:w="283"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center"/>
              <w:textAlignment w:val="auto"/>
              <w:rPr>
                <w:b/>
                <w:bCs/>
                <w:lang w:val="it-IT"/>
              </w:rPr>
            </w:pPr>
            <w:r w:rsidRPr="00DC5A4D">
              <w:rPr>
                <w:b/>
                <w:bCs/>
                <w:lang w:val="it-IT"/>
              </w:rPr>
              <w:t>-</w:t>
            </w:r>
          </w:p>
        </w:tc>
        <w:tc>
          <w:tcPr>
            <w:tcW w:w="764"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textAlignment w:val="auto"/>
              <w:rPr>
                <w:b/>
                <w:bCs/>
                <w:lang w:val="it-IT"/>
              </w:rPr>
            </w:pPr>
            <w:r w:rsidRPr="00DC5A4D">
              <w:rPr>
                <w:b/>
                <w:bCs/>
                <w:lang w:val="it-IT"/>
              </w:rPr>
              <w:t>3</w:t>
            </w:r>
            <w:r>
              <w:rPr>
                <w:b/>
                <w:bCs/>
                <w:lang w:val="it-IT"/>
              </w:rPr>
              <w:t>8</w:t>
            </w:r>
          </w:p>
        </w:tc>
      </w:tr>
      <w:tr w:rsidR="008D09E4" w:rsidRPr="00DC5A4D" w:rsidTr="00621C50">
        <w:trPr>
          <w:trHeight w:val="170"/>
        </w:trPr>
        <w:tc>
          <w:tcPr>
            <w:tcW w:w="8080" w:type="dxa"/>
            <w:tcBorders>
              <w:top w:val="nil"/>
              <w:left w:val="nil"/>
              <w:bottom w:val="single" w:sz="4" w:space="0" w:color="auto"/>
              <w:right w:val="nil"/>
            </w:tcBorders>
            <w:shd w:val="clear" w:color="auto" w:fill="auto"/>
            <w:noWrap/>
            <w:vAlign w:val="bottom"/>
          </w:tcPr>
          <w:p w:rsidR="008D09E4" w:rsidRPr="00DC5A4D" w:rsidRDefault="008D09E4" w:rsidP="00DD0E8C">
            <w:pPr>
              <w:overflowPunct/>
              <w:autoSpaceDE/>
              <w:autoSpaceDN/>
              <w:adjustRightInd/>
              <w:textAlignment w:val="auto"/>
              <w:rPr>
                <w:lang w:val="it-IT"/>
              </w:rPr>
            </w:pPr>
            <w:r w:rsidRPr="00DC5A4D">
              <w:rPr>
                <w:lang w:val="it-IT"/>
              </w:rPr>
              <w:t xml:space="preserve">Altri documenti presentati insieme al bilancio (relazione degli amministratori, rendiconti e altri documenti) </w:t>
            </w:r>
          </w:p>
        </w:tc>
        <w:tc>
          <w:tcPr>
            <w:tcW w:w="779"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right"/>
              <w:textAlignment w:val="auto"/>
              <w:rPr>
                <w:b/>
                <w:bCs/>
                <w:lang w:val="it-IT"/>
              </w:rPr>
            </w:pPr>
            <w:r>
              <w:rPr>
                <w:b/>
                <w:bCs/>
                <w:lang w:val="it-IT"/>
              </w:rPr>
              <w:t>39</w:t>
            </w:r>
          </w:p>
        </w:tc>
        <w:tc>
          <w:tcPr>
            <w:tcW w:w="283"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center"/>
              <w:textAlignment w:val="auto"/>
              <w:rPr>
                <w:b/>
                <w:bCs/>
                <w:lang w:val="it-IT"/>
              </w:rPr>
            </w:pPr>
            <w:r w:rsidRPr="00DC5A4D">
              <w:rPr>
                <w:b/>
                <w:bCs/>
                <w:lang w:val="it-IT"/>
              </w:rPr>
              <w:t>-</w:t>
            </w:r>
          </w:p>
        </w:tc>
        <w:tc>
          <w:tcPr>
            <w:tcW w:w="764"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textAlignment w:val="auto"/>
              <w:rPr>
                <w:b/>
                <w:bCs/>
                <w:lang w:val="it-IT"/>
              </w:rPr>
            </w:pPr>
            <w:r>
              <w:rPr>
                <w:b/>
                <w:bCs/>
                <w:lang w:val="it-IT"/>
              </w:rPr>
              <w:t>40</w:t>
            </w:r>
          </w:p>
        </w:tc>
      </w:tr>
      <w:tr w:rsidR="008D09E4" w:rsidRPr="00DC5A4D" w:rsidTr="00621C50">
        <w:trPr>
          <w:trHeight w:val="170"/>
        </w:trPr>
        <w:tc>
          <w:tcPr>
            <w:tcW w:w="8080" w:type="dxa"/>
            <w:tcBorders>
              <w:top w:val="nil"/>
              <w:left w:val="nil"/>
              <w:bottom w:val="single" w:sz="4" w:space="0" w:color="auto"/>
              <w:right w:val="nil"/>
            </w:tcBorders>
            <w:shd w:val="clear" w:color="auto" w:fill="auto"/>
            <w:noWrap/>
            <w:vAlign w:val="bottom"/>
          </w:tcPr>
          <w:p w:rsidR="008D09E4" w:rsidRPr="00DC5A4D" w:rsidRDefault="008D09E4" w:rsidP="003A214B">
            <w:pPr>
              <w:overflowPunct/>
              <w:autoSpaceDE/>
              <w:autoSpaceDN/>
              <w:adjustRightInd/>
              <w:textAlignment w:val="auto"/>
              <w:rPr>
                <w:lang w:val="it-IT"/>
              </w:rPr>
            </w:pPr>
            <w:r w:rsidRPr="00DC5A4D">
              <w:rPr>
                <w:lang w:val="it-IT"/>
              </w:rPr>
              <w:t>Prospetto della situazione patrimoniale-finanziaria</w:t>
            </w:r>
          </w:p>
        </w:tc>
        <w:tc>
          <w:tcPr>
            <w:tcW w:w="779"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right"/>
              <w:textAlignment w:val="auto"/>
              <w:rPr>
                <w:b/>
                <w:bCs/>
                <w:lang w:val="it-IT"/>
              </w:rPr>
            </w:pPr>
            <w:r>
              <w:rPr>
                <w:b/>
                <w:bCs/>
                <w:lang w:val="it-IT"/>
              </w:rPr>
              <w:t>41</w:t>
            </w:r>
          </w:p>
        </w:tc>
        <w:tc>
          <w:tcPr>
            <w:tcW w:w="283"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center"/>
              <w:textAlignment w:val="auto"/>
              <w:rPr>
                <w:b/>
                <w:bCs/>
                <w:lang w:val="it-IT"/>
              </w:rPr>
            </w:pPr>
            <w:r w:rsidRPr="00DC5A4D">
              <w:rPr>
                <w:b/>
                <w:bCs/>
                <w:lang w:val="it-IT"/>
              </w:rPr>
              <w:t>-</w:t>
            </w:r>
          </w:p>
        </w:tc>
        <w:tc>
          <w:tcPr>
            <w:tcW w:w="764"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textAlignment w:val="auto"/>
              <w:rPr>
                <w:b/>
                <w:bCs/>
                <w:lang w:val="it-IT"/>
              </w:rPr>
            </w:pPr>
            <w:r>
              <w:rPr>
                <w:b/>
                <w:bCs/>
                <w:lang w:val="it-IT"/>
              </w:rPr>
              <w:t>52</w:t>
            </w:r>
          </w:p>
        </w:tc>
      </w:tr>
      <w:tr w:rsidR="008D09E4" w:rsidRPr="00DC5A4D" w:rsidTr="00621C50">
        <w:trPr>
          <w:trHeight w:val="170"/>
        </w:trPr>
        <w:tc>
          <w:tcPr>
            <w:tcW w:w="8080" w:type="dxa"/>
            <w:tcBorders>
              <w:top w:val="nil"/>
              <w:left w:val="nil"/>
              <w:bottom w:val="single" w:sz="4" w:space="0" w:color="auto"/>
              <w:right w:val="nil"/>
            </w:tcBorders>
            <w:shd w:val="clear" w:color="auto" w:fill="auto"/>
            <w:noWrap/>
            <w:vAlign w:val="bottom"/>
          </w:tcPr>
          <w:p w:rsidR="008D09E4" w:rsidRPr="00DC5A4D" w:rsidRDefault="008D09E4" w:rsidP="004A678D">
            <w:pPr>
              <w:overflowPunct/>
              <w:autoSpaceDE/>
              <w:autoSpaceDN/>
              <w:adjustRightInd/>
              <w:textAlignment w:val="auto"/>
              <w:rPr>
                <w:lang w:val="it-IT"/>
              </w:rPr>
            </w:pPr>
            <w:r w:rsidRPr="00DC5A4D">
              <w:rPr>
                <w:lang w:val="it-IT"/>
              </w:rPr>
              <w:t>Prospetto(i) dell’utile/(perdita) e delle altre componenti di conto economico complessivo</w:t>
            </w:r>
          </w:p>
        </w:tc>
        <w:tc>
          <w:tcPr>
            <w:tcW w:w="779"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right"/>
              <w:textAlignment w:val="auto"/>
              <w:rPr>
                <w:b/>
                <w:bCs/>
                <w:lang w:val="it-IT"/>
              </w:rPr>
            </w:pPr>
            <w:r w:rsidRPr="00DC5A4D">
              <w:rPr>
                <w:b/>
                <w:bCs/>
                <w:lang w:val="it-IT"/>
              </w:rPr>
              <w:t>5</w:t>
            </w:r>
            <w:r>
              <w:rPr>
                <w:b/>
                <w:bCs/>
                <w:lang w:val="it-IT"/>
              </w:rPr>
              <w:t>3</w:t>
            </w:r>
          </w:p>
        </w:tc>
        <w:tc>
          <w:tcPr>
            <w:tcW w:w="283"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center"/>
              <w:textAlignment w:val="auto"/>
              <w:rPr>
                <w:b/>
                <w:bCs/>
                <w:lang w:val="it-IT"/>
              </w:rPr>
            </w:pPr>
            <w:r w:rsidRPr="00DC5A4D">
              <w:rPr>
                <w:b/>
                <w:bCs/>
                <w:lang w:val="it-IT"/>
              </w:rPr>
              <w:t>-</w:t>
            </w:r>
          </w:p>
        </w:tc>
        <w:tc>
          <w:tcPr>
            <w:tcW w:w="764"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textAlignment w:val="auto"/>
              <w:rPr>
                <w:b/>
                <w:bCs/>
                <w:lang w:val="it-IT"/>
              </w:rPr>
            </w:pPr>
            <w:r w:rsidRPr="00DC5A4D">
              <w:rPr>
                <w:b/>
                <w:bCs/>
                <w:lang w:val="it-IT"/>
              </w:rPr>
              <w:t>7</w:t>
            </w:r>
            <w:r w:rsidR="00DA375F">
              <w:rPr>
                <w:b/>
                <w:bCs/>
                <w:lang w:val="it-IT"/>
              </w:rPr>
              <w:t>4</w:t>
            </w:r>
          </w:p>
        </w:tc>
      </w:tr>
      <w:tr w:rsidR="008D09E4" w:rsidRPr="00DC5A4D" w:rsidTr="00621C50">
        <w:trPr>
          <w:trHeight w:val="170"/>
        </w:trPr>
        <w:tc>
          <w:tcPr>
            <w:tcW w:w="8080" w:type="dxa"/>
            <w:tcBorders>
              <w:top w:val="nil"/>
              <w:left w:val="nil"/>
              <w:bottom w:val="single" w:sz="4" w:space="0" w:color="auto"/>
              <w:right w:val="nil"/>
            </w:tcBorders>
            <w:shd w:val="clear" w:color="auto" w:fill="auto"/>
            <w:noWrap/>
            <w:vAlign w:val="bottom"/>
          </w:tcPr>
          <w:p w:rsidR="008D09E4" w:rsidRPr="00DC5A4D" w:rsidRDefault="008D09E4" w:rsidP="00DD0E8C">
            <w:pPr>
              <w:overflowPunct/>
              <w:autoSpaceDE/>
              <w:autoSpaceDN/>
              <w:adjustRightInd/>
              <w:textAlignment w:val="auto"/>
              <w:rPr>
                <w:lang w:val="it-IT"/>
              </w:rPr>
            </w:pPr>
            <w:r w:rsidRPr="00DC5A4D">
              <w:rPr>
                <w:lang w:val="it-IT"/>
              </w:rPr>
              <w:t>Utile per azione</w:t>
            </w:r>
          </w:p>
        </w:tc>
        <w:tc>
          <w:tcPr>
            <w:tcW w:w="779"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right"/>
              <w:textAlignment w:val="auto"/>
              <w:rPr>
                <w:b/>
                <w:bCs/>
                <w:lang w:val="it-IT"/>
              </w:rPr>
            </w:pPr>
            <w:r w:rsidRPr="00DC5A4D">
              <w:rPr>
                <w:b/>
                <w:bCs/>
                <w:lang w:val="it-IT"/>
              </w:rPr>
              <w:t>7</w:t>
            </w:r>
            <w:r w:rsidR="00735AE6">
              <w:rPr>
                <w:b/>
                <w:bCs/>
                <w:lang w:val="it-IT"/>
              </w:rPr>
              <w:t>5</w:t>
            </w:r>
          </w:p>
        </w:tc>
        <w:tc>
          <w:tcPr>
            <w:tcW w:w="283"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center"/>
              <w:textAlignment w:val="auto"/>
              <w:rPr>
                <w:b/>
                <w:bCs/>
                <w:lang w:val="it-IT"/>
              </w:rPr>
            </w:pPr>
            <w:r w:rsidRPr="00DC5A4D">
              <w:rPr>
                <w:b/>
                <w:bCs/>
                <w:lang w:val="it-IT"/>
              </w:rPr>
              <w:t>-</w:t>
            </w:r>
          </w:p>
        </w:tc>
        <w:tc>
          <w:tcPr>
            <w:tcW w:w="764"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textAlignment w:val="auto"/>
              <w:rPr>
                <w:b/>
                <w:bCs/>
                <w:lang w:val="it-IT"/>
              </w:rPr>
            </w:pPr>
            <w:r w:rsidRPr="00DC5A4D">
              <w:rPr>
                <w:b/>
                <w:bCs/>
                <w:lang w:val="it-IT"/>
              </w:rPr>
              <w:t>8</w:t>
            </w:r>
            <w:r w:rsidR="00735AE6">
              <w:rPr>
                <w:b/>
                <w:bCs/>
                <w:lang w:val="it-IT"/>
              </w:rPr>
              <w:t>6</w:t>
            </w:r>
          </w:p>
        </w:tc>
      </w:tr>
      <w:tr w:rsidR="008D09E4" w:rsidRPr="00DC5A4D" w:rsidTr="00621C50">
        <w:trPr>
          <w:trHeight w:val="170"/>
        </w:trPr>
        <w:tc>
          <w:tcPr>
            <w:tcW w:w="8080" w:type="dxa"/>
            <w:tcBorders>
              <w:top w:val="nil"/>
              <w:left w:val="nil"/>
              <w:bottom w:val="single" w:sz="4" w:space="0" w:color="auto"/>
              <w:right w:val="nil"/>
            </w:tcBorders>
            <w:shd w:val="clear" w:color="auto" w:fill="auto"/>
            <w:noWrap/>
            <w:vAlign w:val="bottom"/>
          </w:tcPr>
          <w:p w:rsidR="008D09E4" w:rsidRPr="00DC5A4D" w:rsidRDefault="008D09E4" w:rsidP="00DD0E8C">
            <w:pPr>
              <w:overflowPunct/>
              <w:autoSpaceDE/>
              <w:autoSpaceDN/>
              <w:adjustRightInd/>
              <w:textAlignment w:val="auto"/>
              <w:rPr>
                <w:lang w:val="it-IT"/>
              </w:rPr>
            </w:pPr>
            <w:r w:rsidRPr="00DC5A4D">
              <w:rPr>
                <w:lang w:val="it-IT"/>
              </w:rPr>
              <w:t>Rendiconto finanziario</w:t>
            </w:r>
          </w:p>
        </w:tc>
        <w:tc>
          <w:tcPr>
            <w:tcW w:w="779"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right"/>
              <w:textAlignment w:val="auto"/>
              <w:rPr>
                <w:b/>
                <w:bCs/>
                <w:lang w:val="it-IT"/>
              </w:rPr>
            </w:pPr>
            <w:r w:rsidRPr="00DC5A4D">
              <w:rPr>
                <w:b/>
                <w:bCs/>
                <w:lang w:val="it-IT"/>
              </w:rPr>
              <w:t>8</w:t>
            </w:r>
            <w:r w:rsidR="00735AE6">
              <w:rPr>
                <w:b/>
                <w:bCs/>
                <w:lang w:val="it-IT"/>
              </w:rPr>
              <w:t>7</w:t>
            </w:r>
          </w:p>
        </w:tc>
        <w:tc>
          <w:tcPr>
            <w:tcW w:w="283"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center"/>
              <w:textAlignment w:val="auto"/>
              <w:rPr>
                <w:b/>
                <w:bCs/>
                <w:lang w:val="it-IT"/>
              </w:rPr>
            </w:pPr>
            <w:r w:rsidRPr="00DC5A4D">
              <w:rPr>
                <w:b/>
                <w:bCs/>
                <w:lang w:val="it-IT"/>
              </w:rPr>
              <w:t>-</w:t>
            </w:r>
          </w:p>
        </w:tc>
        <w:tc>
          <w:tcPr>
            <w:tcW w:w="764"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textAlignment w:val="auto"/>
              <w:rPr>
                <w:b/>
                <w:bCs/>
                <w:lang w:val="it-IT"/>
              </w:rPr>
            </w:pPr>
            <w:r w:rsidRPr="00DC5A4D">
              <w:rPr>
                <w:b/>
                <w:bCs/>
                <w:lang w:val="it-IT"/>
              </w:rPr>
              <w:t>10</w:t>
            </w:r>
            <w:r w:rsidR="00735AE6">
              <w:rPr>
                <w:b/>
                <w:bCs/>
                <w:lang w:val="it-IT"/>
              </w:rPr>
              <w:t>2</w:t>
            </w:r>
          </w:p>
        </w:tc>
      </w:tr>
      <w:tr w:rsidR="008D09E4" w:rsidRPr="00DC5A4D" w:rsidTr="00621C50">
        <w:trPr>
          <w:trHeight w:val="170"/>
        </w:trPr>
        <w:tc>
          <w:tcPr>
            <w:tcW w:w="8080" w:type="dxa"/>
            <w:tcBorders>
              <w:top w:val="nil"/>
              <w:left w:val="nil"/>
              <w:bottom w:val="single" w:sz="4" w:space="0" w:color="auto"/>
              <w:right w:val="nil"/>
            </w:tcBorders>
            <w:shd w:val="clear" w:color="auto" w:fill="auto"/>
            <w:noWrap/>
            <w:vAlign w:val="bottom"/>
          </w:tcPr>
          <w:p w:rsidR="008D09E4" w:rsidRPr="00DC5A4D" w:rsidRDefault="008D09E4" w:rsidP="00DD0E8C">
            <w:pPr>
              <w:overflowPunct/>
              <w:autoSpaceDE/>
              <w:autoSpaceDN/>
              <w:adjustRightInd/>
              <w:textAlignment w:val="auto"/>
              <w:rPr>
                <w:lang w:val="it-IT"/>
              </w:rPr>
            </w:pPr>
            <w:r w:rsidRPr="00DC5A4D">
              <w:rPr>
                <w:lang w:val="it-IT"/>
              </w:rPr>
              <w:t>Prospetto delle variazioni di patrimonio netto</w:t>
            </w:r>
          </w:p>
        </w:tc>
        <w:tc>
          <w:tcPr>
            <w:tcW w:w="779"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right"/>
              <w:textAlignment w:val="auto"/>
              <w:rPr>
                <w:b/>
                <w:bCs/>
                <w:lang w:val="it-IT"/>
              </w:rPr>
            </w:pPr>
            <w:r w:rsidRPr="00DC5A4D">
              <w:rPr>
                <w:b/>
                <w:bCs/>
                <w:lang w:val="it-IT"/>
              </w:rPr>
              <w:t>10</w:t>
            </w:r>
            <w:r w:rsidR="00735AE6">
              <w:rPr>
                <w:b/>
                <w:bCs/>
                <w:lang w:val="it-IT"/>
              </w:rPr>
              <w:t>3</w:t>
            </w:r>
          </w:p>
        </w:tc>
        <w:tc>
          <w:tcPr>
            <w:tcW w:w="283"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center"/>
              <w:textAlignment w:val="auto"/>
              <w:rPr>
                <w:b/>
                <w:bCs/>
                <w:lang w:val="it-IT"/>
              </w:rPr>
            </w:pPr>
            <w:r w:rsidRPr="00DC5A4D">
              <w:rPr>
                <w:b/>
                <w:bCs/>
                <w:lang w:val="it-IT"/>
              </w:rPr>
              <w:t>-</w:t>
            </w:r>
          </w:p>
        </w:tc>
        <w:tc>
          <w:tcPr>
            <w:tcW w:w="764"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textAlignment w:val="auto"/>
              <w:rPr>
                <w:b/>
                <w:bCs/>
                <w:lang w:val="it-IT"/>
              </w:rPr>
            </w:pPr>
            <w:r>
              <w:rPr>
                <w:b/>
                <w:bCs/>
                <w:lang w:val="it-IT"/>
              </w:rPr>
              <w:t>10</w:t>
            </w:r>
            <w:r w:rsidR="00735AE6">
              <w:rPr>
                <w:b/>
                <w:bCs/>
                <w:lang w:val="it-IT"/>
              </w:rPr>
              <w:t>7</w:t>
            </w:r>
          </w:p>
        </w:tc>
      </w:tr>
      <w:tr w:rsidR="008D09E4" w:rsidRPr="00DC5A4D" w:rsidTr="00621C50">
        <w:trPr>
          <w:trHeight w:val="170"/>
        </w:trPr>
        <w:tc>
          <w:tcPr>
            <w:tcW w:w="8080" w:type="dxa"/>
            <w:tcBorders>
              <w:top w:val="nil"/>
              <w:left w:val="nil"/>
              <w:bottom w:val="single" w:sz="4" w:space="0" w:color="auto"/>
              <w:right w:val="nil"/>
            </w:tcBorders>
            <w:shd w:val="clear" w:color="auto" w:fill="auto"/>
            <w:noWrap/>
            <w:vAlign w:val="bottom"/>
          </w:tcPr>
          <w:p w:rsidR="008D09E4" w:rsidRPr="00DC5A4D" w:rsidRDefault="008D09E4" w:rsidP="00DD0E8C">
            <w:pPr>
              <w:overflowPunct/>
              <w:autoSpaceDE/>
              <w:autoSpaceDN/>
              <w:adjustRightInd/>
              <w:textAlignment w:val="auto"/>
              <w:rPr>
                <w:lang w:val="it-IT"/>
              </w:rPr>
            </w:pPr>
            <w:r w:rsidRPr="00DC5A4D">
              <w:rPr>
                <w:lang w:val="it-IT"/>
              </w:rPr>
              <w:t>Note al bilancio</w:t>
            </w:r>
          </w:p>
        </w:tc>
        <w:tc>
          <w:tcPr>
            <w:tcW w:w="779"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right"/>
              <w:textAlignment w:val="auto"/>
              <w:rPr>
                <w:b/>
                <w:bCs/>
                <w:lang w:val="it-IT"/>
              </w:rPr>
            </w:pPr>
            <w:r>
              <w:rPr>
                <w:b/>
                <w:bCs/>
                <w:lang w:val="it-IT"/>
              </w:rPr>
              <w:t>10</w:t>
            </w:r>
            <w:r w:rsidR="00735AE6">
              <w:rPr>
                <w:b/>
                <w:bCs/>
                <w:lang w:val="it-IT"/>
              </w:rPr>
              <w:t>8</w:t>
            </w:r>
          </w:p>
        </w:tc>
        <w:tc>
          <w:tcPr>
            <w:tcW w:w="283"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center"/>
              <w:textAlignment w:val="auto"/>
              <w:rPr>
                <w:b/>
                <w:bCs/>
                <w:lang w:val="it-IT"/>
              </w:rPr>
            </w:pPr>
            <w:r w:rsidRPr="00DC5A4D">
              <w:rPr>
                <w:b/>
                <w:bCs/>
                <w:lang w:val="it-IT"/>
              </w:rPr>
              <w:t>-</w:t>
            </w:r>
          </w:p>
        </w:tc>
        <w:tc>
          <w:tcPr>
            <w:tcW w:w="764"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textAlignment w:val="auto"/>
              <w:rPr>
                <w:b/>
                <w:bCs/>
                <w:lang w:val="it-IT"/>
              </w:rPr>
            </w:pPr>
            <w:r w:rsidRPr="00DC5A4D">
              <w:rPr>
                <w:b/>
                <w:bCs/>
                <w:lang w:val="it-IT"/>
              </w:rPr>
              <w:t>1</w:t>
            </w:r>
            <w:r w:rsidR="00735AE6">
              <w:rPr>
                <w:b/>
                <w:bCs/>
                <w:lang w:val="it-IT"/>
              </w:rPr>
              <w:t>10</w:t>
            </w:r>
          </w:p>
        </w:tc>
      </w:tr>
      <w:tr w:rsidR="008D09E4" w:rsidRPr="00DC5A4D" w:rsidTr="00621C50">
        <w:trPr>
          <w:trHeight w:val="170"/>
        </w:trPr>
        <w:tc>
          <w:tcPr>
            <w:tcW w:w="8080" w:type="dxa"/>
            <w:tcBorders>
              <w:top w:val="nil"/>
              <w:left w:val="nil"/>
              <w:bottom w:val="single" w:sz="4" w:space="0" w:color="auto"/>
              <w:right w:val="nil"/>
            </w:tcBorders>
            <w:shd w:val="clear" w:color="auto" w:fill="auto"/>
            <w:noWrap/>
            <w:vAlign w:val="bottom"/>
          </w:tcPr>
          <w:p w:rsidR="008D09E4" w:rsidRPr="00DC5A4D" w:rsidRDefault="008D09E4" w:rsidP="0042607B">
            <w:pPr>
              <w:overflowPunct/>
              <w:autoSpaceDE/>
              <w:autoSpaceDN/>
              <w:adjustRightInd/>
              <w:textAlignment w:val="auto"/>
              <w:rPr>
                <w:lang w:val="it-IT"/>
              </w:rPr>
            </w:pPr>
            <w:r w:rsidRPr="00DC5A4D">
              <w:rPr>
                <w:lang w:val="it-IT"/>
              </w:rPr>
              <w:t>Principi contabili e principali assunzioni nelle valutazioni</w:t>
            </w:r>
          </w:p>
        </w:tc>
        <w:tc>
          <w:tcPr>
            <w:tcW w:w="779"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right"/>
              <w:textAlignment w:val="auto"/>
              <w:rPr>
                <w:b/>
                <w:bCs/>
                <w:lang w:val="it-IT"/>
              </w:rPr>
            </w:pPr>
            <w:r>
              <w:rPr>
                <w:b/>
                <w:bCs/>
                <w:lang w:val="it-IT"/>
              </w:rPr>
              <w:t>11</w:t>
            </w:r>
            <w:r w:rsidR="00735AE6">
              <w:rPr>
                <w:b/>
                <w:bCs/>
                <w:lang w:val="it-IT"/>
              </w:rPr>
              <w:t>1</w:t>
            </w:r>
          </w:p>
        </w:tc>
        <w:tc>
          <w:tcPr>
            <w:tcW w:w="283"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center"/>
              <w:textAlignment w:val="auto"/>
              <w:rPr>
                <w:b/>
                <w:bCs/>
                <w:lang w:val="it-IT"/>
              </w:rPr>
            </w:pPr>
            <w:r w:rsidRPr="00DC5A4D">
              <w:rPr>
                <w:b/>
                <w:bCs/>
                <w:lang w:val="it-IT"/>
              </w:rPr>
              <w:t>-</w:t>
            </w:r>
          </w:p>
        </w:tc>
        <w:tc>
          <w:tcPr>
            <w:tcW w:w="764"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textAlignment w:val="auto"/>
              <w:rPr>
                <w:b/>
                <w:bCs/>
                <w:lang w:val="it-IT"/>
              </w:rPr>
            </w:pPr>
            <w:r w:rsidRPr="00DC5A4D">
              <w:rPr>
                <w:b/>
                <w:bCs/>
                <w:lang w:val="it-IT"/>
              </w:rPr>
              <w:t>12</w:t>
            </w:r>
            <w:r w:rsidR="00735AE6">
              <w:rPr>
                <w:b/>
                <w:bCs/>
                <w:lang w:val="it-IT"/>
              </w:rPr>
              <w:t>1</w:t>
            </w:r>
          </w:p>
        </w:tc>
      </w:tr>
      <w:tr w:rsidR="008D09E4" w:rsidRPr="00DC5A4D" w:rsidTr="00621C50">
        <w:trPr>
          <w:trHeight w:val="170"/>
        </w:trPr>
        <w:tc>
          <w:tcPr>
            <w:tcW w:w="8080" w:type="dxa"/>
            <w:tcBorders>
              <w:top w:val="nil"/>
              <w:left w:val="nil"/>
              <w:bottom w:val="single" w:sz="4" w:space="0" w:color="auto"/>
              <w:right w:val="nil"/>
            </w:tcBorders>
            <w:shd w:val="clear" w:color="auto" w:fill="auto"/>
            <w:noWrap/>
            <w:vAlign w:val="bottom"/>
          </w:tcPr>
          <w:p w:rsidR="008D09E4" w:rsidRPr="00DC5A4D" w:rsidRDefault="008D09E4" w:rsidP="0042607B">
            <w:pPr>
              <w:overflowPunct/>
              <w:autoSpaceDE/>
              <w:autoSpaceDN/>
              <w:adjustRightInd/>
              <w:textAlignment w:val="auto"/>
              <w:rPr>
                <w:lang w:val="it-IT"/>
              </w:rPr>
            </w:pPr>
            <w:r w:rsidRPr="00DC5A4D">
              <w:rPr>
                <w:lang w:val="it-IT"/>
              </w:rPr>
              <w:t xml:space="preserve">Aggregazioni aziendali </w:t>
            </w:r>
          </w:p>
        </w:tc>
        <w:tc>
          <w:tcPr>
            <w:tcW w:w="779"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right"/>
              <w:textAlignment w:val="auto"/>
              <w:rPr>
                <w:b/>
                <w:bCs/>
                <w:lang w:val="it-IT"/>
              </w:rPr>
            </w:pPr>
            <w:r w:rsidRPr="00DC5A4D">
              <w:rPr>
                <w:b/>
                <w:bCs/>
                <w:lang w:val="it-IT"/>
              </w:rPr>
              <w:t>12</w:t>
            </w:r>
            <w:r w:rsidR="00735AE6">
              <w:rPr>
                <w:b/>
                <w:bCs/>
                <w:lang w:val="it-IT"/>
              </w:rPr>
              <w:t>2</w:t>
            </w:r>
          </w:p>
        </w:tc>
        <w:tc>
          <w:tcPr>
            <w:tcW w:w="283"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center"/>
              <w:textAlignment w:val="auto"/>
              <w:rPr>
                <w:b/>
                <w:bCs/>
                <w:lang w:val="it-IT"/>
              </w:rPr>
            </w:pPr>
            <w:r w:rsidRPr="00DC5A4D">
              <w:rPr>
                <w:b/>
                <w:bCs/>
                <w:lang w:val="it-IT"/>
              </w:rPr>
              <w:t>-</w:t>
            </w:r>
          </w:p>
        </w:tc>
        <w:tc>
          <w:tcPr>
            <w:tcW w:w="764"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textAlignment w:val="auto"/>
              <w:rPr>
                <w:b/>
                <w:bCs/>
                <w:lang w:val="it-IT"/>
              </w:rPr>
            </w:pPr>
            <w:r w:rsidRPr="00DC5A4D">
              <w:rPr>
                <w:b/>
                <w:bCs/>
                <w:lang w:val="it-IT"/>
              </w:rPr>
              <w:t>14</w:t>
            </w:r>
            <w:r w:rsidR="00742E16">
              <w:rPr>
                <w:b/>
                <w:bCs/>
                <w:lang w:val="it-IT"/>
              </w:rPr>
              <w:t>3</w:t>
            </w:r>
          </w:p>
        </w:tc>
      </w:tr>
      <w:tr w:rsidR="008D09E4" w:rsidRPr="00DC5A4D" w:rsidTr="00621C50">
        <w:trPr>
          <w:trHeight w:val="170"/>
        </w:trPr>
        <w:tc>
          <w:tcPr>
            <w:tcW w:w="8080" w:type="dxa"/>
            <w:tcBorders>
              <w:top w:val="nil"/>
              <w:left w:val="nil"/>
              <w:bottom w:val="single" w:sz="4" w:space="0" w:color="auto"/>
              <w:right w:val="nil"/>
            </w:tcBorders>
            <w:shd w:val="clear" w:color="auto" w:fill="auto"/>
            <w:noWrap/>
            <w:vAlign w:val="bottom"/>
          </w:tcPr>
          <w:p w:rsidR="008D09E4" w:rsidRPr="00DC5A4D" w:rsidRDefault="008D09E4" w:rsidP="0042607B">
            <w:pPr>
              <w:overflowPunct/>
              <w:autoSpaceDE/>
              <w:autoSpaceDN/>
              <w:adjustRightInd/>
              <w:textAlignment w:val="auto"/>
              <w:rPr>
                <w:lang w:val="it-IT"/>
              </w:rPr>
            </w:pPr>
            <w:r w:rsidRPr="00DC5A4D">
              <w:rPr>
                <w:lang w:val="it-IT"/>
              </w:rPr>
              <w:t>Oneri finanziari</w:t>
            </w:r>
          </w:p>
        </w:tc>
        <w:tc>
          <w:tcPr>
            <w:tcW w:w="779"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right"/>
              <w:textAlignment w:val="auto"/>
              <w:rPr>
                <w:b/>
                <w:bCs/>
                <w:lang w:val="it-IT"/>
              </w:rPr>
            </w:pPr>
            <w:r w:rsidRPr="00DC5A4D">
              <w:rPr>
                <w:b/>
                <w:bCs/>
                <w:lang w:val="it-IT"/>
              </w:rPr>
              <w:t>14</w:t>
            </w:r>
            <w:r w:rsidR="00742E16">
              <w:rPr>
                <w:b/>
                <w:bCs/>
                <w:lang w:val="it-IT"/>
              </w:rPr>
              <w:t>4</w:t>
            </w:r>
          </w:p>
        </w:tc>
        <w:tc>
          <w:tcPr>
            <w:tcW w:w="283"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center"/>
              <w:textAlignment w:val="auto"/>
              <w:rPr>
                <w:b/>
                <w:bCs/>
                <w:lang w:val="it-IT"/>
              </w:rPr>
            </w:pPr>
            <w:r w:rsidRPr="00DC5A4D">
              <w:rPr>
                <w:b/>
                <w:bCs/>
                <w:lang w:val="it-IT"/>
              </w:rPr>
              <w:t>-</w:t>
            </w:r>
          </w:p>
        </w:tc>
        <w:tc>
          <w:tcPr>
            <w:tcW w:w="764"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textAlignment w:val="auto"/>
              <w:rPr>
                <w:b/>
                <w:bCs/>
                <w:lang w:val="it-IT"/>
              </w:rPr>
            </w:pPr>
            <w:r w:rsidRPr="00DC5A4D">
              <w:rPr>
                <w:b/>
                <w:bCs/>
                <w:lang w:val="it-IT"/>
              </w:rPr>
              <w:t>14</w:t>
            </w:r>
            <w:r w:rsidR="00742E16">
              <w:rPr>
                <w:b/>
                <w:bCs/>
                <w:lang w:val="it-IT"/>
              </w:rPr>
              <w:t>5</w:t>
            </w:r>
          </w:p>
        </w:tc>
      </w:tr>
      <w:tr w:rsidR="008D09E4" w:rsidRPr="00DC5A4D" w:rsidTr="00621C50">
        <w:trPr>
          <w:trHeight w:val="170"/>
        </w:trPr>
        <w:tc>
          <w:tcPr>
            <w:tcW w:w="8080" w:type="dxa"/>
            <w:tcBorders>
              <w:top w:val="nil"/>
              <w:left w:val="nil"/>
              <w:bottom w:val="single" w:sz="4" w:space="0" w:color="auto"/>
              <w:right w:val="nil"/>
            </w:tcBorders>
            <w:shd w:val="clear" w:color="auto" w:fill="auto"/>
            <w:noWrap/>
            <w:vAlign w:val="bottom"/>
          </w:tcPr>
          <w:p w:rsidR="008D09E4" w:rsidRPr="00DC5A4D" w:rsidRDefault="008D09E4" w:rsidP="0042607B">
            <w:pPr>
              <w:overflowPunct/>
              <w:autoSpaceDE/>
              <w:autoSpaceDN/>
              <w:adjustRightInd/>
              <w:textAlignment w:val="auto"/>
              <w:rPr>
                <w:lang w:val="it-IT"/>
              </w:rPr>
            </w:pPr>
            <w:r w:rsidRPr="00DC5A4D">
              <w:rPr>
                <w:lang w:val="it-IT"/>
              </w:rPr>
              <w:t>Variazione delle stime</w:t>
            </w:r>
          </w:p>
        </w:tc>
        <w:tc>
          <w:tcPr>
            <w:tcW w:w="779"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right"/>
              <w:textAlignment w:val="auto"/>
              <w:rPr>
                <w:b/>
                <w:bCs/>
                <w:lang w:val="it-IT"/>
              </w:rPr>
            </w:pPr>
            <w:r>
              <w:rPr>
                <w:b/>
                <w:bCs/>
                <w:lang w:val="it-IT"/>
              </w:rPr>
              <w:t>14</w:t>
            </w:r>
            <w:r w:rsidR="00742E16">
              <w:rPr>
                <w:b/>
                <w:bCs/>
                <w:lang w:val="it-IT"/>
              </w:rPr>
              <w:t>6</w:t>
            </w:r>
          </w:p>
        </w:tc>
        <w:tc>
          <w:tcPr>
            <w:tcW w:w="283"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center"/>
              <w:textAlignment w:val="auto"/>
              <w:rPr>
                <w:b/>
                <w:bCs/>
                <w:lang w:val="it-IT"/>
              </w:rPr>
            </w:pPr>
            <w:r w:rsidRPr="00DC5A4D">
              <w:rPr>
                <w:b/>
                <w:bCs/>
                <w:lang w:val="it-IT"/>
              </w:rPr>
              <w:t>-</w:t>
            </w:r>
          </w:p>
        </w:tc>
        <w:tc>
          <w:tcPr>
            <w:tcW w:w="764"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textAlignment w:val="auto"/>
              <w:rPr>
                <w:b/>
                <w:bCs/>
                <w:lang w:val="it-IT"/>
              </w:rPr>
            </w:pPr>
            <w:r>
              <w:rPr>
                <w:b/>
                <w:bCs/>
                <w:lang w:val="it-IT"/>
              </w:rPr>
              <w:t>14</w:t>
            </w:r>
            <w:r w:rsidR="00742E16">
              <w:rPr>
                <w:b/>
                <w:bCs/>
                <w:lang w:val="it-IT"/>
              </w:rPr>
              <w:t>6</w:t>
            </w:r>
          </w:p>
        </w:tc>
      </w:tr>
      <w:tr w:rsidR="008D09E4" w:rsidRPr="00A96B6A" w:rsidTr="00621C50">
        <w:trPr>
          <w:trHeight w:val="170"/>
        </w:trPr>
        <w:tc>
          <w:tcPr>
            <w:tcW w:w="8080" w:type="dxa"/>
            <w:tcBorders>
              <w:top w:val="nil"/>
              <w:left w:val="nil"/>
              <w:bottom w:val="single" w:sz="4" w:space="0" w:color="auto"/>
              <w:right w:val="nil"/>
            </w:tcBorders>
            <w:shd w:val="clear" w:color="auto" w:fill="auto"/>
            <w:noWrap/>
            <w:vAlign w:val="bottom"/>
          </w:tcPr>
          <w:p w:rsidR="008D09E4" w:rsidRPr="00A96B6A" w:rsidRDefault="00A96B6A" w:rsidP="009968F5">
            <w:pPr>
              <w:overflowPunct/>
              <w:autoSpaceDE/>
              <w:autoSpaceDN/>
              <w:adjustRightInd/>
              <w:textAlignment w:val="auto"/>
              <w:rPr>
                <w:lang w:val="it-IT"/>
              </w:rPr>
            </w:pPr>
            <w:r>
              <w:rPr>
                <w:lang w:val="it-IT"/>
              </w:rPr>
              <w:t>I</w:t>
            </w:r>
            <w:r w:rsidR="008D09E4" w:rsidRPr="00A96B6A">
              <w:rPr>
                <w:lang w:val="it-IT"/>
              </w:rPr>
              <w:t xml:space="preserve">nformativa sulle partecipazioni in altre entità </w:t>
            </w:r>
          </w:p>
        </w:tc>
        <w:tc>
          <w:tcPr>
            <w:tcW w:w="779" w:type="dxa"/>
            <w:tcBorders>
              <w:top w:val="nil"/>
              <w:left w:val="nil"/>
              <w:bottom w:val="single" w:sz="4" w:space="0" w:color="auto"/>
              <w:right w:val="nil"/>
            </w:tcBorders>
            <w:shd w:val="clear" w:color="auto" w:fill="auto"/>
            <w:noWrap/>
            <w:vAlign w:val="bottom"/>
          </w:tcPr>
          <w:p w:rsidR="008D09E4" w:rsidRPr="00A96B6A" w:rsidRDefault="008D09E4" w:rsidP="009968F5">
            <w:pPr>
              <w:overflowPunct/>
              <w:autoSpaceDE/>
              <w:autoSpaceDN/>
              <w:adjustRightInd/>
              <w:jc w:val="right"/>
              <w:textAlignment w:val="auto"/>
              <w:rPr>
                <w:b/>
                <w:bCs/>
                <w:lang w:val="it-IT"/>
              </w:rPr>
            </w:pPr>
            <w:r w:rsidRPr="00A96B6A">
              <w:rPr>
                <w:b/>
                <w:bCs/>
                <w:lang w:val="it-IT"/>
              </w:rPr>
              <w:t>14</w:t>
            </w:r>
            <w:r w:rsidR="00742E16">
              <w:rPr>
                <w:b/>
                <w:bCs/>
                <w:lang w:val="it-IT"/>
              </w:rPr>
              <w:t>7</w:t>
            </w:r>
          </w:p>
        </w:tc>
        <w:tc>
          <w:tcPr>
            <w:tcW w:w="283" w:type="dxa"/>
            <w:tcBorders>
              <w:top w:val="nil"/>
              <w:left w:val="nil"/>
              <w:bottom w:val="single" w:sz="4" w:space="0" w:color="auto"/>
              <w:right w:val="nil"/>
            </w:tcBorders>
            <w:shd w:val="clear" w:color="auto" w:fill="auto"/>
            <w:noWrap/>
            <w:vAlign w:val="bottom"/>
          </w:tcPr>
          <w:p w:rsidR="008D09E4" w:rsidRPr="00A96B6A" w:rsidRDefault="008D09E4" w:rsidP="009968F5">
            <w:pPr>
              <w:overflowPunct/>
              <w:autoSpaceDE/>
              <w:autoSpaceDN/>
              <w:adjustRightInd/>
              <w:jc w:val="center"/>
              <w:textAlignment w:val="auto"/>
              <w:rPr>
                <w:b/>
                <w:bCs/>
                <w:lang w:val="it-IT"/>
              </w:rPr>
            </w:pPr>
            <w:r w:rsidRPr="00A96B6A">
              <w:rPr>
                <w:b/>
                <w:bCs/>
                <w:lang w:val="it-IT"/>
              </w:rPr>
              <w:t>-</w:t>
            </w:r>
          </w:p>
        </w:tc>
        <w:tc>
          <w:tcPr>
            <w:tcW w:w="764" w:type="dxa"/>
            <w:tcBorders>
              <w:top w:val="nil"/>
              <w:left w:val="nil"/>
              <w:bottom w:val="single" w:sz="4" w:space="0" w:color="auto"/>
              <w:right w:val="nil"/>
            </w:tcBorders>
            <w:shd w:val="clear" w:color="auto" w:fill="auto"/>
            <w:noWrap/>
            <w:vAlign w:val="bottom"/>
          </w:tcPr>
          <w:p w:rsidR="008D09E4" w:rsidRPr="00A96B6A" w:rsidRDefault="008D09E4" w:rsidP="009968F5">
            <w:pPr>
              <w:overflowPunct/>
              <w:autoSpaceDE/>
              <w:autoSpaceDN/>
              <w:adjustRightInd/>
              <w:textAlignment w:val="auto"/>
              <w:rPr>
                <w:b/>
                <w:bCs/>
                <w:lang w:val="it-IT"/>
              </w:rPr>
            </w:pPr>
            <w:r w:rsidRPr="00A96B6A">
              <w:rPr>
                <w:b/>
                <w:bCs/>
                <w:lang w:val="it-IT"/>
              </w:rPr>
              <w:t>17</w:t>
            </w:r>
            <w:r w:rsidR="00742E16">
              <w:rPr>
                <w:b/>
                <w:bCs/>
                <w:lang w:val="it-IT"/>
              </w:rPr>
              <w:t>6</w:t>
            </w:r>
          </w:p>
        </w:tc>
      </w:tr>
      <w:tr w:rsidR="008D09E4" w:rsidRPr="00A96B6A" w:rsidTr="00621C50">
        <w:trPr>
          <w:trHeight w:val="170"/>
        </w:trPr>
        <w:tc>
          <w:tcPr>
            <w:tcW w:w="8080" w:type="dxa"/>
            <w:tcBorders>
              <w:top w:val="nil"/>
              <w:left w:val="nil"/>
              <w:bottom w:val="single" w:sz="4" w:space="0" w:color="auto"/>
              <w:right w:val="nil"/>
            </w:tcBorders>
            <w:shd w:val="clear" w:color="auto" w:fill="auto"/>
            <w:noWrap/>
            <w:vAlign w:val="bottom"/>
          </w:tcPr>
          <w:p w:rsidR="008D09E4" w:rsidRPr="00A96B6A" w:rsidRDefault="008D09E4" w:rsidP="009968F5">
            <w:pPr>
              <w:overflowPunct/>
              <w:autoSpaceDE/>
              <w:autoSpaceDN/>
              <w:adjustRightInd/>
              <w:textAlignment w:val="auto"/>
              <w:rPr>
                <w:lang w:val="it-IT"/>
              </w:rPr>
            </w:pPr>
            <w:r w:rsidRPr="00A47C80">
              <w:rPr>
                <w:lang w:val="it-IT"/>
              </w:rPr>
              <w:t>Bilancio separato</w:t>
            </w:r>
          </w:p>
        </w:tc>
        <w:tc>
          <w:tcPr>
            <w:tcW w:w="779" w:type="dxa"/>
            <w:tcBorders>
              <w:top w:val="nil"/>
              <w:left w:val="nil"/>
              <w:bottom w:val="single" w:sz="4" w:space="0" w:color="auto"/>
              <w:right w:val="nil"/>
            </w:tcBorders>
            <w:shd w:val="clear" w:color="auto" w:fill="auto"/>
            <w:noWrap/>
            <w:vAlign w:val="bottom"/>
          </w:tcPr>
          <w:p w:rsidR="008D09E4" w:rsidRPr="00A96B6A" w:rsidRDefault="008D09E4" w:rsidP="009968F5">
            <w:pPr>
              <w:overflowPunct/>
              <w:autoSpaceDE/>
              <w:autoSpaceDN/>
              <w:adjustRightInd/>
              <w:jc w:val="right"/>
              <w:textAlignment w:val="auto"/>
              <w:rPr>
                <w:b/>
                <w:bCs/>
                <w:lang w:val="it-IT"/>
              </w:rPr>
            </w:pPr>
            <w:r w:rsidRPr="00A96B6A">
              <w:rPr>
                <w:b/>
                <w:bCs/>
                <w:lang w:val="it-IT"/>
              </w:rPr>
              <w:t>17</w:t>
            </w:r>
            <w:r w:rsidR="00254657">
              <w:rPr>
                <w:b/>
                <w:bCs/>
                <w:lang w:val="it-IT"/>
              </w:rPr>
              <w:t>7</w:t>
            </w:r>
          </w:p>
        </w:tc>
        <w:tc>
          <w:tcPr>
            <w:tcW w:w="283" w:type="dxa"/>
            <w:tcBorders>
              <w:top w:val="nil"/>
              <w:left w:val="nil"/>
              <w:bottom w:val="single" w:sz="4" w:space="0" w:color="auto"/>
              <w:right w:val="nil"/>
            </w:tcBorders>
            <w:shd w:val="clear" w:color="auto" w:fill="auto"/>
            <w:noWrap/>
            <w:vAlign w:val="bottom"/>
          </w:tcPr>
          <w:p w:rsidR="008D09E4" w:rsidRPr="00A96B6A" w:rsidRDefault="008D09E4" w:rsidP="009968F5">
            <w:pPr>
              <w:overflowPunct/>
              <w:autoSpaceDE/>
              <w:autoSpaceDN/>
              <w:adjustRightInd/>
              <w:jc w:val="center"/>
              <w:textAlignment w:val="auto"/>
              <w:rPr>
                <w:b/>
                <w:bCs/>
                <w:lang w:val="it-IT"/>
              </w:rPr>
            </w:pPr>
            <w:r w:rsidRPr="00A96B6A">
              <w:rPr>
                <w:b/>
                <w:bCs/>
                <w:lang w:val="it-IT"/>
              </w:rPr>
              <w:t>-</w:t>
            </w:r>
          </w:p>
        </w:tc>
        <w:tc>
          <w:tcPr>
            <w:tcW w:w="764" w:type="dxa"/>
            <w:tcBorders>
              <w:top w:val="nil"/>
              <w:left w:val="nil"/>
              <w:bottom w:val="single" w:sz="4" w:space="0" w:color="auto"/>
              <w:right w:val="nil"/>
            </w:tcBorders>
            <w:shd w:val="clear" w:color="auto" w:fill="auto"/>
            <w:noWrap/>
            <w:vAlign w:val="bottom"/>
          </w:tcPr>
          <w:p w:rsidR="008D09E4" w:rsidRPr="00A96B6A" w:rsidRDefault="008D09E4" w:rsidP="009968F5">
            <w:pPr>
              <w:overflowPunct/>
              <w:autoSpaceDE/>
              <w:autoSpaceDN/>
              <w:adjustRightInd/>
              <w:textAlignment w:val="auto"/>
              <w:rPr>
                <w:b/>
                <w:bCs/>
                <w:lang w:val="it-IT"/>
              </w:rPr>
            </w:pPr>
            <w:r w:rsidRPr="00A96B6A">
              <w:rPr>
                <w:b/>
                <w:bCs/>
                <w:lang w:val="it-IT"/>
              </w:rPr>
              <w:t>1</w:t>
            </w:r>
            <w:r w:rsidR="00DB27CB">
              <w:rPr>
                <w:b/>
                <w:bCs/>
                <w:lang w:val="it-IT"/>
              </w:rPr>
              <w:t>78</w:t>
            </w:r>
          </w:p>
        </w:tc>
      </w:tr>
      <w:tr w:rsidR="008D09E4" w:rsidRPr="00DC5A4D" w:rsidTr="009968F5">
        <w:trPr>
          <w:trHeight w:val="170"/>
        </w:trPr>
        <w:tc>
          <w:tcPr>
            <w:tcW w:w="8080" w:type="dxa"/>
            <w:tcBorders>
              <w:top w:val="nil"/>
              <w:left w:val="nil"/>
              <w:bottom w:val="single" w:sz="4" w:space="0" w:color="auto"/>
              <w:right w:val="nil"/>
            </w:tcBorders>
            <w:shd w:val="clear" w:color="auto" w:fill="auto"/>
            <w:noWrap/>
            <w:vAlign w:val="bottom"/>
          </w:tcPr>
          <w:p w:rsidR="008D09E4" w:rsidRDefault="008D09E4" w:rsidP="00A96B6A">
            <w:pPr>
              <w:overflowPunct/>
              <w:autoSpaceDE/>
              <w:autoSpaceDN/>
              <w:adjustRightInd/>
              <w:textAlignment w:val="auto"/>
              <w:rPr>
                <w:lang w:val="it-IT"/>
              </w:rPr>
            </w:pPr>
            <w:r w:rsidRPr="00355BA7">
              <w:rPr>
                <w:lang w:val="it-IT"/>
              </w:rPr>
              <w:t>Entità d’investimento</w:t>
            </w:r>
          </w:p>
        </w:tc>
        <w:tc>
          <w:tcPr>
            <w:tcW w:w="779"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right"/>
              <w:textAlignment w:val="auto"/>
              <w:rPr>
                <w:b/>
                <w:bCs/>
                <w:lang w:val="it-IT"/>
              </w:rPr>
            </w:pPr>
            <w:r>
              <w:rPr>
                <w:b/>
                <w:bCs/>
                <w:lang w:val="it-IT"/>
              </w:rPr>
              <w:t>1</w:t>
            </w:r>
            <w:r w:rsidR="00DB27CB">
              <w:rPr>
                <w:b/>
                <w:bCs/>
                <w:lang w:val="it-IT"/>
              </w:rPr>
              <w:t>79</w:t>
            </w:r>
          </w:p>
        </w:tc>
        <w:tc>
          <w:tcPr>
            <w:tcW w:w="283" w:type="dxa"/>
            <w:tcBorders>
              <w:top w:val="nil"/>
              <w:left w:val="nil"/>
              <w:bottom w:val="single" w:sz="4" w:space="0" w:color="auto"/>
              <w:right w:val="nil"/>
            </w:tcBorders>
            <w:shd w:val="clear" w:color="auto" w:fill="auto"/>
            <w:noWrap/>
          </w:tcPr>
          <w:p w:rsidR="008D09E4" w:rsidRDefault="008D09E4" w:rsidP="009968F5">
            <w:pPr>
              <w:overflowPunct/>
              <w:autoSpaceDE/>
              <w:autoSpaceDN/>
              <w:adjustRightInd/>
              <w:jc w:val="center"/>
              <w:textAlignment w:val="auto"/>
              <w:rPr>
                <w:b/>
                <w:bCs/>
                <w:lang w:val="it-IT"/>
              </w:rPr>
            </w:pPr>
            <w:r>
              <w:rPr>
                <w:b/>
                <w:bCs/>
                <w:lang w:val="it-IT"/>
              </w:rPr>
              <w:t>-</w:t>
            </w:r>
          </w:p>
        </w:tc>
        <w:tc>
          <w:tcPr>
            <w:tcW w:w="764"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textAlignment w:val="auto"/>
              <w:rPr>
                <w:b/>
                <w:bCs/>
                <w:lang w:val="it-IT"/>
              </w:rPr>
            </w:pPr>
            <w:r>
              <w:rPr>
                <w:b/>
                <w:bCs/>
                <w:lang w:val="it-IT"/>
              </w:rPr>
              <w:t>19</w:t>
            </w:r>
            <w:r w:rsidR="00DB27CB">
              <w:rPr>
                <w:b/>
                <w:bCs/>
                <w:lang w:val="it-IT"/>
              </w:rPr>
              <w:t>1</w:t>
            </w:r>
          </w:p>
        </w:tc>
      </w:tr>
      <w:tr w:rsidR="008D09E4" w:rsidRPr="00DC5A4D" w:rsidTr="00621C50">
        <w:trPr>
          <w:trHeight w:val="170"/>
        </w:trPr>
        <w:tc>
          <w:tcPr>
            <w:tcW w:w="8080" w:type="dxa"/>
            <w:tcBorders>
              <w:top w:val="nil"/>
              <w:left w:val="nil"/>
              <w:bottom w:val="single" w:sz="4" w:space="0" w:color="auto"/>
              <w:right w:val="nil"/>
            </w:tcBorders>
            <w:shd w:val="clear" w:color="auto" w:fill="auto"/>
            <w:noWrap/>
            <w:vAlign w:val="bottom"/>
          </w:tcPr>
          <w:p w:rsidR="008D09E4" w:rsidRPr="00DC5A4D" w:rsidRDefault="008D09E4" w:rsidP="00AE2DAF">
            <w:pPr>
              <w:overflowPunct/>
              <w:autoSpaceDE/>
              <w:autoSpaceDN/>
              <w:adjustRightInd/>
              <w:textAlignment w:val="auto"/>
              <w:rPr>
                <w:lang w:val="it-IT"/>
              </w:rPr>
            </w:pPr>
            <w:r w:rsidRPr="00DC5A4D">
              <w:rPr>
                <w:lang w:val="it-IT"/>
              </w:rPr>
              <w:t>Correzione di errori</w:t>
            </w:r>
          </w:p>
        </w:tc>
        <w:tc>
          <w:tcPr>
            <w:tcW w:w="779"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right"/>
              <w:textAlignment w:val="auto"/>
              <w:rPr>
                <w:b/>
                <w:bCs/>
                <w:lang w:val="it-IT"/>
              </w:rPr>
            </w:pPr>
            <w:r>
              <w:rPr>
                <w:b/>
                <w:bCs/>
                <w:lang w:val="it-IT"/>
              </w:rPr>
              <w:t>19</w:t>
            </w:r>
            <w:r w:rsidR="00DB27CB">
              <w:rPr>
                <w:b/>
                <w:bCs/>
                <w:lang w:val="it-IT"/>
              </w:rPr>
              <w:t>2</w:t>
            </w:r>
          </w:p>
        </w:tc>
        <w:tc>
          <w:tcPr>
            <w:tcW w:w="283"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center"/>
              <w:textAlignment w:val="auto"/>
              <w:rPr>
                <w:b/>
                <w:bCs/>
                <w:lang w:val="it-IT"/>
              </w:rPr>
            </w:pPr>
            <w:r w:rsidRPr="00DC5A4D">
              <w:rPr>
                <w:b/>
                <w:bCs/>
                <w:lang w:val="it-IT"/>
              </w:rPr>
              <w:t>-</w:t>
            </w:r>
          </w:p>
        </w:tc>
        <w:tc>
          <w:tcPr>
            <w:tcW w:w="764"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textAlignment w:val="auto"/>
              <w:rPr>
                <w:b/>
                <w:bCs/>
                <w:lang w:val="it-IT"/>
              </w:rPr>
            </w:pPr>
            <w:r w:rsidRPr="00DC5A4D">
              <w:rPr>
                <w:b/>
                <w:bCs/>
                <w:lang w:val="it-IT"/>
              </w:rPr>
              <w:t>1</w:t>
            </w:r>
            <w:r>
              <w:rPr>
                <w:b/>
                <w:bCs/>
                <w:lang w:val="it-IT"/>
              </w:rPr>
              <w:t>9</w:t>
            </w:r>
            <w:r w:rsidR="00DB27CB">
              <w:rPr>
                <w:b/>
                <w:bCs/>
                <w:lang w:val="it-IT"/>
              </w:rPr>
              <w:t>5</w:t>
            </w:r>
          </w:p>
        </w:tc>
      </w:tr>
      <w:tr w:rsidR="008D09E4" w:rsidRPr="00DC5A4D" w:rsidTr="00621C50">
        <w:trPr>
          <w:trHeight w:val="170"/>
        </w:trPr>
        <w:tc>
          <w:tcPr>
            <w:tcW w:w="8080" w:type="dxa"/>
            <w:tcBorders>
              <w:top w:val="nil"/>
              <w:left w:val="nil"/>
              <w:bottom w:val="single" w:sz="4" w:space="0" w:color="auto"/>
              <w:right w:val="nil"/>
            </w:tcBorders>
            <w:shd w:val="clear" w:color="auto" w:fill="auto"/>
            <w:noWrap/>
            <w:vAlign w:val="bottom"/>
          </w:tcPr>
          <w:p w:rsidR="008D09E4" w:rsidRPr="00DC5A4D" w:rsidRDefault="008D09E4" w:rsidP="0042607B">
            <w:pPr>
              <w:overflowPunct/>
              <w:autoSpaceDE/>
              <w:autoSpaceDN/>
              <w:adjustRightInd/>
              <w:textAlignment w:val="auto"/>
              <w:rPr>
                <w:lang w:val="it-IT"/>
              </w:rPr>
            </w:pPr>
            <w:r w:rsidRPr="00DC5A4D">
              <w:rPr>
                <w:lang w:val="it-IT"/>
              </w:rPr>
              <w:t>Dividendi distribuiti e deliberati</w:t>
            </w:r>
          </w:p>
        </w:tc>
        <w:tc>
          <w:tcPr>
            <w:tcW w:w="779"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right"/>
              <w:textAlignment w:val="auto"/>
              <w:rPr>
                <w:b/>
                <w:bCs/>
                <w:lang w:val="it-IT"/>
              </w:rPr>
            </w:pPr>
            <w:r>
              <w:rPr>
                <w:b/>
                <w:bCs/>
                <w:lang w:val="it-IT"/>
              </w:rPr>
              <w:t>19</w:t>
            </w:r>
            <w:r w:rsidR="00DB27CB">
              <w:rPr>
                <w:b/>
                <w:bCs/>
                <w:lang w:val="it-IT"/>
              </w:rPr>
              <w:t>6</w:t>
            </w:r>
          </w:p>
        </w:tc>
        <w:tc>
          <w:tcPr>
            <w:tcW w:w="283"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center"/>
              <w:textAlignment w:val="auto"/>
              <w:rPr>
                <w:b/>
                <w:bCs/>
                <w:lang w:val="it-IT"/>
              </w:rPr>
            </w:pPr>
            <w:r w:rsidRPr="00DC5A4D">
              <w:rPr>
                <w:b/>
                <w:bCs/>
                <w:lang w:val="it-IT"/>
              </w:rPr>
              <w:t>-</w:t>
            </w:r>
          </w:p>
        </w:tc>
        <w:tc>
          <w:tcPr>
            <w:tcW w:w="764"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textAlignment w:val="auto"/>
              <w:rPr>
                <w:b/>
                <w:bCs/>
                <w:lang w:val="it-IT"/>
              </w:rPr>
            </w:pPr>
            <w:r w:rsidRPr="00DC5A4D">
              <w:rPr>
                <w:b/>
                <w:bCs/>
                <w:lang w:val="it-IT"/>
              </w:rPr>
              <w:t>1</w:t>
            </w:r>
            <w:r>
              <w:rPr>
                <w:b/>
                <w:bCs/>
                <w:lang w:val="it-IT"/>
              </w:rPr>
              <w:t>9</w:t>
            </w:r>
            <w:r w:rsidR="00DB27CB">
              <w:rPr>
                <w:b/>
                <w:bCs/>
                <w:lang w:val="it-IT"/>
              </w:rPr>
              <w:t>6</w:t>
            </w:r>
          </w:p>
        </w:tc>
      </w:tr>
      <w:tr w:rsidR="008D09E4" w:rsidRPr="00DC5A4D" w:rsidTr="00621C50">
        <w:trPr>
          <w:trHeight w:val="170"/>
        </w:trPr>
        <w:tc>
          <w:tcPr>
            <w:tcW w:w="8080" w:type="dxa"/>
            <w:tcBorders>
              <w:top w:val="nil"/>
              <w:left w:val="nil"/>
              <w:bottom w:val="single" w:sz="4" w:space="0" w:color="auto"/>
              <w:right w:val="nil"/>
            </w:tcBorders>
            <w:shd w:val="clear" w:color="auto" w:fill="auto"/>
            <w:noWrap/>
            <w:vAlign w:val="bottom"/>
          </w:tcPr>
          <w:p w:rsidR="008D09E4" w:rsidRPr="00DC5A4D" w:rsidRDefault="008D09E4" w:rsidP="00CB28A1">
            <w:pPr>
              <w:overflowPunct/>
              <w:autoSpaceDE/>
              <w:autoSpaceDN/>
              <w:adjustRightInd/>
              <w:textAlignment w:val="auto"/>
              <w:rPr>
                <w:lang w:val="it-IT"/>
              </w:rPr>
            </w:pPr>
            <w:r w:rsidRPr="00DC5A4D">
              <w:rPr>
                <w:bCs/>
                <w:lang w:val="it-IT"/>
              </w:rPr>
              <w:t>Distribuzione ai soci di attività non rappresentate da disponibilità liquide</w:t>
            </w:r>
          </w:p>
        </w:tc>
        <w:tc>
          <w:tcPr>
            <w:tcW w:w="779"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right"/>
              <w:textAlignment w:val="auto"/>
              <w:rPr>
                <w:b/>
                <w:bCs/>
                <w:lang w:val="it-IT"/>
              </w:rPr>
            </w:pPr>
            <w:r>
              <w:rPr>
                <w:b/>
                <w:bCs/>
                <w:lang w:val="it-IT"/>
              </w:rPr>
              <w:t>19</w:t>
            </w:r>
            <w:r w:rsidR="00DB27CB">
              <w:rPr>
                <w:b/>
                <w:bCs/>
                <w:lang w:val="it-IT"/>
              </w:rPr>
              <w:t>7</w:t>
            </w:r>
          </w:p>
        </w:tc>
        <w:tc>
          <w:tcPr>
            <w:tcW w:w="283"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center"/>
              <w:textAlignment w:val="auto"/>
              <w:rPr>
                <w:b/>
                <w:bCs/>
                <w:lang w:val="it-IT"/>
              </w:rPr>
            </w:pPr>
            <w:r w:rsidRPr="00DC5A4D">
              <w:rPr>
                <w:b/>
                <w:bCs/>
                <w:lang w:val="it-IT"/>
              </w:rPr>
              <w:t>-</w:t>
            </w:r>
          </w:p>
        </w:tc>
        <w:tc>
          <w:tcPr>
            <w:tcW w:w="764" w:type="dxa"/>
            <w:tcBorders>
              <w:top w:val="nil"/>
              <w:left w:val="nil"/>
              <w:bottom w:val="single" w:sz="4" w:space="0" w:color="auto"/>
              <w:right w:val="nil"/>
            </w:tcBorders>
            <w:shd w:val="clear" w:color="auto" w:fill="auto"/>
            <w:noWrap/>
            <w:vAlign w:val="bottom"/>
          </w:tcPr>
          <w:p w:rsidR="008D09E4" w:rsidRPr="00DC5A4D" w:rsidRDefault="00DB27CB" w:rsidP="009968F5">
            <w:pPr>
              <w:overflowPunct/>
              <w:autoSpaceDE/>
              <w:autoSpaceDN/>
              <w:adjustRightInd/>
              <w:textAlignment w:val="auto"/>
              <w:rPr>
                <w:b/>
                <w:bCs/>
                <w:lang w:val="it-IT"/>
              </w:rPr>
            </w:pPr>
            <w:r>
              <w:rPr>
                <w:b/>
                <w:bCs/>
                <w:lang w:val="it-IT"/>
              </w:rPr>
              <w:t>199</w:t>
            </w:r>
          </w:p>
        </w:tc>
      </w:tr>
      <w:tr w:rsidR="008D09E4" w:rsidRPr="00DC5A4D" w:rsidTr="00621C50">
        <w:trPr>
          <w:trHeight w:val="170"/>
        </w:trPr>
        <w:tc>
          <w:tcPr>
            <w:tcW w:w="8080" w:type="dxa"/>
            <w:tcBorders>
              <w:top w:val="nil"/>
              <w:left w:val="nil"/>
              <w:bottom w:val="single" w:sz="4" w:space="0" w:color="auto"/>
              <w:right w:val="nil"/>
            </w:tcBorders>
            <w:shd w:val="clear" w:color="auto" w:fill="auto"/>
            <w:noWrap/>
            <w:vAlign w:val="bottom"/>
          </w:tcPr>
          <w:p w:rsidR="008D09E4" w:rsidRPr="00DC5A4D" w:rsidRDefault="008D09E4" w:rsidP="0042607B">
            <w:pPr>
              <w:overflowPunct/>
              <w:autoSpaceDE/>
              <w:autoSpaceDN/>
              <w:adjustRightInd/>
              <w:textAlignment w:val="auto"/>
              <w:rPr>
                <w:lang w:val="it-IT"/>
              </w:rPr>
            </w:pPr>
            <w:r w:rsidRPr="00DC5A4D">
              <w:rPr>
                <w:lang w:val="it-IT"/>
              </w:rPr>
              <w:t>Benefici per i dipendenti</w:t>
            </w:r>
          </w:p>
        </w:tc>
        <w:tc>
          <w:tcPr>
            <w:tcW w:w="779"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right"/>
              <w:textAlignment w:val="auto"/>
              <w:rPr>
                <w:b/>
                <w:bCs/>
                <w:lang w:val="it-IT"/>
              </w:rPr>
            </w:pPr>
            <w:r>
              <w:rPr>
                <w:b/>
                <w:bCs/>
                <w:lang w:val="it-IT"/>
              </w:rPr>
              <w:t>20</w:t>
            </w:r>
            <w:r w:rsidR="00DB27CB">
              <w:rPr>
                <w:b/>
                <w:bCs/>
                <w:lang w:val="it-IT"/>
              </w:rPr>
              <w:t>0</w:t>
            </w:r>
          </w:p>
        </w:tc>
        <w:tc>
          <w:tcPr>
            <w:tcW w:w="283"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center"/>
              <w:textAlignment w:val="auto"/>
              <w:rPr>
                <w:b/>
                <w:bCs/>
                <w:lang w:val="it-IT"/>
              </w:rPr>
            </w:pPr>
            <w:r w:rsidRPr="00DC5A4D">
              <w:rPr>
                <w:b/>
                <w:bCs/>
                <w:lang w:val="it-IT"/>
              </w:rPr>
              <w:t>-</w:t>
            </w:r>
          </w:p>
        </w:tc>
        <w:tc>
          <w:tcPr>
            <w:tcW w:w="764"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textAlignment w:val="auto"/>
              <w:rPr>
                <w:b/>
                <w:bCs/>
                <w:lang w:val="it-IT"/>
              </w:rPr>
            </w:pPr>
            <w:r>
              <w:rPr>
                <w:b/>
                <w:bCs/>
                <w:lang w:val="it-IT"/>
              </w:rPr>
              <w:t>21</w:t>
            </w:r>
            <w:r w:rsidR="00DB27CB">
              <w:rPr>
                <w:b/>
                <w:bCs/>
                <w:lang w:val="it-IT"/>
              </w:rPr>
              <w:t>4</w:t>
            </w:r>
          </w:p>
        </w:tc>
      </w:tr>
      <w:tr w:rsidR="008D09E4" w:rsidRPr="00DC5A4D" w:rsidTr="00621C50">
        <w:trPr>
          <w:trHeight w:val="170"/>
        </w:trPr>
        <w:tc>
          <w:tcPr>
            <w:tcW w:w="8080" w:type="dxa"/>
            <w:tcBorders>
              <w:top w:val="nil"/>
              <w:left w:val="nil"/>
              <w:bottom w:val="single" w:sz="4" w:space="0" w:color="auto"/>
              <w:right w:val="nil"/>
            </w:tcBorders>
            <w:shd w:val="clear" w:color="auto" w:fill="auto"/>
            <w:noWrap/>
            <w:vAlign w:val="bottom"/>
          </w:tcPr>
          <w:p w:rsidR="008D09E4" w:rsidRPr="00DC5A4D" w:rsidRDefault="008D09E4" w:rsidP="0042607B">
            <w:pPr>
              <w:overflowPunct/>
              <w:autoSpaceDE/>
              <w:autoSpaceDN/>
              <w:adjustRightInd/>
              <w:textAlignment w:val="auto"/>
              <w:rPr>
                <w:lang w:val="it-IT"/>
              </w:rPr>
            </w:pPr>
            <w:r w:rsidRPr="00DC5A4D">
              <w:rPr>
                <w:lang w:val="it-IT"/>
              </w:rPr>
              <w:t>Patrimonio netto</w:t>
            </w:r>
          </w:p>
        </w:tc>
        <w:tc>
          <w:tcPr>
            <w:tcW w:w="779"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right"/>
              <w:textAlignment w:val="auto"/>
              <w:rPr>
                <w:b/>
                <w:bCs/>
                <w:lang w:val="it-IT"/>
              </w:rPr>
            </w:pPr>
            <w:r>
              <w:rPr>
                <w:b/>
                <w:bCs/>
                <w:lang w:val="it-IT"/>
              </w:rPr>
              <w:t>21</w:t>
            </w:r>
            <w:r w:rsidR="00DB27CB">
              <w:rPr>
                <w:b/>
                <w:bCs/>
                <w:lang w:val="it-IT"/>
              </w:rPr>
              <w:t>5</w:t>
            </w:r>
          </w:p>
        </w:tc>
        <w:tc>
          <w:tcPr>
            <w:tcW w:w="283"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center"/>
              <w:textAlignment w:val="auto"/>
              <w:rPr>
                <w:b/>
                <w:bCs/>
                <w:lang w:val="it-IT"/>
              </w:rPr>
            </w:pPr>
            <w:r w:rsidRPr="00DC5A4D">
              <w:rPr>
                <w:b/>
                <w:bCs/>
                <w:lang w:val="it-IT"/>
              </w:rPr>
              <w:t>-</w:t>
            </w:r>
          </w:p>
        </w:tc>
        <w:tc>
          <w:tcPr>
            <w:tcW w:w="764"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textAlignment w:val="auto"/>
              <w:rPr>
                <w:b/>
                <w:bCs/>
                <w:lang w:val="it-IT"/>
              </w:rPr>
            </w:pPr>
            <w:r>
              <w:rPr>
                <w:b/>
                <w:bCs/>
                <w:lang w:val="it-IT"/>
              </w:rPr>
              <w:t>2</w:t>
            </w:r>
            <w:r w:rsidR="00DB27CB">
              <w:rPr>
                <w:b/>
                <w:bCs/>
                <w:lang w:val="it-IT"/>
              </w:rPr>
              <w:t>18</w:t>
            </w:r>
          </w:p>
        </w:tc>
      </w:tr>
      <w:tr w:rsidR="008D09E4" w:rsidRPr="00DC5A4D" w:rsidTr="00621C50">
        <w:trPr>
          <w:trHeight w:val="170"/>
        </w:trPr>
        <w:tc>
          <w:tcPr>
            <w:tcW w:w="8080" w:type="dxa"/>
            <w:tcBorders>
              <w:top w:val="nil"/>
              <w:left w:val="nil"/>
              <w:bottom w:val="single" w:sz="4" w:space="0" w:color="auto"/>
              <w:right w:val="nil"/>
            </w:tcBorders>
            <w:shd w:val="clear" w:color="auto" w:fill="auto"/>
            <w:noWrap/>
            <w:vAlign w:val="bottom"/>
          </w:tcPr>
          <w:p w:rsidR="008D09E4" w:rsidRPr="00DC5A4D" w:rsidRDefault="008D09E4" w:rsidP="00D10ED3">
            <w:pPr>
              <w:overflowPunct/>
              <w:autoSpaceDE/>
              <w:autoSpaceDN/>
              <w:adjustRightInd/>
              <w:textAlignment w:val="auto"/>
              <w:rPr>
                <w:lang w:val="it-IT"/>
              </w:rPr>
            </w:pPr>
            <w:r w:rsidRPr="00DC5A4D">
              <w:rPr>
                <w:lang w:val="it-IT"/>
              </w:rPr>
              <w:t>Eventi successivi alla chiusura dell’esercizio</w:t>
            </w:r>
          </w:p>
        </w:tc>
        <w:tc>
          <w:tcPr>
            <w:tcW w:w="779"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right"/>
              <w:textAlignment w:val="auto"/>
              <w:rPr>
                <w:b/>
                <w:bCs/>
                <w:lang w:val="it-IT"/>
              </w:rPr>
            </w:pPr>
            <w:r>
              <w:rPr>
                <w:b/>
                <w:bCs/>
                <w:lang w:val="it-IT"/>
              </w:rPr>
              <w:t>2</w:t>
            </w:r>
            <w:r w:rsidR="00DB27CB">
              <w:rPr>
                <w:b/>
                <w:bCs/>
                <w:lang w:val="it-IT"/>
              </w:rPr>
              <w:t>19</w:t>
            </w:r>
          </w:p>
        </w:tc>
        <w:tc>
          <w:tcPr>
            <w:tcW w:w="283"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center"/>
              <w:textAlignment w:val="auto"/>
              <w:rPr>
                <w:b/>
                <w:bCs/>
                <w:lang w:val="it-IT"/>
              </w:rPr>
            </w:pPr>
            <w:r w:rsidRPr="00DC5A4D">
              <w:rPr>
                <w:b/>
                <w:bCs/>
                <w:lang w:val="it-IT"/>
              </w:rPr>
              <w:t>-</w:t>
            </w:r>
          </w:p>
        </w:tc>
        <w:tc>
          <w:tcPr>
            <w:tcW w:w="764"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textAlignment w:val="auto"/>
              <w:rPr>
                <w:b/>
                <w:bCs/>
                <w:lang w:val="it-IT"/>
              </w:rPr>
            </w:pPr>
            <w:r>
              <w:rPr>
                <w:b/>
                <w:bCs/>
                <w:lang w:val="it-IT"/>
              </w:rPr>
              <w:t>22</w:t>
            </w:r>
            <w:r w:rsidR="00DB27CB">
              <w:rPr>
                <w:b/>
                <w:bCs/>
                <w:lang w:val="it-IT"/>
              </w:rPr>
              <w:t>0</w:t>
            </w:r>
          </w:p>
        </w:tc>
      </w:tr>
      <w:tr w:rsidR="008D09E4" w:rsidRPr="00DC5A4D" w:rsidTr="00621C50">
        <w:trPr>
          <w:trHeight w:val="170"/>
        </w:trPr>
        <w:tc>
          <w:tcPr>
            <w:tcW w:w="8080" w:type="dxa"/>
            <w:tcBorders>
              <w:top w:val="nil"/>
              <w:left w:val="nil"/>
              <w:bottom w:val="single" w:sz="4" w:space="0" w:color="auto"/>
              <w:right w:val="nil"/>
            </w:tcBorders>
            <w:shd w:val="clear" w:color="auto" w:fill="auto"/>
            <w:noWrap/>
            <w:vAlign w:val="bottom"/>
          </w:tcPr>
          <w:p w:rsidR="008D09E4" w:rsidRPr="00DC5A4D" w:rsidRDefault="008D09E4" w:rsidP="0042607B">
            <w:pPr>
              <w:overflowPunct/>
              <w:autoSpaceDE/>
              <w:autoSpaceDN/>
              <w:adjustRightInd/>
              <w:textAlignment w:val="auto"/>
              <w:rPr>
                <w:lang w:val="it-IT"/>
              </w:rPr>
            </w:pPr>
            <w:r>
              <w:rPr>
                <w:lang w:val="it-IT"/>
              </w:rPr>
              <w:t xml:space="preserve">Valutazione del </w:t>
            </w:r>
            <w:r w:rsidRPr="004F522B">
              <w:rPr>
                <w:i/>
                <w:lang w:val="it-IT"/>
              </w:rPr>
              <w:t>fair value</w:t>
            </w:r>
          </w:p>
        </w:tc>
        <w:tc>
          <w:tcPr>
            <w:tcW w:w="779"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right"/>
              <w:textAlignment w:val="auto"/>
              <w:rPr>
                <w:b/>
                <w:bCs/>
                <w:lang w:val="it-IT"/>
              </w:rPr>
            </w:pPr>
            <w:r>
              <w:rPr>
                <w:b/>
                <w:bCs/>
                <w:lang w:val="it-IT"/>
              </w:rPr>
              <w:t>22</w:t>
            </w:r>
            <w:r w:rsidR="00DB27CB">
              <w:rPr>
                <w:b/>
                <w:bCs/>
                <w:lang w:val="it-IT"/>
              </w:rPr>
              <w:t>1</w:t>
            </w:r>
          </w:p>
        </w:tc>
        <w:tc>
          <w:tcPr>
            <w:tcW w:w="283"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center"/>
              <w:textAlignment w:val="auto"/>
              <w:rPr>
                <w:b/>
                <w:bCs/>
                <w:lang w:val="it-IT"/>
              </w:rPr>
            </w:pPr>
            <w:r w:rsidRPr="00DC5A4D">
              <w:rPr>
                <w:b/>
                <w:bCs/>
                <w:lang w:val="it-IT"/>
              </w:rPr>
              <w:t>-</w:t>
            </w:r>
          </w:p>
        </w:tc>
        <w:tc>
          <w:tcPr>
            <w:tcW w:w="764"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textAlignment w:val="auto"/>
              <w:rPr>
                <w:b/>
                <w:bCs/>
                <w:lang w:val="it-IT"/>
              </w:rPr>
            </w:pPr>
            <w:r>
              <w:rPr>
                <w:b/>
                <w:bCs/>
                <w:lang w:val="it-IT"/>
              </w:rPr>
              <w:t>2</w:t>
            </w:r>
            <w:r w:rsidR="00DB27CB">
              <w:rPr>
                <w:b/>
                <w:bCs/>
                <w:lang w:val="it-IT"/>
              </w:rPr>
              <w:t>29</w:t>
            </w:r>
          </w:p>
        </w:tc>
      </w:tr>
      <w:tr w:rsidR="008D09E4" w:rsidRPr="00DC5A4D" w:rsidTr="00621C50">
        <w:trPr>
          <w:trHeight w:val="170"/>
        </w:trPr>
        <w:tc>
          <w:tcPr>
            <w:tcW w:w="8080" w:type="dxa"/>
            <w:tcBorders>
              <w:top w:val="nil"/>
              <w:left w:val="nil"/>
              <w:bottom w:val="single" w:sz="4" w:space="0" w:color="auto"/>
              <w:right w:val="nil"/>
            </w:tcBorders>
            <w:shd w:val="clear" w:color="auto" w:fill="auto"/>
            <w:noWrap/>
            <w:vAlign w:val="bottom"/>
          </w:tcPr>
          <w:p w:rsidR="008D09E4" w:rsidRPr="00DC5A4D" w:rsidRDefault="008D09E4" w:rsidP="0042607B">
            <w:pPr>
              <w:overflowPunct/>
              <w:autoSpaceDE/>
              <w:autoSpaceDN/>
              <w:adjustRightInd/>
              <w:textAlignment w:val="auto"/>
              <w:rPr>
                <w:lang w:val="it-IT"/>
              </w:rPr>
            </w:pPr>
            <w:r w:rsidRPr="00DC5A4D">
              <w:rPr>
                <w:lang w:val="it-IT"/>
              </w:rPr>
              <w:t>Strumenti finanziari</w:t>
            </w:r>
          </w:p>
        </w:tc>
        <w:tc>
          <w:tcPr>
            <w:tcW w:w="779"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right"/>
              <w:textAlignment w:val="auto"/>
              <w:rPr>
                <w:b/>
                <w:bCs/>
                <w:lang w:val="it-IT"/>
              </w:rPr>
            </w:pPr>
            <w:r>
              <w:rPr>
                <w:b/>
                <w:bCs/>
                <w:lang w:val="it-IT"/>
              </w:rPr>
              <w:t>23</w:t>
            </w:r>
            <w:r w:rsidR="00DB27CB">
              <w:rPr>
                <w:b/>
                <w:bCs/>
                <w:lang w:val="it-IT"/>
              </w:rPr>
              <w:t>0</w:t>
            </w:r>
          </w:p>
        </w:tc>
        <w:tc>
          <w:tcPr>
            <w:tcW w:w="283"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center"/>
              <w:textAlignment w:val="auto"/>
              <w:rPr>
                <w:b/>
                <w:bCs/>
                <w:lang w:val="it-IT"/>
              </w:rPr>
            </w:pPr>
            <w:r w:rsidRPr="00DC5A4D">
              <w:rPr>
                <w:b/>
                <w:bCs/>
                <w:lang w:val="it-IT"/>
              </w:rPr>
              <w:t>-</w:t>
            </w:r>
          </w:p>
        </w:tc>
        <w:tc>
          <w:tcPr>
            <w:tcW w:w="764"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textAlignment w:val="auto"/>
              <w:rPr>
                <w:b/>
                <w:bCs/>
                <w:lang w:val="it-IT"/>
              </w:rPr>
            </w:pPr>
            <w:r>
              <w:rPr>
                <w:b/>
                <w:bCs/>
                <w:lang w:val="it-IT"/>
              </w:rPr>
              <w:t>29</w:t>
            </w:r>
            <w:r w:rsidR="00DB27CB">
              <w:rPr>
                <w:b/>
                <w:bCs/>
                <w:lang w:val="it-IT"/>
              </w:rPr>
              <w:t>2</w:t>
            </w:r>
          </w:p>
        </w:tc>
      </w:tr>
      <w:tr w:rsidR="008D09E4" w:rsidRPr="00DC5A4D" w:rsidTr="00621C50">
        <w:trPr>
          <w:trHeight w:val="170"/>
        </w:trPr>
        <w:tc>
          <w:tcPr>
            <w:tcW w:w="8080" w:type="dxa"/>
            <w:tcBorders>
              <w:top w:val="nil"/>
              <w:left w:val="nil"/>
              <w:bottom w:val="single" w:sz="4" w:space="0" w:color="auto"/>
              <w:right w:val="nil"/>
            </w:tcBorders>
            <w:shd w:val="clear" w:color="auto" w:fill="auto"/>
            <w:noWrap/>
            <w:vAlign w:val="bottom"/>
          </w:tcPr>
          <w:p w:rsidR="008D09E4" w:rsidRPr="00DC5A4D" w:rsidRDefault="008D09E4" w:rsidP="0042607B">
            <w:pPr>
              <w:overflowPunct/>
              <w:autoSpaceDE/>
              <w:autoSpaceDN/>
              <w:adjustRightInd/>
              <w:textAlignment w:val="auto"/>
              <w:rPr>
                <w:lang w:val="it-IT"/>
              </w:rPr>
            </w:pPr>
            <w:r w:rsidRPr="00DC5A4D">
              <w:rPr>
                <w:lang w:val="it-IT"/>
              </w:rPr>
              <w:t>Operazioni in valuta</w:t>
            </w:r>
          </w:p>
        </w:tc>
        <w:tc>
          <w:tcPr>
            <w:tcW w:w="779"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right"/>
              <w:textAlignment w:val="auto"/>
              <w:rPr>
                <w:b/>
                <w:bCs/>
                <w:lang w:val="it-IT"/>
              </w:rPr>
            </w:pPr>
            <w:r>
              <w:rPr>
                <w:b/>
                <w:bCs/>
                <w:lang w:val="it-IT"/>
              </w:rPr>
              <w:t>29</w:t>
            </w:r>
            <w:r w:rsidR="00DB27CB">
              <w:rPr>
                <w:b/>
                <w:bCs/>
                <w:lang w:val="it-IT"/>
              </w:rPr>
              <w:t>3</w:t>
            </w:r>
          </w:p>
        </w:tc>
        <w:tc>
          <w:tcPr>
            <w:tcW w:w="283"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center"/>
              <w:textAlignment w:val="auto"/>
              <w:rPr>
                <w:b/>
                <w:bCs/>
                <w:lang w:val="it-IT"/>
              </w:rPr>
            </w:pPr>
            <w:r w:rsidRPr="00DC5A4D">
              <w:rPr>
                <w:b/>
                <w:bCs/>
                <w:lang w:val="it-IT"/>
              </w:rPr>
              <w:t>-</w:t>
            </w:r>
          </w:p>
        </w:tc>
        <w:tc>
          <w:tcPr>
            <w:tcW w:w="764" w:type="dxa"/>
            <w:tcBorders>
              <w:top w:val="nil"/>
              <w:left w:val="nil"/>
              <w:bottom w:val="single" w:sz="4" w:space="0" w:color="auto"/>
              <w:right w:val="nil"/>
            </w:tcBorders>
            <w:shd w:val="clear" w:color="auto" w:fill="auto"/>
            <w:noWrap/>
            <w:vAlign w:val="bottom"/>
          </w:tcPr>
          <w:p w:rsidR="008D09E4" w:rsidRPr="00DC5A4D" w:rsidRDefault="00DB27CB" w:rsidP="009968F5">
            <w:pPr>
              <w:overflowPunct/>
              <w:autoSpaceDE/>
              <w:autoSpaceDN/>
              <w:adjustRightInd/>
              <w:textAlignment w:val="auto"/>
              <w:rPr>
                <w:b/>
                <w:bCs/>
                <w:lang w:val="it-IT"/>
              </w:rPr>
            </w:pPr>
            <w:r>
              <w:rPr>
                <w:b/>
                <w:bCs/>
                <w:lang w:val="it-IT"/>
              </w:rPr>
              <w:t>297</w:t>
            </w:r>
          </w:p>
        </w:tc>
      </w:tr>
      <w:tr w:rsidR="008D09E4" w:rsidRPr="00DC5A4D" w:rsidTr="00621C50">
        <w:trPr>
          <w:trHeight w:val="170"/>
        </w:trPr>
        <w:tc>
          <w:tcPr>
            <w:tcW w:w="8080" w:type="dxa"/>
            <w:tcBorders>
              <w:top w:val="nil"/>
              <w:left w:val="nil"/>
              <w:bottom w:val="single" w:sz="4" w:space="0" w:color="auto"/>
              <w:right w:val="nil"/>
            </w:tcBorders>
            <w:shd w:val="clear" w:color="auto" w:fill="auto"/>
            <w:noWrap/>
            <w:vAlign w:val="bottom"/>
          </w:tcPr>
          <w:p w:rsidR="008D09E4" w:rsidRPr="00DC5A4D" w:rsidRDefault="008D09E4" w:rsidP="0042607B">
            <w:pPr>
              <w:overflowPunct/>
              <w:autoSpaceDE/>
              <w:autoSpaceDN/>
              <w:adjustRightInd/>
              <w:textAlignment w:val="auto"/>
              <w:rPr>
                <w:lang w:val="it-IT"/>
              </w:rPr>
            </w:pPr>
            <w:r w:rsidRPr="00DC5A4D">
              <w:rPr>
                <w:lang w:val="it-IT"/>
              </w:rPr>
              <w:t>Informativa sull’ultimo trimestre</w:t>
            </w:r>
          </w:p>
        </w:tc>
        <w:tc>
          <w:tcPr>
            <w:tcW w:w="779" w:type="dxa"/>
            <w:tcBorders>
              <w:top w:val="nil"/>
              <w:left w:val="nil"/>
              <w:bottom w:val="single" w:sz="4" w:space="0" w:color="auto"/>
              <w:right w:val="nil"/>
            </w:tcBorders>
            <w:shd w:val="clear" w:color="auto" w:fill="auto"/>
            <w:noWrap/>
            <w:vAlign w:val="bottom"/>
          </w:tcPr>
          <w:p w:rsidR="008D09E4" w:rsidRPr="00DC5A4D" w:rsidRDefault="00DB27CB" w:rsidP="009968F5">
            <w:pPr>
              <w:overflowPunct/>
              <w:autoSpaceDE/>
              <w:autoSpaceDN/>
              <w:adjustRightInd/>
              <w:jc w:val="right"/>
              <w:textAlignment w:val="auto"/>
              <w:rPr>
                <w:b/>
                <w:bCs/>
                <w:lang w:val="it-IT"/>
              </w:rPr>
            </w:pPr>
            <w:r>
              <w:rPr>
                <w:b/>
                <w:bCs/>
                <w:lang w:val="it-IT"/>
              </w:rPr>
              <w:t>298</w:t>
            </w:r>
          </w:p>
        </w:tc>
        <w:tc>
          <w:tcPr>
            <w:tcW w:w="283"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center"/>
              <w:textAlignment w:val="auto"/>
              <w:rPr>
                <w:b/>
                <w:bCs/>
                <w:lang w:val="it-IT"/>
              </w:rPr>
            </w:pPr>
            <w:r w:rsidRPr="00DC5A4D">
              <w:rPr>
                <w:b/>
                <w:bCs/>
                <w:lang w:val="it-IT"/>
              </w:rPr>
              <w:t>-</w:t>
            </w:r>
          </w:p>
        </w:tc>
        <w:tc>
          <w:tcPr>
            <w:tcW w:w="764" w:type="dxa"/>
            <w:tcBorders>
              <w:top w:val="nil"/>
              <w:left w:val="nil"/>
              <w:bottom w:val="single" w:sz="4" w:space="0" w:color="auto"/>
              <w:right w:val="nil"/>
            </w:tcBorders>
            <w:shd w:val="clear" w:color="auto" w:fill="auto"/>
            <w:noWrap/>
            <w:vAlign w:val="bottom"/>
          </w:tcPr>
          <w:p w:rsidR="008D09E4" w:rsidRPr="00DC5A4D" w:rsidRDefault="00DB27CB" w:rsidP="009968F5">
            <w:pPr>
              <w:overflowPunct/>
              <w:autoSpaceDE/>
              <w:autoSpaceDN/>
              <w:adjustRightInd/>
              <w:textAlignment w:val="auto"/>
              <w:rPr>
                <w:b/>
                <w:bCs/>
                <w:lang w:val="it-IT"/>
              </w:rPr>
            </w:pPr>
            <w:r>
              <w:rPr>
                <w:b/>
                <w:bCs/>
                <w:lang w:val="it-IT"/>
              </w:rPr>
              <w:t>298</w:t>
            </w:r>
          </w:p>
        </w:tc>
      </w:tr>
      <w:tr w:rsidR="008D09E4" w:rsidRPr="00DC5A4D" w:rsidTr="00621C50">
        <w:trPr>
          <w:trHeight w:val="170"/>
        </w:trPr>
        <w:tc>
          <w:tcPr>
            <w:tcW w:w="8080" w:type="dxa"/>
            <w:tcBorders>
              <w:top w:val="nil"/>
              <w:left w:val="nil"/>
              <w:bottom w:val="single" w:sz="4" w:space="0" w:color="auto"/>
              <w:right w:val="nil"/>
            </w:tcBorders>
            <w:shd w:val="clear" w:color="auto" w:fill="auto"/>
            <w:noWrap/>
            <w:vAlign w:val="bottom"/>
          </w:tcPr>
          <w:p w:rsidR="008D09E4" w:rsidRPr="00DC5A4D" w:rsidRDefault="008D09E4" w:rsidP="0042607B">
            <w:pPr>
              <w:overflowPunct/>
              <w:autoSpaceDE/>
              <w:autoSpaceDN/>
              <w:adjustRightInd/>
              <w:textAlignment w:val="auto"/>
              <w:rPr>
                <w:lang w:val="it-IT"/>
              </w:rPr>
            </w:pPr>
            <w:r w:rsidRPr="00DC5A4D">
              <w:rPr>
                <w:lang w:val="it-IT"/>
              </w:rPr>
              <w:t>Contributi governativi</w:t>
            </w:r>
          </w:p>
        </w:tc>
        <w:tc>
          <w:tcPr>
            <w:tcW w:w="779" w:type="dxa"/>
            <w:tcBorders>
              <w:top w:val="nil"/>
              <w:left w:val="nil"/>
              <w:bottom w:val="single" w:sz="4" w:space="0" w:color="auto"/>
              <w:right w:val="nil"/>
            </w:tcBorders>
            <w:shd w:val="clear" w:color="auto" w:fill="auto"/>
            <w:noWrap/>
            <w:vAlign w:val="bottom"/>
          </w:tcPr>
          <w:p w:rsidR="008D09E4" w:rsidRPr="00DC5A4D" w:rsidRDefault="00DB27CB" w:rsidP="009968F5">
            <w:pPr>
              <w:overflowPunct/>
              <w:autoSpaceDE/>
              <w:autoSpaceDN/>
              <w:adjustRightInd/>
              <w:jc w:val="right"/>
              <w:textAlignment w:val="auto"/>
              <w:rPr>
                <w:b/>
                <w:bCs/>
                <w:lang w:val="it-IT"/>
              </w:rPr>
            </w:pPr>
            <w:r>
              <w:rPr>
                <w:b/>
                <w:bCs/>
                <w:lang w:val="it-IT"/>
              </w:rPr>
              <w:t>299</w:t>
            </w:r>
          </w:p>
        </w:tc>
        <w:tc>
          <w:tcPr>
            <w:tcW w:w="283"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center"/>
              <w:textAlignment w:val="auto"/>
              <w:rPr>
                <w:b/>
                <w:bCs/>
                <w:lang w:val="it-IT"/>
              </w:rPr>
            </w:pPr>
            <w:r w:rsidRPr="00DC5A4D">
              <w:rPr>
                <w:b/>
                <w:bCs/>
                <w:lang w:val="it-IT"/>
              </w:rPr>
              <w:t>-</w:t>
            </w:r>
          </w:p>
        </w:tc>
        <w:tc>
          <w:tcPr>
            <w:tcW w:w="764" w:type="dxa"/>
            <w:tcBorders>
              <w:top w:val="nil"/>
              <w:left w:val="nil"/>
              <w:bottom w:val="single" w:sz="4" w:space="0" w:color="auto"/>
              <w:right w:val="nil"/>
            </w:tcBorders>
            <w:shd w:val="clear" w:color="auto" w:fill="auto"/>
            <w:noWrap/>
            <w:vAlign w:val="bottom"/>
          </w:tcPr>
          <w:p w:rsidR="008D09E4" w:rsidRPr="00DC5A4D" w:rsidRDefault="00DB27CB" w:rsidP="009968F5">
            <w:pPr>
              <w:overflowPunct/>
              <w:autoSpaceDE/>
              <w:autoSpaceDN/>
              <w:adjustRightInd/>
              <w:textAlignment w:val="auto"/>
              <w:rPr>
                <w:b/>
                <w:bCs/>
                <w:lang w:val="it-IT"/>
              </w:rPr>
            </w:pPr>
            <w:r>
              <w:rPr>
                <w:b/>
                <w:bCs/>
                <w:lang w:val="it-IT"/>
              </w:rPr>
              <w:t>299</w:t>
            </w:r>
          </w:p>
        </w:tc>
      </w:tr>
      <w:tr w:rsidR="008D09E4" w:rsidRPr="00DC5A4D" w:rsidTr="00621C50">
        <w:trPr>
          <w:trHeight w:val="170"/>
        </w:trPr>
        <w:tc>
          <w:tcPr>
            <w:tcW w:w="8080" w:type="dxa"/>
            <w:tcBorders>
              <w:top w:val="nil"/>
              <w:left w:val="nil"/>
              <w:bottom w:val="single" w:sz="4" w:space="0" w:color="auto"/>
              <w:right w:val="nil"/>
            </w:tcBorders>
            <w:shd w:val="clear" w:color="auto" w:fill="auto"/>
            <w:noWrap/>
            <w:vAlign w:val="bottom"/>
          </w:tcPr>
          <w:p w:rsidR="008D09E4" w:rsidRPr="00DC5A4D" w:rsidRDefault="008D09E4" w:rsidP="0042607B">
            <w:pPr>
              <w:overflowPunct/>
              <w:autoSpaceDE/>
              <w:autoSpaceDN/>
              <w:adjustRightInd/>
              <w:textAlignment w:val="auto"/>
              <w:rPr>
                <w:lang w:val="it-IT"/>
              </w:rPr>
            </w:pPr>
            <w:r w:rsidRPr="00DC5A4D">
              <w:rPr>
                <w:lang w:val="it-IT"/>
              </w:rPr>
              <w:t>Iperinflazione</w:t>
            </w:r>
          </w:p>
        </w:tc>
        <w:tc>
          <w:tcPr>
            <w:tcW w:w="779"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right"/>
              <w:textAlignment w:val="auto"/>
              <w:rPr>
                <w:b/>
                <w:bCs/>
                <w:lang w:val="it-IT"/>
              </w:rPr>
            </w:pPr>
            <w:r>
              <w:rPr>
                <w:b/>
                <w:bCs/>
                <w:lang w:val="it-IT"/>
              </w:rPr>
              <w:t>3</w:t>
            </w:r>
            <w:r w:rsidR="00DB27CB">
              <w:rPr>
                <w:b/>
                <w:bCs/>
                <w:lang w:val="it-IT"/>
              </w:rPr>
              <w:t>00</w:t>
            </w:r>
          </w:p>
        </w:tc>
        <w:tc>
          <w:tcPr>
            <w:tcW w:w="283"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center"/>
              <w:textAlignment w:val="auto"/>
              <w:rPr>
                <w:b/>
                <w:bCs/>
                <w:lang w:val="it-IT"/>
              </w:rPr>
            </w:pPr>
            <w:r w:rsidRPr="00DC5A4D">
              <w:rPr>
                <w:b/>
                <w:bCs/>
                <w:lang w:val="it-IT"/>
              </w:rPr>
              <w:t>-</w:t>
            </w:r>
          </w:p>
        </w:tc>
        <w:tc>
          <w:tcPr>
            <w:tcW w:w="764"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textAlignment w:val="auto"/>
              <w:rPr>
                <w:b/>
                <w:bCs/>
                <w:lang w:val="it-IT"/>
              </w:rPr>
            </w:pPr>
            <w:r>
              <w:rPr>
                <w:b/>
                <w:bCs/>
                <w:lang w:val="it-IT"/>
              </w:rPr>
              <w:t>30</w:t>
            </w:r>
            <w:r w:rsidR="00DB27CB">
              <w:rPr>
                <w:b/>
                <w:bCs/>
                <w:lang w:val="it-IT"/>
              </w:rPr>
              <w:t>2</w:t>
            </w:r>
          </w:p>
        </w:tc>
      </w:tr>
      <w:tr w:rsidR="008D09E4" w:rsidRPr="00DC5A4D" w:rsidTr="00621C50">
        <w:trPr>
          <w:trHeight w:val="170"/>
        </w:trPr>
        <w:tc>
          <w:tcPr>
            <w:tcW w:w="8080" w:type="dxa"/>
            <w:tcBorders>
              <w:top w:val="nil"/>
              <w:left w:val="nil"/>
              <w:bottom w:val="single" w:sz="4" w:space="0" w:color="auto"/>
              <w:right w:val="nil"/>
            </w:tcBorders>
            <w:shd w:val="clear" w:color="auto" w:fill="auto"/>
            <w:noWrap/>
            <w:vAlign w:val="bottom"/>
          </w:tcPr>
          <w:p w:rsidR="008D09E4" w:rsidRPr="00DC5A4D" w:rsidRDefault="008D09E4" w:rsidP="0042607B">
            <w:pPr>
              <w:overflowPunct/>
              <w:autoSpaceDE/>
              <w:autoSpaceDN/>
              <w:adjustRightInd/>
              <w:textAlignment w:val="auto"/>
              <w:rPr>
                <w:lang w:val="it-IT"/>
              </w:rPr>
            </w:pPr>
            <w:r w:rsidRPr="00DC5A4D">
              <w:rPr>
                <w:lang w:val="it-IT"/>
              </w:rPr>
              <w:t>Perdita per riduzione di valore delle attività</w:t>
            </w:r>
          </w:p>
        </w:tc>
        <w:tc>
          <w:tcPr>
            <w:tcW w:w="779"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right"/>
              <w:textAlignment w:val="auto"/>
              <w:rPr>
                <w:b/>
                <w:bCs/>
                <w:lang w:val="it-IT"/>
              </w:rPr>
            </w:pPr>
            <w:r>
              <w:rPr>
                <w:b/>
                <w:bCs/>
                <w:lang w:val="it-IT"/>
              </w:rPr>
              <w:t>30</w:t>
            </w:r>
            <w:r w:rsidR="00DB27CB">
              <w:rPr>
                <w:b/>
                <w:bCs/>
                <w:lang w:val="it-IT"/>
              </w:rPr>
              <w:t>3</w:t>
            </w:r>
          </w:p>
        </w:tc>
        <w:tc>
          <w:tcPr>
            <w:tcW w:w="283"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center"/>
              <w:textAlignment w:val="auto"/>
              <w:rPr>
                <w:b/>
                <w:bCs/>
                <w:lang w:val="it-IT"/>
              </w:rPr>
            </w:pPr>
            <w:r w:rsidRPr="00DC5A4D">
              <w:rPr>
                <w:b/>
                <w:bCs/>
                <w:lang w:val="it-IT"/>
              </w:rPr>
              <w:t>-</w:t>
            </w:r>
          </w:p>
        </w:tc>
        <w:tc>
          <w:tcPr>
            <w:tcW w:w="764"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textAlignment w:val="auto"/>
              <w:rPr>
                <w:b/>
                <w:bCs/>
                <w:lang w:val="it-IT"/>
              </w:rPr>
            </w:pPr>
            <w:r>
              <w:rPr>
                <w:b/>
                <w:bCs/>
                <w:lang w:val="it-IT"/>
              </w:rPr>
              <w:t>31</w:t>
            </w:r>
            <w:r w:rsidR="00DB27CB">
              <w:rPr>
                <w:b/>
                <w:bCs/>
                <w:lang w:val="it-IT"/>
              </w:rPr>
              <w:t>0</w:t>
            </w:r>
          </w:p>
        </w:tc>
      </w:tr>
      <w:tr w:rsidR="008D09E4" w:rsidRPr="00DC5A4D" w:rsidTr="00621C50">
        <w:trPr>
          <w:trHeight w:val="170"/>
        </w:trPr>
        <w:tc>
          <w:tcPr>
            <w:tcW w:w="8080" w:type="dxa"/>
            <w:tcBorders>
              <w:top w:val="nil"/>
              <w:left w:val="nil"/>
              <w:bottom w:val="single" w:sz="4" w:space="0" w:color="auto"/>
              <w:right w:val="nil"/>
            </w:tcBorders>
            <w:shd w:val="clear" w:color="auto" w:fill="auto"/>
            <w:noWrap/>
            <w:vAlign w:val="bottom"/>
          </w:tcPr>
          <w:p w:rsidR="008D09E4" w:rsidRPr="00DC5A4D" w:rsidRDefault="008D09E4" w:rsidP="0042607B">
            <w:pPr>
              <w:overflowPunct/>
              <w:autoSpaceDE/>
              <w:autoSpaceDN/>
              <w:adjustRightInd/>
              <w:textAlignment w:val="auto"/>
              <w:rPr>
                <w:lang w:val="it-IT"/>
              </w:rPr>
            </w:pPr>
            <w:r w:rsidRPr="00DC5A4D">
              <w:rPr>
                <w:lang w:val="it-IT"/>
              </w:rPr>
              <w:t>Imposte sul reddito</w:t>
            </w:r>
          </w:p>
        </w:tc>
        <w:tc>
          <w:tcPr>
            <w:tcW w:w="779"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right"/>
              <w:textAlignment w:val="auto"/>
              <w:rPr>
                <w:b/>
                <w:bCs/>
                <w:lang w:val="it-IT"/>
              </w:rPr>
            </w:pPr>
            <w:r>
              <w:rPr>
                <w:b/>
                <w:bCs/>
                <w:lang w:val="it-IT"/>
              </w:rPr>
              <w:t>31</w:t>
            </w:r>
            <w:r w:rsidR="00DB27CB">
              <w:rPr>
                <w:b/>
                <w:bCs/>
                <w:lang w:val="it-IT"/>
              </w:rPr>
              <w:t>1</w:t>
            </w:r>
          </w:p>
        </w:tc>
        <w:tc>
          <w:tcPr>
            <w:tcW w:w="283"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center"/>
              <w:textAlignment w:val="auto"/>
              <w:rPr>
                <w:b/>
                <w:bCs/>
                <w:lang w:val="it-IT"/>
              </w:rPr>
            </w:pPr>
            <w:r w:rsidRPr="00DC5A4D">
              <w:rPr>
                <w:b/>
                <w:bCs/>
                <w:lang w:val="it-IT"/>
              </w:rPr>
              <w:t>-</w:t>
            </w:r>
          </w:p>
        </w:tc>
        <w:tc>
          <w:tcPr>
            <w:tcW w:w="764"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textAlignment w:val="auto"/>
              <w:rPr>
                <w:b/>
                <w:bCs/>
                <w:lang w:val="it-IT"/>
              </w:rPr>
            </w:pPr>
            <w:r>
              <w:rPr>
                <w:b/>
                <w:bCs/>
                <w:lang w:val="it-IT"/>
              </w:rPr>
              <w:t>3</w:t>
            </w:r>
            <w:r w:rsidR="00DB27CB">
              <w:rPr>
                <w:b/>
                <w:bCs/>
                <w:lang w:val="it-IT"/>
              </w:rPr>
              <w:t>18</w:t>
            </w:r>
          </w:p>
        </w:tc>
      </w:tr>
      <w:tr w:rsidR="008D09E4" w:rsidRPr="00DC5A4D" w:rsidTr="00621C50">
        <w:trPr>
          <w:trHeight w:val="170"/>
        </w:trPr>
        <w:tc>
          <w:tcPr>
            <w:tcW w:w="8080" w:type="dxa"/>
            <w:tcBorders>
              <w:top w:val="nil"/>
              <w:left w:val="nil"/>
              <w:bottom w:val="single" w:sz="4" w:space="0" w:color="auto"/>
              <w:right w:val="nil"/>
            </w:tcBorders>
            <w:shd w:val="clear" w:color="auto" w:fill="auto"/>
            <w:noWrap/>
            <w:vAlign w:val="bottom"/>
          </w:tcPr>
          <w:p w:rsidR="008D09E4" w:rsidRPr="00DC5A4D" w:rsidRDefault="008D09E4" w:rsidP="0042607B">
            <w:pPr>
              <w:overflowPunct/>
              <w:autoSpaceDE/>
              <w:autoSpaceDN/>
              <w:adjustRightInd/>
              <w:textAlignment w:val="auto"/>
              <w:rPr>
                <w:lang w:val="it-IT"/>
              </w:rPr>
            </w:pPr>
            <w:r w:rsidRPr="00DC5A4D">
              <w:rPr>
                <w:lang w:val="it-IT"/>
              </w:rPr>
              <w:t>Attività immateriali</w:t>
            </w:r>
          </w:p>
        </w:tc>
        <w:tc>
          <w:tcPr>
            <w:tcW w:w="779"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right"/>
              <w:textAlignment w:val="auto"/>
              <w:rPr>
                <w:b/>
                <w:bCs/>
                <w:lang w:val="it-IT"/>
              </w:rPr>
            </w:pPr>
            <w:r>
              <w:rPr>
                <w:b/>
                <w:bCs/>
                <w:lang w:val="it-IT"/>
              </w:rPr>
              <w:t>3</w:t>
            </w:r>
            <w:r w:rsidR="00DB27CB">
              <w:rPr>
                <w:b/>
                <w:bCs/>
                <w:lang w:val="it-IT"/>
              </w:rPr>
              <w:t>19</w:t>
            </w:r>
          </w:p>
        </w:tc>
        <w:tc>
          <w:tcPr>
            <w:tcW w:w="283"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center"/>
              <w:textAlignment w:val="auto"/>
              <w:rPr>
                <w:b/>
                <w:bCs/>
                <w:lang w:val="it-IT"/>
              </w:rPr>
            </w:pPr>
            <w:r w:rsidRPr="00DC5A4D">
              <w:rPr>
                <w:b/>
                <w:bCs/>
                <w:lang w:val="it-IT"/>
              </w:rPr>
              <w:t>-</w:t>
            </w:r>
          </w:p>
        </w:tc>
        <w:tc>
          <w:tcPr>
            <w:tcW w:w="764"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textAlignment w:val="auto"/>
              <w:rPr>
                <w:b/>
                <w:bCs/>
                <w:lang w:val="it-IT"/>
              </w:rPr>
            </w:pPr>
            <w:r>
              <w:rPr>
                <w:b/>
                <w:bCs/>
                <w:lang w:val="it-IT"/>
              </w:rPr>
              <w:t>32</w:t>
            </w:r>
            <w:r w:rsidR="00DB27CB">
              <w:rPr>
                <w:b/>
                <w:bCs/>
                <w:lang w:val="it-IT"/>
              </w:rPr>
              <w:t>5</w:t>
            </w:r>
          </w:p>
        </w:tc>
      </w:tr>
      <w:tr w:rsidR="008D09E4" w:rsidRPr="00DC5A4D" w:rsidTr="00621C50">
        <w:trPr>
          <w:trHeight w:val="170"/>
        </w:trPr>
        <w:tc>
          <w:tcPr>
            <w:tcW w:w="8080" w:type="dxa"/>
            <w:tcBorders>
              <w:top w:val="nil"/>
              <w:left w:val="nil"/>
              <w:bottom w:val="single" w:sz="4" w:space="0" w:color="auto"/>
              <w:right w:val="nil"/>
            </w:tcBorders>
            <w:shd w:val="clear" w:color="auto" w:fill="auto"/>
            <w:noWrap/>
            <w:vAlign w:val="bottom"/>
          </w:tcPr>
          <w:p w:rsidR="008D09E4" w:rsidRPr="00DC5A4D" w:rsidRDefault="008D09E4" w:rsidP="0042607B">
            <w:pPr>
              <w:overflowPunct/>
              <w:autoSpaceDE/>
              <w:autoSpaceDN/>
              <w:adjustRightInd/>
              <w:textAlignment w:val="auto"/>
              <w:rPr>
                <w:lang w:val="it-IT"/>
              </w:rPr>
            </w:pPr>
            <w:r w:rsidRPr="00DC5A4D">
              <w:rPr>
                <w:lang w:val="it-IT"/>
              </w:rPr>
              <w:t>Rimanenze</w:t>
            </w:r>
          </w:p>
        </w:tc>
        <w:tc>
          <w:tcPr>
            <w:tcW w:w="779"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right"/>
              <w:textAlignment w:val="auto"/>
              <w:rPr>
                <w:b/>
                <w:bCs/>
                <w:lang w:val="it-IT"/>
              </w:rPr>
            </w:pPr>
            <w:r>
              <w:rPr>
                <w:b/>
                <w:bCs/>
                <w:lang w:val="it-IT"/>
              </w:rPr>
              <w:t>32</w:t>
            </w:r>
            <w:r w:rsidR="00DB27CB">
              <w:rPr>
                <w:b/>
                <w:bCs/>
                <w:lang w:val="it-IT"/>
              </w:rPr>
              <w:t>6</w:t>
            </w:r>
          </w:p>
        </w:tc>
        <w:tc>
          <w:tcPr>
            <w:tcW w:w="283"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center"/>
              <w:textAlignment w:val="auto"/>
              <w:rPr>
                <w:b/>
                <w:bCs/>
                <w:lang w:val="it-IT"/>
              </w:rPr>
            </w:pPr>
            <w:r w:rsidRPr="00DC5A4D">
              <w:rPr>
                <w:b/>
                <w:bCs/>
                <w:lang w:val="it-IT"/>
              </w:rPr>
              <w:t>-</w:t>
            </w:r>
          </w:p>
        </w:tc>
        <w:tc>
          <w:tcPr>
            <w:tcW w:w="764"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textAlignment w:val="auto"/>
              <w:rPr>
                <w:b/>
                <w:bCs/>
                <w:lang w:val="it-IT"/>
              </w:rPr>
            </w:pPr>
            <w:r>
              <w:rPr>
                <w:b/>
                <w:bCs/>
                <w:lang w:val="it-IT"/>
              </w:rPr>
              <w:t>32</w:t>
            </w:r>
            <w:r w:rsidR="00DB27CB">
              <w:rPr>
                <w:b/>
                <w:bCs/>
                <w:lang w:val="it-IT"/>
              </w:rPr>
              <w:t>6</w:t>
            </w:r>
          </w:p>
        </w:tc>
      </w:tr>
      <w:tr w:rsidR="008D09E4" w:rsidRPr="00DC5A4D" w:rsidTr="00621C50">
        <w:trPr>
          <w:trHeight w:val="170"/>
        </w:trPr>
        <w:tc>
          <w:tcPr>
            <w:tcW w:w="8080" w:type="dxa"/>
            <w:tcBorders>
              <w:top w:val="nil"/>
              <w:left w:val="nil"/>
              <w:bottom w:val="single" w:sz="4" w:space="0" w:color="auto"/>
              <w:right w:val="nil"/>
            </w:tcBorders>
            <w:shd w:val="clear" w:color="auto" w:fill="auto"/>
            <w:noWrap/>
            <w:vAlign w:val="bottom"/>
          </w:tcPr>
          <w:p w:rsidR="008D09E4" w:rsidRPr="00DC5A4D" w:rsidRDefault="008D09E4" w:rsidP="0042607B">
            <w:pPr>
              <w:overflowPunct/>
              <w:autoSpaceDE/>
              <w:autoSpaceDN/>
              <w:adjustRightInd/>
              <w:textAlignment w:val="auto"/>
              <w:rPr>
                <w:lang w:val="it-IT"/>
              </w:rPr>
            </w:pPr>
            <w:r w:rsidRPr="00DC5A4D">
              <w:rPr>
                <w:lang w:val="it-IT"/>
              </w:rPr>
              <w:t>Investimenti immobiliari</w:t>
            </w:r>
          </w:p>
        </w:tc>
        <w:tc>
          <w:tcPr>
            <w:tcW w:w="779"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right"/>
              <w:textAlignment w:val="auto"/>
              <w:rPr>
                <w:b/>
                <w:bCs/>
                <w:lang w:val="it-IT"/>
              </w:rPr>
            </w:pPr>
            <w:r>
              <w:rPr>
                <w:b/>
                <w:bCs/>
                <w:lang w:val="it-IT"/>
              </w:rPr>
              <w:t>3</w:t>
            </w:r>
            <w:r w:rsidR="00DB27CB">
              <w:rPr>
                <w:b/>
                <w:bCs/>
                <w:lang w:val="it-IT"/>
              </w:rPr>
              <w:t>27</w:t>
            </w:r>
          </w:p>
        </w:tc>
        <w:tc>
          <w:tcPr>
            <w:tcW w:w="283"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center"/>
              <w:textAlignment w:val="auto"/>
              <w:rPr>
                <w:b/>
                <w:bCs/>
                <w:lang w:val="it-IT"/>
              </w:rPr>
            </w:pPr>
            <w:r w:rsidRPr="00DC5A4D">
              <w:rPr>
                <w:b/>
                <w:bCs/>
                <w:lang w:val="it-IT"/>
              </w:rPr>
              <w:t>-</w:t>
            </w:r>
          </w:p>
        </w:tc>
        <w:tc>
          <w:tcPr>
            <w:tcW w:w="764"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textAlignment w:val="auto"/>
              <w:rPr>
                <w:b/>
                <w:bCs/>
                <w:lang w:val="it-IT"/>
              </w:rPr>
            </w:pPr>
            <w:r>
              <w:rPr>
                <w:b/>
                <w:bCs/>
                <w:lang w:val="it-IT"/>
              </w:rPr>
              <w:t>33</w:t>
            </w:r>
            <w:r w:rsidR="00DB27CB">
              <w:rPr>
                <w:b/>
                <w:bCs/>
                <w:lang w:val="it-IT"/>
              </w:rPr>
              <w:t>1</w:t>
            </w:r>
          </w:p>
        </w:tc>
      </w:tr>
      <w:tr w:rsidR="008D09E4" w:rsidRPr="00DC5A4D" w:rsidTr="00621C50">
        <w:trPr>
          <w:trHeight w:val="170"/>
        </w:trPr>
        <w:tc>
          <w:tcPr>
            <w:tcW w:w="8080" w:type="dxa"/>
            <w:tcBorders>
              <w:top w:val="nil"/>
              <w:left w:val="nil"/>
              <w:bottom w:val="single" w:sz="4" w:space="0" w:color="auto"/>
              <w:right w:val="nil"/>
            </w:tcBorders>
            <w:shd w:val="clear" w:color="auto" w:fill="auto"/>
            <w:noWrap/>
            <w:vAlign w:val="bottom"/>
          </w:tcPr>
          <w:p w:rsidR="008D09E4" w:rsidRPr="00DC5A4D" w:rsidRDefault="008D09E4" w:rsidP="0042607B">
            <w:pPr>
              <w:overflowPunct/>
              <w:autoSpaceDE/>
              <w:autoSpaceDN/>
              <w:adjustRightInd/>
              <w:textAlignment w:val="auto"/>
              <w:rPr>
                <w:lang w:val="it-IT"/>
              </w:rPr>
            </w:pPr>
            <w:r w:rsidRPr="00DC5A4D">
              <w:rPr>
                <w:lang w:val="it-IT"/>
              </w:rPr>
              <w:t xml:space="preserve">Informativa sul </w:t>
            </w:r>
            <w:r w:rsidRPr="00DC5A4D">
              <w:rPr>
                <w:i/>
                <w:lang w:val="it-IT"/>
              </w:rPr>
              <w:t>leasing</w:t>
            </w:r>
            <w:r w:rsidRPr="00DC5A4D">
              <w:rPr>
                <w:lang w:val="it-IT"/>
              </w:rPr>
              <w:t xml:space="preserve"> richiesta ai locatari</w:t>
            </w:r>
          </w:p>
        </w:tc>
        <w:tc>
          <w:tcPr>
            <w:tcW w:w="779"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right"/>
              <w:textAlignment w:val="auto"/>
              <w:rPr>
                <w:b/>
                <w:bCs/>
                <w:lang w:val="it-IT"/>
              </w:rPr>
            </w:pPr>
            <w:r>
              <w:rPr>
                <w:b/>
                <w:bCs/>
                <w:lang w:val="it-IT"/>
              </w:rPr>
              <w:t>33</w:t>
            </w:r>
            <w:r w:rsidR="00DB27CB">
              <w:rPr>
                <w:b/>
                <w:bCs/>
                <w:lang w:val="it-IT"/>
              </w:rPr>
              <w:t>2</w:t>
            </w:r>
          </w:p>
        </w:tc>
        <w:tc>
          <w:tcPr>
            <w:tcW w:w="283"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center"/>
              <w:textAlignment w:val="auto"/>
              <w:rPr>
                <w:b/>
                <w:bCs/>
                <w:lang w:val="it-IT"/>
              </w:rPr>
            </w:pPr>
            <w:r w:rsidRPr="00DC5A4D">
              <w:rPr>
                <w:b/>
                <w:bCs/>
                <w:lang w:val="it-IT"/>
              </w:rPr>
              <w:t>-</w:t>
            </w:r>
          </w:p>
        </w:tc>
        <w:tc>
          <w:tcPr>
            <w:tcW w:w="764"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textAlignment w:val="auto"/>
              <w:rPr>
                <w:b/>
                <w:bCs/>
                <w:lang w:val="it-IT"/>
              </w:rPr>
            </w:pPr>
            <w:r w:rsidRPr="00DC5A4D">
              <w:rPr>
                <w:b/>
                <w:bCs/>
                <w:lang w:val="it-IT"/>
              </w:rPr>
              <w:t>3</w:t>
            </w:r>
            <w:r w:rsidR="00DB27CB">
              <w:rPr>
                <w:b/>
                <w:bCs/>
                <w:lang w:val="it-IT"/>
              </w:rPr>
              <w:t>37</w:t>
            </w:r>
          </w:p>
        </w:tc>
      </w:tr>
      <w:tr w:rsidR="008D09E4" w:rsidRPr="00DC5A4D" w:rsidTr="00621C50">
        <w:trPr>
          <w:trHeight w:val="170"/>
        </w:trPr>
        <w:tc>
          <w:tcPr>
            <w:tcW w:w="8080" w:type="dxa"/>
            <w:tcBorders>
              <w:top w:val="nil"/>
              <w:left w:val="nil"/>
              <w:bottom w:val="single" w:sz="4" w:space="0" w:color="auto"/>
              <w:right w:val="nil"/>
            </w:tcBorders>
            <w:shd w:val="clear" w:color="auto" w:fill="auto"/>
            <w:noWrap/>
            <w:vAlign w:val="bottom"/>
          </w:tcPr>
          <w:p w:rsidR="008D09E4" w:rsidRPr="00DC5A4D" w:rsidRDefault="008D09E4" w:rsidP="007964CF">
            <w:pPr>
              <w:overflowPunct/>
              <w:autoSpaceDE/>
              <w:autoSpaceDN/>
              <w:adjustRightInd/>
              <w:textAlignment w:val="auto"/>
              <w:rPr>
                <w:lang w:val="it-IT"/>
              </w:rPr>
            </w:pPr>
            <w:r w:rsidRPr="00DC5A4D">
              <w:rPr>
                <w:lang w:val="it-IT"/>
              </w:rPr>
              <w:t>Attività non correnti possedute per la vendita e attività operative cessate</w:t>
            </w:r>
          </w:p>
        </w:tc>
        <w:tc>
          <w:tcPr>
            <w:tcW w:w="779"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right"/>
              <w:textAlignment w:val="auto"/>
              <w:rPr>
                <w:b/>
                <w:bCs/>
                <w:lang w:val="it-IT"/>
              </w:rPr>
            </w:pPr>
            <w:r>
              <w:rPr>
                <w:b/>
                <w:bCs/>
                <w:lang w:val="it-IT"/>
              </w:rPr>
              <w:t>3</w:t>
            </w:r>
            <w:r w:rsidR="00DB27CB">
              <w:rPr>
                <w:b/>
                <w:bCs/>
                <w:lang w:val="it-IT"/>
              </w:rPr>
              <w:t>38</w:t>
            </w:r>
          </w:p>
        </w:tc>
        <w:tc>
          <w:tcPr>
            <w:tcW w:w="283"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center"/>
              <w:textAlignment w:val="auto"/>
              <w:rPr>
                <w:b/>
                <w:bCs/>
                <w:lang w:val="it-IT"/>
              </w:rPr>
            </w:pPr>
            <w:r w:rsidRPr="00DC5A4D">
              <w:rPr>
                <w:b/>
                <w:bCs/>
                <w:lang w:val="it-IT"/>
              </w:rPr>
              <w:t>-</w:t>
            </w:r>
          </w:p>
        </w:tc>
        <w:tc>
          <w:tcPr>
            <w:tcW w:w="764"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textAlignment w:val="auto"/>
              <w:rPr>
                <w:b/>
                <w:bCs/>
                <w:lang w:val="it-IT"/>
              </w:rPr>
            </w:pPr>
            <w:r w:rsidRPr="00DC5A4D">
              <w:rPr>
                <w:b/>
                <w:bCs/>
                <w:lang w:val="it-IT"/>
              </w:rPr>
              <w:t>3</w:t>
            </w:r>
            <w:r>
              <w:rPr>
                <w:b/>
                <w:bCs/>
                <w:lang w:val="it-IT"/>
              </w:rPr>
              <w:t>4</w:t>
            </w:r>
            <w:r w:rsidR="00DB27CB">
              <w:rPr>
                <w:b/>
                <w:bCs/>
                <w:lang w:val="it-IT"/>
              </w:rPr>
              <w:t>3</w:t>
            </w:r>
          </w:p>
        </w:tc>
      </w:tr>
      <w:tr w:rsidR="008D09E4" w:rsidRPr="00DC5A4D" w:rsidTr="00621C50">
        <w:trPr>
          <w:trHeight w:val="170"/>
        </w:trPr>
        <w:tc>
          <w:tcPr>
            <w:tcW w:w="8080" w:type="dxa"/>
            <w:tcBorders>
              <w:top w:val="nil"/>
              <w:left w:val="nil"/>
              <w:bottom w:val="single" w:sz="4" w:space="0" w:color="auto"/>
              <w:right w:val="nil"/>
            </w:tcBorders>
            <w:shd w:val="clear" w:color="auto" w:fill="auto"/>
            <w:noWrap/>
            <w:vAlign w:val="bottom"/>
          </w:tcPr>
          <w:p w:rsidR="008D09E4" w:rsidRPr="00DC5A4D" w:rsidRDefault="008D09E4" w:rsidP="0042607B">
            <w:pPr>
              <w:overflowPunct/>
              <w:autoSpaceDE/>
              <w:autoSpaceDN/>
              <w:adjustRightInd/>
              <w:textAlignment w:val="auto"/>
              <w:rPr>
                <w:lang w:val="it-IT"/>
              </w:rPr>
            </w:pPr>
            <w:r w:rsidRPr="00DC5A4D">
              <w:rPr>
                <w:lang w:val="it-IT"/>
              </w:rPr>
              <w:t>Settori operativi</w:t>
            </w:r>
          </w:p>
        </w:tc>
        <w:tc>
          <w:tcPr>
            <w:tcW w:w="779"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right"/>
              <w:textAlignment w:val="auto"/>
              <w:rPr>
                <w:b/>
                <w:bCs/>
                <w:lang w:val="it-IT"/>
              </w:rPr>
            </w:pPr>
            <w:r>
              <w:rPr>
                <w:b/>
                <w:bCs/>
                <w:lang w:val="it-IT"/>
              </w:rPr>
              <w:t>34</w:t>
            </w:r>
            <w:r w:rsidR="00DB27CB">
              <w:rPr>
                <w:b/>
                <w:bCs/>
                <w:lang w:val="it-IT"/>
              </w:rPr>
              <w:t>4</w:t>
            </w:r>
          </w:p>
        </w:tc>
        <w:tc>
          <w:tcPr>
            <w:tcW w:w="283"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center"/>
              <w:textAlignment w:val="auto"/>
              <w:rPr>
                <w:b/>
                <w:bCs/>
                <w:lang w:val="it-IT"/>
              </w:rPr>
            </w:pPr>
            <w:r w:rsidRPr="00DC5A4D">
              <w:rPr>
                <w:b/>
                <w:bCs/>
                <w:lang w:val="it-IT"/>
              </w:rPr>
              <w:t>-</w:t>
            </w:r>
          </w:p>
        </w:tc>
        <w:tc>
          <w:tcPr>
            <w:tcW w:w="764"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textAlignment w:val="auto"/>
              <w:rPr>
                <w:b/>
                <w:bCs/>
                <w:lang w:val="it-IT"/>
              </w:rPr>
            </w:pPr>
            <w:r w:rsidRPr="00DC5A4D">
              <w:rPr>
                <w:b/>
                <w:bCs/>
                <w:lang w:val="it-IT"/>
              </w:rPr>
              <w:t>36</w:t>
            </w:r>
            <w:r w:rsidR="00DB27CB">
              <w:rPr>
                <w:b/>
                <w:bCs/>
                <w:lang w:val="it-IT"/>
              </w:rPr>
              <w:t>1</w:t>
            </w:r>
          </w:p>
        </w:tc>
      </w:tr>
      <w:tr w:rsidR="008D09E4" w:rsidRPr="00DC5A4D" w:rsidTr="00621C50">
        <w:trPr>
          <w:trHeight w:val="170"/>
        </w:trPr>
        <w:tc>
          <w:tcPr>
            <w:tcW w:w="8080" w:type="dxa"/>
            <w:tcBorders>
              <w:top w:val="nil"/>
              <w:left w:val="nil"/>
              <w:bottom w:val="single" w:sz="4" w:space="0" w:color="auto"/>
              <w:right w:val="nil"/>
            </w:tcBorders>
            <w:shd w:val="clear" w:color="auto" w:fill="auto"/>
            <w:noWrap/>
            <w:vAlign w:val="bottom"/>
          </w:tcPr>
          <w:p w:rsidR="008D09E4" w:rsidRPr="00DC5A4D" w:rsidRDefault="008D09E4" w:rsidP="0042607B">
            <w:pPr>
              <w:overflowPunct/>
              <w:autoSpaceDE/>
              <w:autoSpaceDN/>
              <w:adjustRightInd/>
              <w:textAlignment w:val="auto"/>
              <w:rPr>
                <w:lang w:val="it-IT"/>
              </w:rPr>
            </w:pPr>
            <w:r w:rsidRPr="00DC5A4D">
              <w:rPr>
                <w:lang w:val="it-IT"/>
              </w:rPr>
              <w:t>Immobili, impianti e macchinari</w:t>
            </w:r>
          </w:p>
        </w:tc>
        <w:tc>
          <w:tcPr>
            <w:tcW w:w="779"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right"/>
              <w:textAlignment w:val="auto"/>
              <w:rPr>
                <w:b/>
                <w:bCs/>
                <w:lang w:val="it-IT"/>
              </w:rPr>
            </w:pPr>
            <w:r>
              <w:rPr>
                <w:b/>
                <w:bCs/>
                <w:lang w:val="it-IT"/>
              </w:rPr>
              <w:t>36</w:t>
            </w:r>
            <w:r w:rsidR="00DB27CB">
              <w:rPr>
                <w:b/>
                <w:bCs/>
                <w:lang w:val="it-IT"/>
              </w:rPr>
              <w:t>2</w:t>
            </w:r>
          </w:p>
        </w:tc>
        <w:tc>
          <w:tcPr>
            <w:tcW w:w="283"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center"/>
              <w:textAlignment w:val="auto"/>
              <w:rPr>
                <w:b/>
                <w:bCs/>
                <w:lang w:val="it-IT"/>
              </w:rPr>
            </w:pPr>
            <w:r w:rsidRPr="00DC5A4D">
              <w:rPr>
                <w:b/>
                <w:bCs/>
                <w:lang w:val="it-IT"/>
              </w:rPr>
              <w:t>-</w:t>
            </w:r>
          </w:p>
        </w:tc>
        <w:tc>
          <w:tcPr>
            <w:tcW w:w="764"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textAlignment w:val="auto"/>
              <w:rPr>
                <w:b/>
                <w:bCs/>
                <w:lang w:val="it-IT"/>
              </w:rPr>
            </w:pPr>
            <w:r w:rsidRPr="00DC5A4D">
              <w:rPr>
                <w:b/>
                <w:bCs/>
                <w:lang w:val="it-IT"/>
              </w:rPr>
              <w:t>3</w:t>
            </w:r>
            <w:r w:rsidR="00DB27CB">
              <w:rPr>
                <w:b/>
                <w:bCs/>
                <w:lang w:val="it-IT"/>
              </w:rPr>
              <w:t>66</w:t>
            </w:r>
          </w:p>
        </w:tc>
      </w:tr>
      <w:tr w:rsidR="008D09E4" w:rsidRPr="00DC5A4D" w:rsidTr="00621C50">
        <w:trPr>
          <w:trHeight w:val="170"/>
        </w:trPr>
        <w:tc>
          <w:tcPr>
            <w:tcW w:w="8080" w:type="dxa"/>
            <w:tcBorders>
              <w:top w:val="nil"/>
              <w:left w:val="nil"/>
              <w:bottom w:val="single" w:sz="4" w:space="0" w:color="auto"/>
              <w:right w:val="nil"/>
            </w:tcBorders>
            <w:shd w:val="clear" w:color="auto" w:fill="auto"/>
            <w:noWrap/>
            <w:vAlign w:val="bottom"/>
          </w:tcPr>
          <w:p w:rsidR="008D09E4" w:rsidRPr="00DC5A4D" w:rsidRDefault="008D09E4" w:rsidP="0042607B">
            <w:pPr>
              <w:overflowPunct/>
              <w:autoSpaceDE/>
              <w:autoSpaceDN/>
              <w:adjustRightInd/>
              <w:textAlignment w:val="auto"/>
              <w:rPr>
                <w:lang w:val="it-IT"/>
              </w:rPr>
            </w:pPr>
            <w:r w:rsidRPr="00DC5A4D">
              <w:rPr>
                <w:lang w:val="it-IT"/>
              </w:rPr>
              <w:t>Accantonamenti, passività e attività potenziali</w:t>
            </w:r>
          </w:p>
        </w:tc>
        <w:tc>
          <w:tcPr>
            <w:tcW w:w="779"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right"/>
              <w:textAlignment w:val="auto"/>
              <w:rPr>
                <w:b/>
                <w:bCs/>
                <w:lang w:val="it-IT"/>
              </w:rPr>
            </w:pPr>
            <w:r>
              <w:rPr>
                <w:b/>
                <w:bCs/>
                <w:lang w:val="it-IT"/>
              </w:rPr>
              <w:t>3</w:t>
            </w:r>
            <w:r w:rsidR="00DB27CB">
              <w:rPr>
                <w:b/>
                <w:bCs/>
                <w:lang w:val="it-IT"/>
              </w:rPr>
              <w:t>67</w:t>
            </w:r>
          </w:p>
        </w:tc>
        <w:tc>
          <w:tcPr>
            <w:tcW w:w="283"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center"/>
              <w:textAlignment w:val="auto"/>
              <w:rPr>
                <w:b/>
                <w:bCs/>
                <w:lang w:val="it-IT"/>
              </w:rPr>
            </w:pPr>
            <w:r w:rsidRPr="00DC5A4D">
              <w:rPr>
                <w:b/>
                <w:bCs/>
                <w:lang w:val="it-IT"/>
              </w:rPr>
              <w:t>-</w:t>
            </w:r>
          </w:p>
        </w:tc>
        <w:tc>
          <w:tcPr>
            <w:tcW w:w="764"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textAlignment w:val="auto"/>
              <w:rPr>
                <w:b/>
                <w:bCs/>
                <w:lang w:val="it-IT"/>
              </w:rPr>
            </w:pPr>
            <w:r w:rsidRPr="00DC5A4D">
              <w:rPr>
                <w:b/>
                <w:bCs/>
                <w:lang w:val="it-IT"/>
              </w:rPr>
              <w:t>37</w:t>
            </w:r>
            <w:r w:rsidR="00DB27CB">
              <w:rPr>
                <w:b/>
                <w:bCs/>
                <w:lang w:val="it-IT"/>
              </w:rPr>
              <w:t>2</w:t>
            </w:r>
          </w:p>
        </w:tc>
      </w:tr>
      <w:tr w:rsidR="008D09E4" w:rsidRPr="00DC5A4D" w:rsidTr="00621C50">
        <w:trPr>
          <w:trHeight w:val="170"/>
        </w:trPr>
        <w:tc>
          <w:tcPr>
            <w:tcW w:w="8080" w:type="dxa"/>
            <w:tcBorders>
              <w:top w:val="nil"/>
              <w:left w:val="nil"/>
              <w:bottom w:val="single" w:sz="4" w:space="0" w:color="auto"/>
              <w:right w:val="nil"/>
            </w:tcBorders>
            <w:shd w:val="clear" w:color="auto" w:fill="auto"/>
            <w:noWrap/>
            <w:vAlign w:val="bottom"/>
          </w:tcPr>
          <w:p w:rsidR="008D09E4" w:rsidRPr="00DC5A4D" w:rsidRDefault="008D09E4" w:rsidP="0042607B">
            <w:pPr>
              <w:overflowPunct/>
              <w:autoSpaceDE/>
              <w:autoSpaceDN/>
              <w:adjustRightInd/>
              <w:textAlignment w:val="auto"/>
              <w:rPr>
                <w:lang w:val="it-IT"/>
              </w:rPr>
            </w:pPr>
            <w:r w:rsidRPr="00DC5A4D">
              <w:rPr>
                <w:lang w:val="it-IT"/>
              </w:rPr>
              <w:t>Diritti derivanti da interessenze in fondi per smantellamenti, ripristini e bonifiche ambientali</w:t>
            </w:r>
          </w:p>
        </w:tc>
        <w:tc>
          <w:tcPr>
            <w:tcW w:w="779"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right"/>
              <w:textAlignment w:val="auto"/>
              <w:rPr>
                <w:b/>
                <w:bCs/>
                <w:lang w:val="it-IT"/>
              </w:rPr>
            </w:pPr>
            <w:r>
              <w:rPr>
                <w:b/>
                <w:bCs/>
                <w:lang w:val="it-IT"/>
              </w:rPr>
              <w:t>37</w:t>
            </w:r>
            <w:r w:rsidR="00FB4B6E">
              <w:rPr>
                <w:b/>
                <w:bCs/>
                <w:lang w:val="it-IT"/>
              </w:rPr>
              <w:t>3</w:t>
            </w:r>
          </w:p>
        </w:tc>
        <w:tc>
          <w:tcPr>
            <w:tcW w:w="283"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center"/>
              <w:textAlignment w:val="auto"/>
              <w:rPr>
                <w:b/>
                <w:bCs/>
                <w:lang w:val="it-IT"/>
              </w:rPr>
            </w:pPr>
            <w:r w:rsidRPr="00DC5A4D">
              <w:rPr>
                <w:b/>
                <w:bCs/>
                <w:lang w:val="it-IT"/>
              </w:rPr>
              <w:t>-</w:t>
            </w:r>
          </w:p>
        </w:tc>
        <w:tc>
          <w:tcPr>
            <w:tcW w:w="764"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textAlignment w:val="auto"/>
              <w:rPr>
                <w:b/>
                <w:bCs/>
                <w:lang w:val="it-IT"/>
              </w:rPr>
            </w:pPr>
            <w:r w:rsidRPr="00DC5A4D">
              <w:rPr>
                <w:b/>
                <w:bCs/>
                <w:lang w:val="it-IT"/>
              </w:rPr>
              <w:t>3</w:t>
            </w:r>
            <w:r w:rsidR="00FB4B6E">
              <w:rPr>
                <w:b/>
                <w:bCs/>
                <w:lang w:val="it-IT"/>
              </w:rPr>
              <w:t>77</w:t>
            </w:r>
          </w:p>
        </w:tc>
      </w:tr>
      <w:tr w:rsidR="008D09E4" w:rsidRPr="00DC5A4D" w:rsidTr="00621C50">
        <w:trPr>
          <w:trHeight w:val="170"/>
        </w:trPr>
        <w:tc>
          <w:tcPr>
            <w:tcW w:w="8080" w:type="dxa"/>
            <w:tcBorders>
              <w:top w:val="nil"/>
              <w:left w:val="nil"/>
              <w:bottom w:val="single" w:sz="4" w:space="0" w:color="auto"/>
              <w:right w:val="nil"/>
            </w:tcBorders>
            <w:shd w:val="clear" w:color="auto" w:fill="auto"/>
            <w:noWrap/>
            <w:vAlign w:val="bottom"/>
          </w:tcPr>
          <w:p w:rsidR="008D09E4" w:rsidRPr="00DC5A4D" w:rsidRDefault="008D09E4" w:rsidP="00BB60FA">
            <w:pPr>
              <w:overflowPunct/>
              <w:autoSpaceDE/>
              <w:autoSpaceDN/>
              <w:adjustRightInd/>
              <w:textAlignment w:val="auto"/>
              <w:rPr>
                <w:lang w:val="it-IT"/>
              </w:rPr>
            </w:pPr>
            <w:r w:rsidRPr="00DC5A4D">
              <w:rPr>
                <w:lang w:val="it-IT"/>
              </w:rPr>
              <w:t xml:space="preserve">Passività derivanti dalla partecipazione ad un mercato specifico - smaltimento di apparecchiature elettriche </w:t>
            </w:r>
            <w:r>
              <w:rPr>
                <w:lang w:val="it-IT"/>
              </w:rPr>
              <w:t>ed</w:t>
            </w:r>
            <w:r w:rsidRPr="00DC5A4D">
              <w:rPr>
                <w:lang w:val="it-IT"/>
              </w:rPr>
              <w:t xml:space="preserve"> elettroniche </w:t>
            </w:r>
          </w:p>
        </w:tc>
        <w:tc>
          <w:tcPr>
            <w:tcW w:w="779"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right"/>
              <w:textAlignment w:val="auto"/>
              <w:rPr>
                <w:b/>
                <w:bCs/>
                <w:lang w:val="it-IT"/>
              </w:rPr>
            </w:pPr>
            <w:r>
              <w:rPr>
                <w:b/>
                <w:bCs/>
                <w:lang w:val="it-IT"/>
              </w:rPr>
              <w:t>3</w:t>
            </w:r>
            <w:r w:rsidR="00FB4B6E">
              <w:rPr>
                <w:b/>
                <w:bCs/>
                <w:lang w:val="it-IT"/>
              </w:rPr>
              <w:t>78</w:t>
            </w:r>
          </w:p>
        </w:tc>
        <w:tc>
          <w:tcPr>
            <w:tcW w:w="283"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center"/>
              <w:textAlignment w:val="auto"/>
              <w:rPr>
                <w:b/>
                <w:bCs/>
                <w:lang w:val="it-IT"/>
              </w:rPr>
            </w:pPr>
            <w:r w:rsidRPr="00DC5A4D">
              <w:rPr>
                <w:b/>
                <w:bCs/>
                <w:lang w:val="it-IT"/>
              </w:rPr>
              <w:t>-</w:t>
            </w:r>
          </w:p>
        </w:tc>
        <w:tc>
          <w:tcPr>
            <w:tcW w:w="764"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textAlignment w:val="auto"/>
              <w:rPr>
                <w:b/>
                <w:bCs/>
                <w:lang w:val="it-IT"/>
              </w:rPr>
            </w:pPr>
            <w:r w:rsidRPr="00DC5A4D">
              <w:rPr>
                <w:b/>
                <w:bCs/>
                <w:lang w:val="it-IT"/>
              </w:rPr>
              <w:t>3</w:t>
            </w:r>
            <w:r w:rsidR="00FB4B6E">
              <w:rPr>
                <w:b/>
                <w:bCs/>
                <w:lang w:val="it-IT"/>
              </w:rPr>
              <w:t>78</w:t>
            </w:r>
          </w:p>
        </w:tc>
      </w:tr>
      <w:tr w:rsidR="008D09E4" w:rsidRPr="00DC5A4D" w:rsidTr="00621C50">
        <w:trPr>
          <w:trHeight w:val="170"/>
        </w:trPr>
        <w:tc>
          <w:tcPr>
            <w:tcW w:w="8080" w:type="dxa"/>
            <w:tcBorders>
              <w:top w:val="nil"/>
              <w:left w:val="nil"/>
              <w:bottom w:val="single" w:sz="4" w:space="0" w:color="auto"/>
              <w:right w:val="nil"/>
            </w:tcBorders>
            <w:shd w:val="clear" w:color="auto" w:fill="auto"/>
            <w:noWrap/>
            <w:vAlign w:val="bottom"/>
          </w:tcPr>
          <w:p w:rsidR="008D09E4" w:rsidRPr="00DC5A4D" w:rsidRDefault="008D09E4" w:rsidP="0042607B">
            <w:pPr>
              <w:overflowPunct/>
              <w:autoSpaceDE/>
              <w:autoSpaceDN/>
              <w:adjustRightInd/>
              <w:textAlignment w:val="auto"/>
              <w:rPr>
                <w:lang w:val="it-IT"/>
              </w:rPr>
            </w:pPr>
            <w:r w:rsidRPr="00DC5A4D">
              <w:rPr>
                <w:lang w:val="it-IT"/>
              </w:rPr>
              <w:t>Parti correlate</w:t>
            </w:r>
          </w:p>
        </w:tc>
        <w:tc>
          <w:tcPr>
            <w:tcW w:w="779"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right"/>
              <w:textAlignment w:val="auto"/>
              <w:rPr>
                <w:b/>
                <w:bCs/>
                <w:lang w:val="it-IT"/>
              </w:rPr>
            </w:pPr>
            <w:r>
              <w:rPr>
                <w:b/>
                <w:bCs/>
                <w:lang w:val="it-IT"/>
              </w:rPr>
              <w:t>3</w:t>
            </w:r>
            <w:r w:rsidR="00FB4B6E">
              <w:rPr>
                <w:b/>
                <w:bCs/>
                <w:lang w:val="it-IT"/>
              </w:rPr>
              <w:t>79</w:t>
            </w:r>
          </w:p>
        </w:tc>
        <w:tc>
          <w:tcPr>
            <w:tcW w:w="283"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center"/>
              <w:textAlignment w:val="auto"/>
              <w:rPr>
                <w:b/>
                <w:bCs/>
                <w:lang w:val="it-IT"/>
              </w:rPr>
            </w:pPr>
            <w:r w:rsidRPr="00DC5A4D">
              <w:rPr>
                <w:b/>
                <w:bCs/>
                <w:lang w:val="it-IT"/>
              </w:rPr>
              <w:t>-</w:t>
            </w:r>
          </w:p>
        </w:tc>
        <w:tc>
          <w:tcPr>
            <w:tcW w:w="764" w:type="dxa"/>
            <w:tcBorders>
              <w:top w:val="nil"/>
              <w:left w:val="nil"/>
              <w:bottom w:val="single" w:sz="4" w:space="0" w:color="auto"/>
              <w:right w:val="nil"/>
            </w:tcBorders>
            <w:shd w:val="clear" w:color="auto" w:fill="auto"/>
            <w:noWrap/>
            <w:vAlign w:val="bottom"/>
          </w:tcPr>
          <w:p w:rsidR="008D09E4" w:rsidRPr="007F1A41" w:rsidRDefault="008D09E4" w:rsidP="009968F5">
            <w:pPr>
              <w:overflowPunct/>
              <w:autoSpaceDE/>
              <w:autoSpaceDN/>
              <w:adjustRightInd/>
              <w:textAlignment w:val="auto"/>
              <w:rPr>
                <w:b/>
                <w:bCs/>
                <w:lang w:val="it-IT"/>
              </w:rPr>
            </w:pPr>
            <w:r w:rsidRPr="001841F2">
              <w:rPr>
                <w:b/>
                <w:bCs/>
                <w:lang w:val="it-IT"/>
              </w:rPr>
              <w:t>3</w:t>
            </w:r>
            <w:r w:rsidR="00FB4B6E">
              <w:rPr>
                <w:b/>
                <w:bCs/>
                <w:lang w:val="it-IT"/>
              </w:rPr>
              <w:t>88</w:t>
            </w:r>
          </w:p>
        </w:tc>
      </w:tr>
      <w:tr w:rsidR="008D09E4" w:rsidRPr="00DC5A4D" w:rsidTr="00621C50">
        <w:trPr>
          <w:trHeight w:val="170"/>
        </w:trPr>
        <w:tc>
          <w:tcPr>
            <w:tcW w:w="8080" w:type="dxa"/>
            <w:tcBorders>
              <w:top w:val="nil"/>
              <w:left w:val="nil"/>
              <w:bottom w:val="single" w:sz="4" w:space="0" w:color="auto"/>
              <w:right w:val="nil"/>
            </w:tcBorders>
            <w:shd w:val="clear" w:color="auto" w:fill="auto"/>
            <w:noWrap/>
            <w:vAlign w:val="bottom"/>
          </w:tcPr>
          <w:p w:rsidR="008D09E4" w:rsidRPr="00DC5A4D" w:rsidRDefault="008D09E4" w:rsidP="0042607B">
            <w:pPr>
              <w:overflowPunct/>
              <w:autoSpaceDE/>
              <w:autoSpaceDN/>
              <w:adjustRightInd/>
              <w:textAlignment w:val="auto"/>
              <w:rPr>
                <w:lang w:val="it-IT"/>
              </w:rPr>
            </w:pPr>
            <w:r w:rsidRPr="00DC5A4D">
              <w:rPr>
                <w:lang w:val="it-IT"/>
              </w:rPr>
              <w:t>Ricavi</w:t>
            </w:r>
          </w:p>
        </w:tc>
        <w:tc>
          <w:tcPr>
            <w:tcW w:w="779"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right"/>
              <w:textAlignment w:val="auto"/>
              <w:rPr>
                <w:b/>
                <w:bCs/>
                <w:lang w:val="it-IT"/>
              </w:rPr>
            </w:pPr>
            <w:r>
              <w:rPr>
                <w:b/>
                <w:bCs/>
                <w:lang w:val="it-IT"/>
              </w:rPr>
              <w:t>3</w:t>
            </w:r>
            <w:r w:rsidR="00FB4B6E">
              <w:rPr>
                <w:b/>
                <w:bCs/>
                <w:lang w:val="it-IT"/>
              </w:rPr>
              <w:t>89</w:t>
            </w:r>
          </w:p>
        </w:tc>
        <w:tc>
          <w:tcPr>
            <w:tcW w:w="283"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center"/>
              <w:textAlignment w:val="auto"/>
              <w:rPr>
                <w:b/>
                <w:bCs/>
                <w:lang w:val="it-IT"/>
              </w:rPr>
            </w:pPr>
            <w:r w:rsidRPr="00DC5A4D">
              <w:rPr>
                <w:b/>
                <w:bCs/>
                <w:lang w:val="it-IT"/>
              </w:rPr>
              <w:t>-</w:t>
            </w:r>
          </w:p>
        </w:tc>
        <w:tc>
          <w:tcPr>
            <w:tcW w:w="764"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textAlignment w:val="auto"/>
              <w:rPr>
                <w:b/>
                <w:bCs/>
                <w:lang w:val="it-IT"/>
              </w:rPr>
            </w:pPr>
            <w:r w:rsidRPr="00DC5A4D">
              <w:rPr>
                <w:b/>
                <w:bCs/>
                <w:lang w:val="it-IT"/>
              </w:rPr>
              <w:t>3</w:t>
            </w:r>
            <w:r>
              <w:rPr>
                <w:b/>
                <w:bCs/>
                <w:lang w:val="it-IT"/>
              </w:rPr>
              <w:t>9</w:t>
            </w:r>
            <w:r w:rsidR="00FB4B6E">
              <w:rPr>
                <w:b/>
                <w:bCs/>
                <w:lang w:val="it-IT"/>
              </w:rPr>
              <w:t>0</w:t>
            </w:r>
          </w:p>
        </w:tc>
      </w:tr>
      <w:tr w:rsidR="008D09E4" w:rsidRPr="00DC5A4D" w:rsidTr="00621C50">
        <w:trPr>
          <w:trHeight w:val="170"/>
        </w:trPr>
        <w:tc>
          <w:tcPr>
            <w:tcW w:w="8080" w:type="dxa"/>
            <w:tcBorders>
              <w:top w:val="nil"/>
              <w:left w:val="nil"/>
              <w:bottom w:val="single" w:sz="4" w:space="0" w:color="auto"/>
              <w:right w:val="nil"/>
            </w:tcBorders>
            <w:shd w:val="clear" w:color="auto" w:fill="auto"/>
            <w:noWrap/>
            <w:vAlign w:val="bottom"/>
          </w:tcPr>
          <w:p w:rsidR="008D09E4" w:rsidRPr="00DC5A4D" w:rsidRDefault="008D09E4" w:rsidP="0042607B">
            <w:pPr>
              <w:overflowPunct/>
              <w:autoSpaceDE/>
              <w:autoSpaceDN/>
              <w:adjustRightInd/>
              <w:textAlignment w:val="auto"/>
              <w:rPr>
                <w:lang w:val="it-IT"/>
              </w:rPr>
            </w:pPr>
            <w:r w:rsidRPr="00DC5A4D">
              <w:rPr>
                <w:lang w:val="it-IT"/>
              </w:rPr>
              <w:t>Accordi per servizi in concessione</w:t>
            </w:r>
          </w:p>
        </w:tc>
        <w:tc>
          <w:tcPr>
            <w:tcW w:w="779"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right"/>
              <w:textAlignment w:val="auto"/>
              <w:rPr>
                <w:b/>
                <w:bCs/>
                <w:lang w:val="it-IT"/>
              </w:rPr>
            </w:pPr>
            <w:r>
              <w:rPr>
                <w:b/>
                <w:bCs/>
                <w:lang w:val="it-IT"/>
              </w:rPr>
              <w:t>39</w:t>
            </w:r>
            <w:r w:rsidR="00FB4B6E">
              <w:rPr>
                <w:b/>
                <w:bCs/>
                <w:lang w:val="it-IT"/>
              </w:rPr>
              <w:t>1</w:t>
            </w:r>
          </w:p>
        </w:tc>
        <w:tc>
          <w:tcPr>
            <w:tcW w:w="283"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center"/>
              <w:textAlignment w:val="auto"/>
              <w:rPr>
                <w:b/>
                <w:bCs/>
                <w:lang w:val="it-IT"/>
              </w:rPr>
            </w:pPr>
            <w:r w:rsidRPr="00DC5A4D">
              <w:rPr>
                <w:b/>
                <w:bCs/>
                <w:lang w:val="it-IT"/>
              </w:rPr>
              <w:t>-</w:t>
            </w:r>
          </w:p>
        </w:tc>
        <w:tc>
          <w:tcPr>
            <w:tcW w:w="764"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textAlignment w:val="auto"/>
              <w:rPr>
                <w:b/>
                <w:bCs/>
                <w:lang w:val="it-IT"/>
              </w:rPr>
            </w:pPr>
            <w:r w:rsidRPr="00DC5A4D">
              <w:rPr>
                <w:b/>
                <w:bCs/>
                <w:lang w:val="it-IT"/>
              </w:rPr>
              <w:t>3</w:t>
            </w:r>
            <w:r>
              <w:rPr>
                <w:b/>
                <w:bCs/>
                <w:lang w:val="it-IT"/>
              </w:rPr>
              <w:t>9</w:t>
            </w:r>
            <w:r w:rsidR="00FB4B6E">
              <w:rPr>
                <w:b/>
                <w:bCs/>
                <w:lang w:val="it-IT"/>
              </w:rPr>
              <w:t>1</w:t>
            </w:r>
          </w:p>
        </w:tc>
      </w:tr>
      <w:tr w:rsidR="008D09E4" w:rsidRPr="00DC5A4D" w:rsidTr="00621C50">
        <w:trPr>
          <w:trHeight w:val="170"/>
        </w:trPr>
        <w:tc>
          <w:tcPr>
            <w:tcW w:w="8080" w:type="dxa"/>
            <w:tcBorders>
              <w:top w:val="single" w:sz="4" w:space="0" w:color="auto"/>
              <w:left w:val="nil"/>
              <w:bottom w:val="single" w:sz="4" w:space="0" w:color="auto"/>
              <w:right w:val="nil"/>
            </w:tcBorders>
            <w:shd w:val="clear" w:color="auto" w:fill="auto"/>
            <w:noWrap/>
            <w:vAlign w:val="bottom"/>
          </w:tcPr>
          <w:p w:rsidR="008D09E4" w:rsidRPr="00DC5A4D" w:rsidRDefault="008D09E4" w:rsidP="00DD0E8C">
            <w:pPr>
              <w:overflowPunct/>
              <w:autoSpaceDE/>
              <w:autoSpaceDN/>
              <w:adjustRightInd/>
              <w:textAlignment w:val="auto"/>
              <w:rPr>
                <w:lang w:val="it-IT"/>
              </w:rPr>
            </w:pPr>
            <w:r w:rsidRPr="00DC5A4D">
              <w:rPr>
                <w:lang w:val="it-IT"/>
              </w:rPr>
              <w:t>Pagamenti basati su azioni</w:t>
            </w:r>
          </w:p>
        </w:tc>
        <w:tc>
          <w:tcPr>
            <w:tcW w:w="779"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right"/>
              <w:textAlignment w:val="auto"/>
              <w:rPr>
                <w:b/>
                <w:bCs/>
                <w:lang w:val="it-IT"/>
              </w:rPr>
            </w:pPr>
            <w:r>
              <w:rPr>
                <w:b/>
                <w:bCs/>
                <w:lang w:val="it-IT"/>
              </w:rPr>
              <w:t>39</w:t>
            </w:r>
            <w:r w:rsidR="00FB4B6E">
              <w:rPr>
                <w:b/>
                <w:bCs/>
                <w:lang w:val="it-IT"/>
              </w:rPr>
              <w:t>2</w:t>
            </w:r>
          </w:p>
        </w:tc>
        <w:tc>
          <w:tcPr>
            <w:tcW w:w="283"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center"/>
              <w:textAlignment w:val="auto"/>
              <w:rPr>
                <w:b/>
                <w:bCs/>
                <w:lang w:val="it-IT"/>
              </w:rPr>
            </w:pPr>
            <w:r w:rsidRPr="00DC5A4D">
              <w:rPr>
                <w:b/>
                <w:bCs/>
                <w:lang w:val="it-IT"/>
              </w:rPr>
              <w:t>-</w:t>
            </w:r>
          </w:p>
        </w:tc>
        <w:tc>
          <w:tcPr>
            <w:tcW w:w="764" w:type="dxa"/>
            <w:tcBorders>
              <w:top w:val="nil"/>
              <w:left w:val="nil"/>
              <w:bottom w:val="single" w:sz="4" w:space="0" w:color="auto"/>
              <w:right w:val="nil"/>
            </w:tcBorders>
            <w:shd w:val="clear" w:color="auto" w:fill="auto"/>
            <w:noWrap/>
            <w:vAlign w:val="bottom"/>
          </w:tcPr>
          <w:p w:rsidR="008D09E4" w:rsidRPr="00DC5A4D" w:rsidRDefault="00FB4B6E" w:rsidP="009968F5">
            <w:pPr>
              <w:overflowPunct/>
              <w:autoSpaceDE/>
              <w:autoSpaceDN/>
              <w:adjustRightInd/>
              <w:textAlignment w:val="auto"/>
              <w:rPr>
                <w:b/>
                <w:bCs/>
                <w:lang w:val="it-IT"/>
              </w:rPr>
            </w:pPr>
            <w:r>
              <w:rPr>
                <w:b/>
                <w:bCs/>
                <w:lang w:val="it-IT"/>
              </w:rPr>
              <w:t>398</w:t>
            </w:r>
          </w:p>
        </w:tc>
      </w:tr>
      <w:tr w:rsidR="008D09E4" w:rsidRPr="00DC5A4D" w:rsidTr="00621C50">
        <w:trPr>
          <w:trHeight w:val="170"/>
        </w:trPr>
        <w:tc>
          <w:tcPr>
            <w:tcW w:w="8080" w:type="dxa"/>
            <w:tcBorders>
              <w:top w:val="single" w:sz="4" w:space="0" w:color="auto"/>
              <w:left w:val="nil"/>
              <w:bottom w:val="single" w:sz="4" w:space="0" w:color="auto"/>
              <w:right w:val="nil"/>
            </w:tcBorders>
            <w:shd w:val="clear" w:color="auto" w:fill="auto"/>
            <w:noWrap/>
            <w:vAlign w:val="bottom"/>
          </w:tcPr>
          <w:p w:rsidR="008D09E4" w:rsidRPr="00DC5A4D" w:rsidRDefault="008D09E4" w:rsidP="00DD0E8C">
            <w:pPr>
              <w:overflowPunct/>
              <w:autoSpaceDE/>
              <w:autoSpaceDN/>
              <w:adjustRightInd/>
              <w:textAlignment w:val="auto"/>
              <w:rPr>
                <w:lang w:val="it-IT"/>
              </w:rPr>
            </w:pPr>
            <w:r w:rsidRPr="00DC5A4D">
              <w:rPr>
                <w:lang w:val="it-IT"/>
              </w:rPr>
              <w:t>Agricoltura</w:t>
            </w:r>
          </w:p>
        </w:tc>
        <w:tc>
          <w:tcPr>
            <w:tcW w:w="779" w:type="dxa"/>
            <w:tcBorders>
              <w:top w:val="nil"/>
              <w:left w:val="nil"/>
              <w:bottom w:val="single" w:sz="4" w:space="0" w:color="auto"/>
              <w:right w:val="nil"/>
            </w:tcBorders>
            <w:shd w:val="clear" w:color="auto" w:fill="auto"/>
            <w:noWrap/>
            <w:vAlign w:val="bottom"/>
          </w:tcPr>
          <w:p w:rsidR="008D09E4" w:rsidRPr="00DC5A4D" w:rsidRDefault="00FB4B6E" w:rsidP="009968F5">
            <w:pPr>
              <w:overflowPunct/>
              <w:autoSpaceDE/>
              <w:autoSpaceDN/>
              <w:adjustRightInd/>
              <w:jc w:val="right"/>
              <w:textAlignment w:val="auto"/>
              <w:rPr>
                <w:b/>
                <w:bCs/>
                <w:lang w:val="it-IT"/>
              </w:rPr>
            </w:pPr>
            <w:r>
              <w:rPr>
                <w:b/>
                <w:bCs/>
                <w:lang w:val="it-IT"/>
              </w:rPr>
              <w:t>399</w:t>
            </w:r>
          </w:p>
        </w:tc>
        <w:tc>
          <w:tcPr>
            <w:tcW w:w="283"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center"/>
              <w:textAlignment w:val="auto"/>
              <w:rPr>
                <w:b/>
                <w:bCs/>
                <w:lang w:val="it-IT"/>
              </w:rPr>
            </w:pPr>
            <w:r w:rsidRPr="00DC5A4D">
              <w:rPr>
                <w:b/>
                <w:bCs/>
                <w:lang w:val="it-IT"/>
              </w:rPr>
              <w:t>-</w:t>
            </w:r>
          </w:p>
        </w:tc>
        <w:tc>
          <w:tcPr>
            <w:tcW w:w="764"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textAlignment w:val="auto"/>
              <w:rPr>
                <w:b/>
                <w:bCs/>
                <w:lang w:val="it-IT"/>
              </w:rPr>
            </w:pPr>
            <w:r>
              <w:rPr>
                <w:b/>
                <w:bCs/>
                <w:lang w:val="it-IT"/>
              </w:rPr>
              <w:t>4</w:t>
            </w:r>
            <w:r w:rsidR="00FB4B6E">
              <w:rPr>
                <w:b/>
                <w:bCs/>
                <w:lang w:val="it-IT"/>
              </w:rPr>
              <w:t>12</w:t>
            </w:r>
          </w:p>
        </w:tc>
      </w:tr>
      <w:tr w:rsidR="008D09E4" w:rsidRPr="00DC5A4D" w:rsidTr="00621C50">
        <w:trPr>
          <w:trHeight w:val="170"/>
        </w:trPr>
        <w:tc>
          <w:tcPr>
            <w:tcW w:w="8080" w:type="dxa"/>
            <w:tcBorders>
              <w:top w:val="nil"/>
              <w:left w:val="nil"/>
              <w:bottom w:val="single" w:sz="4" w:space="0" w:color="auto"/>
              <w:right w:val="nil"/>
            </w:tcBorders>
            <w:shd w:val="clear" w:color="auto" w:fill="auto"/>
            <w:noWrap/>
            <w:vAlign w:val="bottom"/>
          </w:tcPr>
          <w:p w:rsidR="008D09E4" w:rsidRPr="00DC5A4D" w:rsidRDefault="008D09E4" w:rsidP="00DD0E8C">
            <w:pPr>
              <w:overflowPunct/>
              <w:autoSpaceDE/>
              <w:autoSpaceDN/>
              <w:adjustRightInd/>
              <w:textAlignment w:val="auto"/>
              <w:rPr>
                <w:lang w:val="it-IT"/>
              </w:rPr>
            </w:pPr>
            <w:r w:rsidRPr="00DC5A4D">
              <w:rPr>
                <w:lang w:val="it-IT"/>
              </w:rPr>
              <w:t>Lavori su ordinazione</w:t>
            </w:r>
          </w:p>
        </w:tc>
        <w:tc>
          <w:tcPr>
            <w:tcW w:w="779"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right"/>
              <w:textAlignment w:val="auto"/>
              <w:rPr>
                <w:b/>
                <w:bCs/>
                <w:lang w:val="it-IT"/>
              </w:rPr>
            </w:pPr>
            <w:r>
              <w:rPr>
                <w:b/>
                <w:bCs/>
                <w:lang w:val="it-IT"/>
              </w:rPr>
              <w:t>41</w:t>
            </w:r>
            <w:r w:rsidR="00FB4B6E">
              <w:rPr>
                <w:b/>
                <w:bCs/>
                <w:lang w:val="it-IT"/>
              </w:rPr>
              <w:t>3</w:t>
            </w:r>
          </w:p>
        </w:tc>
        <w:tc>
          <w:tcPr>
            <w:tcW w:w="283"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center"/>
              <w:textAlignment w:val="auto"/>
              <w:rPr>
                <w:b/>
                <w:bCs/>
                <w:lang w:val="it-IT"/>
              </w:rPr>
            </w:pPr>
            <w:r w:rsidRPr="00DC5A4D">
              <w:rPr>
                <w:b/>
                <w:bCs/>
                <w:lang w:val="it-IT"/>
              </w:rPr>
              <w:t>-</w:t>
            </w:r>
          </w:p>
        </w:tc>
        <w:tc>
          <w:tcPr>
            <w:tcW w:w="764"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textAlignment w:val="auto"/>
              <w:rPr>
                <w:b/>
                <w:bCs/>
                <w:lang w:val="it-IT"/>
              </w:rPr>
            </w:pPr>
            <w:r>
              <w:rPr>
                <w:b/>
                <w:bCs/>
                <w:lang w:val="it-IT"/>
              </w:rPr>
              <w:t>4</w:t>
            </w:r>
            <w:r w:rsidR="00FB4B6E">
              <w:rPr>
                <w:b/>
                <w:bCs/>
                <w:lang w:val="it-IT"/>
              </w:rPr>
              <w:t>16</w:t>
            </w:r>
          </w:p>
        </w:tc>
      </w:tr>
      <w:tr w:rsidR="008D09E4" w:rsidRPr="00DC5A4D" w:rsidTr="00621C50">
        <w:trPr>
          <w:trHeight w:val="170"/>
        </w:trPr>
        <w:tc>
          <w:tcPr>
            <w:tcW w:w="8080" w:type="dxa"/>
            <w:tcBorders>
              <w:top w:val="nil"/>
              <w:left w:val="nil"/>
              <w:bottom w:val="single" w:sz="4" w:space="0" w:color="auto"/>
              <w:right w:val="nil"/>
            </w:tcBorders>
            <w:shd w:val="clear" w:color="auto" w:fill="auto"/>
            <w:noWrap/>
            <w:vAlign w:val="bottom"/>
          </w:tcPr>
          <w:p w:rsidR="008D09E4" w:rsidRPr="00DC5A4D" w:rsidRDefault="008D09E4" w:rsidP="00F54097">
            <w:pPr>
              <w:overflowPunct/>
              <w:autoSpaceDE/>
              <w:autoSpaceDN/>
              <w:adjustRightInd/>
              <w:textAlignment w:val="auto"/>
              <w:rPr>
                <w:lang w:val="it-IT"/>
              </w:rPr>
            </w:pPr>
            <w:r w:rsidRPr="00DC5A4D">
              <w:rPr>
                <w:lang w:val="it-IT"/>
              </w:rPr>
              <w:t xml:space="preserve">Accordi per la costruzione di immobili </w:t>
            </w:r>
          </w:p>
        </w:tc>
        <w:tc>
          <w:tcPr>
            <w:tcW w:w="779"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right"/>
              <w:textAlignment w:val="auto"/>
              <w:rPr>
                <w:b/>
                <w:bCs/>
                <w:lang w:val="it-IT"/>
              </w:rPr>
            </w:pPr>
            <w:r>
              <w:rPr>
                <w:b/>
                <w:bCs/>
                <w:lang w:val="it-IT"/>
              </w:rPr>
              <w:t>4</w:t>
            </w:r>
            <w:r w:rsidR="00FB4B6E">
              <w:rPr>
                <w:b/>
                <w:bCs/>
                <w:lang w:val="it-IT"/>
              </w:rPr>
              <w:t>17</w:t>
            </w:r>
          </w:p>
        </w:tc>
        <w:tc>
          <w:tcPr>
            <w:tcW w:w="283"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center"/>
              <w:textAlignment w:val="auto"/>
              <w:rPr>
                <w:b/>
                <w:bCs/>
                <w:lang w:val="it-IT"/>
              </w:rPr>
            </w:pPr>
            <w:r w:rsidRPr="00DC5A4D">
              <w:rPr>
                <w:b/>
                <w:bCs/>
                <w:lang w:val="it-IT"/>
              </w:rPr>
              <w:t>-</w:t>
            </w:r>
          </w:p>
        </w:tc>
        <w:tc>
          <w:tcPr>
            <w:tcW w:w="764"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textAlignment w:val="auto"/>
              <w:rPr>
                <w:b/>
                <w:bCs/>
                <w:lang w:val="it-IT"/>
              </w:rPr>
            </w:pPr>
            <w:r>
              <w:rPr>
                <w:b/>
                <w:bCs/>
                <w:lang w:val="it-IT"/>
              </w:rPr>
              <w:t>4</w:t>
            </w:r>
            <w:r w:rsidR="00FB4B6E">
              <w:rPr>
                <w:b/>
                <w:bCs/>
                <w:lang w:val="it-IT"/>
              </w:rPr>
              <w:t>18</w:t>
            </w:r>
          </w:p>
        </w:tc>
      </w:tr>
      <w:tr w:rsidR="008D09E4" w:rsidRPr="00DC5A4D" w:rsidTr="00621C50">
        <w:trPr>
          <w:trHeight w:val="170"/>
        </w:trPr>
        <w:tc>
          <w:tcPr>
            <w:tcW w:w="8080" w:type="dxa"/>
            <w:tcBorders>
              <w:top w:val="nil"/>
              <w:left w:val="nil"/>
              <w:bottom w:val="single" w:sz="4" w:space="0" w:color="auto"/>
              <w:right w:val="nil"/>
            </w:tcBorders>
            <w:shd w:val="clear" w:color="auto" w:fill="auto"/>
            <w:noWrap/>
            <w:vAlign w:val="bottom"/>
          </w:tcPr>
          <w:p w:rsidR="008D09E4" w:rsidRPr="00DC5A4D" w:rsidRDefault="008D09E4" w:rsidP="00DD0E8C">
            <w:pPr>
              <w:overflowPunct/>
              <w:autoSpaceDE/>
              <w:autoSpaceDN/>
              <w:adjustRightInd/>
              <w:textAlignment w:val="auto"/>
              <w:rPr>
                <w:lang w:val="it-IT"/>
              </w:rPr>
            </w:pPr>
            <w:r w:rsidRPr="00DC5A4D">
              <w:rPr>
                <w:lang w:val="it-IT"/>
              </w:rPr>
              <w:t>Esplorazione e valutazione delle risorse minerarie</w:t>
            </w:r>
          </w:p>
        </w:tc>
        <w:tc>
          <w:tcPr>
            <w:tcW w:w="779"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right"/>
              <w:textAlignment w:val="auto"/>
              <w:rPr>
                <w:b/>
                <w:bCs/>
                <w:lang w:val="it-IT"/>
              </w:rPr>
            </w:pPr>
            <w:r>
              <w:rPr>
                <w:b/>
                <w:bCs/>
                <w:lang w:val="it-IT"/>
              </w:rPr>
              <w:t>4</w:t>
            </w:r>
            <w:r w:rsidR="00FB4B6E">
              <w:rPr>
                <w:b/>
                <w:bCs/>
                <w:lang w:val="it-IT"/>
              </w:rPr>
              <w:t>19</w:t>
            </w:r>
          </w:p>
        </w:tc>
        <w:tc>
          <w:tcPr>
            <w:tcW w:w="283"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center"/>
              <w:textAlignment w:val="auto"/>
              <w:rPr>
                <w:b/>
                <w:bCs/>
                <w:lang w:val="it-IT"/>
              </w:rPr>
            </w:pPr>
            <w:r w:rsidRPr="00DC5A4D">
              <w:rPr>
                <w:b/>
                <w:bCs/>
                <w:lang w:val="it-IT"/>
              </w:rPr>
              <w:t>-</w:t>
            </w:r>
          </w:p>
        </w:tc>
        <w:tc>
          <w:tcPr>
            <w:tcW w:w="764"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textAlignment w:val="auto"/>
              <w:rPr>
                <w:b/>
                <w:bCs/>
                <w:lang w:val="it-IT"/>
              </w:rPr>
            </w:pPr>
            <w:r>
              <w:rPr>
                <w:b/>
                <w:bCs/>
                <w:lang w:val="it-IT"/>
              </w:rPr>
              <w:t>42</w:t>
            </w:r>
            <w:r w:rsidR="00FB4B6E">
              <w:rPr>
                <w:b/>
                <w:bCs/>
                <w:lang w:val="it-IT"/>
              </w:rPr>
              <w:t>3</w:t>
            </w:r>
          </w:p>
        </w:tc>
      </w:tr>
      <w:tr w:rsidR="008D09E4" w:rsidRPr="00DC5A4D" w:rsidTr="00621C50">
        <w:trPr>
          <w:trHeight w:val="170"/>
        </w:trPr>
        <w:tc>
          <w:tcPr>
            <w:tcW w:w="8080" w:type="dxa"/>
            <w:tcBorders>
              <w:top w:val="nil"/>
              <w:left w:val="nil"/>
              <w:bottom w:val="single" w:sz="4" w:space="0" w:color="auto"/>
              <w:right w:val="nil"/>
            </w:tcBorders>
            <w:shd w:val="clear" w:color="auto" w:fill="auto"/>
            <w:noWrap/>
            <w:vAlign w:val="bottom"/>
          </w:tcPr>
          <w:p w:rsidR="008D09E4" w:rsidRPr="00DC5A4D" w:rsidRDefault="008D09E4" w:rsidP="00DD0E8C">
            <w:pPr>
              <w:overflowPunct/>
              <w:autoSpaceDE/>
              <w:autoSpaceDN/>
              <w:adjustRightInd/>
              <w:textAlignment w:val="auto"/>
              <w:rPr>
                <w:lang w:val="it-IT"/>
              </w:rPr>
            </w:pPr>
            <w:r w:rsidRPr="00DC5A4D">
              <w:rPr>
                <w:lang w:val="it-IT"/>
              </w:rPr>
              <w:t>Contratti assicurativi</w:t>
            </w:r>
          </w:p>
        </w:tc>
        <w:tc>
          <w:tcPr>
            <w:tcW w:w="779"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right"/>
              <w:textAlignment w:val="auto"/>
              <w:rPr>
                <w:b/>
                <w:bCs/>
                <w:lang w:val="it-IT"/>
              </w:rPr>
            </w:pPr>
            <w:r>
              <w:rPr>
                <w:b/>
                <w:bCs/>
                <w:lang w:val="it-IT"/>
              </w:rPr>
              <w:t>42</w:t>
            </w:r>
            <w:r w:rsidR="00FB4B6E">
              <w:rPr>
                <w:b/>
                <w:bCs/>
                <w:lang w:val="it-IT"/>
              </w:rPr>
              <w:t>4</w:t>
            </w:r>
          </w:p>
        </w:tc>
        <w:tc>
          <w:tcPr>
            <w:tcW w:w="283"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center"/>
              <w:textAlignment w:val="auto"/>
              <w:rPr>
                <w:b/>
                <w:bCs/>
                <w:lang w:val="it-IT"/>
              </w:rPr>
            </w:pPr>
            <w:r w:rsidRPr="00DC5A4D">
              <w:rPr>
                <w:b/>
                <w:bCs/>
                <w:lang w:val="it-IT"/>
              </w:rPr>
              <w:t>-</w:t>
            </w:r>
          </w:p>
        </w:tc>
        <w:tc>
          <w:tcPr>
            <w:tcW w:w="764"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textAlignment w:val="auto"/>
              <w:rPr>
                <w:b/>
                <w:bCs/>
                <w:lang w:val="it-IT"/>
              </w:rPr>
            </w:pPr>
            <w:r w:rsidRPr="00DC5A4D">
              <w:rPr>
                <w:b/>
                <w:bCs/>
                <w:lang w:val="it-IT"/>
              </w:rPr>
              <w:t>4</w:t>
            </w:r>
            <w:r w:rsidR="00FB4B6E">
              <w:rPr>
                <w:b/>
                <w:bCs/>
                <w:lang w:val="it-IT"/>
              </w:rPr>
              <w:t>27</w:t>
            </w:r>
          </w:p>
        </w:tc>
      </w:tr>
      <w:tr w:rsidR="008D09E4" w:rsidRPr="00DC5A4D" w:rsidTr="00621C50">
        <w:trPr>
          <w:trHeight w:val="170"/>
        </w:trPr>
        <w:tc>
          <w:tcPr>
            <w:tcW w:w="8080" w:type="dxa"/>
            <w:tcBorders>
              <w:top w:val="nil"/>
              <w:left w:val="nil"/>
              <w:bottom w:val="single" w:sz="4" w:space="0" w:color="auto"/>
              <w:right w:val="nil"/>
            </w:tcBorders>
            <w:shd w:val="clear" w:color="auto" w:fill="auto"/>
            <w:noWrap/>
            <w:vAlign w:val="bottom"/>
          </w:tcPr>
          <w:p w:rsidR="008D09E4" w:rsidRPr="00DC5A4D" w:rsidRDefault="008D09E4" w:rsidP="00DD0E8C">
            <w:pPr>
              <w:overflowPunct/>
              <w:autoSpaceDE/>
              <w:autoSpaceDN/>
              <w:adjustRightInd/>
              <w:textAlignment w:val="auto"/>
              <w:rPr>
                <w:lang w:val="it-IT"/>
              </w:rPr>
            </w:pPr>
            <w:r w:rsidRPr="00DC5A4D">
              <w:rPr>
                <w:lang w:val="it-IT"/>
              </w:rPr>
              <w:t xml:space="preserve">Informativa sul </w:t>
            </w:r>
            <w:r w:rsidRPr="00DC5A4D">
              <w:rPr>
                <w:i/>
                <w:lang w:val="it-IT"/>
              </w:rPr>
              <w:t>leasing</w:t>
            </w:r>
            <w:r w:rsidRPr="00DC5A4D">
              <w:rPr>
                <w:lang w:val="it-IT"/>
              </w:rPr>
              <w:t xml:space="preserve"> richiesta ai locatori</w:t>
            </w:r>
          </w:p>
        </w:tc>
        <w:tc>
          <w:tcPr>
            <w:tcW w:w="779"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right"/>
              <w:textAlignment w:val="auto"/>
              <w:rPr>
                <w:b/>
                <w:bCs/>
                <w:lang w:val="it-IT"/>
              </w:rPr>
            </w:pPr>
            <w:r>
              <w:rPr>
                <w:b/>
                <w:bCs/>
                <w:lang w:val="it-IT"/>
              </w:rPr>
              <w:t>4</w:t>
            </w:r>
            <w:r w:rsidR="00FB4B6E">
              <w:rPr>
                <w:b/>
                <w:bCs/>
                <w:lang w:val="it-IT"/>
              </w:rPr>
              <w:t>28</w:t>
            </w:r>
          </w:p>
        </w:tc>
        <w:tc>
          <w:tcPr>
            <w:tcW w:w="283"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center"/>
              <w:textAlignment w:val="auto"/>
              <w:rPr>
                <w:b/>
                <w:bCs/>
                <w:lang w:val="it-IT"/>
              </w:rPr>
            </w:pPr>
            <w:r w:rsidRPr="00DC5A4D">
              <w:rPr>
                <w:b/>
                <w:bCs/>
                <w:lang w:val="it-IT"/>
              </w:rPr>
              <w:t>-</w:t>
            </w:r>
          </w:p>
        </w:tc>
        <w:tc>
          <w:tcPr>
            <w:tcW w:w="764" w:type="dxa"/>
            <w:tcBorders>
              <w:top w:val="nil"/>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textAlignment w:val="auto"/>
              <w:rPr>
                <w:b/>
                <w:bCs/>
                <w:lang w:val="it-IT"/>
              </w:rPr>
            </w:pPr>
            <w:r w:rsidRPr="00DC5A4D">
              <w:rPr>
                <w:b/>
                <w:bCs/>
                <w:lang w:val="it-IT"/>
              </w:rPr>
              <w:t>4</w:t>
            </w:r>
            <w:r>
              <w:rPr>
                <w:b/>
                <w:bCs/>
                <w:lang w:val="it-IT"/>
              </w:rPr>
              <w:t>3</w:t>
            </w:r>
            <w:r w:rsidR="00FB4B6E">
              <w:rPr>
                <w:b/>
                <w:bCs/>
                <w:lang w:val="it-IT"/>
              </w:rPr>
              <w:t>4</w:t>
            </w:r>
          </w:p>
        </w:tc>
      </w:tr>
      <w:tr w:rsidR="008D09E4" w:rsidRPr="00DC5A4D" w:rsidTr="00621C50">
        <w:trPr>
          <w:trHeight w:val="170"/>
        </w:trPr>
        <w:tc>
          <w:tcPr>
            <w:tcW w:w="8080" w:type="dxa"/>
            <w:tcBorders>
              <w:top w:val="single" w:sz="4" w:space="0" w:color="auto"/>
              <w:left w:val="nil"/>
              <w:bottom w:val="single" w:sz="4" w:space="0" w:color="auto"/>
              <w:right w:val="nil"/>
            </w:tcBorders>
            <w:shd w:val="clear" w:color="auto" w:fill="auto"/>
            <w:noWrap/>
            <w:vAlign w:val="bottom"/>
          </w:tcPr>
          <w:p w:rsidR="008D09E4" w:rsidRPr="00DC5A4D" w:rsidRDefault="008D09E4" w:rsidP="007947E3">
            <w:pPr>
              <w:overflowPunct/>
              <w:autoSpaceDE/>
              <w:autoSpaceDN/>
              <w:adjustRightInd/>
              <w:textAlignment w:val="auto"/>
              <w:rPr>
                <w:lang w:val="it-IT"/>
              </w:rPr>
            </w:pPr>
            <w:r w:rsidRPr="00DC5A4D">
              <w:rPr>
                <w:lang w:val="it-IT"/>
              </w:rPr>
              <w:t>Bilanci dei fondi di previdenza</w:t>
            </w:r>
          </w:p>
        </w:tc>
        <w:tc>
          <w:tcPr>
            <w:tcW w:w="779" w:type="dxa"/>
            <w:tcBorders>
              <w:top w:val="single" w:sz="4" w:space="0" w:color="auto"/>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right"/>
              <w:textAlignment w:val="auto"/>
              <w:rPr>
                <w:b/>
                <w:bCs/>
                <w:lang w:val="it-IT"/>
              </w:rPr>
            </w:pPr>
            <w:r>
              <w:rPr>
                <w:b/>
                <w:bCs/>
                <w:lang w:val="it-IT"/>
              </w:rPr>
              <w:t>43</w:t>
            </w:r>
            <w:r w:rsidR="00FB4B6E">
              <w:rPr>
                <w:b/>
                <w:bCs/>
                <w:lang w:val="it-IT"/>
              </w:rPr>
              <w:t>5</w:t>
            </w:r>
          </w:p>
        </w:tc>
        <w:tc>
          <w:tcPr>
            <w:tcW w:w="283" w:type="dxa"/>
            <w:tcBorders>
              <w:top w:val="single" w:sz="4" w:space="0" w:color="auto"/>
              <w:left w:val="nil"/>
              <w:bottom w:val="single" w:sz="4" w:space="0" w:color="auto"/>
              <w:right w:val="nil"/>
            </w:tcBorders>
            <w:shd w:val="clear" w:color="auto" w:fill="auto"/>
            <w:noWrap/>
          </w:tcPr>
          <w:p w:rsidR="008D09E4" w:rsidRPr="00DC5A4D" w:rsidRDefault="008D09E4" w:rsidP="009968F5">
            <w:pPr>
              <w:overflowPunct/>
              <w:autoSpaceDE/>
              <w:autoSpaceDN/>
              <w:adjustRightInd/>
              <w:jc w:val="center"/>
              <w:textAlignment w:val="auto"/>
              <w:rPr>
                <w:b/>
                <w:bCs/>
                <w:lang w:val="it-IT"/>
              </w:rPr>
            </w:pPr>
            <w:r w:rsidRPr="00DC5A4D">
              <w:rPr>
                <w:b/>
                <w:bCs/>
                <w:lang w:val="it-IT"/>
              </w:rPr>
              <w:t>-</w:t>
            </w:r>
          </w:p>
        </w:tc>
        <w:tc>
          <w:tcPr>
            <w:tcW w:w="764" w:type="dxa"/>
            <w:tcBorders>
              <w:top w:val="single" w:sz="4" w:space="0" w:color="auto"/>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textAlignment w:val="auto"/>
              <w:rPr>
                <w:b/>
                <w:bCs/>
                <w:lang w:val="it-IT"/>
              </w:rPr>
            </w:pPr>
            <w:r w:rsidRPr="00DC5A4D">
              <w:rPr>
                <w:b/>
                <w:bCs/>
                <w:lang w:val="it-IT"/>
              </w:rPr>
              <w:t>4</w:t>
            </w:r>
            <w:r w:rsidR="00FB4B6E">
              <w:rPr>
                <w:b/>
                <w:bCs/>
                <w:lang w:val="it-IT"/>
              </w:rPr>
              <w:t>47</w:t>
            </w:r>
          </w:p>
        </w:tc>
      </w:tr>
      <w:tr w:rsidR="008D09E4" w:rsidRPr="00DC5A4D" w:rsidTr="00621C50">
        <w:trPr>
          <w:trHeight w:val="170"/>
        </w:trPr>
        <w:tc>
          <w:tcPr>
            <w:tcW w:w="8080" w:type="dxa"/>
            <w:tcBorders>
              <w:top w:val="single" w:sz="4" w:space="0" w:color="auto"/>
              <w:left w:val="nil"/>
              <w:bottom w:val="single" w:sz="4" w:space="0" w:color="auto"/>
              <w:right w:val="nil"/>
            </w:tcBorders>
            <w:shd w:val="clear" w:color="auto" w:fill="auto"/>
            <w:noWrap/>
            <w:vAlign w:val="bottom"/>
          </w:tcPr>
          <w:p w:rsidR="008D09E4" w:rsidRPr="00DC5A4D" w:rsidRDefault="008D09E4" w:rsidP="0042607B">
            <w:pPr>
              <w:overflowPunct/>
              <w:autoSpaceDE/>
              <w:autoSpaceDN/>
              <w:adjustRightInd/>
              <w:textAlignment w:val="auto"/>
              <w:rPr>
                <w:lang w:val="it-IT"/>
              </w:rPr>
            </w:pPr>
            <w:r w:rsidRPr="00DC5A4D">
              <w:rPr>
                <w:lang w:val="it-IT"/>
              </w:rPr>
              <w:t>Bilanci intermedi</w:t>
            </w:r>
          </w:p>
        </w:tc>
        <w:tc>
          <w:tcPr>
            <w:tcW w:w="779" w:type="dxa"/>
            <w:tcBorders>
              <w:top w:val="single" w:sz="4" w:space="0" w:color="auto"/>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jc w:val="right"/>
              <w:textAlignment w:val="auto"/>
              <w:rPr>
                <w:b/>
                <w:bCs/>
                <w:lang w:val="it-IT"/>
              </w:rPr>
            </w:pPr>
            <w:r>
              <w:rPr>
                <w:b/>
                <w:bCs/>
                <w:lang w:val="it-IT"/>
              </w:rPr>
              <w:t>4</w:t>
            </w:r>
            <w:r w:rsidR="00FB4B6E">
              <w:rPr>
                <w:b/>
                <w:bCs/>
                <w:lang w:val="it-IT"/>
              </w:rPr>
              <w:t>48</w:t>
            </w:r>
          </w:p>
        </w:tc>
        <w:tc>
          <w:tcPr>
            <w:tcW w:w="283" w:type="dxa"/>
            <w:tcBorders>
              <w:top w:val="single" w:sz="4" w:space="0" w:color="auto"/>
              <w:left w:val="nil"/>
              <w:bottom w:val="single" w:sz="4" w:space="0" w:color="auto"/>
              <w:right w:val="nil"/>
            </w:tcBorders>
            <w:shd w:val="clear" w:color="auto" w:fill="auto"/>
            <w:noWrap/>
          </w:tcPr>
          <w:p w:rsidR="008D09E4" w:rsidRPr="00DC5A4D" w:rsidRDefault="008D09E4" w:rsidP="009968F5">
            <w:pPr>
              <w:overflowPunct/>
              <w:autoSpaceDE/>
              <w:autoSpaceDN/>
              <w:adjustRightInd/>
              <w:jc w:val="center"/>
              <w:textAlignment w:val="auto"/>
              <w:rPr>
                <w:b/>
                <w:bCs/>
                <w:lang w:val="it-IT"/>
              </w:rPr>
            </w:pPr>
            <w:r w:rsidRPr="00DC5A4D">
              <w:rPr>
                <w:b/>
                <w:bCs/>
                <w:lang w:val="it-IT"/>
              </w:rPr>
              <w:t>-</w:t>
            </w:r>
          </w:p>
        </w:tc>
        <w:tc>
          <w:tcPr>
            <w:tcW w:w="764" w:type="dxa"/>
            <w:tcBorders>
              <w:top w:val="single" w:sz="4" w:space="0" w:color="auto"/>
              <w:left w:val="nil"/>
              <w:bottom w:val="single" w:sz="4" w:space="0" w:color="auto"/>
              <w:right w:val="nil"/>
            </w:tcBorders>
            <w:shd w:val="clear" w:color="auto" w:fill="auto"/>
            <w:noWrap/>
            <w:vAlign w:val="bottom"/>
          </w:tcPr>
          <w:p w:rsidR="008D09E4" w:rsidRPr="00DC5A4D" w:rsidRDefault="008D09E4" w:rsidP="009968F5">
            <w:pPr>
              <w:overflowPunct/>
              <w:autoSpaceDE/>
              <w:autoSpaceDN/>
              <w:adjustRightInd/>
              <w:textAlignment w:val="auto"/>
              <w:rPr>
                <w:b/>
                <w:bCs/>
                <w:lang w:val="it-IT"/>
              </w:rPr>
            </w:pPr>
            <w:r w:rsidRPr="00DC5A4D">
              <w:rPr>
                <w:b/>
                <w:bCs/>
                <w:lang w:val="it-IT"/>
              </w:rPr>
              <w:t>4</w:t>
            </w:r>
            <w:r w:rsidR="00FB4B6E">
              <w:rPr>
                <w:b/>
                <w:bCs/>
                <w:lang w:val="it-IT"/>
              </w:rPr>
              <w:t>59</w:t>
            </w:r>
          </w:p>
        </w:tc>
      </w:tr>
      <w:tr w:rsidR="00CB74B6" w:rsidRPr="00A44ECD" w:rsidTr="00621C50">
        <w:trPr>
          <w:trHeight w:val="170"/>
        </w:trPr>
        <w:tc>
          <w:tcPr>
            <w:tcW w:w="8080" w:type="dxa"/>
            <w:tcBorders>
              <w:top w:val="single" w:sz="4" w:space="0" w:color="auto"/>
              <w:left w:val="nil"/>
              <w:bottom w:val="single" w:sz="4" w:space="0" w:color="auto"/>
              <w:right w:val="nil"/>
            </w:tcBorders>
            <w:shd w:val="clear" w:color="auto" w:fill="auto"/>
            <w:noWrap/>
            <w:vAlign w:val="bottom"/>
          </w:tcPr>
          <w:p w:rsidR="007478BB" w:rsidRDefault="007478BB" w:rsidP="0042607B">
            <w:pPr>
              <w:overflowPunct/>
              <w:autoSpaceDE/>
              <w:autoSpaceDN/>
              <w:adjustRightInd/>
              <w:textAlignment w:val="auto"/>
              <w:rPr>
                <w:b/>
                <w:lang w:val="it-IT"/>
              </w:rPr>
            </w:pPr>
          </w:p>
          <w:p w:rsidR="00CB74B6" w:rsidRPr="00DC5A4D" w:rsidRDefault="00CB74B6" w:rsidP="0042607B">
            <w:pPr>
              <w:overflowPunct/>
              <w:autoSpaceDE/>
              <w:autoSpaceDN/>
              <w:adjustRightInd/>
              <w:textAlignment w:val="auto"/>
              <w:rPr>
                <w:lang w:val="it-IT"/>
              </w:rPr>
            </w:pPr>
            <w:r w:rsidRPr="00DC5A4D">
              <w:rPr>
                <w:b/>
                <w:lang w:val="it-IT"/>
              </w:rPr>
              <w:t>Informativa richiesta nel caso di applicazione anticipata</w:t>
            </w:r>
          </w:p>
        </w:tc>
        <w:tc>
          <w:tcPr>
            <w:tcW w:w="779" w:type="dxa"/>
            <w:tcBorders>
              <w:top w:val="single" w:sz="4" w:space="0" w:color="auto"/>
              <w:left w:val="nil"/>
              <w:bottom w:val="single" w:sz="4" w:space="0" w:color="auto"/>
              <w:right w:val="nil"/>
            </w:tcBorders>
            <w:shd w:val="clear" w:color="auto" w:fill="auto"/>
            <w:noWrap/>
            <w:vAlign w:val="bottom"/>
          </w:tcPr>
          <w:p w:rsidR="00CB74B6" w:rsidRDefault="00CB74B6" w:rsidP="009968F5">
            <w:pPr>
              <w:overflowPunct/>
              <w:autoSpaceDE/>
              <w:autoSpaceDN/>
              <w:adjustRightInd/>
              <w:jc w:val="right"/>
              <w:textAlignment w:val="auto"/>
              <w:rPr>
                <w:b/>
                <w:bCs/>
                <w:lang w:val="it-IT"/>
              </w:rPr>
            </w:pPr>
          </w:p>
        </w:tc>
        <w:tc>
          <w:tcPr>
            <w:tcW w:w="283" w:type="dxa"/>
            <w:tcBorders>
              <w:top w:val="single" w:sz="4" w:space="0" w:color="auto"/>
              <w:left w:val="nil"/>
              <w:bottom w:val="single" w:sz="4" w:space="0" w:color="auto"/>
              <w:right w:val="nil"/>
            </w:tcBorders>
            <w:shd w:val="clear" w:color="auto" w:fill="auto"/>
            <w:noWrap/>
          </w:tcPr>
          <w:p w:rsidR="00CB74B6" w:rsidRPr="00DC5A4D" w:rsidRDefault="00CB74B6" w:rsidP="009968F5">
            <w:pPr>
              <w:overflowPunct/>
              <w:autoSpaceDE/>
              <w:autoSpaceDN/>
              <w:adjustRightInd/>
              <w:jc w:val="center"/>
              <w:textAlignment w:val="auto"/>
              <w:rPr>
                <w:b/>
                <w:bCs/>
                <w:lang w:val="it-IT"/>
              </w:rPr>
            </w:pPr>
          </w:p>
        </w:tc>
        <w:tc>
          <w:tcPr>
            <w:tcW w:w="764" w:type="dxa"/>
            <w:tcBorders>
              <w:top w:val="single" w:sz="4" w:space="0" w:color="auto"/>
              <w:left w:val="nil"/>
              <w:bottom w:val="single" w:sz="4" w:space="0" w:color="auto"/>
              <w:right w:val="nil"/>
            </w:tcBorders>
            <w:shd w:val="clear" w:color="auto" w:fill="auto"/>
            <w:noWrap/>
            <w:vAlign w:val="bottom"/>
          </w:tcPr>
          <w:p w:rsidR="00CB74B6" w:rsidRPr="00DC5A4D" w:rsidRDefault="00CB74B6" w:rsidP="009968F5">
            <w:pPr>
              <w:overflowPunct/>
              <w:autoSpaceDE/>
              <w:autoSpaceDN/>
              <w:adjustRightInd/>
              <w:textAlignment w:val="auto"/>
              <w:rPr>
                <w:b/>
                <w:bCs/>
                <w:lang w:val="it-IT"/>
              </w:rPr>
            </w:pPr>
          </w:p>
        </w:tc>
      </w:tr>
      <w:tr w:rsidR="00CB74B6" w:rsidRPr="00CB74B6" w:rsidTr="00621C50">
        <w:trPr>
          <w:trHeight w:val="170"/>
        </w:trPr>
        <w:tc>
          <w:tcPr>
            <w:tcW w:w="8080" w:type="dxa"/>
            <w:tcBorders>
              <w:top w:val="single" w:sz="4" w:space="0" w:color="auto"/>
              <w:left w:val="nil"/>
              <w:bottom w:val="single" w:sz="4" w:space="0" w:color="auto"/>
              <w:right w:val="nil"/>
            </w:tcBorders>
            <w:shd w:val="clear" w:color="auto" w:fill="auto"/>
            <w:noWrap/>
            <w:vAlign w:val="bottom"/>
          </w:tcPr>
          <w:p w:rsidR="00CB74B6" w:rsidRPr="00DC5A4D" w:rsidRDefault="00CB74B6" w:rsidP="00CB74B6">
            <w:pPr>
              <w:overflowPunct/>
              <w:autoSpaceDE/>
              <w:autoSpaceDN/>
              <w:adjustRightInd/>
              <w:textAlignment w:val="auto"/>
              <w:rPr>
                <w:b/>
                <w:lang w:val="it-IT"/>
              </w:rPr>
            </w:pPr>
            <w:r w:rsidRPr="002B6200">
              <w:rPr>
                <w:lang w:val="it-IT"/>
              </w:rPr>
              <w:t>Ricavi provenienti da contratti con i clienti</w:t>
            </w:r>
          </w:p>
        </w:tc>
        <w:tc>
          <w:tcPr>
            <w:tcW w:w="779" w:type="dxa"/>
            <w:tcBorders>
              <w:top w:val="single" w:sz="4" w:space="0" w:color="auto"/>
              <w:left w:val="nil"/>
              <w:bottom w:val="single" w:sz="4" w:space="0" w:color="auto"/>
              <w:right w:val="nil"/>
            </w:tcBorders>
            <w:shd w:val="clear" w:color="auto" w:fill="auto"/>
            <w:noWrap/>
            <w:vAlign w:val="bottom"/>
          </w:tcPr>
          <w:p w:rsidR="00CB74B6" w:rsidRDefault="00CB74B6" w:rsidP="00CB74B6">
            <w:pPr>
              <w:overflowPunct/>
              <w:autoSpaceDE/>
              <w:autoSpaceDN/>
              <w:adjustRightInd/>
              <w:jc w:val="right"/>
              <w:textAlignment w:val="auto"/>
              <w:rPr>
                <w:b/>
                <w:bCs/>
                <w:lang w:val="it-IT"/>
              </w:rPr>
            </w:pPr>
            <w:r>
              <w:rPr>
                <w:b/>
                <w:bCs/>
                <w:lang w:val="it-IT"/>
              </w:rPr>
              <w:t>460</w:t>
            </w:r>
          </w:p>
        </w:tc>
        <w:tc>
          <w:tcPr>
            <w:tcW w:w="283" w:type="dxa"/>
            <w:tcBorders>
              <w:top w:val="single" w:sz="4" w:space="0" w:color="auto"/>
              <w:left w:val="nil"/>
              <w:bottom w:val="single" w:sz="4" w:space="0" w:color="auto"/>
              <w:right w:val="nil"/>
            </w:tcBorders>
            <w:shd w:val="clear" w:color="auto" w:fill="auto"/>
            <w:noWrap/>
          </w:tcPr>
          <w:p w:rsidR="00CB74B6" w:rsidRPr="00DC5A4D" w:rsidRDefault="00CB74B6" w:rsidP="00CB74B6">
            <w:pPr>
              <w:overflowPunct/>
              <w:autoSpaceDE/>
              <w:autoSpaceDN/>
              <w:adjustRightInd/>
              <w:jc w:val="center"/>
              <w:textAlignment w:val="auto"/>
              <w:rPr>
                <w:b/>
                <w:bCs/>
                <w:lang w:val="it-IT"/>
              </w:rPr>
            </w:pPr>
            <w:r w:rsidRPr="00DC5A4D">
              <w:rPr>
                <w:b/>
                <w:bCs/>
                <w:lang w:val="it-IT"/>
              </w:rPr>
              <w:t>-</w:t>
            </w:r>
          </w:p>
        </w:tc>
        <w:tc>
          <w:tcPr>
            <w:tcW w:w="764" w:type="dxa"/>
            <w:tcBorders>
              <w:top w:val="single" w:sz="4" w:space="0" w:color="auto"/>
              <w:left w:val="nil"/>
              <w:bottom w:val="single" w:sz="4" w:space="0" w:color="auto"/>
              <w:right w:val="nil"/>
            </w:tcBorders>
            <w:shd w:val="clear" w:color="auto" w:fill="auto"/>
            <w:noWrap/>
            <w:vAlign w:val="bottom"/>
          </w:tcPr>
          <w:p w:rsidR="00CB74B6" w:rsidRPr="00DC5A4D" w:rsidRDefault="00CB74B6" w:rsidP="00DC6B01">
            <w:pPr>
              <w:overflowPunct/>
              <w:autoSpaceDE/>
              <w:autoSpaceDN/>
              <w:adjustRightInd/>
              <w:textAlignment w:val="auto"/>
              <w:rPr>
                <w:b/>
                <w:bCs/>
                <w:lang w:val="it-IT"/>
              </w:rPr>
            </w:pPr>
            <w:r w:rsidRPr="00DC5A4D">
              <w:rPr>
                <w:b/>
                <w:bCs/>
                <w:lang w:val="it-IT"/>
              </w:rPr>
              <w:t>4</w:t>
            </w:r>
            <w:r w:rsidR="00944E23">
              <w:rPr>
                <w:b/>
                <w:bCs/>
                <w:lang w:val="it-IT"/>
              </w:rPr>
              <w:t>8</w:t>
            </w:r>
            <w:r w:rsidR="00DC6B01">
              <w:rPr>
                <w:b/>
                <w:bCs/>
                <w:lang w:val="it-IT"/>
              </w:rPr>
              <w:t>1</w:t>
            </w:r>
          </w:p>
        </w:tc>
      </w:tr>
    </w:tbl>
    <w:p w:rsidR="00CB74B6" w:rsidRDefault="00CB74B6">
      <w:pPr>
        <w:rPr>
          <w:lang w:val="it-IT"/>
        </w:rPr>
      </w:pPr>
    </w:p>
    <w:p w:rsidR="00CB74B6" w:rsidRDefault="00CB74B6">
      <w:pPr>
        <w:overflowPunct/>
        <w:autoSpaceDE/>
        <w:autoSpaceDN/>
        <w:adjustRightInd/>
        <w:spacing w:before="0" w:after="0" w:line="240" w:lineRule="auto"/>
        <w:jc w:val="left"/>
        <w:textAlignment w:val="auto"/>
        <w:rPr>
          <w:lang w:val="it-IT"/>
        </w:rPr>
      </w:pPr>
      <w:r>
        <w:rPr>
          <w:lang w:val="it-IT"/>
        </w:rPr>
        <w:br w:type="page"/>
      </w:r>
    </w:p>
    <w:p w:rsidR="00170C8D" w:rsidRPr="008A0F36" w:rsidRDefault="00170C8D">
      <w:pPr>
        <w:rPr>
          <w:lang w:val="it-IT"/>
        </w:rPr>
      </w:pPr>
    </w:p>
    <w:tbl>
      <w:tblPr>
        <w:tblW w:w="10206"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20" w:firstRow="1" w:lastRow="0" w:firstColumn="0" w:lastColumn="0" w:noHBand="0" w:noVBand="0"/>
      </w:tblPr>
      <w:tblGrid>
        <w:gridCol w:w="567"/>
        <w:gridCol w:w="851"/>
        <w:gridCol w:w="7079"/>
        <w:gridCol w:w="575"/>
        <w:gridCol w:w="567"/>
        <w:gridCol w:w="567"/>
      </w:tblGrid>
      <w:tr w:rsidR="00244630" w:rsidRPr="008A0F36" w:rsidTr="00940A6F">
        <w:trPr>
          <w:cantSplit/>
          <w:trHeight w:val="20"/>
          <w:tblHeader/>
        </w:trPr>
        <w:tc>
          <w:tcPr>
            <w:tcW w:w="567" w:type="dxa"/>
            <w:shd w:val="clear" w:color="auto" w:fill="F2F2F2" w:themeFill="background1" w:themeFillShade="F2"/>
          </w:tcPr>
          <w:p w:rsidR="00244630" w:rsidRPr="008A0F36" w:rsidRDefault="00244630" w:rsidP="000251BC">
            <w:pPr>
              <w:jc w:val="center"/>
              <w:rPr>
                <w:b/>
                <w:lang w:val="it-IT"/>
              </w:rPr>
            </w:pPr>
          </w:p>
        </w:tc>
        <w:tc>
          <w:tcPr>
            <w:tcW w:w="851" w:type="dxa"/>
            <w:shd w:val="clear" w:color="auto" w:fill="F2F2F2" w:themeFill="background1" w:themeFillShade="F2"/>
            <w:tcMar>
              <w:left w:w="108" w:type="dxa"/>
              <w:right w:w="0" w:type="dxa"/>
            </w:tcMar>
          </w:tcPr>
          <w:p w:rsidR="00244630" w:rsidRPr="008A0F36" w:rsidRDefault="00244630" w:rsidP="000251BC">
            <w:pPr>
              <w:jc w:val="center"/>
              <w:rPr>
                <w:b/>
                <w:lang w:val="it-IT"/>
              </w:rPr>
            </w:pPr>
          </w:p>
        </w:tc>
        <w:tc>
          <w:tcPr>
            <w:tcW w:w="7079" w:type="dxa"/>
            <w:shd w:val="clear" w:color="auto" w:fill="F2F2F2" w:themeFill="background1" w:themeFillShade="F2"/>
            <w:tcMar>
              <w:left w:w="108" w:type="dxa"/>
            </w:tcMar>
          </w:tcPr>
          <w:p w:rsidR="00244630" w:rsidRPr="008A0F36" w:rsidRDefault="00244630" w:rsidP="000251BC">
            <w:pPr>
              <w:jc w:val="center"/>
              <w:rPr>
                <w:b/>
                <w:lang w:val="it-IT"/>
              </w:rPr>
            </w:pPr>
          </w:p>
        </w:tc>
        <w:tc>
          <w:tcPr>
            <w:tcW w:w="575" w:type="dxa"/>
            <w:shd w:val="clear" w:color="auto" w:fill="F2F2F2" w:themeFill="background1" w:themeFillShade="F2"/>
            <w:tcMar>
              <w:left w:w="85" w:type="dxa"/>
              <w:right w:w="85" w:type="dxa"/>
            </w:tcMar>
            <w:vAlign w:val="bottom"/>
          </w:tcPr>
          <w:p w:rsidR="00244630" w:rsidRPr="008A0F36" w:rsidRDefault="00244630" w:rsidP="000251BC">
            <w:pPr>
              <w:jc w:val="center"/>
              <w:rPr>
                <w:b/>
                <w:lang w:val="it-IT"/>
              </w:rPr>
            </w:pPr>
            <w:r w:rsidRPr="008A0F36">
              <w:rPr>
                <w:b/>
                <w:lang w:val="it-IT"/>
              </w:rPr>
              <w:t>SI</w:t>
            </w:r>
          </w:p>
        </w:tc>
        <w:tc>
          <w:tcPr>
            <w:tcW w:w="567" w:type="dxa"/>
            <w:shd w:val="clear" w:color="auto" w:fill="F2F2F2" w:themeFill="background1" w:themeFillShade="F2"/>
            <w:tcMar>
              <w:left w:w="108" w:type="dxa"/>
            </w:tcMar>
            <w:vAlign w:val="bottom"/>
          </w:tcPr>
          <w:p w:rsidR="00244630" w:rsidRPr="008A0F36" w:rsidRDefault="00244630" w:rsidP="000251BC">
            <w:pPr>
              <w:jc w:val="center"/>
              <w:rPr>
                <w:b/>
                <w:lang w:val="it-IT"/>
              </w:rPr>
            </w:pPr>
            <w:r w:rsidRPr="008A0F36">
              <w:rPr>
                <w:b/>
                <w:lang w:val="it-IT"/>
              </w:rPr>
              <w:t>NO</w:t>
            </w:r>
          </w:p>
        </w:tc>
        <w:tc>
          <w:tcPr>
            <w:tcW w:w="567" w:type="dxa"/>
            <w:shd w:val="clear" w:color="auto" w:fill="F2F2F2" w:themeFill="background1" w:themeFillShade="F2"/>
            <w:tcMar>
              <w:left w:w="108" w:type="dxa"/>
            </w:tcMar>
            <w:vAlign w:val="bottom"/>
          </w:tcPr>
          <w:p w:rsidR="00244630" w:rsidRPr="008A0F36" w:rsidRDefault="00244630" w:rsidP="000251BC">
            <w:pPr>
              <w:jc w:val="center"/>
              <w:rPr>
                <w:b/>
                <w:lang w:val="it-IT"/>
              </w:rPr>
            </w:pPr>
            <w:r w:rsidRPr="008A0F36">
              <w:rPr>
                <w:b/>
                <w:lang w:val="it-IT"/>
              </w:rPr>
              <w:t>N/A</w:t>
            </w:r>
          </w:p>
        </w:tc>
      </w:tr>
      <w:tr w:rsidR="00093963" w:rsidRPr="008A0F36" w:rsidTr="00940A6F">
        <w:trPr>
          <w:cantSplit/>
          <w:trHeight w:val="20"/>
        </w:trPr>
        <w:tc>
          <w:tcPr>
            <w:tcW w:w="567" w:type="dxa"/>
            <w:vAlign w:val="center"/>
          </w:tcPr>
          <w:p w:rsidR="00093963" w:rsidRPr="008A0F36" w:rsidRDefault="00093963" w:rsidP="00937F72">
            <w:pPr>
              <w:jc w:val="left"/>
              <w:rPr>
                <w:lang w:val="it-IT"/>
              </w:rPr>
            </w:pPr>
          </w:p>
        </w:tc>
        <w:tc>
          <w:tcPr>
            <w:tcW w:w="851" w:type="dxa"/>
            <w:tcMar>
              <w:left w:w="108" w:type="dxa"/>
              <w:right w:w="0" w:type="dxa"/>
            </w:tcMar>
            <w:vAlign w:val="center"/>
          </w:tcPr>
          <w:p w:rsidR="00093963" w:rsidRPr="008A0F36" w:rsidRDefault="00093963" w:rsidP="00937F72">
            <w:pPr>
              <w:pStyle w:val="IAS"/>
              <w:jc w:val="left"/>
              <w:rPr>
                <w:lang w:val="it-IT"/>
              </w:rPr>
            </w:pPr>
          </w:p>
        </w:tc>
        <w:tc>
          <w:tcPr>
            <w:tcW w:w="7079" w:type="dxa"/>
            <w:tcMar>
              <w:left w:w="108" w:type="dxa"/>
            </w:tcMar>
            <w:vAlign w:val="center"/>
          </w:tcPr>
          <w:p w:rsidR="00093963" w:rsidRPr="008A0F36" w:rsidRDefault="00093963" w:rsidP="00937F72">
            <w:pPr>
              <w:pStyle w:val="Titolo1"/>
            </w:pPr>
            <w:r w:rsidRPr="008A0F36">
              <w:t>GENERALE</w:t>
            </w:r>
          </w:p>
        </w:tc>
        <w:tc>
          <w:tcPr>
            <w:tcW w:w="575" w:type="dxa"/>
            <w:tcMar>
              <w:left w:w="85" w:type="dxa"/>
              <w:right w:w="85" w:type="dxa"/>
            </w:tcMar>
            <w:vAlign w:val="center"/>
          </w:tcPr>
          <w:p w:rsidR="00093963" w:rsidRPr="008A0F36" w:rsidRDefault="00093963" w:rsidP="00937F72">
            <w:pPr>
              <w:jc w:val="left"/>
              <w:rPr>
                <w:lang w:val="it-IT"/>
              </w:rPr>
            </w:pPr>
          </w:p>
        </w:tc>
        <w:tc>
          <w:tcPr>
            <w:tcW w:w="567" w:type="dxa"/>
            <w:tcMar>
              <w:left w:w="108" w:type="dxa"/>
            </w:tcMar>
            <w:vAlign w:val="center"/>
          </w:tcPr>
          <w:p w:rsidR="00093963" w:rsidRPr="008A0F36" w:rsidRDefault="00093963" w:rsidP="00937F72">
            <w:pPr>
              <w:jc w:val="left"/>
              <w:rPr>
                <w:lang w:val="it-IT"/>
              </w:rPr>
            </w:pPr>
          </w:p>
        </w:tc>
        <w:tc>
          <w:tcPr>
            <w:tcW w:w="567" w:type="dxa"/>
            <w:tcMar>
              <w:left w:w="108" w:type="dxa"/>
            </w:tcMar>
            <w:vAlign w:val="center"/>
          </w:tcPr>
          <w:p w:rsidR="00093963" w:rsidRPr="008A0F36" w:rsidRDefault="00093963" w:rsidP="00937F72">
            <w:pPr>
              <w:jc w:val="left"/>
              <w:rPr>
                <w:lang w:val="it-IT"/>
              </w:rPr>
            </w:pPr>
          </w:p>
        </w:tc>
      </w:tr>
      <w:tr w:rsidR="004300E2" w:rsidRPr="00A44ECD" w:rsidTr="00940A6F">
        <w:trPr>
          <w:cantSplit/>
          <w:trHeight w:val="340"/>
        </w:trPr>
        <w:tc>
          <w:tcPr>
            <w:tcW w:w="567" w:type="dxa"/>
          </w:tcPr>
          <w:p w:rsidR="004300E2" w:rsidRDefault="004300E2" w:rsidP="004300E2">
            <w:pPr>
              <w:ind w:firstLine="57"/>
              <w:rPr>
                <w:lang w:val="it-IT"/>
              </w:rPr>
            </w:pPr>
          </w:p>
        </w:tc>
        <w:tc>
          <w:tcPr>
            <w:tcW w:w="851" w:type="dxa"/>
            <w:tcMar>
              <w:left w:w="108" w:type="dxa"/>
              <w:right w:w="0" w:type="dxa"/>
            </w:tcMar>
          </w:tcPr>
          <w:p w:rsidR="004300E2" w:rsidRPr="004300E2" w:rsidRDefault="004300E2" w:rsidP="004300E2">
            <w:pPr>
              <w:pStyle w:val="IAS"/>
              <w:rPr>
                <w:lang w:val="it-IT"/>
              </w:rPr>
            </w:pPr>
            <w:r w:rsidRPr="004300E2">
              <w:rPr>
                <w:lang w:val="it-IT"/>
              </w:rPr>
              <w:t>IAS 1.31</w:t>
            </w:r>
          </w:p>
        </w:tc>
        <w:tc>
          <w:tcPr>
            <w:tcW w:w="7079" w:type="dxa"/>
            <w:tcMar>
              <w:left w:w="108" w:type="dxa"/>
            </w:tcMar>
          </w:tcPr>
          <w:p w:rsidR="004300E2" w:rsidRPr="004300E2" w:rsidRDefault="004300E2" w:rsidP="005062DC">
            <w:pPr>
              <w:pStyle w:val="Paragarfobordato"/>
            </w:pPr>
            <w:r w:rsidRPr="004300E2">
              <w:t>Un’entità non è tenuta a fornire un’informativa specifica richiesta da un IFRS se le informazioni in essa contenute non sono rilevanti. Ciò vale anche se l’IFRS contiene un elenco di requisiti specifici o li descrive come requisiti minimi. L'entità è altresì tenuta a valutare se fornire informazioni integrative aggiuntive quando la conformità con le specifiche disposizioni degli IFRS è insufficiente per permettere agli utilizzatori del bilancio di comprendere l'impatto di particolari operazioni, altri fatti e condizioni sulla situazione patrimoniale-finanziaria e sul risultato economico dell'entità.</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4300E2" w:rsidRPr="00A44ECD" w:rsidTr="00940A6F">
        <w:trPr>
          <w:cantSplit/>
          <w:trHeight w:val="340"/>
        </w:trPr>
        <w:tc>
          <w:tcPr>
            <w:tcW w:w="567" w:type="dxa"/>
          </w:tcPr>
          <w:p w:rsidR="004300E2" w:rsidRDefault="004300E2" w:rsidP="004300E2">
            <w:pPr>
              <w:ind w:firstLine="57"/>
              <w:rPr>
                <w:lang w:val="it-IT"/>
              </w:rPr>
            </w:pPr>
          </w:p>
        </w:tc>
        <w:tc>
          <w:tcPr>
            <w:tcW w:w="851" w:type="dxa"/>
            <w:tcMar>
              <w:left w:w="108" w:type="dxa"/>
              <w:right w:w="0" w:type="dxa"/>
            </w:tcMar>
          </w:tcPr>
          <w:p w:rsidR="004300E2" w:rsidRPr="004300E2" w:rsidRDefault="004300E2" w:rsidP="004300E2">
            <w:pPr>
              <w:pStyle w:val="IAS"/>
              <w:rPr>
                <w:lang w:val="it-IT"/>
              </w:rPr>
            </w:pPr>
            <w:r w:rsidRPr="004300E2">
              <w:rPr>
                <w:lang w:val="it-IT"/>
              </w:rPr>
              <w:t>IAS 1.30A</w:t>
            </w:r>
          </w:p>
        </w:tc>
        <w:tc>
          <w:tcPr>
            <w:tcW w:w="7079" w:type="dxa"/>
            <w:tcMar>
              <w:left w:w="108" w:type="dxa"/>
            </w:tcMar>
          </w:tcPr>
          <w:p w:rsidR="004300E2" w:rsidRPr="004300E2" w:rsidRDefault="004300E2" w:rsidP="005062DC">
            <w:pPr>
              <w:pStyle w:val="Paragarfobordato"/>
            </w:pPr>
            <w:r w:rsidRPr="004300E2">
              <w:t>Nell’applicare lo IAS 1 e gli altri IFRS, l’entità deve considerare tutti i fatti e le circostanze per decidere in che modo aggregare le informazioni nel bilancio, note comprese. L’entità non deve ridurre la comprensibilità del proprio bilancio occultando informazioni rilevanti mediante informazioni irrilevanti o aggregando voci significative che hanno natura o funzioni differenti.</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66483E" w:rsidRPr="008129DA" w:rsidTr="00940A6F">
        <w:trPr>
          <w:cantSplit/>
          <w:trHeight w:val="20"/>
        </w:trPr>
        <w:tc>
          <w:tcPr>
            <w:tcW w:w="567" w:type="dxa"/>
          </w:tcPr>
          <w:p w:rsidR="0066483E" w:rsidRPr="008A0F36" w:rsidRDefault="0066483E" w:rsidP="004300E2">
            <w:pPr>
              <w:pStyle w:val="Numeroelenco"/>
              <w:ind w:left="0" w:firstLine="57"/>
              <w:rPr>
                <w:lang w:val="it-IT"/>
              </w:rPr>
            </w:pPr>
          </w:p>
        </w:tc>
        <w:tc>
          <w:tcPr>
            <w:tcW w:w="851" w:type="dxa"/>
            <w:tcMar>
              <w:left w:w="108" w:type="dxa"/>
              <w:right w:w="0" w:type="dxa"/>
            </w:tcMar>
          </w:tcPr>
          <w:p w:rsidR="0066483E" w:rsidRPr="008A0F36" w:rsidRDefault="0066483E" w:rsidP="004300E2">
            <w:pPr>
              <w:pStyle w:val="IAS"/>
              <w:rPr>
                <w:lang w:val="it-IT"/>
              </w:rPr>
            </w:pPr>
            <w:r w:rsidRPr="008A0F36">
              <w:rPr>
                <w:lang w:val="it-IT"/>
              </w:rPr>
              <w:t>IAS 1.49</w:t>
            </w:r>
          </w:p>
        </w:tc>
        <w:tc>
          <w:tcPr>
            <w:tcW w:w="7079" w:type="dxa"/>
            <w:tcMar>
              <w:left w:w="108" w:type="dxa"/>
            </w:tcMar>
          </w:tcPr>
          <w:p w:rsidR="0066483E" w:rsidRPr="008A0F36" w:rsidRDefault="0066483E" w:rsidP="004300E2">
            <w:pPr>
              <w:rPr>
                <w:lang w:val="it-IT"/>
              </w:rPr>
            </w:pPr>
            <w:r w:rsidRPr="008A0F36">
              <w:rPr>
                <w:lang w:val="it-IT"/>
              </w:rPr>
              <w:t>Un’entità deve chiaramente identificare il bilancio e distinguerlo dalle altre informazioni contenute nel medesimo documento pubblicato.</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1.10</w:t>
            </w:r>
          </w:p>
        </w:tc>
        <w:tc>
          <w:tcPr>
            <w:tcW w:w="7079" w:type="dxa"/>
            <w:tcMar>
              <w:left w:w="108" w:type="dxa"/>
            </w:tcMar>
          </w:tcPr>
          <w:p w:rsidR="004300E2" w:rsidRPr="008A0F36" w:rsidRDefault="004300E2" w:rsidP="004300E2">
            <w:pPr>
              <w:rPr>
                <w:lang w:val="it-IT"/>
              </w:rPr>
            </w:pPr>
            <w:r w:rsidRPr="008A0F36">
              <w:rPr>
                <w:lang w:val="it-IT"/>
              </w:rPr>
              <w:t>Il bilancio include e identifica chiaramente:</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 xml:space="preserve">un prospetto della situazione patrimoniale-finanziaria alla </w:t>
            </w:r>
            <w:r>
              <w:t>fine</w:t>
            </w:r>
            <w:r w:rsidRPr="008A0F36">
              <w:t xml:space="preserve"> dell’esercizio</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460C3D">
              <w:t>un prospetto dell'</w:t>
            </w:r>
            <w:r>
              <w:t>utile/(perdita)</w:t>
            </w:r>
            <w:r w:rsidRPr="00460C3D">
              <w:t xml:space="preserve"> d'esercizio e delle altre componenti di conto economico complessivo</w:t>
            </w:r>
            <w:r>
              <w:t xml:space="preserve"> dell’esercizio</w:t>
            </w:r>
          </w:p>
        </w:tc>
        <w:tc>
          <w:tcPr>
            <w:tcW w:w="575" w:type="dxa"/>
            <w:tcMar>
              <w:left w:w="85" w:type="dxa"/>
              <w:right w:w="85" w:type="dxa"/>
            </w:tcMar>
            <w:vAlign w:val="center"/>
          </w:tcPr>
          <w:p w:rsidR="0066483E" w:rsidRPr="00FF19F7"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725691"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725691"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un prospetto delle variazioni di patrimonio netto dell’esercizio</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A0F36"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un rendiconto finanziario dell’esercizio</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 xml:space="preserve">note, </w:t>
            </w:r>
            <w:r>
              <w:t xml:space="preserve">che </w:t>
            </w:r>
            <w:r w:rsidRPr="008A0F36">
              <w:t>conten</w:t>
            </w:r>
            <w:r>
              <w:t>gano</w:t>
            </w:r>
            <w:r w:rsidRPr="008A0F36">
              <w:t xml:space="preserve"> i principi contabili rilevanti e altre informazioni esplicative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r>
              <w:rPr>
                <w:lang w:val="it-IT"/>
              </w:rPr>
              <w:t>IAS 1 38-38A</w:t>
            </w:r>
          </w:p>
        </w:tc>
        <w:tc>
          <w:tcPr>
            <w:tcW w:w="7079" w:type="dxa"/>
            <w:tcMar>
              <w:left w:w="108" w:type="dxa"/>
            </w:tcMar>
          </w:tcPr>
          <w:p w:rsidR="0066483E" w:rsidRPr="004F522B" w:rsidRDefault="0066483E" w:rsidP="004300E2">
            <w:pPr>
              <w:pStyle w:val="Rientroa"/>
            </w:pPr>
            <w:r w:rsidRPr="004F522B">
              <w:t>le informazioni comparative rispetto all’esercizio precedente, come specificato nei paragrafi 38 e 38A dello IAS 1 (vedi punti 12-14)</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r>
              <w:rPr>
                <w:lang w:val="it-IT"/>
              </w:rPr>
              <w:t>IAS 1 40A-40D</w:t>
            </w:r>
          </w:p>
        </w:tc>
        <w:tc>
          <w:tcPr>
            <w:tcW w:w="7079" w:type="dxa"/>
            <w:tcMar>
              <w:left w:w="108" w:type="dxa"/>
            </w:tcMar>
          </w:tcPr>
          <w:p w:rsidR="0066483E" w:rsidRPr="004F522B" w:rsidRDefault="0066483E" w:rsidP="00CC3578">
            <w:pPr>
              <w:pStyle w:val="Rientroa"/>
            </w:pPr>
            <w:r w:rsidRPr="004F522B">
              <w:t>un prospetto della situazione patrimoniale-finanziaria all’inizio dell’esercizio precedente quando un’entità:</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Puntoelenco"/>
              <w:ind w:hanging="322"/>
            </w:pPr>
            <w:r w:rsidRPr="008A0F36">
              <w:t>applica un principio contabile retroattivamente; o</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Puntoelenco"/>
              <w:ind w:hanging="322"/>
            </w:pPr>
            <w:r>
              <w:t xml:space="preserve">ridetermina </w:t>
            </w:r>
            <w:r w:rsidRPr="008A0F36">
              <w:t>retroattiva</w:t>
            </w:r>
            <w:r>
              <w:t>mente</w:t>
            </w:r>
            <w:r w:rsidRPr="008A0F36">
              <w:t xml:space="preserve"> </w:t>
            </w:r>
            <w:r>
              <w:t>le voci nel proprio</w:t>
            </w:r>
            <w:r w:rsidRPr="008A0F36">
              <w:t xml:space="preserve"> bilancio</w:t>
            </w:r>
            <w:r>
              <w:t>,</w:t>
            </w:r>
            <w:r w:rsidRPr="008A0F36">
              <w:t xml:space="preserve"> oppure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Puntoelenco"/>
              <w:ind w:hanging="322"/>
            </w:pPr>
            <w:r w:rsidRPr="008A0F36">
              <w:t xml:space="preserve">riclassifica </w:t>
            </w:r>
            <w:r>
              <w:t xml:space="preserve">le </w:t>
            </w:r>
            <w:r w:rsidRPr="008A0F36">
              <w:t xml:space="preserve">voci </w:t>
            </w:r>
            <w:r>
              <w:t xml:space="preserve">nel </w:t>
            </w:r>
            <w:r w:rsidRPr="008A0F36">
              <w:t>proprio bilancio</w:t>
            </w:r>
            <w:r>
              <w:t xml:space="preserve"> in conformità ai paragrafi 40A-40D dello IAS 1 (vedi punto 15)</w:t>
            </w:r>
            <w:r w:rsidRPr="008A0F36">
              <w:t>.</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624"/>
        </w:trPr>
        <w:tc>
          <w:tcPr>
            <w:tcW w:w="567" w:type="dxa"/>
          </w:tcPr>
          <w:p w:rsidR="004300E2" w:rsidRPr="008A0F36" w:rsidRDefault="004300E2" w:rsidP="004300E2">
            <w:pPr>
              <w:ind w:firstLine="57"/>
              <w:rPr>
                <w:lang w:val="it-IT"/>
              </w:rPr>
            </w:pPr>
          </w:p>
        </w:tc>
        <w:tc>
          <w:tcPr>
            <w:tcW w:w="851" w:type="dxa"/>
            <w:tcMar>
              <w:left w:w="108" w:type="dxa"/>
              <w:right w:w="0" w:type="dxa"/>
            </w:tcMar>
          </w:tcPr>
          <w:p w:rsidR="004300E2" w:rsidRDefault="004300E2" w:rsidP="004300E2">
            <w:pPr>
              <w:pStyle w:val="IAS"/>
              <w:rPr>
                <w:lang w:val="it-IT"/>
              </w:rPr>
            </w:pPr>
            <w:r w:rsidRPr="008A0F36">
              <w:rPr>
                <w:lang w:val="it-IT"/>
              </w:rPr>
              <w:t>IAS 1.1</w:t>
            </w:r>
            <w:r>
              <w:rPr>
                <w:lang w:val="it-IT"/>
              </w:rPr>
              <w:t>0A</w:t>
            </w:r>
          </w:p>
          <w:p w:rsidR="004300E2" w:rsidRPr="008A0F36" w:rsidRDefault="004300E2" w:rsidP="004300E2">
            <w:pPr>
              <w:pStyle w:val="IAS"/>
              <w:rPr>
                <w:lang w:val="it-IT"/>
              </w:rPr>
            </w:pPr>
          </w:p>
        </w:tc>
        <w:tc>
          <w:tcPr>
            <w:tcW w:w="7079" w:type="dxa"/>
            <w:tcMar>
              <w:left w:w="108" w:type="dxa"/>
            </w:tcMar>
          </w:tcPr>
          <w:p w:rsidR="004300E2" w:rsidRPr="008A0F36" w:rsidRDefault="004300E2" w:rsidP="005062DC">
            <w:pPr>
              <w:pStyle w:val="Paragarfobordato"/>
            </w:pPr>
            <w:r w:rsidRPr="00CD54F9">
              <w:t xml:space="preserve">Un'entità può </w:t>
            </w:r>
            <w:r w:rsidRPr="0078772D">
              <w:t>presentare un unico prospetto dell'</w:t>
            </w:r>
            <w:r>
              <w:t>utile/(perdita)</w:t>
            </w:r>
            <w:r w:rsidRPr="0078772D">
              <w:t xml:space="preserve"> d'esercizio e delle altre componenti di conto economico complessivo</w:t>
            </w:r>
            <w:r>
              <w:t>,</w:t>
            </w:r>
            <w:r w:rsidRPr="0078772D">
              <w:t xml:space="preserve"> in cui l'</w:t>
            </w:r>
            <w:r>
              <w:t>utile/(perdita)</w:t>
            </w:r>
            <w:r w:rsidRPr="0078772D">
              <w:t xml:space="preserve"> d'esercizio e le altre componenti di conto economico complessivo sono presentati in due sezioni distinte</w:t>
            </w:r>
            <w:r>
              <w:t>. Le sezioni</w:t>
            </w:r>
            <w:r w:rsidRPr="00CD54F9">
              <w:t xml:space="preserve"> devono essere presentate insieme rappresentando prima la sezione dell'</w:t>
            </w:r>
            <w:r>
              <w:t>utile/(perdita)</w:t>
            </w:r>
            <w:r w:rsidRPr="00CD54F9">
              <w:t xml:space="preserve"> d'esercizio, seguita immediatamente da quella delle altre componenti di conto economico complessivo. Un'entità può presentare la sezione dell'</w:t>
            </w:r>
            <w:r>
              <w:t>utile/(perdita)</w:t>
            </w:r>
            <w:r w:rsidRPr="00CD54F9">
              <w:t xml:space="preserve"> d'esercizio in un prospetto distinto dell'</w:t>
            </w:r>
            <w:r>
              <w:t>utile/(perdita)</w:t>
            </w:r>
            <w:r w:rsidRPr="00CD54F9">
              <w:t xml:space="preserve"> d'esercizio. In tal caso, il prospetto distinto dell'</w:t>
            </w:r>
            <w:r>
              <w:t>utile/(perdita)</w:t>
            </w:r>
            <w:r w:rsidRPr="00CD54F9">
              <w:t xml:space="preserve"> d'esercizio dovrà immediatamente precedere il prospetto che rappresenta il conto economico complessivo, che dovrà iniziare con l'utile</w:t>
            </w:r>
            <w:r>
              <w:t>/(</w:t>
            </w:r>
            <w:r w:rsidRPr="00CD54F9">
              <w:t>perdita</w:t>
            </w:r>
            <w:r>
              <w:t>)</w:t>
            </w:r>
            <w:r w:rsidRPr="00CD54F9">
              <w:t xml:space="preserve"> </w:t>
            </w:r>
            <w:r>
              <w:t>d’esercizio</w:t>
            </w:r>
            <w:r w:rsidRPr="00CD54F9">
              <w:t>.</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4300E2" w:rsidRPr="00A44ECD" w:rsidTr="00940A6F">
        <w:trPr>
          <w:cantSplit/>
          <w:trHeight w:val="340"/>
        </w:trPr>
        <w:tc>
          <w:tcPr>
            <w:tcW w:w="567" w:type="dxa"/>
          </w:tcPr>
          <w:p w:rsidR="004300E2" w:rsidRPr="008A0F36" w:rsidRDefault="004300E2" w:rsidP="004300E2">
            <w:pPr>
              <w:ind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1.8</w:t>
            </w:r>
          </w:p>
        </w:tc>
        <w:tc>
          <w:tcPr>
            <w:tcW w:w="7079" w:type="dxa"/>
            <w:tcMar>
              <w:left w:w="108" w:type="dxa"/>
            </w:tcMar>
          </w:tcPr>
          <w:p w:rsidR="004300E2" w:rsidRPr="008A0F36" w:rsidRDefault="004300E2" w:rsidP="005062DC">
            <w:pPr>
              <w:pStyle w:val="Paragarfobordato"/>
            </w:pPr>
            <w:r w:rsidRPr="008A0F36">
              <w:t>Sebbene lo IAS 1 utilizzi i termini “</w:t>
            </w:r>
            <w:r>
              <w:t xml:space="preserve">altre componenti di </w:t>
            </w:r>
            <w:r w:rsidRPr="008A0F36">
              <w:t>economico complessivo”, “utile/(perdita) d’esercizio” e “totale conto economico complessivo”, un’entità può utilizzare altri termini per descrivere i totali purché il significato sia chiaro. Per esempio, per descrivere l’utile o la perdita, un’entità può utilizzare il termine “utile netto”.</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4300E2" w:rsidRPr="00A44ECD" w:rsidTr="00940A6F">
        <w:trPr>
          <w:cantSplit/>
          <w:trHeight w:val="340"/>
        </w:trPr>
        <w:tc>
          <w:tcPr>
            <w:tcW w:w="567" w:type="dxa"/>
          </w:tcPr>
          <w:p w:rsidR="004300E2" w:rsidRPr="008A0F36" w:rsidRDefault="004300E2" w:rsidP="004300E2">
            <w:pPr>
              <w:ind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1.10</w:t>
            </w:r>
          </w:p>
        </w:tc>
        <w:tc>
          <w:tcPr>
            <w:tcW w:w="7079" w:type="dxa"/>
            <w:tcMar>
              <w:left w:w="108" w:type="dxa"/>
            </w:tcMar>
          </w:tcPr>
          <w:p w:rsidR="004300E2" w:rsidRPr="004A678D" w:rsidRDefault="004300E2" w:rsidP="005062DC">
            <w:pPr>
              <w:pStyle w:val="Paragarfobordato"/>
            </w:pPr>
            <w:r w:rsidRPr="00251283">
              <w:t xml:space="preserve">Un'entità può utilizzare per i prospetti titoli diversi da quelli usati dallo IAS 1. Per esempio, un'entità può utilizzare il titolo </w:t>
            </w:r>
            <w:r w:rsidRPr="00251283">
              <w:rPr>
                <w:rFonts w:ascii="Helvetica Linotype" w:hAnsi="Helvetica Linotype" w:cs="Helvetica Linotype"/>
              </w:rPr>
              <w:t>"</w:t>
            </w:r>
            <w:r w:rsidRPr="00251283">
              <w:t>prospetto di conto economico complessivo</w:t>
            </w:r>
            <w:r w:rsidRPr="00251283">
              <w:rPr>
                <w:rFonts w:ascii="Helvetica Linotype" w:hAnsi="Helvetica Linotype" w:cs="Helvetica Linotype"/>
              </w:rPr>
              <w:t xml:space="preserve">" </w:t>
            </w:r>
            <w:r w:rsidRPr="00251283">
              <w:t xml:space="preserve">piuttosto che </w:t>
            </w:r>
            <w:r w:rsidRPr="00251283">
              <w:rPr>
                <w:rFonts w:ascii="Helvetica Linotype" w:hAnsi="Helvetica Linotype" w:cs="Helvetica Linotype"/>
              </w:rPr>
              <w:t>"</w:t>
            </w:r>
            <w:r w:rsidRPr="00251283">
              <w:t>prospetto dell'utile/(perdita) d'esercizio e delle altre componenti di conto economico complessivo</w:t>
            </w:r>
            <w:r w:rsidRPr="00251283">
              <w:rPr>
                <w:rFonts w:ascii="Helvetica Linotype" w:hAnsi="Helvetica Linotype" w:cs="Helvetica Linotype"/>
              </w:rPr>
              <w:t>"</w:t>
            </w:r>
            <w:r w:rsidRPr="00251283">
              <w:t>.</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4300E2" w:rsidRPr="00A44ECD" w:rsidTr="00940A6F">
        <w:trPr>
          <w:cantSplit/>
          <w:trHeight w:val="20"/>
        </w:trPr>
        <w:tc>
          <w:tcPr>
            <w:tcW w:w="567" w:type="dxa"/>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1.51</w:t>
            </w:r>
          </w:p>
        </w:tc>
        <w:tc>
          <w:tcPr>
            <w:tcW w:w="7079" w:type="dxa"/>
            <w:tcMar>
              <w:left w:w="108" w:type="dxa"/>
            </w:tcMar>
            <w:vAlign w:val="center"/>
          </w:tcPr>
          <w:p w:rsidR="004300E2" w:rsidRPr="008A0F36" w:rsidRDefault="004300E2" w:rsidP="004300E2">
            <w:pPr>
              <w:rPr>
                <w:lang w:val="it-IT"/>
              </w:rPr>
            </w:pPr>
            <w:r w:rsidRPr="008A0F36">
              <w:rPr>
                <w:lang w:val="it-IT"/>
              </w:rPr>
              <w:t>Le seguenti informazioni sono evidenziate e quando necessario ripetute per una corretta comprensione dell’informativa presentata:</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numPr>
                <w:ilvl w:val="0"/>
                <w:numId w:val="4"/>
              </w:numPr>
            </w:pPr>
            <w:r w:rsidRPr="008A0F36">
              <w:t>denominazione dell’entità che redige il bilancio o altro mezzo d’identificazione e ogni eventuale cambiamento in tale informativa dalla data di chiusura dell’esercizio precedente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se il bilancio riguarda la singola entità o un gruppo di entità</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la data di chiusura dell’esercizio o il periodo di riferimento coperto dal bilancio e dalle note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r w:rsidRPr="008A0F36">
              <w:rPr>
                <w:lang w:val="it-IT"/>
              </w:rPr>
              <w:t>IAS 21.8</w:t>
            </w:r>
          </w:p>
        </w:tc>
        <w:tc>
          <w:tcPr>
            <w:tcW w:w="7079" w:type="dxa"/>
            <w:tcMar>
              <w:left w:w="108" w:type="dxa"/>
            </w:tcMar>
          </w:tcPr>
          <w:p w:rsidR="0066483E" w:rsidRPr="008A0F36" w:rsidRDefault="0066483E" w:rsidP="004300E2">
            <w:pPr>
              <w:pStyle w:val="Rientroa"/>
            </w:pPr>
            <w:r w:rsidRPr="008A0F36">
              <w:t>la moneta di presentazione, come definita nello IAS 21; 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il livello di arrotondamento utilizzato nel presentare gli importi nel bilancio.</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Pr="008A0F36" w:rsidRDefault="004300E2" w:rsidP="004300E2">
            <w:pPr>
              <w:ind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1.52</w:t>
            </w:r>
          </w:p>
        </w:tc>
        <w:tc>
          <w:tcPr>
            <w:tcW w:w="7079" w:type="dxa"/>
            <w:tcMar>
              <w:left w:w="108" w:type="dxa"/>
            </w:tcMar>
          </w:tcPr>
          <w:p w:rsidR="004300E2" w:rsidRPr="008A0F36" w:rsidRDefault="004300E2" w:rsidP="005062DC">
            <w:pPr>
              <w:pStyle w:val="Paragarfobordato"/>
            </w:pPr>
            <w:r w:rsidRPr="008A0F36">
              <w:t>Le disposizioni dello IAS 1.51 sono normalmente soddisfatte presentando appropriate intestazioni di pagina, prospetto, note, colonne e simili.</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4300E2" w:rsidRPr="00A44ECD" w:rsidTr="00940A6F">
        <w:trPr>
          <w:cantSplit/>
          <w:trHeight w:val="20"/>
        </w:trPr>
        <w:tc>
          <w:tcPr>
            <w:tcW w:w="567" w:type="dxa"/>
          </w:tcPr>
          <w:p w:rsidR="004300E2" w:rsidRPr="008A0F36" w:rsidRDefault="004300E2" w:rsidP="004300E2">
            <w:pPr>
              <w:ind w:firstLine="57"/>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Pr="008A0F36" w:rsidRDefault="004300E2" w:rsidP="004300E2">
            <w:pPr>
              <w:pStyle w:val="Titolo2"/>
              <w:rPr>
                <w:lang w:val="it-IT"/>
              </w:rPr>
            </w:pPr>
            <w:r w:rsidRPr="008A0F36">
              <w:rPr>
                <w:lang w:val="it-IT"/>
              </w:rPr>
              <w:t>Informativa sull</w:t>
            </w:r>
            <w:r w:rsidRPr="008A0F36">
              <w:rPr>
                <w:b w:val="0"/>
                <w:lang w:val="it-IT"/>
              </w:rPr>
              <w:t>’</w:t>
            </w:r>
            <w:r w:rsidRPr="008A0F36">
              <w:rPr>
                <w:lang w:val="it-IT"/>
              </w:rPr>
              <w:t>entità che redige il bilancio</w:t>
            </w:r>
          </w:p>
        </w:tc>
        <w:tc>
          <w:tcPr>
            <w:tcW w:w="575" w:type="dxa"/>
            <w:tcMar>
              <w:left w:w="85" w:type="dxa"/>
              <w:right w:w="85" w:type="dxa"/>
            </w:tcMar>
            <w:vAlign w:val="center"/>
          </w:tcPr>
          <w:p w:rsidR="004300E2" w:rsidRPr="006F1EF4" w:rsidRDefault="004300E2" w:rsidP="004300E2">
            <w:pPr>
              <w:jc w:val="center"/>
              <w:rPr>
                <w:lang w:val="it-IT"/>
              </w:rPr>
            </w:pPr>
          </w:p>
        </w:tc>
        <w:tc>
          <w:tcPr>
            <w:tcW w:w="567" w:type="dxa"/>
            <w:tcMar>
              <w:left w:w="108" w:type="dxa"/>
            </w:tcMar>
            <w:vAlign w:val="center"/>
          </w:tcPr>
          <w:p w:rsidR="004300E2" w:rsidRPr="006F1EF4" w:rsidRDefault="004300E2" w:rsidP="004300E2">
            <w:pPr>
              <w:jc w:val="center"/>
              <w:rPr>
                <w:lang w:val="it-IT"/>
              </w:rPr>
            </w:pPr>
          </w:p>
        </w:tc>
        <w:tc>
          <w:tcPr>
            <w:tcW w:w="567" w:type="dxa"/>
            <w:tcMar>
              <w:left w:w="108" w:type="dxa"/>
            </w:tcMar>
            <w:vAlign w:val="center"/>
          </w:tcPr>
          <w:p w:rsidR="004300E2" w:rsidRPr="006F1EF4" w:rsidRDefault="004300E2" w:rsidP="004300E2">
            <w:pPr>
              <w:jc w:val="center"/>
              <w:rPr>
                <w:lang w:val="it-IT"/>
              </w:rPr>
            </w:pPr>
          </w:p>
        </w:tc>
      </w:tr>
      <w:tr w:rsidR="004300E2" w:rsidRPr="00A44ECD" w:rsidTr="00940A6F">
        <w:trPr>
          <w:cantSplit/>
          <w:trHeight w:val="20"/>
        </w:trPr>
        <w:tc>
          <w:tcPr>
            <w:tcW w:w="567" w:type="dxa"/>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1.138</w:t>
            </w:r>
          </w:p>
        </w:tc>
        <w:tc>
          <w:tcPr>
            <w:tcW w:w="7079" w:type="dxa"/>
            <w:tcMar>
              <w:left w:w="108" w:type="dxa"/>
            </w:tcMar>
          </w:tcPr>
          <w:p w:rsidR="004300E2" w:rsidRPr="008A0F36" w:rsidRDefault="004300E2" w:rsidP="004300E2">
            <w:pPr>
              <w:rPr>
                <w:lang w:val="it-IT"/>
              </w:rPr>
            </w:pPr>
            <w:r w:rsidRPr="008A0F36">
              <w:rPr>
                <w:lang w:val="it-IT"/>
              </w:rPr>
              <w:t xml:space="preserve">L’entità indica le seguenti informazioni, se non già illustrate in altre parti dell’informativa pubblicata con il bilancio: </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66483E" w:rsidRPr="008A0F36"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numPr>
                <w:ilvl w:val="0"/>
                <w:numId w:val="5"/>
              </w:numPr>
            </w:pPr>
            <w:r w:rsidRPr="008A0F36">
              <w:t>la sede dell’entità</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A0F36"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la forma giuridica dell’entità</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 xml:space="preserve">il </w:t>
            </w:r>
            <w:r>
              <w:t>p</w:t>
            </w:r>
            <w:r w:rsidRPr="008A0F36">
              <w:t>aese in cui l’entità è registrata</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l’indirizzo della propria sede legale (o del principale luogo di svolgimento delle attività, se diverso dalla sede legale)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la descrizione della natura dell’attività dell’entità e delle sue principali operazioni</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se si tratta di un’entità costituita a tempo determinato, informazioni in merito alla sua durata</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la ragione sociale della controllante; 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 xml:space="preserve">la ragione sociale dell’ultima entità </w:t>
            </w:r>
            <w:r>
              <w:t>c</w:t>
            </w:r>
            <w:r w:rsidRPr="008A0F36">
              <w:t>apogruppo.</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A0F36" w:rsidTr="00940A6F">
        <w:trPr>
          <w:cantSplit/>
          <w:trHeight w:val="20"/>
        </w:trPr>
        <w:tc>
          <w:tcPr>
            <w:tcW w:w="567" w:type="dxa"/>
          </w:tcPr>
          <w:p w:rsidR="004300E2" w:rsidRPr="008A0F36" w:rsidRDefault="004300E2" w:rsidP="004300E2">
            <w:pPr>
              <w:ind w:firstLine="57"/>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Pr="008A0F36" w:rsidRDefault="004300E2" w:rsidP="004300E2">
            <w:pPr>
              <w:pStyle w:val="Titolo2"/>
              <w:keepNext w:val="0"/>
              <w:rPr>
                <w:lang w:val="it-IT"/>
              </w:rPr>
            </w:pPr>
            <w:r w:rsidRPr="008A0F36">
              <w:rPr>
                <w:lang w:val="it-IT"/>
              </w:rPr>
              <w:t>Conformità agli International Financial Reporting Standards (IFRS)</w:t>
            </w:r>
          </w:p>
        </w:tc>
        <w:tc>
          <w:tcPr>
            <w:tcW w:w="575" w:type="dxa"/>
            <w:tcMar>
              <w:left w:w="85" w:type="dxa"/>
              <w:right w:w="85" w:type="dxa"/>
            </w:tcMar>
            <w:vAlign w:val="bottom"/>
          </w:tcPr>
          <w:p w:rsidR="004300E2" w:rsidRPr="008A0F36" w:rsidRDefault="004300E2" w:rsidP="004300E2">
            <w:pPr>
              <w:rPr>
                <w:lang w:val="it-IT"/>
              </w:rPr>
            </w:pPr>
          </w:p>
        </w:tc>
        <w:tc>
          <w:tcPr>
            <w:tcW w:w="567" w:type="dxa"/>
            <w:tcMar>
              <w:left w:w="108" w:type="dxa"/>
            </w:tcMar>
            <w:vAlign w:val="bottom"/>
          </w:tcPr>
          <w:p w:rsidR="004300E2" w:rsidRPr="008A0F36" w:rsidRDefault="004300E2" w:rsidP="004300E2">
            <w:pPr>
              <w:rPr>
                <w:lang w:val="it-IT"/>
              </w:rPr>
            </w:pPr>
          </w:p>
        </w:tc>
        <w:tc>
          <w:tcPr>
            <w:tcW w:w="567" w:type="dxa"/>
            <w:tcMar>
              <w:left w:w="108" w:type="dxa"/>
            </w:tcMar>
            <w:vAlign w:val="bottom"/>
          </w:tcPr>
          <w:p w:rsidR="004300E2" w:rsidRPr="008A0F36" w:rsidRDefault="004300E2" w:rsidP="004300E2">
            <w:pPr>
              <w:rPr>
                <w:lang w:val="it-IT"/>
              </w:rPr>
            </w:pPr>
          </w:p>
        </w:tc>
      </w:tr>
      <w:tr w:rsidR="004300E2" w:rsidRPr="00A44ECD" w:rsidTr="00940A6F">
        <w:trPr>
          <w:cantSplit/>
          <w:trHeight w:val="20"/>
        </w:trPr>
        <w:tc>
          <w:tcPr>
            <w:tcW w:w="567" w:type="dxa"/>
          </w:tcPr>
          <w:p w:rsidR="004300E2" w:rsidRPr="00251283" w:rsidRDefault="004300E2" w:rsidP="004300E2">
            <w:pPr>
              <w:pStyle w:val="Numeroelenco"/>
              <w:numPr>
                <w:ilvl w:val="0"/>
                <w:numId w:val="0"/>
              </w:numPr>
              <w:ind w:left="644" w:hanging="360"/>
              <w:rPr>
                <w:highlight w:val="yellow"/>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1.15</w:t>
            </w:r>
          </w:p>
          <w:p w:rsidR="004300E2" w:rsidRPr="008A0F36" w:rsidRDefault="004300E2" w:rsidP="004300E2">
            <w:pPr>
              <w:pStyle w:val="IAS"/>
              <w:rPr>
                <w:lang w:val="it-IT"/>
              </w:rPr>
            </w:pPr>
            <w:r w:rsidRPr="008A0F36">
              <w:rPr>
                <w:lang w:val="it-IT"/>
              </w:rPr>
              <w:t>IAS 1.17</w:t>
            </w:r>
          </w:p>
          <w:p w:rsidR="004300E2" w:rsidRPr="008A0F36" w:rsidRDefault="004300E2" w:rsidP="004300E2">
            <w:pPr>
              <w:pStyle w:val="IAS"/>
              <w:rPr>
                <w:lang w:val="it-IT"/>
              </w:rPr>
            </w:pPr>
            <w:r w:rsidRPr="008A0F36">
              <w:rPr>
                <w:lang w:val="it-IT"/>
              </w:rPr>
              <w:t>IAS 1.112</w:t>
            </w:r>
          </w:p>
        </w:tc>
        <w:tc>
          <w:tcPr>
            <w:tcW w:w="7079" w:type="dxa"/>
            <w:tcMar>
              <w:left w:w="108" w:type="dxa"/>
            </w:tcMar>
          </w:tcPr>
          <w:p w:rsidR="004300E2" w:rsidRPr="00057684" w:rsidRDefault="004300E2" w:rsidP="005062DC">
            <w:pPr>
              <w:pStyle w:val="Paragarfobordato"/>
            </w:pPr>
            <w:r w:rsidRPr="008A0F36">
              <w:t xml:space="preserve">I bilanci devono presentare attendibilmente la situazione patrimoniale-finanziaria, il risultato economico e i flussi finanziari di un’entità. Una presentazione attendibile richiede la rappresentazione fedele degli effetti di operazioni, altri fatti e condizioni in conformità alle definizioni e ai criteri di rilevazione di attività, passività, proventi e costi esposti nel </w:t>
            </w:r>
            <w:r w:rsidRPr="00251283">
              <w:t xml:space="preserve">Quadro </w:t>
            </w:r>
            <w:r>
              <w:t>S</w:t>
            </w:r>
            <w:r w:rsidRPr="00251283">
              <w:t>istematico</w:t>
            </w:r>
            <w:r>
              <w:t xml:space="preserve"> degli IFRS (</w:t>
            </w:r>
            <w:r w:rsidRPr="00251283">
              <w:t xml:space="preserve">Conceptual Framework). </w:t>
            </w:r>
            <w:r w:rsidRPr="008A0F36">
              <w:t xml:space="preserve">Si presume che l’applicazione degli IFRS, integrati quando necessario con informazioni aggiuntive, abbia come risultato un bilancio che fornisce una presentazione attendibile. </w:t>
            </w:r>
          </w:p>
        </w:tc>
        <w:tc>
          <w:tcPr>
            <w:tcW w:w="575" w:type="dxa"/>
            <w:tcMar>
              <w:left w:w="85" w:type="dxa"/>
              <w:right w:w="85"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r>
      <w:tr w:rsidR="0066483E" w:rsidRPr="008129DA" w:rsidTr="00940A6F">
        <w:trPr>
          <w:cantSplit/>
          <w:trHeight w:val="20"/>
        </w:trPr>
        <w:tc>
          <w:tcPr>
            <w:tcW w:w="567" w:type="dxa"/>
          </w:tcPr>
          <w:p w:rsidR="0066483E" w:rsidRPr="008A0F36" w:rsidRDefault="0066483E" w:rsidP="004300E2">
            <w:pPr>
              <w:pStyle w:val="Numeroelenco"/>
              <w:ind w:left="0" w:firstLine="57"/>
              <w:rPr>
                <w:lang w:val="it-IT"/>
              </w:rPr>
            </w:pPr>
          </w:p>
        </w:tc>
        <w:tc>
          <w:tcPr>
            <w:tcW w:w="851" w:type="dxa"/>
            <w:tcMar>
              <w:left w:w="108" w:type="dxa"/>
              <w:right w:w="0" w:type="dxa"/>
            </w:tcMar>
          </w:tcPr>
          <w:p w:rsidR="0066483E" w:rsidRPr="008A0F36" w:rsidRDefault="0066483E" w:rsidP="004300E2">
            <w:pPr>
              <w:pStyle w:val="IAS"/>
              <w:rPr>
                <w:lang w:val="it-IT"/>
              </w:rPr>
            </w:pPr>
            <w:r w:rsidRPr="008A0F36">
              <w:rPr>
                <w:lang w:val="it-IT"/>
              </w:rPr>
              <w:t>IAS 1.16</w:t>
            </w:r>
          </w:p>
        </w:tc>
        <w:tc>
          <w:tcPr>
            <w:tcW w:w="7079" w:type="dxa"/>
            <w:tcMar>
              <w:left w:w="108" w:type="dxa"/>
            </w:tcMar>
          </w:tcPr>
          <w:p w:rsidR="0066483E" w:rsidRPr="008A0F36" w:rsidRDefault="0066483E" w:rsidP="0092681E">
            <w:pPr>
              <w:rPr>
                <w:lang w:val="it-IT"/>
              </w:rPr>
            </w:pPr>
            <w:r w:rsidRPr="008A0F36">
              <w:rPr>
                <w:lang w:val="it-IT"/>
              </w:rPr>
              <w:t xml:space="preserve">L’entità </w:t>
            </w:r>
            <w:r>
              <w:rPr>
                <w:lang w:val="it-IT"/>
              </w:rPr>
              <w:t xml:space="preserve">deve </w:t>
            </w:r>
            <w:r w:rsidRPr="008A0F36">
              <w:rPr>
                <w:lang w:val="it-IT"/>
              </w:rPr>
              <w:t>riporta</w:t>
            </w:r>
            <w:r>
              <w:rPr>
                <w:lang w:val="it-IT"/>
              </w:rPr>
              <w:t>re</w:t>
            </w:r>
            <w:r w:rsidRPr="008A0F36">
              <w:rPr>
                <w:lang w:val="it-IT"/>
              </w:rPr>
              <w:t xml:space="preserve"> nelle note un’attestazione esplicita e senza riserve sulla conformità agli IFRS</w:t>
            </w:r>
            <w:r>
              <w:rPr>
                <w:lang w:val="it-IT"/>
              </w:rPr>
              <w:t>.</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Pr="008A0F36" w:rsidRDefault="004300E2" w:rsidP="004300E2">
            <w:pPr>
              <w:ind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1.16</w:t>
            </w:r>
          </w:p>
        </w:tc>
        <w:tc>
          <w:tcPr>
            <w:tcW w:w="7079" w:type="dxa"/>
            <w:tcMar>
              <w:left w:w="108" w:type="dxa"/>
            </w:tcMar>
          </w:tcPr>
          <w:p w:rsidR="004300E2" w:rsidRPr="008A0F36" w:rsidRDefault="004300E2" w:rsidP="005062DC">
            <w:pPr>
              <w:pStyle w:val="Paragarfobordato"/>
            </w:pPr>
            <w:r w:rsidRPr="008A0F36">
              <w:t xml:space="preserve">Il bilancio non </w:t>
            </w:r>
            <w:r w:rsidR="00735D0A">
              <w:t xml:space="preserve">deve </w:t>
            </w:r>
            <w:r w:rsidRPr="008A0F36">
              <w:t xml:space="preserve">essere indicato come conforme agli IFRS a meno che non sia conforme a tutte le disposizioni degli IFRS. </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4300E2" w:rsidRPr="00A44ECD" w:rsidTr="00940A6F">
        <w:trPr>
          <w:cantSplit/>
          <w:trHeight w:val="20"/>
        </w:trPr>
        <w:tc>
          <w:tcPr>
            <w:tcW w:w="567" w:type="dxa"/>
          </w:tcPr>
          <w:p w:rsidR="004300E2" w:rsidRPr="008A0F36" w:rsidRDefault="004300E2" w:rsidP="004300E2">
            <w:pPr>
              <w:ind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1.18</w:t>
            </w:r>
          </w:p>
        </w:tc>
        <w:tc>
          <w:tcPr>
            <w:tcW w:w="7079" w:type="dxa"/>
            <w:tcMar>
              <w:left w:w="108" w:type="dxa"/>
            </w:tcMar>
          </w:tcPr>
          <w:p w:rsidR="004300E2" w:rsidRPr="008A0F36" w:rsidRDefault="004300E2" w:rsidP="005062DC">
            <w:pPr>
              <w:pStyle w:val="Paragarfobordato"/>
            </w:pPr>
            <w:r w:rsidRPr="008A0F36">
              <w:t xml:space="preserve">Un’entità non può rimediare all’applicazione di principi contabili non corretti né con l’illustrazione dei principi contabili adottati, né con note o documentazione esplicativa. </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4300E2" w:rsidRPr="00A44ECD" w:rsidTr="00940A6F">
        <w:trPr>
          <w:cantSplit/>
          <w:trHeight w:val="20"/>
        </w:trPr>
        <w:tc>
          <w:tcPr>
            <w:tcW w:w="567" w:type="dxa"/>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1.19</w:t>
            </w:r>
          </w:p>
          <w:p w:rsidR="004300E2" w:rsidRPr="008A0F36" w:rsidRDefault="004300E2" w:rsidP="004300E2">
            <w:pPr>
              <w:pStyle w:val="IAS"/>
              <w:rPr>
                <w:lang w:val="it-IT"/>
              </w:rPr>
            </w:pPr>
            <w:r w:rsidRPr="008A0F36">
              <w:rPr>
                <w:lang w:val="it-IT"/>
              </w:rPr>
              <w:t xml:space="preserve"> IAS 1.20</w:t>
            </w:r>
          </w:p>
        </w:tc>
        <w:tc>
          <w:tcPr>
            <w:tcW w:w="7079" w:type="dxa"/>
            <w:tcMar>
              <w:left w:w="108" w:type="dxa"/>
            </w:tcMar>
          </w:tcPr>
          <w:p w:rsidR="004300E2" w:rsidRPr="008A0F36" w:rsidRDefault="004300E2" w:rsidP="004300E2">
            <w:pPr>
              <w:rPr>
                <w:lang w:val="it-IT"/>
              </w:rPr>
            </w:pPr>
            <w:r w:rsidRPr="008A0F36">
              <w:rPr>
                <w:lang w:val="it-IT"/>
              </w:rPr>
              <w:t>Nelle circostanze estremamente rare in cui la Direzione aziendale conclude che la conformità con una disposizione contenuta in un IFRS sarebbe così fuorviante da essere in conflitto con le finalità del bilancio esposte nel Quadro Sistematico degli IFRS (</w:t>
            </w:r>
            <w:r w:rsidRPr="00251283">
              <w:rPr>
                <w:i/>
                <w:lang w:val="it-IT"/>
              </w:rPr>
              <w:t>Conceptual</w:t>
            </w:r>
            <w:r>
              <w:rPr>
                <w:lang w:val="it-IT"/>
              </w:rPr>
              <w:t xml:space="preserve"> </w:t>
            </w:r>
            <w:r w:rsidRPr="008A0F36">
              <w:rPr>
                <w:i/>
                <w:lang w:val="it-IT"/>
              </w:rPr>
              <w:t>Framework</w:t>
            </w:r>
            <w:r w:rsidRPr="008A0F36">
              <w:rPr>
                <w:lang w:val="it-IT"/>
              </w:rPr>
              <w:t xml:space="preserve">) e disattende tale disposizione (dove il quadro normativo sistematico di regolamentazione richieda o comunque non proibisca tale deroga), l’entità deve indicare le seguenti informazioni: </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numPr>
                <w:ilvl w:val="0"/>
                <w:numId w:val="6"/>
              </w:numPr>
            </w:pPr>
            <w:r w:rsidRPr="008A0F36">
              <w:t xml:space="preserve">che la Direzione aziendale ha ritenuto che il bilancio rappresenta attendibilmente la situazione patrimoniale, finanziaria e il risultato economico e i flussi finanziari dell’entità </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che il bilancio è conforme agli IFRS applicabili ad eccezione dell’aver disatteso una particolare disposizione al fine di ottenere una presentazione attendibile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il titolo dell’IFRS che l’entità ha disatteso</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A0F36"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la natura della deroga</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il trattamento che l’IFRS richiederebbe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la ragione per la quale tale trattamento nelle circostanze sarebbe così fuorviante da essere in conflitto con le finalità del bilancio, esposte nel Quadro Sistematico degli IFRS (</w:t>
            </w:r>
            <w:r>
              <w:rPr>
                <w:i/>
              </w:rPr>
              <w:t>Co</w:t>
            </w:r>
            <w:r w:rsidRPr="00251283">
              <w:rPr>
                <w:i/>
              </w:rPr>
              <w:t>nceptual</w:t>
            </w:r>
            <w:r>
              <w:t xml:space="preserve"> </w:t>
            </w:r>
            <w:r w:rsidRPr="008A0F36">
              <w:rPr>
                <w:i/>
              </w:rPr>
              <w:t>Framework</w:t>
            </w:r>
            <w:r w:rsidRPr="008A0F36">
              <w:t>)</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A0F36"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il trattamento adottato; 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 xml:space="preserve">per ogni esercizio presentato, gli effetti economico-patrimoniali della deroga su ogni voce di bilancio, qualora fosse stato redatto conformemente alle disposizioni del principio. </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1.21</w:t>
            </w:r>
          </w:p>
        </w:tc>
        <w:tc>
          <w:tcPr>
            <w:tcW w:w="7079" w:type="dxa"/>
            <w:tcMar>
              <w:left w:w="108" w:type="dxa"/>
            </w:tcMar>
          </w:tcPr>
          <w:p w:rsidR="004300E2" w:rsidRPr="008A0F36" w:rsidRDefault="004300E2" w:rsidP="004300E2">
            <w:pPr>
              <w:rPr>
                <w:lang w:val="it-IT"/>
              </w:rPr>
            </w:pPr>
            <w:r w:rsidRPr="008A0F36">
              <w:rPr>
                <w:lang w:val="it-IT"/>
              </w:rPr>
              <w:t>Quando un’entità ha derogato ad una disposizione di un IFRS in un esercizio precedente, e tale deroga ha effetto sui valori rilevati nel bilancio per l’esercizio corrente, fornisce le informazioni integrative richieste da IAS 1.20 (c) e (d), ovvero:</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numPr>
                <w:ilvl w:val="0"/>
                <w:numId w:val="8"/>
              </w:numPr>
            </w:pPr>
            <w:r w:rsidRPr="008A0F36">
              <w:t>il titolo dell’IFRS che l’entità ha disatteso</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A0F36"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la natura della deroga</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il trattamento che l’IFRS richiederebbe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la ragione per la quale tale trattamento nelle circostanze sarebbe così fuorviante da essere in conflitto con le finalità del bilancio, esposte nel Quadro Sistematico degli IFRS (</w:t>
            </w:r>
            <w:r>
              <w:rPr>
                <w:i/>
              </w:rPr>
              <w:t>Co</w:t>
            </w:r>
            <w:r w:rsidRPr="00251283">
              <w:rPr>
                <w:i/>
              </w:rPr>
              <w:t>nceptual</w:t>
            </w:r>
            <w:r>
              <w:t xml:space="preserve"> </w:t>
            </w:r>
            <w:r w:rsidRPr="008A0F36">
              <w:rPr>
                <w:i/>
              </w:rPr>
              <w:t>Framework</w:t>
            </w:r>
            <w:r w:rsidRPr="008A0F36">
              <w:t>)</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A0F36"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il trattamento adottato; 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per ogni esercizio presentato, gli effetti economico-patrimoniali della deroga su ogni voce di bilancio, qualora fosse stato redatto conformemente alle disposizioni.</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1.23</w:t>
            </w:r>
          </w:p>
        </w:tc>
        <w:tc>
          <w:tcPr>
            <w:tcW w:w="7079" w:type="dxa"/>
            <w:tcMar>
              <w:left w:w="108" w:type="dxa"/>
            </w:tcMar>
          </w:tcPr>
          <w:p w:rsidR="004300E2" w:rsidRPr="008A0F36" w:rsidRDefault="004300E2" w:rsidP="004300E2">
            <w:pPr>
              <w:rPr>
                <w:lang w:val="it-IT"/>
              </w:rPr>
            </w:pPr>
            <w:r w:rsidRPr="008A0F36">
              <w:rPr>
                <w:lang w:val="it-IT"/>
              </w:rPr>
              <w:t>Nelle circostanze estremamente rare in cui la Direzione aziendale conclude che la conformità con una disposizione contenuta in un IFRS sarebbe così fuorviante da essere in conflitto con le finalità del bilancio esposte nel Quadro Sistematico</w:t>
            </w:r>
            <w:r>
              <w:rPr>
                <w:lang w:val="it-IT"/>
              </w:rPr>
              <w:t xml:space="preserve"> degli IFRS (</w:t>
            </w:r>
            <w:r w:rsidRPr="00251283">
              <w:rPr>
                <w:i/>
                <w:lang w:val="it-IT"/>
              </w:rPr>
              <w:t>Conceptual Framework</w:t>
            </w:r>
            <w:r>
              <w:rPr>
                <w:lang w:val="it-IT"/>
              </w:rPr>
              <w:t>)</w:t>
            </w:r>
            <w:r w:rsidRPr="008A0F36">
              <w:rPr>
                <w:lang w:val="it-IT"/>
              </w:rPr>
              <w:t>, ma il quadro sistematico di regolamentazione applicabile non consente la deroga dalla disposizione, l’entità nella massima misura possibile riduce gli aspetti ritenuti fuorvianti, fornendo le seguenti informazioni:</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numPr>
                <w:ilvl w:val="0"/>
                <w:numId w:val="9"/>
              </w:numPr>
            </w:pPr>
            <w:r w:rsidRPr="008A0F36">
              <w:t>il titolo dell’IFRS che l’entità ha disatteso</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A0F36"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la natura della disposizione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la ragione per la quale la Direzione aziendale ha concluso che la conformità con tale disposizione è così fuorviante in tali circostanze da essere in conflitto con le finalità del bilancio esposte nel Quadro Sistematico degli IFRS (</w:t>
            </w:r>
            <w:r w:rsidRPr="00251283">
              <w:rPr>
                <w:i/>
              </w:rPr>
              <w:t>Conceptual</w:t>
            </w:r>
            <w:r>
              <w:t xml:space="preserve"> </w:t>
            </w:r>
            <w:r w:rsidRPr="008A0F36">
              <w:rPr>
                <w:i/>
              </w:rPr>
              <w:t>Framework</w:t>
            </w:r>
            <w:r w:rsidRPr="008A0F36">
              <w:t>); 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per ogni esercizio presentato, le rettifiche ad ogni voce del bilancio che la Direzione aziendale ha concluso che sarebbero necessarie per ottenere una presentazione attendibile.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A0F36" w:rsidTr="00940A6F">
        <w:trPr>
          <w:cantSplit/>
          <w:trHeight w:val="20"/>
        </w:trPr>
        <w:tc>
          <w:tcPr>
            <w:tcW w:w="567" w:type="dxa"/>
          </w:tcPr>
          <w:p w:rsidR="004300E2" w:rsidRPr="008A0F36" w:rsidRDefault="004300E2" w:rsidP="004300E2">
            <w:pPr>
              <w:ind w:firstLine="57"/>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Pr="008A0F36" w:rsidRDefault="004300E2" w:rsidP="004300E2">
            <w:pPr>
              <w:pStyle w:val="Titolo2"/>
              <w:rPr>
                <w:lang w:val="it-IT"/>
              </w:rPr>
            </w:pPr>
            <w:r w:rsidRPr="008A0F36">
              <w:rPr>
                <w:lang w:val="it-IT"/>
              </w:rPr>
              <w:t>Continuità aziendale</w:t>
            </w:r>
          </w:p>
        </w:tc>
        <w:tc>
          <w:tcPr>
            <w:tcW w:w="575" w:type="dxa"/>
            <w:tcMar>
              <w:left w:w="85" w:type="dxa"/>
              <w:right w:w="85" w:type="dxa"/>
            </w:tcMar>
            <w:vAlign w:val="bottom"/>
          </w:tcPr>
          <w:p w:rsidR="004300E2" w:rsidRPr="008A0F36" w:rsidRDefault="004300E2" w:rsidP="004300E2">
            <w:pPr>
              <w:rPr>
                <w:lang w:val="it-IT"/>
              </w:rPr>
            </w:pPr>
          </w:p>
        </w:tc>
        <w:tc>
          <w:tcPr>
            <w:tcW w:w="567" w:type="dxa"/>
            <w:tcMar>
              <w:left w:w="108" w:type="dxa"/>
            </w:tcMar>
            <w:vAlign w:val="bottom"/>
          </w:tcPr>
          <w:p w:rsidR="004300E2" w:rsidRPr="008A0F36" w:rsidRDefault="004300E2" w:rsidP="004300E2">
            <w:pPr>
              <w:rPr>
                <w:lang w:val="it-IT"/>
              </w:rPr>
            </w:pPr>
          </w:p>
        </w:tc>
        <w:tc>
          <w:tcPr>
            <w:tcW w:w="567" w:type="dxa"/>
            <w:tcMar>
              <w:left w:w="108" w:type="dxa"/>
            </w:tcMar>
            <w:vAlign w:val="bottom"/>
          </w:tcPr>
          <w:p w:rsidR="004300E2" w:rsidRPr="008A0F36" w:rsidRDefault="004300E2" w:rsidP="004300E2">
            <w:pPr>
              <w:rPr>
                <w:lang w:val="it-IT"/>
              </w:rPr>
            </w:pPr>
          </w:p>
        </w:tc>
      </w:tr>
      <w:tr w:rsidR="004300E2" w:rsidRPr="00A44ECD" w:rsidTr="00940A6F">
        <w:trPr>
          <w:cantSplit/>
          <w:trHeight w:val="20"/>
        </w:trPr>
        <w:tc>
          <w:tcPr>
            <w:tcW w:w="567" w:type="dxa"/>
          </w:tcPr>
          <w:p w:rsidR="004300E2" w:rsidRPr="008A0F36" w:rsidRDefault="004300E2" w:rsidP="004300E2">
            <w:pPr>
              <w:ind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1.25</w:t>
            </w:r>
          </w:p>
          <w:p w:rsidR="004300E2" w:rsidRPr="008A0F36" w:rsidRDefault="004300E2" w:rsidP="004300E2">
            <w:pPr>
              <w:pStyle w:val="IAS"/>
              <w:rPr>
                <w:lang w:val="it-IT"/>
              </w:rPr>
            </w:pPr>
            <w:r w:rsidRPr="008A0F36">
              <w:rPr>
                <w:lang w:val="it-IT"/>
              </w:rPr>
              <w:t>IAS 10.14</w:t>
            </w:r>
          </w:p>
        </w:tc>
        <w:tc>
          <w:tcPr>
            <w:tcW w:w="7079" w:type="dxa"/>
            <w:tcMar>
              <w:left w:w="108" w:type="dxa"/>
            </w:tcMar>
          </w:tcPr>
          <w:p w:rsidR="004300E2" w:rsidRPr="008A0F36" w:rsidRDefault="004300E2" w:rsidP="005062DC">
            <w:pPr>
              <w:pStyle w:val="Paragarfobordato"/>
            </w:pPr>
            <w:r w:rsidRPr="008A0F36">
              <w:t>Un’entità deve preparare il bilancio nella prospettiva della continuità aziendale, a meno che la Direzione aziendale decida dopo la data di chiusura dell’esercizio di liquidare l’entità o interromperne l’attività o non abbia alternative realistiche che fare ciò.</w:t>
            </w:r>
            <w:r w:rsidRPr="008A0F36">
              <w:rPr>
                <w:spacing w:val="-2"/>
              </w:rPr>
              <w:t xml:space="preserve"> </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66483E" w:rsidRPr="008129DA" w:rsidTr="00940A6F">
        <w:trPr>
          <w:cantSplit/>
          <w:trHeight w:val="20"/>
        </w:trPr>
        <w:tc>
          <w:tcPr>
            <w:tcW w:w="567" w:type="dxa"/>
          </w:tcPr>
          <w:p w:rsidR="0066483E" w:rsidRPr="008A0F36" w:rsidRDefault="0066483E" w:rsidP="004300E2">
            <w:pPr>
              <w:pStyle w:val="Numeroelenco"/>
              <w:ind w:left="0" w:firstLine="57"/>
              <w:rPr>
                <w:lang w:val="it-IT"/>
              </w:rPr>
            </w:pPr>
          </w:p>
        </w:tc>
        <w:tc>
          <w:tcPr>
            <w:tcW w:w="851" w:type="dxa"/>
            <w:tcMar>
              <w:left w:w="108" w:type="dxa"/>
              <w:right w:w="0" w:type="dxa"/>
            </w:tcMar>
          </w:tcPr>
          <w:p w:rsidR="0066483E" w:rsidRPr="008A0F36" w:rsidRDefault="0066483E" w:rsidP="004300E2">
            <w:pPr>
              <w:pStyle w:val="IAS"/>
              <w:rPr>
                <w:lang w:val="it-IT"/>
              </w:rPr>
            </w:pPr>
            <w:r w:rsidRPr="008A0F36">
              <w:rPr>
                <w:lang w:val="it-IT"/>
              </w:rPr>
              <w:t>IAS 1.25</w:t>
            </w:r>
          </w:p>
        </w:tc>
        <w:tc>
          <w:tcPr>
            <w:tcW w:w="7079" w:type="dxa"/>
            <w:tcMar>
              <w:left w:w="108" w:type="dxa"/>
            </w:tcMar>
          </w:tcPr>
          <w:p w:rsidR="0066483E" w:rsidRPr="008A0F36" w:rsidRDefault="0066483E" w:rsidP="00FD41D8">
            <w:pPr>
              <w:rPr>
                <w:lang w:val="it-IT"/>
              </w:rPr>
            </w:pPr>
            <w:r w:rsidRPr="008A0F36">
              <w:rPr>
                <w:lang w:val="it-IT"/>
              </w:rPr>
              <w:t xml:space="preserve">Qualora la Direzione aziendale sia a conoscenza, nel fare le proprie valutazioni sulla continuità aziendale, di incertezze significative relative ad eventi o condizioni che possano comportare l’insorgere di rilevanti dubbi circa la capacità dell’entità di continuare ad operare come entità in funzionamento, tali incertezze devono essere evidenziate. </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1.25</w:t>
            </w:r>
          </w:p>
        </w:tc>
        <w:tc>
          <w:tcPr>
            <w:tcW w:w="7079" w:type="dxa"/>
            <w:tcMar>
              <w:left w:w="108" w:type="dxa"/>
            </w:tcMar>
          </w:tcPr>
          <w:p w:rsidR="004300E2" w:rsidRPr="008A0F36" w:rsidRDefault="004300E2" w:rsidP="00FD41D8">
            <w:pPr>
              <w:rPr>
                <w:lang w:val="it-IT"/>
              </w:rPr>
            </w:pPr>
            <w:r w:rsidRPr="008A0F36">
              <w:rPr>
                <w:lang w:val="it-IT"/>
              </w:rPr>
              <w:t xml:space="preserve">Qualora il bilancio non sia redatto nella prospettiva della continuità aziendale, devono essere evidenziate le seguenti informazioni: </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FD41D8">
            <w:pPr>
              <w:pStyle w:val="Rientroa"/>
              <w:numPr>
                <w:ilvl w:val="0"/>
                <w:numId w:val="10"/>
              </w:numPr>
            </w:pPr>
            <w:r w:rsidRPr="008A0F36">
              <w:t>il fatto che il bilancio non è stato redatto nel presupposto della continuità aziendale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FD41D8">
            <w:pPr>
              <w:pStyle w:val="Rientroa"/>
            </w:pPr>
            <w:r w:rsidRPr="008A0F36">
              <w:t>i criteri in base ai quali il bilancio è stato redatto</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FD41D8">
            <w:pPr>
              <w:pStyle w:val="Rientroa"/>
            </w:pPr>
            <w:r w:rsidRPr="008A0F36">
              <w:t xml:space="preserve">la ragione per cui l’entità non è considerata in funzionamento. </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A0F36" w:rsidTr="00940A6F">
        <w:trPr>
          <w:cantSplit/>
          <w:trHeight w:val="20"/>
        </w:trPr>
        <w:tc>
          <w:tcPr>
            <w:tcW w:w="567" w:type="dxa"/>
          </w:tcPr>
          <w:p w:rsidR="004300E2" w:rsidRPr="008A0F36" w:rsidRDefault="004300E2" w:rsidP="004300E2">
            <w:pPr>
              <w:ind w:firstLine="57"/>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Pr="008A0F36" w:rsidRDefault="004300E2" w:rsidP="004300E2">
            <w:pPr>
              <w:pStyle w:val="Titolo2"/>
              <w:rPr>
                <w:lang w:val="it-IT"/>
              </w:rPr>
            </w:pPr>
            <w:r w:rsidRPr="008A0F36">
              <w:rPr>
                <w:lang w:val="it-IT"/>
              </w:rPr>
              <w:t>Periodicità dell</w:t>
            </w:r>
            <w:r w:rsidRPr="008A0F36">
              <w:rPr>
                <w:b w:val="0"/>
                <w:lang w:val="it-IT"/>
              </w:rPr>
              <w:t>’</w:t>
            </w:r>
            <w:r w:rsidRPr="008A0F36">
              <w:rPr>
                <w:lang w:val="it-IT"/>
              </w:rPr>
              <w:t>informativa</w:t>
            </w:r>
          </w:p>
        </w:tc>
        <w:tc>
          <w:tcPr>
            <w:tcW w:w="575" w:type="dxa"/>
            <w:tcMar>
              <w:left w:w="85" w:type="dxa"/>
              <w:right w:w="85" w:type="dxa"/>
            </w:tcMar>
            <w:vAlign w:val="bottom"/>
          </w:tcPr>
          <w:p w:rsidR="004300E2" w:rsidRPr="008A0F36" w:rsidRDefault="004300E2" w:rsidP="004300E2">
            <w:pPr>
              <w:rPr>
                <w:lang w:val="it-IT"/>
              </w:rPr>
            </w:pPr>
          </w:p>
        </w:tc>
        <w:tc>
          <w:tcPr>
            <w:tcW w:w="567" w:type="dxa"/>
            <w:tcMar>
              <w:left w:w="108" w:type="dxa"/>
            </w:tcMar>
            <w:vAlign w:val="bottom"/>
          </w:tcPr>
          <w:p w:rsidR="004300E2" w:rsidRPr="008A0F36" w:rsidRDefault="004300E2" w:rsidP="004300E2">
            <w:pPr>
              <w:rPr>
                <w:lang w:val="it-IT"/>
              </w:rPr>
            </w:pPr>
          </w:p>
        </w:tc>
        <w:tc>
          <w:tcPr>
            <w:tcW w:w="567" w:type="dxa"/>
            <w:tcMar>
              <w:left w:w="108" w:type="dxa"/>
            </w:tcMar>
            <w:vAlign w:val="bottom"/>
          </w:tcPr>
          <w:p w:rsidR="004300E2" w:rsidRPr="008A0F36" w:rsidRDefault="004300E2" w:rsidP="004300E2">
            <w:pPr>
              <w:rPr>
                <w:lang w:val="it-IT"/>
              </w:rPr>
            </w:pPr>
          </w:p>
        </w:tc>
      </w:tr>
      <w:tr w:rsidR="004300E2" w:rsidRPr="00A44ECD" w:rsidTr="00940A6F">
        <w:trPr>
          <w:cantSplit/>
          <w:trHeight w:val="20"/>
        </w:trPr>
        <w:tc>
          <w:tcPr>
            <w:tcW w:w="567" w:type="dxa"/>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1.36</w:t>
            </w:r>
          </w:p>
        </w:tc>
        <w:tc>
          <w:tcPr>
            <w:tcW w:w="7079" w:type="dxa"/>
            <w:tcMar>
              <w:left w:w="108" w:type="dxa"/>
            </w:tcMar>
          </w:tcPr>
          <w:p w:rsidR="004300E2" w:rsidRPr="008A0F36" w:rsidRDefault="004300E2" w:rsidP="00FD41D8">
            <w:pPr>
              <w:rPr>
                <w:lang w:val="it-IT"/>
              </w:rPr>
            </w:pPr>
            <w:r w:rsidRPr="008A0F36">
              <w:rPr>
                <w:lang w:val="it-IT"/>
              </w:rPr>
              <w:t xml:space="preserve">Quando l’entità cambia la data di chiusura dell’esercizio e per il bilancio presenta un periodo più lungo o più breve di un anno, l’entità ha indicato, oltre all’esercizio di riferimento coperto dal bilancio, le seguenti informazioni: </w:t>
            </w:r>
          </w:p>
        </w:tc>
        <w:tc>
          <w:tcPr>
            <w:tcW w:w="575" w:type="dxa"/>
            <w:tcMar>
              <w:left w:w="85" w:type="dxa"/>
              <w:right w:w="85" w:type="dxa"/>
            </w:tcMar>
          </w:tcPr>
          <w:p w:rsidR="004300E2" w:rsidRPr="00FF19F7" w:rsidRDefault="004300E2" w:rsidP="004300E2">
            <w:pPr>
              <w:rPr>
                <w:lang w:val="it-IT"/>
              </w:rPr>
            </w:pPr>
          </w:p>
        </w:tc>
        <w:tc>
          <w:tcPr>
            <w:tcW w:w="567" w:type="dxa"/>
            <w:tcMar>
              <w:left w:w="108" w:type="dxa"/>
            </w:tcMar>
          </w:tcPr>
          <w:p w:rsidR="004300E2" w:rsidRPr="00FF19F7" w:rsidRDefault="004300E2" w:rsidP="004300E2">
            <w:pPr>
              <w:rPr>
                <w:lang w:val="it-IT"/>
              </w:rPr>
            </w:pPr>
          </w:p>
        </w:tc>
        <w:tc>
          <w:tcPr>
            <w:tcW w:w="567" w:type="dxa"/>
            <w:tcMar>
              <w:left w:w="108" w:type="dxa"/>
            </w:tcMar>
          </w:tcPr>
          <w:p w:rsidR="004300E2" w:rsidRPr="00FF19F7" w:rsidRDefault="004300E2" w:rsidP="004300E2">
            <w:pPr>
              <w:rPr>
                <w:lang w:val="it-IT"/>
              </w:rPr>
            </w:pP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FD41D8">
            <w:pPr>
              <w:pStyle w:val="Rientroa"/>
              <w:numPr>
                <w:ilvl w:val="0"/>
                <w:numId w:val="11"/>
              </w:numPr>
            </w:pPr>
            <w:r w:rsidRPr="008A0F36">
              <w:t>la ragione per cui si utilizza un periodo più lungo o più breve; 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FD41D8">
            <w:pPr>
              <w:pStyle w:val="Rientroa"/>
            </w:pPr>
            <w:r w:rsidRPr="008A0F36">
              <w:t xml:space="preserve">il fatto che i dati comparativi presentati non sono del tutto comparabili. </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A0F36" w:rsidTr="00940A6F">
        <w:trPr>
          <w:cantSplit/>
          <w:trHeight w:val="20"/>
        </w:trPr>
        <w:tc>
          <w:tcPr>
            <w:tcW w:w="567" w:type="dxa"/>
          </w:tcPr>
          <w:p w:rsidR="004300E2" w:rsidRPr="008A0F36" w:rsidRDefault="004300E2" w:rsidP="004300E2">
            <w:pPr>
              <w:ind w:firstLine="57"/>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Pr="008A0F36" w:rsidRDefault="004300E2" w:rsidP="004300E2">
            <w:pPr>
              <w:pStyle w:val="Titolo2"/>
              <w:rPr>
                <w:lang w:val="it-IT"/>
              </w:rPr>
            </w:pPr>
            <w:r w:rsidRPr="008A0F36">
              <w:rPr>
                <w:lang w:val="it-IT"/>
              </w:rPr>
              <w:t>Informazioni comparative</w:t>
            </w:r>
          </w:p>
        </w:tc>
        <w:tc>
          <w:tcPr>
            <w:tcW w:w="575" w:type="dxa"/>
            <w:tcMar>
              <w:left w:w="85" w:type="dxa"/>
              <w:right w:w="85" w:type="dxa"/>
            </w:tcMar>
            <w:vAlign w:val="bottom"/>
          </w:tcPr>
          <w:p w:rsidR="004300E2" w:rsidRPr="008A0F36" w:rsidRDefault="004300E2" w:rsidP="004300E2">
            <w:pPr>
              <w:rPr>
                <w:lang w:val="it-IT"/>
              </w:rPr>
            </w:pPr>
          </w:p>
        </w:tc>
        <w:tc>
          <w:tcPr>
            <w:tcW w:w="567" w:type="dxa"/>
            <w:tcMar>
              <w:left w:w="108" w:type="dxa"/>
            </w:tcMar>
            <w:vAlign w:val="bottom"/>
          </w:tcPr>
          <w:p w:rsidR="004300E2" w:rsidRPr="008A0F36" w:rsidRDefault="004300E2" w:rsidP="004300E2">
            <w:pPr>
              <w:rPr>
                <w:lang w:val="it-IT"/>
              </w:rPr>
            </w:pPr>
          </w:p>
        </w:tc>
        <w:tc>
          <w:tcPr>
            <w:tcW w:w="567" w:type="dxa"/>
            <w:tcMar>
              <w:left w:w="108" w:type="dxa"/>
            </w:tcMar>
            <w:vAlign w:val="bottom"/>
          </w:tcPr>
          <w:p w:rsidR="004300E2" w:rsidRPr="008A0F36" w:rsidRDefault="004300E2" w:rsidP="004300E2">
            <w:pPr>
              <w:rPr>
                <w:lang w:val="it-IT"/>
              </w:rPr>
            </w:pPr>
          </w:p>
        </w:tc>
      </w:tr>
      <w:tr w:rsidR="0066483E" w:rsidRPr="008129DA" w:rsidTr="00940A6F">
        <w:trPr>
          <w:cantSplit/>
          <w:trHeight w:val="20"/>
        </w:trPr>
        <w:tc>
          <w:tcPr>
            <w:tcW w:w="567" w:type="dxa"/>
          </w:tcPr>
          <w:p w:rsidR="0066483E" w:rsidRPr="008A0F36" w:rsidRDefault="0066483E" w:rsidP="004300E2">
            <w:pPr>
              <w:pStyle w:val="Numeroelenco"/>
              <w:ind w:left="0" w:firstLine="57"/>
              <w:rPr>
                <w:lang w:val="it-IT"/>
              </w:rPr>
            </w:pPr>
          </w:p>
        </w:tc>
        <w:tc>
          <w:tcPr>
            <w:tcW w:w="851" w:type="dxa"/>
            <w:tcMar>
              <w:left w:w="108" w:type="dxa"/>
              <w:right w:w="0" w:type="dxa"/>
            </w:tcMar>
          </w:tcPr>
          <w:p w:rsidR="0066483E" w:rsidRPr="008A0F36" w:rsidRDefault="0066483E" w:rsidP="004300E2">
            <w:pPr>
              <w:pStyle w:val="IAS"/>
              <w:rPr>
                <w:lang w:val="it-IT"/>
              </w:rPr>
            </w:pPr>
            <w:r w:rsidRPr="008A0F36">
              <w:rPr>
                <w:lang w:val="it-IT"/>
              </w:rPr>
              <w:t>IAS 1.38</w:t>
            </w:r>
          </w:p>
        </w:tc>
        <w:tc>
          <w:tcPr>
            <w:tcW w:w="7079" w:type="dxa"/>
            <w:tcMar>
              <w:left w:w="108" w:type="dxa"/>
            </w:tcMar>
          </w:tcPr>
          <w:p w:rsidR="0066483E" w:rsidRDefault="0066483E" w:rsidP="009E34AB">
            <w:pPr>
              <w:tabs>
                <w:tab w:val="center" w:pos="4536"/>
                <w:tab w:val="right" w:pos="9072"/>
              </w:tabs>
              <w:spacing w:line="230" w:lineRule="exact"/>
              <w:rPr>
                <w:lang w:val="it-IT"/>
              </w:rPr>
            </w:pPr>
            <w:r w:rsidRPr="00AB2C1C">
              <w:rPr>
                <w:lang w:val="it-IT"/>
              </w:rPr>
              <w:t xml:space="preserve">Ad eccezione di quando gli IFRS consentano o richiedano diversamente, un’entità deve presentare le informazioni comparative rispetto all’esercizio precedente per tutti gli importi esposti nel bilancio dell’esercizio corrente. </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163356" w:rsidTr="00940A6F">
        <w:trPr>
          <w:cantSplit/>
          <w:trHeight w:val="20"/>
        </w:trPr>
        <w:tc>
          <w:tcPr>
            <w:tcW w:w="567" w:type="dxa"/>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Pr>
                <w:lang w:val="it-IT"/>
              </w:rPr>
              <w:t>IAS 1.38A</w:t>
            </w:r>
          </w:p>
        </w:tc>
        <w:tc>
          <w:tcPr>
            <w:tcW w:w="7079" w:type="dxa"/>
            <w:tcMar>
              <w:left w:w="108" w:type="dxa"/>
            </w:tcMar>
          </w:tcPr>
          <w:p w:rsidR="004300E2" w:rsidRDefault="004300E2" w:rsidP="009E34AB">
            <w:pPr>
              <w:pStyle w:val="Rientroa"/>
              <w:numPr>
                <w:ilvl w:val="0"/>
                <w:numId w:val="0"/>
              </w:numPr>
              <w:spacing w:line="230" w:lineRule="exact"/>
              <w:ind w:left="32"/>
            </w:pPr>
            <w:r>
              <w:t>Un’entità deve presentare almeno:</w:t>
            </w:r>
          </w:p>
        </w:tc>
        <w:tc>
          <w:tcPr>
            <w:tcW w:w="575" w:type="dxa"/>
            <w:tcMar>
              <w:left w:w="85" w:type="dxa"/>
              <w:right w:w="85" w:type="dxa"/>
            </w:tcMar>
          </w:tcPr>
          <w:p w:rsidR="004300E2" w:rsidRPr="00A32A16" w:rsidRDefault="004300E2" w:rsidP="004300E2">
            <w:pPr>
              <w:jc w:val="center"/>
              <w:rPr>
                <w:lang w:val="it-IT"/>
              </w:rPr>
            </w:pPr>
          </w:p>
        </w:tc>
        <w:tc>
          <w:tcPr>
            <w:tcW w:w="567" w:type="dxa"/>
            <w:tcMar>
              <w:left w:w="108" w:type="dxa"/>
            </w:tcMar>
          </w:tcPr>
          <w:p w:rsidR="004300E2" w:rsidRPr="00A32A16" w:rsidRDefault="004300E2" w:rsidP="004300E2">
            <w:pPr>
              <w:jc w:val="center"/>
              <w:rPr>
                <w:lang w:val="it-IT"/>
              </w:rPr>
            </w:pPr>
          </w:p>
        </w:tc>
        <w:tc>
          <w:tcPr>
            <w:tcW w:w="567" w:type="dxa"/>
            <w:tcMar>
              <w:left w:w="108" w:type="dxa"/>
            </w:tcMar>
          </w:tcPr>
          <w:p w:rsidR="004300E2" w:rsidRPr="00A32A16" w:rsidRDefault="004300E2" w:rsidP="004300E2">
            <w:pPr>
              <w:jc w:val="center"/>
              <w:rPr>
                <w:lang w:val="it-IT"/>
              </w:rPr>
            </w:pPr>
          </w:p>
        </w:tc>
      </w:tr>
      <w:tr w:rsidR="0066483E" w:rsidRPr="008129DA" w:rsidTr="00940A6F">
        <w:trPr>
          <w:cantSplit/>
          <w:trHeight w:val="20"/>
        </w:trPr>
        <w:tc>
          <w:tcPr>
            <w:tcW w:w="567" w:type="dxa"/>
          </w:tcPr>
          <w:p w:rsidR="0066483E" w:rsidRPr="008A0F36" w:rsidRDefault="0066483E" w:rsidP="004300E2">
            <w:pPr>
              <w:pStyle w:val="Numeroelenco"/>
              <w:numPr>
                <w:ilvl w:val="0"/>
                <w:numId w:val="0"/>
              </w:numPr>
              <w:ind w:left="57"/>
              <w:rPr>
                <w:lang w:val="it-IT"/>
              </w:rPr>
            </w:pPr>
          </w:p>
        </w:tc>
        <w:tc>
          <w:tcPr>
            <w:tcW w:w="851" w:type="dxa"/>
            <w:tcMar>
              <w:left w:w="108" w:type="dxa"/>
              <w:right w:w="0" w:type="dxa"/>
            </w:tcMar>
          </w:tcPr>
          <w:p w:rsidR="0066483E" w:rsidRDefault="0066483E" w:rsidP="004300E2">
            <w:pPr>
              <w:pStyle w:val="IAS"/>
              <w:rPr>
                <w:lang w:val="it-IT"/>
              </w:rPr>
            </w:pPr>
          </w:p>
        </w:tc>
        <w:tc>
          <w:tcPr>
            <w:tcW w:w="7079" w:type="dxa"/>
            <w:tcMar>
              <w:left w:w="108" w:type="dxa"/>
            </w:tcMar>
          </w:tcPr>
          <w:p w:rsidR="0066483E" w:rsidRDefault="0066483E" w:rsidP="009E34AB">
            <w:pPr>
              <w:pStyle w:val="Rientroa"/>
              <w:numPr>
                <w:ilvl w:val="0"/>
                <w:numId w:val="232"/>
              </w:numPr>
              <w:spacing w:line="230" w:lineRule="exact"/>
            </w:pPr>
            <w:r>
              <w:t xml:space="preserve">due prospetti della situazione patrimoniale-finanziaria </w:t>
            </w:r>
          </w:p>
        </w:tc>
        <w:tc>
          <w:tcPr>
            <w:tcW w:w="575" w:type="dxa"/>
            <w:tcMar>
              <w:left w:w="85" w:type="dxa"/>
              <w:right w:w="85" w:type="dxa"/>
            </w:tcMar>
            <w:vAlign w:val="center"/>
          </w:tcPr>
          <w:p w:rsidR="0066483E" w:rsidRPr="00725691"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725691"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725691"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pStyle w:val="Numeroelenco"/>
              <w:numPr>
                <w:ilvl w:val="0"/>
                <w:numId w:val="0"/>
              </w:numPr>
              <w:ind w:left="57"/>
              <w:rPr>
                <w:lang w:val="it-IT"/>
              </w:rPr>
            </w:pPr>
          </w:p>
        </w:tc>
        <w:tc>
          <w:tcPr>
            <w:tcW w:w="851" w:type="dxa"/>
            <w:tcMar>
              <w:left w:w="108" w:type="dxa"/>
              <w:right w:w="0" w:type="dxa"/>
            </w:tcMar>
          </w:tcPr>
          <w:p w:rsidR="0066483E" w:rsidRDefault="0066483E" w:rsidP="004300E2">
            <w:pPr>
              <w:pStyle w:val="IAS"/>
              <w:rPr>
                <w:lang w:val="it-IT"/>
              </w:rPr>
            </w:pPr>
          </w:p>
        </w:tc>
        <w:tc>
          <w:tcPr>
            <w:tcW w:w="7079" w:type="dxa"/>
            <w:tcMar>
              <w:left w:w="108" w:type="dxa"/>
            </w:tcMar>
          </w:tcPr>
          <w:p w:rsidR="0066483E" w:rsidRDefault="0066483E" w:rsidP="009E34AB">
            <w:pPr>
              <w:pStyle w:val="Rientroa"/>
              <w:numPr>
                <w:ilvl w:val="0"/>
                <w:numId w:val="232"/>
              </w:numPr>
              <w:spacing w:line="230" w:lineRule="exact"/>
            </w:pPr>
            <w:r>
              <w:t xml:space="preserve">due prospetti dell'utile/(perdita) d'esercizio e delle altre componenti di conto economico complessivo </w:t>
            </w:r>
          </w:p>
        </w:tc>
        <w:tc>
          <w:tcPr>
            <w:tcW w:w="575" w:type="dxa"/>
            <w:tcMar>
              <w:left w:w="85" w:type="dxa"/>
              <w:right w:w="85" w:type="dxa"/>
            </w:tcMar>
            <w:vAlign w:val="center"/>
          </w:tcPr>
          <w:p w:rsidR="0066483E" w:rsidRPr="00725691"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725691"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725691"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pStyle w:val="Numeroelenco"/>
              <w:numPr>
                <w:ilvl w:val="0"/>
                <w:numId w:val="0"/>
              </w:numPr>
              <w:ind w:left="57"/>
              <w:rPr>
                <w:lang w:val="it-IT"/>
              </w:rPr>
            </w:pPr>
          </w:p>
        </w:tc>
        <w:tc>
          <w:tcPr>
            <w:tcW w:w="851" w:type="dxa"/>
            <w:tcMar>
              <w:left w:w="108" w:type="dxa"/>
              <w:right w:w="0" w:type="dxa"/>
            </w:tcMar>
          </w:tcPr>
          <w:p w:rsidR="0066483E" w:rsidRDefault="0066483E" w:rsidP="004300E2">
            <w:pPr>
              <w:pStyle w:val="IAS"/>
              <w:rPr>
                <w:lang w:val="it-IT"/>
              </w:rPr>
            </w:pPr>
          </w:p>
        </w:tc>
        <w:tc>
          <w:tcPr>
            <w:tcW w:w="7079" w:type="dxa"/>
            <w:tcMar>
              <w:left w:w="108" w:type="dxa"/>
            </w:tcMar>
          </w:tcPr>
          <w:p w:rsidR="0066483E" w:rsidRDefault="0066483E" w:rsidP="009E34AB">
            <w:pPr>
              <w:pStyle w:val="Rientroa"/>
              <w:numPr>
                <w:ilvl w:val="0"/>
                <w:numId w:val="232"/>
              </w:numPr>
              <w:spacing w:line="230" w:lineRule="exact"/>
            </w:pPr>
            <w:r>
              <w:t xml:space="preserve">due prospetti distinti dell'utile/(perdita) d'esercizio (se presentati) </w:t>
            </w:r>
          </w:p>
        </w:tc>
        <w:tc>
          <w:tcPr>
            <w:tcW w:w="575" w:type="dxa"/>
            <w:tcMar>
              <w:left w:w="85" w:type="dxa"/>
              <w:right w:w="85" w:type="dxa"/>
            </w:tcMar>
            <w:vAlign w:val="center"/>
          </w:tcPr>
          <w:p w:rsidR="0066483E" w:rsidRPr="00725691"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725691"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725691"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08357A" w:rsidTr="00940A6F">
        <w:trPr>
          <w:cantSplit/>
          <w:trHeight w:val="20"/>
        </w:trPr>
        <w:tc>
          <w:tcPr>
            <w:tcW w:w="567" w:type="dxa"/>
          </w:tcPr>
          <w:p w:rsidR="0066483E" w:rsidRPr="008A0F36" w:rsidRDefault="0066483E" w:rsidP="004300E2">
            <w:pPr>
              <w:pStyle w:val="Numeroelenco"/>
              <w:numPr>
                <w:ilvl w:val="0"/>
                <w:numId w:val="0"/>
              </w:numPr>
              <w:ind w:left="57"/>
              <w:rPr>
                <w:lang w:val="it-IT"/>
              </w:rPr>
            </w:pPr>
          </w:p>
        </w:tc>
        <w:tc>
          <w:tcPr>
            <w:tcW w:w="851" w:type="dxa"/>
            <w:tcMar>
              <w:left w:w="108" w:type="dxa"/>
              <w:right w:w="0" w:type="dxa"/>
            </w:tcMar>
          </w:tcPr>
          <w:p w:rsidR="0066483E" w:rsidRDefault="0066483E" w:rsidP="004300E2">
            <w:pPr>
              <w:pStyle w:val="IAS"/>
              <w:rPr>
                <w:lang w:val="it-IT"/>
              </w:rPr>
            </w:pPr>
          </w:p>
        </w:tc>
        <w:tc>
          <w:tcPr>
            <w:tcW w:w="7079" w:type="dxa"/>
            <w:tcMar>
              <w:left w:w="108" w:type="dxa"/>
            </w:tcMar>
          </w:tcPr>
          <w:p w:rsidR="0066483E" w:rsidRDefault="0066483E" w:rsidP="009E34AB">
            <w:pPr>
              <w:pStyle w:val="Rientroa"/>
              <w:numPr>
                <w:ilvl w:val="0"/>
                <w:numId w:val="232"/>
              </w:numPr>
              <w:spacing w:line="230" w:lineRule="exact"/>
            </w:pPr>
            <w:r>
              <w:t xml:space="preserve">due rendiconti finanziari e </w:t>
            </w:r>
          </w:p>
        </w:tc>
        <w:tc>
          <w:tcPr>
            <w:tcW w:w="575" w:type="dxa"/>
            <w:tcMar>
              <w:left w:w="85" w:type="dxa"/>
              <w:right w:w="85" w:type="dxa"/>
            </w:tcMar>
            <w:vAlign w:val="center"/>
          </w:tcPr>
          <w:p w:rsidR="0066483E" w:rsidRDefault="0066483E" w:rsidP="004300E2">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Default="0066483E" w:rsidP="004300E2">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Default="0066483E" w:rsidP="004300E2">
            <w:pPr>
              <w:jc w:val="cente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pStyle w:val="Numeroelenco"/>
              <w:numPr>
                <w:ilvl w:val="0"/>
                <w:numId w:val="0"/>
              </w:numPr>
              <w:ind w:left="57"/>
              <w:rPr>
                <w:lang w:val="it-IT"/>
              </w:rPr>
            </w:pPr>
          </w:p>
        </w:tc>
        <w:tc>
          <w:tcPr>
            <w:tcW w:w="851" w:type="dxa"/>
            <w:tcMar>
              <w:left w:w="108" w:type="dxa"/>
              <w:right w:w="0" w:type="dxa"/>
            </w:tcMar>
          </w:tcPr>
          <w:p w:rsidR="0066483E" w:rsidRDefault="0066483E" w:rsidP="004300E2">
            <w:pPr>
              <w:pStyle w:val="IAS"/>
              <w:rPr>
                <w:lang w:val="it-IT"/>
              </w:rPr>
            </w:pPr>
          </w:p>
        </w:tc>
        <w:tc>
          <w:tcPr>
            <w:tcW w:w="7079" w:type="dxa"/>
            <w:tcMar>
              <w:left w:w="108" w:type="dxa"/>
            </w:tcMar>
          </w:tcPr>
          <w:p w:rsidR="0066483E" w:rsidRDefault="0066483E" w:rsidP="009E34AB">
            <w:pPr>
              <w:pStyle w:val="Rientroa"/>
              <w:numPr>
                <w:ilvl w:val="0"/>
                <w:numId w:val="232"/>
              </w:numPr>
              <w:spacing w:line="230" w:lineRule="exact"/>
            </w:pPr>
            <w:r>
              <w:t>due prospetti delle variazioni di patrimonio netto, con le relative note.</w:t>
            </w:r>
          </w:p>
        </w:tc>
        <w:tc>
          <w:tcPr>
            <w:tcW w:w="575" w:type="dxa"/>
            <w:tcMar>
              <w:left w:w="85" w:type="dxa"/>
              <w:right w:w="85" w:type="dxa"/>
            </w:tcMar>
            <w:vAlign w:val="center"/>
          </w:tcPr>
          <w:p w:rsidR="0066483E" w:rsidRPr="00F235B5"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F235B5"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F235B5"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Default="0066483E" w:rsidP="004300E2">
            <w:pPr>
              <w:pStyle w:val="Numeroelenco"/>
              <w:ind w:left="0" w:firstLine="57"/>
              <w:rPr>
                <w:lang w:val="it-IT"/>
              </w:rPr>
            </w:pPr>
          </w:p>
        </w:tc>
        <w:tc>
          <w:tcPr>
            <w:tcW w:w="851" w:type="dxa"/>
            <w:tcMar>
              <w:left w:w="108" w:type="dxa"/>
              <w:right w:w="0" w:type="dxa"/>
            </w:tcMar>
          </w:tcPr>
          <w:p w:rsidR="0066483E" w:rsidRPr="008A0F36" w:rsidRDefault="0066483E" w:rsidP="004300E2">
            <w:pPr>
              <w:pStyle w:val="IAS"/>
              <w:rPr>
                <w:lang w:val="it-IT"/>
              </w:rPr>
            </w:pPr>
            <w:r w:rsidRPr="008A0F36">
              <w:rPr>
                <w:lang w:val="it-IT"/>
              </w:rPr>
              <w:t>IAS 1.38</w:t>
            </w:r>
          </w:p>
        </w:tc>
        <w:tc>
          <w:tcPr>
            <w:tcW w:w="7079" w:type="dxa"/>
            <w:tcMar>
              <w:left w:w="108" w:type="dxa"/>
            </w:tcMar>
          </w:tcPr>
          <w:p w:rsidR="0066483E" w:rsidRDefault="0066483E" w:rsidP="009E34AB">
            <w:pPr>
              <w:tabs>
                <w:tab w:val="center" w:pos="4536"/>
                <w:tab w:val="right" w:pos="9072"/>
              </w:tabs>
              <w:spacing w:line="230" w:lineRule="exact"/>
              <w:rPr>
                <w:lang w:val="it-IT"/>
              </w:rPr>
            </w:pPr>
            <w:r w:rsidRPr="00AB2C1C">
              <w:rPr>
                <w:lang w:val="it-IT"/>
              </w:rPr>
              <w:t>Un’entità deve includere informazioni comparative in merito alle informazioni di commento e descrittive, quando ciò sia rilevante per la comprensione del bilancio dell’esercizio di riferimento.</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Pr="008A0F36" w:rsidRDefault="004300E2" w:rsidP="004300E2">
            <w:pPr>
              <w:ind w:firstLine="57"/>
              <w:rPr>
                <w:lang w:val="it-IT"/>
              </w:rPr>
            </w:pPr>
          </w:p>
        </w:tc>
        <w:tc>
          <w:tcPr>
            <w:tcW w:w="851" w:type="dxa"/>
            <w:tcMar>
              <w:left w:w="108" w:type="dxa"/>
              <w:right w:w="0" w:type="dxa"/>
            </w:tcMar>
          </w:tcPr>
          <w:p w:rsidR="004300E2" w:rsidRPr="008A0F36" w:rsidRDefault="004300E2" w:rsidP="004300E2">
            <w:pPr>
              <w:pStyle w:val="IAS"/>
              <w:rPr>
                <w:lang w:val="it-IT"/>
              </w:rPr>
            </w:pPr>
            <w:r>
              <w:rPr>
                <w:lang w:val="it-IT"/>
              </w:rPr>
              <w:t>IAS 1.38C</w:t>
            </w:r>
          </w:p>
        </w:tc>
        <w:tc>
          <w:tcPr>
            <w:tcW w:w="7079" w:type="dxa"/>
            <w:tcMar>
              <w:left w:w="108" w:type="dxa"/>
            </w:tcMar>
          </w:tcPr>
          <w:p w:rsidR="004300E2" w:rsidRPr="008A0F36" w:rsidRDefault="004300E2" w:rsidP="005062DC">
            <w:pPr>
              <w:pStyle w:val="Paragarfobordato"/>
            </w:pPr>
            <w:r>
              <w:t xml:space="preserve">Un’entità può presentare informazioni comparative aggiuntive rispetto ai prospetti minimi richiesti dallo IAS 1, purchè tali informazioni comparative siano predisposte in conformità agli IFRS. Tali informazioni comparative possono consistere di uno o più dei prospetti indicati al precedente </w:t>
            </w:r>
            <w:r w:rsidRPr="004F522B">
              <w:t>punto 1</w:t>
            </w:r>
            <w:r>
              <w:t>3</w:t>
            </w:r>
            <w:r w:rsidRPr="004F522B">
              <w:t>, ma non</w:t>
            </w:r>
            <w:r>
              <w:t xml:space="preserve"> occorre comprendano un’informativa completa di bilancio. In tal caso l’entità deve presentare per tali prospetti aggiuntivi le relative note.</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4300E2" w:rsidRPr="00A44ECD" w:rsidTr="00940A6F">
        <w:trPr>
          <w:cantSplit/>
          <w:trHeight w:val="20"/>
        </w:trPr>
        <w:tc>
          <w:tcPr>
            <w:tcW w:w="567" w:type="dxa"/>
          </w:tcPr>
          <w:p w:rsidR="004300E2" w:rsidRDefault="004300E2" w:rsidP="004300E2">
            <w:pPr>
              <w:pStyle w:val="Numeroelenco"/>
              <w:numPr>
                <w:ilvl w:val="0"/>
                <w:numId w:val="0"/>
              </w:numPr>
              <w:ind w:left="57"/>
              <w:rPr>
                <w:lang w:val="it-IT"/>
              </w:rPr>
            </w:pPr>
          </w:p>
        </w:tc>
        <w:tc>
          <w:tcPr>
            <w:tcW w:w="851" w:type="dxa"/>
            <w:tcMar>
              <w:left w:w="108" w:type="dxa"/>
              <w:right w:w="0" w:type="dxa"/>
            </w:tcMar>
          </w:tcPr>
          <w:p w:rsidR="004300E2" w:rsidRDefault="004300E2" w:rsidP="004300E2">
            <w:pPr>
              <w:pStyle w:val="IAS"/>
              <w:rPr>
                <w:lang w:val="it-IT"/>
              </w:rPr>
            </w:pPr>
          </w:p>
        </w:tc>
        <w:tc>
          <w:tcPr>
            <w:tcW w:w="7079" w:type="dxa"/>
            <w:tcMar>
              <w:left w:w="108" w:type="dxa"/>
            </w:tcMar>
          </w:tcPr>
          <w:p w:rsidR="004300E2" w:rsidRPr="00CE0185" w:rsidRDefault="004300E2" w:rsidP="004300E2">
            <w:pPr>
              <w:pStyle w:val="Titolo2"/>
              <w:tabs>
                <w:tab w:val="left" w:pos="458"/>
              </w:tabs>
              <w:jc w:val="both"/>
              <w:rPr>
                <w:b w:val="0"/>
                <w:lang w:val="it-IT"/>
              </w:rPr>
            </w:pPr>
            <w:r w:rsidRPr="00AB2C1C">
              <w:rPr>
                <w:lang w:val="it-IT"/>
              </w:rPr>
              <w:t>Cam</w:t>
            </w:r>
            <w:r>
              <w:rPr>
                <w:lang w:val="it-IT"/>
              </w:rPr>
              <w:t>biamento dei principi contabili</w:t>
            </w:r>
            <w:r w:rsidRPr="00AB2C1C">
              <w:rPr>
                <w:lang w:val="it-IT"/>
              </w:rPr>
              <w:t>, rideterminazione retroattiva o riclassificazione</w:t>
            </w:r>
          </w:p>
        </w:tc>
        <w:tc>
          <w:tcPr>
            <w:tcW w:w="575" w:type="dxa"/>
            <w:tcMar>
              <w:left w:w="85" w:type="dxa"/>
              <w:right w:w="85"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r>
      <w:tr w:rsidR="004300E2" w:rsidRPr="00A44ECD" w:rsidTr="00940A6F">
        <w:trPr>
          <w:cantSplit/>
          <w:trHeight w:val="20"/>
        </w:trPr>
        <w:tc>
          <w:tcPr>
            <w:tcW w:w="567" w:type="dxa"/>
          </w:tcPr>
          <w:p w:rsidR="004300E2" w:rsidRDefault="004300E2" w:rsidP="004300E2">
            <w:pPr>
              <w:pStyle w:val="Numeroelenco"/>
              <w:ind w:left="0" w:firstLine="57"/>
              <w:rPr>
                <w:lang w:val="it-IT"/>
              </w:rPr>
            </w:pPr>
          </w:p>
        </w:tc>
        <w:tc>
          <w:tcPr>
            <w:tcW w:w="851" w:type="dxa"/>
            <w:tcMar>
              <w:left w:w="108" w:type="dxa"/>
              <w:right w:w="0" w:type="dxa"/>
            </w:tcMar>
          </w:tcPr>
          <w:p w:rsidR="004300E2" w:rsidRDefault="004300E2" w:rsidP="004300E2">
            <w:pPr>
              <w:pStyle w:val="IAS"/>
              <w:rPr>
                <w:lang w:val="it-IT"/>
              </w:rPr>
            </w:pPr>
            <w:r>
              <w:rPr>
                <w:lang w:val="it-IT"/>
              </w:rPr>
              <w:t>IAS 1.40A</w:t>
            </w:r>
          </w:p>
        </w:tc>
        <w:tc>
          <w:tcPr>
            <w:tcW w:w="7079" w:type="dxa"/>
            <w:tcMar>
              <w:left w:w="108" w:type="dxa"/>
            </w:tcMar>
          </w:tcPr>
          <w:p w:rsidR="004300E2" w:rsidRDefault="004300E2" w:rsidP="009E34AB">
            <w:pPr>
              <w:spacing w:line="230" w:lineRule="exact"/>
              <w:rPr>
                <w:lang w:val="it-IT"/>
              </w:rPr>
            </w:pPr>
            <w:r w:rsidRPr="00AB2C1C">
              <w:rPr>
                <w:lang w:val="it-IT"/>
              </w:rPr>
              <w:t xml:space="preserve">Un’entità deve presentare un terzo prospetto della situazione patrimoniale-finanziaria all'inizio dell’esercizio precedente in aggiunta ai prospetti informativi comparativi minimi richiesti dal paragrafo 38A se: </w:t>
            </w:r>
          </w:p>
        </w:tc>
        <w:tc>
          <w:tcPr>
            <w:tcW w:w="575" w:type="dxa"/>
            <w:tcMar>
              <w:left w:w="85" w:type="dxa"/>
              <w:right w:w="85" w:type="dxa"/>
            </w:tcMar>
            <w:vAlign w:val="center"/>
          </w:tcPr>
          <w:p w:rsidR="004300E2" w:rsidRPr="004979D5" w:rsidRDefault="004300E2" w:rsidP="004300E2">
            <w:pPr>
              <w:jc w:val="center"/>
              <w:rPr>
                <w:lang w:val="it-IT"/>
              </w:rPr>
            </w:pPr>
          </w:p>
          <w:p w:rsidR="004300E2" w:rsidRPr="00A32A16" w:rsidRDefault="004300E2" w:rsidP="004300E2">
            <w:pPr>
              <w:jc w:val="center"/>
              <w:rPr>
                <w:lang w:val="it-IT"/>
              </w:rPr>
            </w:pPr>
          </w:p>
        </w:tc>
        <w:tc>
          <w:tcPr>
            <w:tcW w:w="567" w:type="dxa"/>
            <w:tcMar>
              <w:left w:w="108" w:type="dxa"/>
            </w:tcMar>
            <w:vAlign w:val="center"/>
          </w:tcPr>
          <w:p w:rsidR="004300E2" w:rsidRPr="003E1E94" w:rsidRDefault="004300E2" w:rsidP="004300E2">
            <w:pPr>
              <w:jc w:val="center"/>
              <w:rPr>
                <w:lang w:val="it-IT"/>
              </w:rPr>
            </w:pPr>
          </w:p>
          <w:p w:rsidR="004300E2" w:rsidRPr="00A32A16" w:rsidRDefault="004300E2" w:rsidP="004300E2">
            <w:pPr>
              <w:jc w:val="center"/>
              <w:rPr>
                <w:lang w:val="it-IT"/>
              </w:rPr>
            </w:pPr>
          </w:p>
        </w:tc>
        <w:tc>
          <w:tcPr>
            <w:tcW w:w="567" w:type="dxa"/>
            <w:tcMar>
              <w:left w:w="108" w:type="dxa"/>
            </w:tcMar>
            <w:vAlign w:val="center"/>
          </w:tcPr>
          <w:p w:rsidR="004300E2" w:rsidRPr="003E1E94" w:rsidRDefault="004300E2" w:rsidP="004300E2">
            <w:pPr>
              <w:jc w:val="center"/>
              <w:rPr>
                <w:lang w:val="it-IT"/>
              </w:rPr>
            </w:pPr>
          </w:p>
          <w:p w:rsidR="004300E2" w:rsidRPr="00A32A16" w:rsidRDefault="004300E2" w:rsidP="004300E2">
            <w:pPr>
              <w:jc w:val="center"/>
              <w:rPr>
                <w:lang w:val="it-IT"/>
              </w:rPr>
            </w:pPr>
          </w:p>
        </w:tc>
      </w:tr>
      <w:tr w:rsidR="0066483E" w:rsidRPr="008129DA" w:rsidTr="00940A6F">
        <w:trPr>
          <w:cantSplit/>
          <w:trHeight w:val="20"/>
        </w:trPr>
        <w:tc>
          <w:tcPr>
            <w:tcW w:w="567" w:type="dxa"/>
          </w:tcPr>
          <w:p w:rsidR="0066483E" w:rsidRDefault="0066483E" w:rsidP="004300E2">
            <w:pPr>
              <w:pStyle w:val="Numeroelenco"/>
              <w:numPr>
                <w:ilvl w:val="0"/>
                <w:numId w:val="0"/>
              </w:numPr>
              <w:ind w:left="57"/>
              <w:rPr>
                <w:lang w:val="it-IT"/>
              </w:rPr>
            </w:pPr>
          </w:p>
        </w:tc>
        <w:tc>
          <w:tcPr>
            <w:tcW w:w="851" w:type="dxa"/>
            <w:tcMar>
              <w:left w:w="108" w:type="dxa"/>
              <w:right w:w="0" w:type="dxa"/>
            </w:tcMar>
          </w:tcPr>
          <w:p w:rsidR="0066483E" w:rsidRDefault="0066483E" w:rsidP="004300E2">
            <w:pPr>
              <w:pStyle w:val="IAS"/>
              <w:rPr>
                <w:lang w:val="it-IT"/>
              </w:rPr>
            </w:pPr>
          </w:p>
        </w:tc>
        <w:tc>
          <w:tcPr>
            <w:tcW w:w="7079" w:type="dxa"/>
            <w:tcMar>
              <w:left w:w="108" w:type="dxa"/>
            </w:tcMar>
          </w:tcPr>
          <w:p w:rsidR="0066483E" w:rsidRPr="00AB2C1C" w:rsidRDefault="0066483E" w:rsidP="009E34AB">
            <w:pPr>
              <w:spacing w:line="230" w:lineRule="exact"/>
              <w:ind w:left="316" w:hanging="316"/>
              <w:rPr>
                <w:lang w:val="it-IT"/>
              </w:rPr>
            </w:pPr>
            <w:r w:rsidRPr="00AB2C1C">
              <w:rPr>
                <w:lang w:val="it-IT"/>
              </w:rPr>
              <w:t xml:space="preserve">(a) </w:t>
            </w:r>
            <w:r>
              <w:rPr>
                <w:lang w:val="it-IT"/>
              </w:rPr>
              <w:tab/>
            </w:r>
            <w:r w:rsidRPr="00AB2C1C">
              <w:rPr>
                <w:lang w:val="it-IT"/>
              </w:rPr>
              <w:t xml:space="preserve">applica un principio contabile retroattivamente, ridetermina retroattivamente voci del proprio bilancio oppure riclassifica alcune voci del proprio bilancio; e </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Default="0066483E" w:rsidP="004300E2">
            <w:pPr>
              <w:pStyle w:val="Numeroelenco"/>
              <w:numPr>
                <w:ilvl w:val="0"/>
                <w:numId w:val="0"/>
              </w:numPr>
              <w:ind w:left="57"/>
              <w:rPr>
                <w:lang w:val="it-IT"/>
              </w:rPr>
            </w:pPr>
          </w:p>
        </w:tc>
        <w:tc>
          <w:tcPr>
            <w:tcW w:w="851" w:type="dxa"/>
            <w:tcMar>
              <w:left w:w="108" w:type="dxa"/>
              <w:right w:w="0" w:type="dxa"/>
            </w:tcMar>
          </w:tcPr>
          <w:p w:rsidR="0066483E" w:rsidRDefault="0066483E" w:rsidP="004300E2">
            <w:pPr>
              <w:pStyle w:val="IAS"/>
              <w:rPr>
                <w:lang w:val="it-IT"/>
              </w:rPr>
            </w:pPr>
          </w:p>
        </w:tc>
        <w:tc>
          <w:tcPr>
            <w:tcW w:w="7079" w:type="dxa"/>
            <w:tcMar>
              <w:left w:w="108" w:type="dxa"/>
            </w:tcMar>
          </w:tcPr>
          <w:p w:rsidR="0066483E" w:rsidRPr="00AB2C1C" w:rsidRDefault="0066483E" w:rsidP="009E34AB">
            <w:pPr>
              <w:spacing w:line="230" w:lineRule="exact"/>
              <w:ind w:left="316" w:hanging="316"/>
              <w:rPr>
                <w:lang w:val="it-IT"/>
              </w:rPr>
            </w:pPr>
            <w:r w:rsidRPr="00AB2C1C">
              <w:rPr>
                <w:lang w:val="it-IT"/>
              </w:rPr>
              <w:t xml:space="preserve">(b) </w:t>
            </w:r>
            <w:r>
              <w:rPr>
                <w:lang w:val="it-IT"/>
              </w:rPr>
              <w:tab/>
            </w:r>
            <w:r w:rsidRPr="00AB2C1C">
              <w:rPr>
                <w:lang w:val="it-IT"/>
              </w:rPr>
              <w:t>l’applicazione retroattiva, la rideterminazione retroattiva o la riclassificazione hanno un impatto significativo sull'informativa riportata nel prospetto della situazione patrimoniale-finanziaria all'inizio dell'esercizio precedente.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Default="004300E2" w:rsidP="004300E2">
            <w:pPr>
              <w:pStyle w:val="Numeroelenco"/>
              <w:numPr>
                <w:ilvl w:val="0"/>
                <w:numId w:val="0"/>
              </w:numPr>
              <w:ind w:left="57"/>
              <w:rPr>
                <w:lang w:val="it-IT"/>
              </w:rPr>
            </w:pPr>
          </w:p>
        </w:tc>
        <w:tc>
          <w:tcPr>
            <w:tcW w:w="851" w:type="dxa"/>
            <w:tcMar>
              <w:left w:w="108" w:type="dxa"/>
              <w:right w:w="0" w:type="dxa"/>
            </w:tcMar>
          </w:tcPr>
          <w:p w:rsidR="004300E2" w:rsidRDefault="004300E2" w:rsidP="004300E2">
            <w:pPr>
              <w:pStyle w:val="IAS"/>
              <w:rPr>
                <w:lang w:val="it-IT"/>
              </w:rPr>
            </w:pPr>
            <w:r>
              <w:rPr>
                <w:lang w:val="it-IT"/>
              </w:rPr>
              <w:t>IAS 1.40B</w:t>
            </w:r>
          </w:p>
          <w:p w:rsidR="004300E2" w:rsidRDefault="004300E2" w:rsidP="004300E2">
            <w:pPr>
              <w:pStyle w:val="IAS"/>
              <w:rPr>
                <w:lang w:val="it-IT"/>
              </w:rPr>
            </w:pPr>
            <w:r>
              <w:rPr>
                <w:lang w:val="it-IT"/>
              </w:rPr>
              <w:t>IAS 1.40C</w:t>
            </w:r>
          </w:p>
        </w:tc>
        <w:tc>
          <w:tcPr>
            <w:tcW w:w="7079" w:type="dxa"/>
            <w:tcMar>
              <w:left w:w="108" w:type="dxa"/>
            </w:tcMar>
          </w:tcPr>
          <w:p w:rsidR="004300E2" w:rsidRPr="00AB2C1C" w:rsidRDefault="004300E2" w:rsidP="005062DC">
            <w:pPr>
              <w:pStyle w:val="Paragarfobordato"/>
            </w:pPr>
            <w:r w:rsidRPr="00AB2C1C">
              <w:t xml:space="preserve">Nelle circostanze descritte </w:t>
            </w:r>
            <w:r>
              <w:t>dal precedente punto</w:t>
            </w:r>
            <w:r w:rsidRPr="00AB2C1C">
              <w:t xml:space="preserve">, un’entità deve presentare tre prospetti della situazione patrimoniale- finanziaria: </w:t>
            </w:r>
          </w:p>
          <w:p w:rsidR="004300E2" w:rsidRPr="00AB2C1C" w:rsidRDefault="004300E2" w:rsidP="005062DC">
            <w:pPr>
              <w:pStyle w:val="Paragarfobordato"/>
            </w:pPr>
            <w:r w:rsidRPr="00AB2C1C">
              <w:t xml:space="preserve">(a) alla chiusura dell’esercizio corrente; </w:t>
            </w:r>
          </w:p>
          <w:p w:rsidR="004300E2" w:rsidRPr="00AB2C1C" w:rsidRDefault="004300E2" w:rsidP="005062DC">
            <w:pPr>
              <w:pStyle w:val="Paragarfobordato"/>
            </w:pPr>
            <w:r w:rsidRPr="00AB2C1C">
              <w:t xml:space="preserve">(b) alla chiusura dell’esercizio precedente; e </w:t>
            </w:r>
          </w:p>
          <w:p w:rsidR="004300E2" w:rsidRPr="00AB2C1C" w:rsidRDefault="004300E2" w:rsidP="005062DC">
            <w:pPr>
              <w:pStyle w:val="Paragarfobordato"/>
            </w:pPr>
            <w:r w:rsidRPr="00AB2C1C">
              <w:t>(c) all’inizio dell’esercizio precedente.</w:t>
            </w:r>
          </w:p>
          <w:p w:rsidR="004300E2" w:rsidRPr="00AB2C1C" w:rsidRDefault="004300E2" w:rsidP="005062DC">
            <w:pPr>
              <w:pStyle w:val="Paragarfobordato"/>
            </w:pPr>
            <w:r w:rsidRPr="004F522B">
              <w:t>L’entità deve, inoltre,</w:t>
            </w:r>
            <w:r>
              <w:t xml:space="preserve"> </w:t>
            </w:r>
            <w:r w:rsidRPr="004F522B">
              <w:t>fornire, a seconda delle circostanze, le informazioni addizionali richieste dallo IAS 1 (vedi successivi punti 16 - 17)</w:t>
            </w:r>
            <w:r>
              <w:t xml:space="preserve"> </w:t>
            </w:r>
            <w:r w:rsidRPr="004F522B">
              <w:t xml:space="preserve">e dallo IAS 8 (vedi punti </w:t>
            </w:r>
            <w:r w:rsidRPr="00A201F7">
              <w:t>11</w:t>
            </w:r>
            <w:r>
              <w:t>4</w:t>
            </w:r>
            <w:r w:rsidRPr="00A201F7">
              <w:t>-</w:t>
            </w:r>
            <w:r w:rsidRPr="00A73A8F">
              <w:t>11</w:t>
            </w:r>
            <w:r>
              <w:t>7</w:t>
            </w:r>
            <w:r w:rsidRPr="00A73A8F">
              <w:t xml:space="preserve"> e 19</w:t>
            </w:r>
            <w:r>
              <w:t>4-197</w:t>
            </w:r>
            <w:r w:rsidRPr="004F522B">
              <w:t>). Tuttavia, non deve</w:t>
            </w:r>
            <w:r w:rsidRPr="00AB2C1C">
              <w:t xml:space="preserve"> presentare le note relative al prospetto della situazione patrimoniale-finanziaria di apertura all'inizio dell'esercizio precedente.</w:t>
            </w:r>
          </w:p>
        </w:tc>
        <w:tc>
          <w:tcPr>
            <w:tcW w:w="575" w:type="dxa"/>
            <w:tcMar>
              <w:left w:w="85" w:type="dxa"/>
              <w:right w:w="85"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r>
      <w:tr w:rsidR="004300E2" w:rsidRPr="00A44ECD" w:rsidTr="00940A6F">
        <w:trPr>
          <w:cantSplit/>
          <w:trHeight w:val="20"/>
        </w:trPr>
        <w:tc>
          <w:tcPr>
            <w:tcW w:w="567" w:type="dxa"/>
          </w:tcPr>
          <w:p w:rsidR="004300E2" w:rsidRDefault="004300E2" w:rsidP="004300E2">
            <w:pPr>
              <w:pStyle w:val="Numeroelenco"/>
              <w:numPr>
                <w:ilvl w:val="0"/>
                <w:numId w:val="0"/>
              </w:numPr>
              <w:ind w:left="57"/>
              <w:rPr>
                <w:lang w:val="it-IT"/>
              </w:rPr>
            </w:pPr>
          </w:p>
        </w:tc>
        <w:tc>
          <w:tcPr>
            <w:tcW w:w="851" w:type="dxa"/>
            <w:tcMar>
              <w:left w:w="108" w:type="dxa"/>
              <w:right w:w="0" w:type="dxa"/>
            </w:tcMar>
          </w:tcPr>
          <w:p w:rsidR="004300E2" w:rsidRDefault="004300E2" w:rsidP="004300E2">
            <w:pPr>
              <w:pStyle w:val="IAS"/>
              <w:rPr>
                <w:lang w:val="it-IT"/>
              </w:rPr>
            </w:pPr>
            <w:r>
              <w:rPr>
                <w:lang w:val="it-IT"/>
              </w:rPr>
              <w:t>IAS 1.40D</w:t>
            </w:r>
          </w:p>
        </w:tc>
        <w:tc>
          <w:tcPr>
            <w:tcW w:w="7079" w:type="dxa"/>
            <w:tcMar>
              <w:left w:w="108" w:type="dxa"/>
            </w:tcMar>
          </w:tcPr>
          <w:p w:rsidR="004300E2" w:rsidRPr="00CD378C" w:rsidRDefault="004300E2" w:rsidP="005062DC">
            <w:pPr>
              <w:pStyle w:val="Paragarfobordato"/>
            </w:pPr>
            <w:r w:rsidRPr="008128BC">
              <w:t xml:space="preserve">La data </w:t>
            </w:r>
            <w:r>
              <w:t xml:space="preserve">del </w:t>
            </w:r>
            <w:r w:rsidRPr="008128BC">
              <w:t xml:space="preserve">prospetto della situazione patrimoniale-finanziaria di apertura deve essere quella di inizio dell'esercizio precedente indipendentemente dal fatto che il bilancio dell'entità riporti o meno informazioni comparative </w:t>
            </w:r>
            <w:r>
              <w:t xml:space="preserve">aggiuntive </w:t>
            </w:r>
            <w:r w:rsidRPr="008128BC">
              <w:t xml:space="preserve">come consentito </w:t>
            </w:r>
            <w:r>
              <w:t>dallo IAS 1.38C</w:t>
            </w:r>
            <w:r w:rsidRPr="008128BC">
              <w:t>.</w:t>
            </w:r>
          </w:p>
        </w:tc>
        <w:tc>
          <w:tcPr>
            <w:tcW w:w="575" w:type="dxa"/>
            <w:tcMar>
              <w:left w:w="85" w:type="dxa"/>
              <w:right w:w="85"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r>
      <w:tr w:rsidR="004300E2" w:rsidRPr="00A44ECD" w:rsidTr="00940A6F">
        <w:trPr>
          <w:cantSplit/>
          <w:trHeight w:val="20"/>
        </w:trPr>
        <w:tc>
          <w:tcPr>
            <w:tcW w:w="567" w:type="dxa"/>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1.41</w:t>
            </w:r>
          </w:p>
        </w:tc>
        <w:tc>
          <w:tcPr>
            <w:tcW w:w="7079" w:type="dxa"/>
            <w:tcMar>
              <w:left w:w="108" w:type="dxa"/>
            </w:tcMar>
          </w:tcPr>
          <w:p w:rsidR="004300E2" w:rsidRPr="008A0F36" w:rsidRDefault="004300E2" w:rsidP="00E1617D">
            <w:pPr>
              <w:rPr>
                <w:lang w:val="it-IT"/>
              </w:rPr>
            </w:pPr>
            <w:r w:rsidRPr="00AB2C1C">
              <w:rPr>
                <w:lang w:val="it-IT"/>
              </w:rPr>
              <w:t>Se l’entità modifica la presentazione o la classificazione delle voci nel bilancio, deve riclassificare gli importi comparativi a meno che la riclassificazione non sia fattibile. Quando un'entità riclassifica gli importi comparativi, deve indicare (incluso all'inizio dell'esercizio precedente):</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66483E" w:rsidRPr="008A0F36"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numPr>
                <w:ilvl w:val="0"/>
                <w:numId w:val="12"/>
              </w:numPr>
            </w:pPr>
            <w:r w:rsidRPr="008A0F36">
              <w:t>la natura della riclassifica</w:t>
            </w:r>
            <w:r>
              <w:t>zione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l’importo di ogni voce o classe di voci che è riclassificata; 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A0F36"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i motivi della riclassifica</w:t>
            </w:r>
            <w:r>
              <w:t>zione</w:t>
            </w:r>
            <w:r w:rsidRPr="008A0F36">
              <w:t>.</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1.42</w:t>
            </w:r>
          </w:p>
        </w:tc>
        <w:tc>
          <w:tcPr>
            <w:tcW w:w="7079" w:type="dxa"/>
            <w:tcMar>
              <w:left w:w="108" w:type="dxa"/>
            </w:tcMar>
          </w:tcPr>
          <w:p w:rsidR="004300E2" w:rsidRPr="008A0F36" w:rsidRDefault="004300E2" w:rsidP="004300E2">
            <w:pPr>
              <w:rPr>
                <w:lang w:val="it-IT"/>
              </w:rPr>
            </w:pPr>
            <w:r w:rsidRPr="008A0F36">
              <w:rPr>
                <w:lang w:val="it-IT"/>
              </w:rPr>
              <w:t>Quando la riclassifica degli importi comparativi non è fattibile perché richiederebbe costi e sforzi eccessivi, l’entità ha fornito le seguenti informazioni:</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numPr>
                <w:ilvl w:val="0"/>
                <w:numId w:val="13"/>
              </w:numPr>
            </w:pPr>
            <w:r w:rsidRPr="008A0F36">
              <w:t>la ragione per cui gli importi non sono stati riclassificati; 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la natura delle rettifiche che sarebbero state apportate se gli importi fossero stati riclassificati.</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BC7990" w:rsidTr="00940A6F">
        <w:trPr>
          <w:cantSplit/>
          <w:trHeight w:val="20"/>
        </w:trPr>
        <w:tc>
          <w:tcPr>
            <w:tcW w:w="567" w:type="dxa"/>
          </w:tcPr>
          <w:p w:rsidR="004300E2" w:rsidRPr="008A0F36" w:rsidRDefault="004300E2" w:rsidP="004300E2">
            <w:pPr>
              <w:ind w:firstLine="57"/>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Default="004300E2" w:rsidP="004300E2">
            <w:pPr>
              <w:pStyle w:val="Titolo2"/>
            </w:pPr>
            <w:r w:rsidRPr="00AB2C1C">
              <w:rPr>
                <w:lang w:val="it-IT"/>
              </w:rPr>
              <w:t>Informazioni comparative – casi specifici</w:t>
            </w:r>
          </w:p>
        </w:tc>
        <w:tc>
          <w:tcPr>
            <w:tcW w:w="575" w:type="dxa"/>
            <w:tcMar>
              <w:left w:w="85" w:type="dxa"/>
              <w:right w:w="85"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r>
      <w:tr w:rsidR="0066483E" w:rsidRPr="008129DA" w:rsidTr="00940A6F">
        <w:trPr>
          <w:cantSplit/>
          <w:trHeight w:val="20"/>
        </w:trPr>
        <w:tc>
          <w:tcPr>
            <w:tcW w:w="567" w:type="dxa"/>
          </w:tcPr>
          <w:p w:rsidR="0066483E" w:rsidRPr="008A0F36" w:rsidRDefault="0066483E" w:rsidP="004300E2">
            <w:pPr>
              <w:pStyle w:val="Numeroelenco"/>
              <w:ind w:left="0" w:firstLine="57"/>
              <w:rPr>
                <w:lang w:val="it-IT"/>
              </w:rPr>
            </w:pPr>
          </w:p>
        </w:tc>
        <w:tc>
          <w:tcPr>
            <w:tcW w:w="851" w:type="dxa"/>
            <w:tcMar>
              <w:left w:w="108" w:type="dxa"/>
              <w:right w:w="0" w:type="dxa"/>
            </w:tcMar>
          </w:tcPr>
          <w:p w:rsidR="0066483E" w:rsidRPr="008A0F36" w:rsidRDefault="0066483E" w:rsidP="004300E2">
            <w:pPr>
              <w:pStyle w:val="IAS"/>
              <w:rPr>
                <w:lang w:val="it-IT"/>
              </w:rPr>
            </w:pPr>
            <w:r w:rsidRPr="00340BF6">
              <w:rPr>
                <w:lang w:val="it-IT"/>
              </w:rPr>
              <w:t>IAS 29.8</w:t>
            </w:r>
          </w:p>
        </w:tc>
        <w:tc>
          <w:tcPr>
            <w:tcW w:w="7079" w:type="dxa"/>
            <w:tcBorders>
              <w:bottom w:val="single" w:sz="2" w:space="0" w:color="auto"/>
            </w:tcBorders>
            <w:tcMar>
              <w:left w:w="108" w:type="dxa"/>
            </w:tcMar>
          </w:tcPr>
          <w:p w:rsidR="0066483E" w:rsidRPr="008A0F36" w:rsidRDefault="0066483E" w:rsidP="00E1617D">
            <w:pPr>
              <w:spacing w:line="214" w:lineRule="exact"/>
              <w:rPr>
                <w:lang w:val="it-IT"/>
              </w:rPr>
            </w:pPr>
            <w:r w:rsidRPr="008A0F36">
              <w:rPr>
                <w:lang w:val="it-IT"/>
              </w:rPr>
              <w:t xml:space="preserve">Il bilancio </w:t>
            </w:r>
            <w:r>
              <w:rPr>
                <w:lang w:val="it-IT"/>
              </w:rPr>
              <w:t>di un’entità</w:t>
            </w:r>
            <w:r w:rsidRPr="008A0F36">
              <w:rPr>
                <w:lang w:val="it-IT"/>
              </w:rPr>
              <w:t xml:space="preserve"> la cui valuta funzionale è una valuta di un’economia iperinflazionata, deve essere esposto nell’unità di misura corrente alla data di chiusura dell’esercizio, compresi i relativi dati comparativi dell’esercizio precedente, ed eventuali informazioni riguardanti precedenti esercizi. </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pStyle w:val="Numeroelenco"/>
              <w:ind w:left="0" w:firstLine="57"/>
              <w:rPr>
                <w:lang w:val="it-IT"/>
              </w:rPr>
            </w:pPr>
          </w:p>
        </w:tc>
        <w:tc>
          <w:tcPr>
            <w:tcW w:w="851" w:type="dxa"/>
            <w:tcMar>
              <w:left w:w="108" w:type="dxa"/>
              <w:right w:w="0" w:type="dxa"/>
            </w:tcMar>
          </w:tcPr>
          <w:p w:rsidR="0066483E" w:rsidRPr="008A0F36" w:rsidRDefault="0066483E" w:rsidP="004300E2">
            <w:pPr>
              <w:pStyle w:val="IAS"/>
              <w:rPr>
                <w:lang w:val="it-IT"/>
              </w:rPr>
            </w:pPr>
            <w:r w:rsidRPr="000C16B1">
              <w:rPr>
                <w:lang w:val="it-IT"/>
              </w:rPr>
              <w:t>IAS 28.</w:t>
            </w:r>
            <w:r>
              <w:rPr>
                <w:lang w:val="it-IT"/>
              </w:rPr>
              <w:t>21</w:t>
            </w:r>
          </w:p>
        </w:tc>
        <w:tc>
          <w:tcPr>
            <w:tcW w:w="7079" w:type="dxa"/>
            <w:tcMar>
              <w:left w:w="108" w:type="dxa"/>
            </w:tcMar>
          </w:tcPr>
          <w:p w:rsidR="0066483E" w:rsidRPr="008A0F36" w:rsidRDefault="0066483E" w:rsidP="00E1617D">
            <w:pPr>
              <w:rPr>
                <w:lang w:val="it-IT"/>
              </w:rPr>
            </w:pPr>
            <w:r w:rsidRPr="008D1A28">
              <w:rPr>
                <w:lang w:val="it-IT"/>
              </w:rPr>
              <w:t xml:space="preserve">Se la partecipazione, o una parte di una partecipazione, in una società collegata o in una </w:t>
            </w:r>
            <w:r w:rsidRPr="000F56BA">
              <w:rPr>
                <w:i/>
                <w:lang w:val="it-IT"/>
              </w:rPr>
              <w:t>joint venture</w:t>
            </w:r>
            <w:r w:rsidRPr="008D1A28">
              <w:rPr>
                <w:lang w:val="it-IT"/>
              </w:rPr>
              <w:t xml:space="preserve"> classificata precedentemente come posseduta per la vendita non soddisfa più i criteri per essere così classificata, deve essere contabilizzata adottando il metodo del patrimonio netto con efficacia retroattiva a partire dalla data in cui era stata classificata come posseduta per la vendita. Devono essere modificati di conseguenza i bilanci di tutti gli esercizi a partire da tale classificazione.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Pr="008A0F36" w:rsidRDefault="004300E2" w:rsidP="004300E2">
            <w:pPr>
              <w:ind w:firstLine="57"/>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Pr="008A0F36" w:rsidRDefault="004300E2" w:rsidP="004300E2">
            <w:pPr>
              <w:pStyle w:val="Titolo2"/>
              <w:rPr>
                <w:lang w:val="it-IT"/>
              </w:rPr>
            </w:pPr>
            <w:r w:rsidRPr="008A0F36">
              <w:rPr>
                <w:lang w:val="it-IT"/>
              </w:rPr>
              <w:t>Coerenza di presentazione del bilancio</w:t>
            </w:r>
          </w:p>
        </w:tc>
        <w:tc>
          <w:tcPr>
            <w:tcW w:w="575" w:type="dxa"/>
            <w:tcMar>
              <w:left w:w="85" w:type="dxa"/>
              <w:right w:w="85" w:type="dxa"/>
            </w:tcMar>
            <w:vAlign w:val="center"/>
          </w:tcPr>
          <w:p w:rsidR="004300E2" w:rsidRPr="006F1EF4" w:rsidRDefault="004300E2" w:rsidP="004300E2">
            <w:pPr>
              <w:jc w:val="center"/>
              <w:rPr>
                <w:lang w:val="it-IT"/>
              </w:rPr>
            </w:pPr>
          </w:p>
        </w:tc>
        <w:tc>
          <w:tcPr>
            <w:tcW w:w="567" w:type="dxa"/>
            <w:tcMar>
              <w:left w:w="108" w:type="dxa"/>
            </w:tcMar>
            <w:vAlign w:val="center"/>
          </w:tcPr>
          <w:p w:rsidR="004300E2" w:rsidRPr="006F1EF4" w:rsidRDefault="004300E2" w:rsidP="004300E2">
            <w:pPr>
              <w:jc w:val="center"/>
              <w:rPr>
                <w:lang w:val="it-IT"/>
              </w:rPr>
            </w:pPr>
          </w:p>
        </w:tc>
        <w:tc>
          <w:tcPr>
            <w:tcW w:w="567" w:type="dxa"/>
            <w:tcMar>
              <w:left w:w="108" w:type="dxa"/>
            </w:tcMar>
            <w:vAlign w:val="center"/>
          </w:tcPr>
          <w:p w:rsidR="004300E2" w:rsidRPr="006F1EF4" w:rsidRDefault="004300E2" w:rsidP="004300E2">
            <w:pPr>
              <w:jc w:val="center"/>
              <w:rPr>
                <w:lang w:val="it-IT"/>
              </w:rPr>
            </w:pPr>
          </w:p>
        </w:tc>
      </w:tr>
      <w:tr w:rsidR="004300E2" w:rsidRPr="00A44ECD" w:rsidTr="00940A6F">
        <w:trPr>
          <w:cantSplit/>
          <w:trHeight w:val="20"/>
        </w:trPr>
        <w:tc>
          <w:tcPr>
            <w:tcW w:w="567" w:type="dxa"/>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1.45</w:t>
            </w:r>
          </w:p>
        </w:tc>
        <w:tc>
          <w:tcPr>
            <w:tcW w:w="7079" w:type="dxa"/>
            <w:tcMar>
              <w:left w:w="108" w:type="dxa"/>
            </w:tcMar>
          </w:tcPr>
          <w:p w:rsidR="004300E2" w:rsidRPr="008A0F36" w:rsidRDefault="004300E2" w:rsidP="004300E2">
            <w:pPr>
              <w:rPr>
                <w:lang w:val="it-IT"/>
              </w:rPr>
            </w:pPr>
            <w:r w:rsidRPr="008A0F36">
              <w:rPr>
                <w:lang w:val="it-IT"/>
              </w:rPr>
              <w:t xml:space="preserve">L’entità ha mantenuto da un esercizio all’altro la medesima: </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numPr>
                <w:ilvl w:val="0"/>
                <w:numId w:val="14"/>
              </w:numPr>
            </w:pPr>
            <w:r w:rsidRPr="008A0F36">
              <w:t xml:space="preserve">presentazione delle voci di bilancio; e </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classificazione delle voci di bilancio.</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Pr="008A0F36" w:rsidRDefault="004300E2" w:rsidP="004300E2">
            <w:pPr>
              <w:ind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1.45</w:t>
            </w:r>
          </w:p>
        </w:tc>
        <w:tc>
          <w:tcPr>
            <w:tcW w:w="7079" w:type="dxa"/>
            <w:tcMar>
              <w:left w:w="108" w:type="dxa"/>
            </w:tcMar>
          </w:tcPr>
          <w:p w:rsidR="004300E2" w:rsidRPr="008A0F36" w:rsidRDefault="004300E2" w:rsidP="005062DC">
            <w:pPr>
              <w:pStyle w:val="Paragarfobordato"/>
            </w:pPr>
            <w:r w:rsidRPr="008A0F36">
              <w:t>La presentazione e classificazione delle voci nel bilancio devono essere mantenute da un esercizio all’altro a meno che:</w:t>
            </w:r>
          </w:p>
          <w:p w:rsidR="004300E2" w:rsidRPr="008A0F36" w:rsidRDefault="004300E2" w:rsidP="005062DC">
            <w:pPr>
              <w:pStyle w:val="Paragarfobordato"/>
              <w:ind w:left="205" w:hanging="205"/>
            </w:pPr>
            <w:r w:rsidRPr="008A0F36">
              <w:t>a)</w:t>
            </w:r>
            <w:r w:rsidRPr="008A0F36">
              <w:tab/>
              <w:t>non sia evidente a seguito di un cambiamento rilevante nella natura delle operazioni dell’entità o di un riesame del bilancio che sarebbe più appropriata un’altra presentazione o classificazione, tenuto conto dei criteri per la selezione e applicazione dei principi contabili definiti nello IAS 8; o</w:t>
            </w:r>
          </w:p>
          <w:p w:rsidR="004300E2" w:rsidRPr="008A0F36" w:rsidRDefault="004300E2" w:rsidP="005062DC">
            <w:pPr>
              <w:pStyle w:val="Paragarfobordato"/>
              <w:ind w:left="205" w:hanging="205"/>
            </w:pPr>
            <w:r w:rsidRPr="008A0F36">
              <w:t>b)</w:t>
            </w:r>
            <w:r w:rsidRPr="008A0F36">
              <w:tab/>
              <w:t>un</w:t>
            </w:r>
            <w:r>
              <w:t xml:space="preserve"> IFRS </w:t>
            </w:r>
            <w:r w:rsidRPr="008A0F36">
              <w:t>non richieda un cambiamento nella presentazione.</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4300E2" w:rsidRPr="00A44ECD" w:rsidTr="00940A6F">
        <w:trPr>
          <w:cantSplit/>
          <w:trHeight w:val="20"/>
        </w:trPr>
        <w:tc>
          <w:tcPr>
            <w:tcW w:w="567" w:type="dxa"/>
          </w:tcPr>
          <w:p w:rsidR="004300E2" w:rsidRPr="008A0F36" w:rsidRDefault="004300E2" w:rsidP="004300E2">
            <w:pPr>
              <w:ind w:firstLine="57"/>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Pr="008A0F36" w:rsidRDefault="004300E2" w:rsidP="004300E2">
            <w:pPr>
              <w:pStyle w:val="Titolo2"/>
              <w:rPr>
                <w:lang w:val="it-IT"/>
              </w:rPr>
            </w:pPr>
            <w:r w:rsidRPr="008A0F36">
              <w:rPr>
                <w:lang w:val="it-IT"/>
              </w:rPr>
              <w:t>Data di autorizzazione alla pubblicazione</w:t>
            </w:r>
          </w:p>
        </w:tc>
        <w:tc>
          <w:tcPr>
            <w:tcW w:w="575" w:type="dxa"/>
            <w:tcMar>
              <w:left w:w="85" w:type="dxa"/>
              <w:right w:w="85" w:type="dxa"/>
            </w:tcMar>
            <w:vAlign w:val="center"/>
          </w:tcPr>
          <w:p w:rsidR="004300E2" w:rsidRPr="006F1EF4" w:rsidRDefault="004300E2" w:rsidP="004300E2">
            <w:pPr>
              <w:jc w:val="center"/>
              <w:rPr>
                <w:lang w:val="it-IT"/>
              </w:rPr>
            </w:pPr>
          </w:p>
        </w:tc>
        <w:tc>
          <w:tcPr>
            <w:tcW w:w="567" w:type="dxa"/>
            <w:tcMar>
              <w:left w:w="108" w:type="dxa"/>
            </w:tcMar>
            <w:vAlign w:val="center"/>
          </w:tcPr>
          <w:p w:rsidR="004300E2" w:rsidRPr="006F1EF4" w:rsidRDefault="004300E2" w:rsidP="004300E2">
            <w:pPr>
              <w:jc w:val="center"/>
              <w:rPr>
                <w:lang w:val="it-IT"/>
              </w:rPr>
            </w:pPr>
          </w:p>
        </w:tc>
        <w:tc>
          <w:tcPr>
            <w:tcW w:w="567" w:type="dxa"/>
            <w:tcMar>
              <w:left w:w="108" w:type="dxa"/>
            </w:tcMar>
            <w:vAlign w:val="center"/>
          </w:tcPr>
          <w:p w:rsidR="004300E2" w:rsidRPr="006F1EF4" w:rsidRDefault="004300E2" w:rsidP="004300E2">
            <w:pPr>
              <w:jc w:val="center"/>
              <w:rPr>
                <w:lang w:val="it-IT"/>
              </w:rPr>
            </w:pPr>
          </w:p>
        </w:tc>
      </w:tr>
      <w:tr w:rsidR="004300E2" w:rsidRPr="00A44ECD" w:rsidTr="00940A6F">
        <w:trPr>
          <w:cantSplit/>
          <w:trHeight w:val="20"/>
        </w:trPr>
        <w:tc>
          <w:tcPr>
            <w:tcW w:w="567" w:type="dxa"/>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10.17</w:t>
            </w:r>
          </w:p>
        </w:tc>
        <w:tc>
          <w:tcPr>
            <w:tcW w:w="7079" w:type="dxa"/>
            <w:tcMar>
              <w:left w:w="108" w:type="dxa"/>
            </w:tcMar>
          </w:tcPr>
          <w:p w:rsidR="004300E2" w:rsidRPr="008A0F36" w:rsidRDefault="004300E2" w:rsidP="004300E2">
            <w:pPr>
              <w:rPr>
                <w:lang w:val="it-IT"/>
              </w:rPr>
            </w:pPr>
            <w:r w:rsidRPr="008A0F36">
              <w:rPr>
                <w:lang w:val="it-IT"/>
              </w:rPr>
              <w:t>L’entità fornisce le seguenti informazioni:</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numPr>
                <w:ilvl w:val="0"/>
                <w:numId w:val="15"/>
              </w:numPr>
            </w:pPr>
            <w:r w:rsidRPr="008A0F36">
              <w:t>la data in cui il bilancio è stato autorizzato alla pubblicazione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chi lo ha autorizzato; 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se applicabile, il fatto che i proprietari dell’entità o altri hanno il potere di rettificare il bilancio dopo la sua pubblicazione.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vAlign w:val="center"/>
          </w:tcPr>
          <w:p w:rsidR="004300E2" w:rsidRPr="008A0F36" w:rsidRDefault="004300E2" w:rsidP="004300E2">
            <w:pPr>
              <w:ind w:firstLine="57"/>
              <w:jc w:val="left"/>
              <w:rPr>
                <w:lang w:val="it-IT"/>
              </w:rPr>
            </w:pPr>
          </w:p>
        </w:tc>
        <w:tc>
          <w:tcPr>
            <w:tcW w:w="851" w:type="dxa"/>
            <w:tcMar>
              <w:left w:w="108" w:type="dxa"/>
              <w:right w:w="0" w:type="dxa"/>
            </w:tcMar>
            <w:vAlign w:val="center"/>
          </w:tcPr>
          <w:p w:rsidR="004300E2" w:rsidRPr="008A0F36" w:rsidRDefault="004300E2" w:rsidP="004300E2">
            <w:pPr>
              <w:pStyle w:val="IAS"/>
              <w:jc w:val="left"/>
              <w:rPr>
                <w:lang w:val="it-IT"/>
              </w:rPr>
            </w:pPr>
          </w:p>
        </w:tc>
        <w:tc>
          <w:tcPr>
            <w:tcW w:w="7079" w:type="dxa"/>
            <w:tcMar>
              <w:left w:w="108" w:type="dxa"/>
            </w:tcMar>
            <w:vAlign w:val="center"/>
          </w:tcPr>
          <w:p w:rsidR="004300E2" w:rsidRPr="008A0F36" w:rsidRDefault="004300E2" w:rsidP="004300E2">
            <w:pPr>
              <w:pStyle w:val="Titolo1"/>
            </w:pPr>
            <w:r w:rsidRPr="008A0F36">
              <w:t>PRIMA ADOZIONE DEGLI IAS/IFRS</w:t>
            </w:r>
          </w:p>
        </w:tc>
        <w:tc>
          <w:tcPr>
            <w:tcW w:w="575" w:type="dxa"/>
            <w:tcMar>
              <w:left w:w="85" w:type="dxa"/>
              <w:right w:w="85" w:type="dxa"/>
            </w:tcMar>
            <w:vAlign w:val="center"/>
          </w:tcPr>
          <w:p w:rsidR="004300E2" w:rsidRPr="006F1EF4" w:rsidRDefault="004300E2" w:rsidP="004300E2">
            <w:pPr>
              <w:jc w:val="left"/>
              <w:rPr>
                <w:lang w:val="it-IT"/>
              </w:rPr>
            </w:pPr>
          </w:p>
        </w:tc>
        <w:tc>
          <w:tcPr>
            <w:tcW w:w="567" w:type="dxa"/>
            <w:tcMar>
              <w:left w:w="108" w:type="dxa"/>
            </w:tcMar>
            <w:vAlign w:val="center"/>
          </w:tcPr>
          <w:p w:rsidR="004300E2" w:rsidRPr="006F1EF4" w:rsidRDefault="004300E2" w:rsidP="004300E2">
            <w:pPr>
              <w:jc w:val="left"/>
              <w:rPr>
                <w:lang w:val="it-IT"/>
              </w:rPr>
            </w:pPr>
          </w:p>
        </w:tc>
        <w:tc>
          <w:tcPr>
            <w:tcW w:w="567" w:type="dxa"/>
            <w:tcMar>
              <w:left w:w="108" w:type="dxa"/>
            </w:tcMar>
            <w:vAlign w:val="center"/>
          </w:tcPr>
          <w:p w:rsidR="004300E2" w:rsidRPr="006F1EF4" w:rsidRDefault="004300E2" w:rsidP="004300E2">
            <w:pPr>
              <w:jc w:val="left"/>
              <w:rPr>
                <w:lang w:val="it-IT"/>
              </w:rPr>
            </w:pPr>
          </w:p>
        </w:tc>
      </w:tr>
      <w:tr w:rsidR="004300E2" w:rsidRPr="00A44ECD" w:rsidTr="00940A6F">
        <w:trPr>
          <w:cantSplit/>
          <w:trHeight w:val="20"/>
        </w:trPr>
        <w:tc>
          <w:tcPr>
            <w:tcW w:w="567" w:type="dxa"/>
          </w:tcPr>
          <w:p w:rsidR="004300E2" w:rsidRPr="008A0F36" w:rsidRDefault="004300E2" w:rsidP="004300E2">
            <w:pPr>
              <w:ind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IFRS 1.</w:t>
            </w:r>
            <w:r w:rsidRPr="008A0F36">
              <w:rPr>
                <w:lang w:val="it-IT"/>
              </w:rPr>
              <w:br/>
              <w:t>App. A</w:t>
            </w:r>
          </w:p>
        </w:tc>
        <w:tc>
          <w:tcPr>
            <w:tcW w:w="7079" w:type="dxa"/>
            <w:tcMar>
              <w:left w:w="108" w:type="dxa"/>
            </w:tcMar>
          </w:tcPr>
          <w:p w:rsidR="004300E2" w:rsidRPr="00E1617D" w:rsidRDefault="004300E2" w:rsidP="00E1617D">
            <w:pPr>
              <w:pStyle w:val="Paragarfobordato"/>
            </w:pPr>
            <w:r w:rsidRPr="00E1617D">
              <w:t>L’IFRS 1 definisce i seguenti termini</w:t>
            </w:r>
          </w:p>
          <w:p w:rsidR="004300E2" w:rsidRPr="00E1617D" w:rsidRDefault="004300E2" w:rsidP="00E1617D">
            <w:pPr>
              <w:pStyle w:val="Paragarfobordato"/>
            </w:pPr>
            <w:r w:rsidRPr="00E1617D">
              <w:t>-</w:t>
            </w:r>
            <w:r w:rsidRPr="00E1617D">
              <w:tab/>
              <w:t xml:space="preserve">Data di passaggio agli IFRS - data di apertura del primo esercizio antecedente quello in cui l’entità presenta una </w:t>
            </w:r>
            <w:r w:rsidR="00E1617D">
              <w:tab/>
            </w:r>
            <w:r w:rsidRPr="00E1617D">
              <w:t>completa informativa comparativa come previsto dagli IFRS nel primo bilancio redatto in conformità agli IFRS</w:t>
            </w:r>
          </w:p>
          <w:p w:rsidR="004300E2" w:rsidRPr="00E1617D" w:rsidRDefault="004300E2" w:rsidP="00E1617D">
            <w:pPr>
              <w:pStyle w:val="Paragarfobordato"/>
            </w:pPr>
            <w:r w:rsidRPr="00E1617D">
              <w:t>-</w:t>
            </w:r>
            <w:r w:rsidRPr="00E1617D">
              <w:tab/>
              <w:t xml:space="preserve">Prospetto della situazione patrimoniale-finanziaria di apertura redatto in conformità agli IFRS - Il prospetto della </w:t>
            </w:r>
            <w:r w:rsidR="00E1617D">
              <w:tab/>
            </w:r>
            <w:r w:rsidRPr="00E1617D">
              <w:t>situazione patrimoniale-finanziaria alla data di passaggio agli IFRS</w:t>
            </w:r>
          </w:p>
          <w:p w:rsidR="004300E2" w:rsidRPr="00E1617D" w:rsidRDefault="004300E2" w:rsidP="00E1617D">
            <w:pPr>
              <w:pStyle w:val="Paragarfobordato"/>
            </w:pPr>
            <w:r w:rsidRPr="00E1617D">
              <w:t>-</w:t>
            </w:r>
            <w:r w:rsidRPr="00E1617D">
              <w:tab/>
              <w:t xml:space="preserve">Primo Bilancio redatto in conformità agli IFRS - Il primo bilancio annuale in cui l’entità adotta gli IFRS, con una </w:t>
            </w:r>
            <w:r w:rsidR="00E1617D">
              <w:tab/>
            </w:r>
            <w:r w:rsidRPr="00E1617D">
              <w:t>dichiarazione di conformità agli IFRS esplicita e senza riserve; e</w:t>
            </w:r>
          </w:p>
          <w:p w:rsidR="004300E2" w:rsidRPr="00E1617D" w:rsidRDefault="004300E2" w:rsidP="00E1617D">
            <w:pPr>
              <w:pStyle w:val="Paragarfobordato"/>
            </w:pPr>
            <w:r w:rsidRPr="00E1617D">
              <w:t>-</w:t>
            </w:r>
            <w:r w:rsidRPr="00E1617D">
              <w:tab/>
              <w:t xml:space="preserve">Precedenti Principi contabili - L’insieme dei principi contabili usati dall’entità immediatamente prima del passaggio </w:t>
            </w:r>
            <w:r w:rsidR="00E1617D">
              <w:tab/>
            </w:r>
            <w:r w:rsidRPr="00E1617D">
              <w:t>agli IFRS.</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4300E2" w:rsidRPr="008A0F36" w:rsidTr="00940A6F">
        <w:trPr>
          <w:cantSplit/>
          <w:trHeight w:val="20"/>
        </w:trPr>
        <w:tc>
          <w:tcPr>
            <w:tcW w:w="567" w:type="dxa"/>
          </w:tcPr>
          <w:p w:rsidR="004300E2" w:rsidRPr="008A0F36" w:rsidRDefault="004300E2" w:rsidP="004300E2">
            <w:pPr>
              <w:ind w:firstLine="57"/>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Pr="008A0F36" w:rsidRDefault="004300E2" w:rsidP="004300E2">
            <w:pPr>
              <w:pStyle w:val="Titolo2"/>
              <w:rPr>
                <w:lang w:val="it-IT"/>
              </w:rPr>
            </w:pPr>
            <w:r w:rsidRPr="008A0F36">
              <w:rPr>
                <w:lang w:val="it-IT"/>
              </w:rPr>
              <w:t>Informazioni comparative</w:t>
            </w:r>
          </w:p>
        </w:tc>
        <w:tc>
          <w:tcPr>
            <w:tcW w:w="575" w:type="dxa"/>
            <w:tcMar>
              <w:left w:w="85" w:type="dxa"/>
              <w:right w:w="85" w:type="dxa"/>
            </w:tcMar>
            <w:vAlign w:val="center"/>
          </w:tcPr>
          <w:p w:rsidR="004300E2" w:rsidRDefault="004300E2" w:rsidP="004300E2">
            <w:pPr>
              <w:jc w:val="center"/>
            </w:pPr>
          </w:p>
        </w:tc>
        <w:tc>
          <w:tcPr>
            <w:tcW w:w="567" w:type="dxa"/>
            <w:tcMar>
              <w:left w:w="108" w:type="dxa"/>
            </w:tcMar>
            <w:vAlign w:val="center"/>
          </w:tcPr>
          <w:p w:rsidR="004300E2" w:rsidRDefault="004300E2" w:rsidP="004300E2">
            <w:pPr>
              <w:jc w:val="center"/>
            </w:pPr>
          </w:p>
        </w:tc>
        <w:tc>
          <w:tcPr>
            <w:tcW w:w="567" w:type="dxa"/>
            <w:tcMar>
              <w:left w:w="108" w:type="dxa"/>
            </w:tcMar>
            <w:vAlign w:val="center"/>
          </w:tcPr>
          <w:p w:rsidR="004300E2" w:rsidRDefault="004300E2" w:rsidP="004300E2">
            <w:pPr>
              <w:jc w:val="center"/>
            </w:pPr>
          </w:p>
        </w:tc>
      </w:tr>
      <w:tr w:rsidR="004300E2" w:rsidRPr="00A44ECD" w:rsidTr="00940A6F">
        <w:trPr>
          <w:cantSplit/>
          <w:trHeight w:val="20"/>
        </w:trPr>
        <w:tc>
          <w:tcPr>
            <w:tcW w:w="567" w:type="dxa"/>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IFRS 1.21</w:t>
            </w:r>
          </w:p>
        </w:tc>
        <w:tc>
          <w:tcPr>
            <w:tcW w:w="7079" w:type="dxa"/>
            <w:tcMar>
              <w:left w:w="108" w:type="dxa"/>
            </w:tcMar>
          </w:tcPr>
          <w:p w:rsidR="004300E2" w:rsidRPr="008A0F36" w:rsidRDefault="004300E2" w:rsidP="004300E2">
            <w:pPr>
              <w:rPr>
                <w:smallCaps/>
                <w:lang w:val="it-IT"/>
              </w:rPr>
            </w:pPr>
            <w:r w:rsidRPr="008A0F36">
              <w:rPr>
                <w:lang w:val="it-IT"/>
              </w:rPr>
              <w:t xml:space="preserve">Nel </w:t>
            </w:r>
            <w:r w:rsidRPr="008A0F36">
              <w:rPr>
                <w:b/>
                <w:lang w:val="it-IT"/>
              </w:rPr>
              <w:t>primo bilancio</w:t>
            </w:r>
            <w:r w:rsidRPr="008A0F36">
              <w:rPr>
                <w:lang w:val="it-IT"/>
              </w:rPr>
              <w:t xml:space="preserve"> IFRS, l’entità presenta almeno le seguenti informazioni in conformità agli IFRS ed in forma comparativa:</w:t>
            </w:r>
            <w:r w:rsidRPr="008A0F36">
              <w:rPr>
                <w:sz w:val="16"/>
                <w:szCs w:val="16"/>
                <w:lang w:val="it-IT"/>
              </w:rPr>
              <w:t xml:space="preserve"> </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numPr>
                <w:ilvl w:val="0"/>
                <w:numId w:val="19"/>
              </w:numPr>
            </w:pPr>
            <w:r w:rsidRPr="008A0F36">
              <w:t>tre prospetti della situazione patrimoniale-finanziaria</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 xml:space="preserve">due </w:t>
            </w:r>
            <w:r>
              <w:t>prospetti dell’utile/(perdita) d’esercizio e delle altre componenti di conto economico complessivo</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 xml:space="preserve">due </w:t>
            </w:r>
            <w:r>
              <w:t>prospetti distinti (se presentati) dell’utile/perdita d’esercizio</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A0F36"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due rendiconti finanziari</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due prospetti di variazioni del patrimonio netto</w:t>
            </w:r>
            <w:r>
              <w:t xml:space="preserve">, e </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t xml:space="preserve">le relative note, incluse le informazioni comparative, per tutti i prospetti presentati. </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Pr="008A0F36" w:rsidRDefault="004300E2" w:rsidP="004300E2">
            <w:pPr>
              <w:ind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IFRS 1.22</w:t>
            </w:r>
          </w:p>
        </w:tc>
        <w:tc>
          <w:tcPr>
            <w:tcW w:w="7079" w:type="dxa"/>
            <w:tcMar>
              <w:left w:w="108" w:type="dxa"/>
            </w:tcMar>
          </w:tcPr>
          <w:p w:rsidR="004300E2" w:rsidRPr="009F6F79" w:rsidRDefault="004300E2" w:rsidP="00E1617D">
            <w:pPr>
              <w:pStyle w:val="Paragarfobordato"/>
            </w:pPr>
            <w:r>
              <w:t>Per ogni informazione (riepiloghi storici o informazioni comparative) predisposta in base ai precedenti principi contabili e non conformi con i requisiti di rilevazione e valutazione degli IFRS, l’entità deve</w:t>
            </w:r>
            <w:r w:rsidR="00FD4056">
              <w:t>:</w:t>
            </w:r>
          </w:p>
          <w:p w:rsidR="004300E2" w:rsidRPr="009F6F79" w:rsidRDefault="004300E2" w:rsidP="00E1617D">
            <w:pPr>
              <w:pStyle w:val="Paragarfobordato"/>
            </w:pPr>
            <w:r w:rsidRPr="007E567E">
              <w:t xml:space="preserve">- </w:t>
            </w:r>
            <w:r>
              <w:tab/>
            </w:r>
            <w:r w:rsidRPr="007E567E">
              <w:t>indicare in maniera evidente le informazioni come non preparate secondo gli IFRS; e</w:t>
            </w:r>
            <w:r>
              <w:t xml:space="preserve"> </w:t>
            </w:r>
          </w:p>
          <w:p w:rsidR="004300E2" w:rsidRPr="009F6F79" w:rsidRDefault="004300E2" w:rsidP="00E1617D">
            <w:pPr>
              <w:pStyle w:val="Paragarfobordato"/>
            </w:pPr>
            <w:r w:rsidRPr="007E567E">
              <w:t xml:space="preserve">- </w:t>
            </w:r>
            <w:r>
              <w:tab/>
            </w:r>
            <w:r w:rsidRPr="007E567E">
              <w:t xml:space="preserve">dare indicazione della natura delle principali rettifiche che renderebbero tali informazioni conformi agli IFRS, </w:t>
            </w:r>
            <w:r w:rsidR="00E1617D">
              <w:tab/>
            </w:r>
            <w:r w:rsidRPr="007E567E">
              <w:t>senza la necessità che tali modifiche siano quantificate</w:t>
            </w:r>
            <w:r>
              <w:t>.</w:t>
            </w:r>
          </w:p>
        </w:tc>
        <w:tc>
          <w:tcPr>
            <w:tcW w:w="575" w:type="dxa"/>
            <w:tcMar>
              <w:left w:w="85" w:type="dxa"/>
              <w:right w:w="85" w:type="dxa"/>
            </w:tcMar>
            <w:vAlign w:val="center"/>
          </w:tcPr>
          <w:p w:rsidR="004300E2" w:rsidRPr="00F247D2" w:rsidRDefault="004300E2" w:rsidP="004300E2">
            <w:pPr>
              <w:jc w:val="center"/>
              <w:rPr>
                <w:lang w:val="it-IT"/>
              </w:rPr>
            </w:pPr>
          </w:p>
        </w:tc>
        <w:tc>
          <w:tcPr>
            <w:tcW w:w="567" w:type="dxa"/>
            <w:tcMar>
              <w:left w:w="108" w:type="dxa"/>
            </w:tcMar>
            <w:vAlign w:val="center"/>
          </w:tcPr>
          <w:p w:rsidR="004300E2" w:rsidRPr="00F247D2" w:rsidRDefault="004300E2" w:rsidP="004300E2">
            <w:pPr>
              <w:jc w:val="center"/>
              <w:rPr>
                <w:lang w:val="it-IT"/>
              </w:rPr>
            </w:pPr>
          </w:p>
        </w:tc>
        <w:tc>
          <w:tcPr>
            <w:tcW w:w="567" w:type="dxa"/>
            <w:tcMar>
              <w:left w:w="108" w:type="dxa"/>
            </w:tcMar>
            <w:vAlign w:val="center"/>
          </w:tcPr>
          <w:p w:rsidR="004300E2" w:rsidRPr="00F247D2" w:rsidRDefault="004300E2" w:rsidP="004300E2">
            <w:pPr>
              <w:jc w:val="center"/>
              <w:rPr>
                <w:lang w:val="it-IT"/>
              </w:rPr>
            </w:pPr>
          </w:p>
        </w:tc>
      </w:tr>
      <w:tr w:rsidR="004300E2" w:rsidRPr="008A0F36" w:rsidTr="00940A6F">
        <w:trPr>
          <w:cantSplit/>
          <w:trHeight w:val="20"/>
        </w:trPr>
        <w:tc>
          <w:tcPr>
            <w:tcW w:w="567" w:type="dxa"/>
          </w:tcPr>
          <w:p w:rsidR="004300E2" w:rsidRPr="008A0F36" w:rsidRDefault="004300E2" w:rsidP="00FD41D8">
            <w:pPr>
              <w:widowControl w:val="0"/>
              <w:ind w:firstLine="57"/>
              <w:rPr>
                <w:lang w:val="it-IT"/>
              </w:rPr>
            </w:pPr>
          </w:p>
        </w:tc>
        <w:tc>
          <w:tcPr>
            <w:tcW w:w="851" w:type="dxa"/>
            <w:tcMar>
              <w:left w:w="108" w:type="dxa"/>
              <w:right w:w="0" w:type="dxa"/>
            </w:tcMar>
          </w:tcPr>
          <w:p w:rsidR="004300E2" w:rsidRPr="008A0F36" w:rsidRDefault="004300E2" w:rsidP="00FD41D8">
            <w:pPr>
              <w:pStyle w:val="IAS"/>
              <w:widowControl w:val="0"/>
              <w:rPr>
                <w:lang w:val="it-IT"/>
              </w:rPr>
            </w:pPr>
          </w:p>
        </w:tc>
        <w:tc>
          <w:tcPr>
            <w:tcW w:w="7079" w:type="dxa"/>
            <w:tcMar>
              <w:left w:w="108" w:type="dxa"/>
            </w:tcMar>
          </w:tcPr>
          <w:p w:rsidR="004300E2" w:rsidRPr="008A0F36" w:rsidRDefault="004300E2" w:rsidP="00FD41D8">
            <w:pPr>
              <w:pStyle w:val="Titolo2"/>
              <w:keepNext w:val="0"/>
              <w:widowControl w:val="0"/>
              <w:rPr>
                <w:lang w:val="it-IT"/>
              </w:rPr>
            </w:pPr>
            <w:r w:rsidRPr="008A0F36">
              <w:rPr>
                <w:lang w:val="it-IT"/>
              </w:rPr>
              <w:t xml:space="preserve">Riconciliazioni </w:t>
            </w:r>
          </w:p>
        </w:tc>
        <w:tc>
          <w:tcPr>
            <w:tcW w:w="575" w:type="dxa"/>
            <w:tcMar>
              <w:left w:w="85" w:type="dxa"/>
              <w:right w:w="85" w:type="dxa"/>
            </w:tcMar>
            <w:vAlign w:val="center"/>
          </w:tcPr>
          <w:p w:rsidR="004300E2" w:rsidRDefault="004300E2" w:rsidP="00FD41D8">
            <w:pPr>
              <w:widowControl w:val="0"/>
              <w:jc w:val="center"/>
            </w:pPr>
          </w:p>
        </w:tc>
        <w:tc>
          <w:tcPr>
            <w:tcW w:w="567" w:type="dxa"/>
            <w:tcMar>
              <w:left w:w="108" w:type="dxa"/>
            </w:tcMar>
            <w:vAlign w:val="center"/>
          </w:tcPr>
          <w:p w:rsidR="004300E2" w:rsidRDefault="004300E2" w:rsidP="00FD41D8">
            <w:pPr>
              <w:widowControl w:val="0"/>
              <w:jc w:val="center"/>
            </w:pPr>
          </w:p>
        </w:tc>
        <w:tc>
          <w:tcPr>
            <w:tcW w:w="567" w:type="dxa"/>
            <w:tcMar>
              <w:left w:w="108" w:type="dxa"/>
            </w:tcMar>
            <w:vAlign w:val="center"/>
          </w:tcPr>
          <w:p w:rsidR="004300E2" w:rsidRDefault="004300E2" w:rsidP="00FD41D8">
            <w:pPr>
              <w:widowControl w:val="0"/>
              <w:jc w:val="center"/>
            </w:pPr>
          </w:p>
        </w:tc>
      </w:tr>
      <w:tr w:rsidR="004300E2" w:rsidRPr="00A44ECD" w:rsidTr="00940A6F">
        <w:trPr>
          <w:cantSplit/>
          <w:trHeight w:val="20"/>
        </w:trPr>
        <w:tc>
          <w:tcPr>
            <w:tcW w:w="567" w:type="dxa"/>
          </w:tcPr>
          <w:p w:rsidR="004300E2" w:rsidRPr="008A0F36" w:rsidDel="00F55272" w:rsidRDefault="004300E2" w:rsidP="00FD41D8">
            <w:pPr>
              <w:widowControl w:val="0"/>
              <w:ind w:firstLine="57"/>
              <w:rPr>
                <w:lang w:val="it-IT"/>
              </w:rPr>
            </w:pPr>
          </w:p>
        </w:tc>
        <w:tc>
          <w:tcPr>
            <w:tcW w:w="851" w:type="dxa"/>
            <w:tcMar>
              <w:left w:w="108" w:type="dxa"/>
              <w:right w:w="0" w:type="dxa"/>
            </w:tcMar>
          </w:tcPr>
          <w:p w:rsidR="004300E2" w:rsidRPr="008A0F36" w:rsidRDefault="004300E2" w:rsidP="00FD41D8">
            <w:pPr>
              <w:pStyle w:val="IAS"/>
              <w:widowControl w:val="0"/>
              <w:rPr>
                <w:lang w:val="it-IT"/>
              </w:rPr>
            </w:pPr>
            <w:r w:rsidRPr="008A0F36">
              <w:rPr>
                <w:lang w:val="it-IT"/>
              </w:rPr>
              <w:t>IFRS 1.27</w:t>
            </w:r>
          </w:p>
        </w:tc>
        <w:tc>
          <w:tcPr>
            <w:tcW w:w="7079" w:type="dxa"/>
            <w:tcMar>
              <w:left w:w="108" w:type="dxa"/>
            </w:tcMar>
          </w:tcPr>
          <w:p w:rsidR="004300E2" w:rsidRPr="008A0F36" w:rsidRDefault="004300E2" w:rsidP="00E1617D">
            <w:pPr>
              <w:pStyle w:val="Paragarfobordato"/>
            </w:pPr>
            <w:r w:rsidRPr="008A0F36">
              <w:t>Si noti che lo IAS 8 non si applica ai cambiamenti dei principi contabili derivanti dall</w:t>
            </w:r>
            <w:r>
              <w:t xml:space="preserve">a prima </w:t>
            </w:r>
            <w:r w:rsidRPr="008A0F36">
              <w:t>adozione degli IFRS, né ai cambiamenti di tali principi finché l’entità non avrà presentato il primo bilancio redatto in base agli IFRS. Pertanto le disposizioni dello IAS 8 in relazione ai cambiamenti di principi contabili, non si applicano al primo bilancio dell’entità redatto in conformità agli IFRS.</w:t>
            </w:r>
          </w:p>
        </w:tc>
        <w:tc>
          <w:tcPr>
            <w:tcW w:w="575" w:type="dxa"/>
            <w:tcMar>
              <w:left w:w="85" w:type="dxa"/>
              <w:right w:w="85" w:type="dxa"/>
            </w:tcMar>
            <w:vAlign w:val="center"/>
          </w:tcPr>
          <w:p w:rsidR="004300E2" w:rsidRPr="00FF19F7" w:rsidRDefault="004300E2" w:rsidP="00FD41D8">
            <w:pPr>
              <w:widowControl w:val="0"/>
              <w:jc w:val="center"/>
              <w:rPr>
                <w:lang w:val="it-IT"/>
              </w:rPr>
            </w:pPr>
          </w:p>
        </w:tc>
        <w:tc>
          <w:tcPr>
            <w:tcW w:w="567" w:type="dxa"/>
            <w:tcMar>
              <w:left w:w="108" w:type="dxa"/>
            </w:tcMar>
            <w:vAlign w:val="center"/>
          </w:tcPr>
          <w:p w:rsidR="004300E2" w:rsidRPr="00FF19F7" w:rsidRDefault="004300E2" w:rsidP="00FD41D8">
            <w:pPr>
              <w:widowControl w:val="0"/>
              <w:jc w:val="center"/>
              <w:rPr>
                <w:lang w:val="it-IT"/>
              </w:rPr>
            </w:pPr>
          </w:p>
        </w:tc>
        <w:tc>
          <w:tcPr>
            <w:tcW w:w="567" w:type="dxa"/>
            <w:tcMar>
              <w:left w:w="108" w:type="dxa"/>
            </w:tcMar>
            <w:vAlign w:val="center"/>
          </w:tcPr>
          <w:p w:rsidR="004300E2" w:rsidRPr="00FF19F7" w:rsidRDefault="004300E2" w:rsidP="00FD41D8">
            <w:pPr>
              <w:widowControl w:val="0"/>
              <w:jc w:val="center"/>
              <w:rPr>
                <w:lang w:val="it-IT"/>
              </w:rPr>
            </w:pPr>
          </w:p>
        </w:tc>
      </w:tr>
      <w:tr w:rsidR="004300E2" w:rsidRPr="00A44ECD" w:rsidTr="00940A6F">
        <w:trPr>
          <w:cantSplit/>
          <w:trHeight w:val="20"/>
        </w:trPr>
        <w:tc>
          <w:tcPr>
            <w:tcW w:w="567" w:type="dxa"/>
          </w:tcPr>
          <w:p w:rsidR="004300E2" w:rsidRPr="008A0F36" w:rsidDel="00F55272" w:rsidRDefault="004300E2" w:rsidP="004300E2">
            <w:pPr>
              <w:ind w:firstLine="57"/>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Pr="008A0F36" w:rsidRDefault="004300E2" w:rsidP="00E1617D">
            <w:pPr>
              <w:pStyle w:val="Paragarfobordato"/>
            </w:pPr>
            <w:r w:rsidRPr="008A0F36">
              <w:t xml:space="preserve">I requisiti per entità che presentano bilanci intermedi secondo lo IAS 34 per parte dell’esercizio di riferimento del primo bilancio IFRS sono inclusi nella sezione sui bilanci intermedi, che contiene tutte le disposizioni informative relative a suddetti bilanci intermedi. Si rimanda </w:t>
            </w:r>
            <w:r w:rsidRPr="004F522B">
              <w:t xml:space="preserve">ai punti </w:t>
            </w:r>
            <w:r>
              <w:t>4</w:t>
            </w:r>
            <w:r w:rsidR="00390734">
              <w:t>48</w:t>
            </w:r>
            <w:r>
              <w:t>-4</w:t>
            </w:r>
            <w:r w:rsidR="00390734">
              <w:t>59</w:t>
            </w:r>
            <w:r w:rsidRPr="004F522B">
              <w:t>, che</w:t>
            </w:r>
            <w:r w:rsidRPr="008A0F36">
              <w:t xml:space="preserve"> non devono essere compilati in caso di bilancio annuale.</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4300E2" w:rsidRPr="00A44ECD" w:rsidTr="00940A6F">
        <w:trPr>
          <w:cantSplit/>
          <w:trHeight w:val="20"/>
        </w:trPr>
        <w:tc>
          <w:tcPr>
            <w:tcW w:w="567" w:type="dxa"/>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IFRS 1.23</w:t>
            </w:r>
          </w:p>
        </w:tc>
        <w:tc>
          <w:tcPr>
            <w:tcW w:w="7079" w:type="dxa"/>
            <w:tcMar>
              <w:left w:w="108" w:type="dxa"/>
            </w:tcMar>
          </w:tcPr>
          <w:p w:rsidR="004300E2" w:rsidRPr="008A0F36" w:rsidRDefault="004300E2" w:rsidP="004300E2">
            <w:pPr>
              <w:rPr>
                <w:lang w:val="it-IT"/>
              </w:rPr>
            </w:pPr>
            <w:r w:rsidRPr="008A0F36">
              <w:rPr>
                <w:lang w:val="it-IT"/>
              </w:rPr>
              <w:t xml:space="preserve">L’entità deve spiegare come il passaggio dai precedenti principi contabili agli IFRS abbia influito sulla situazione patrimoniale-finanziaria, sull’andamento economico e sui flussi finanziari. </w:t>
            </w:r>
          </w:p>
        </w:tc>
        <w:tc>
          <w:tcPr>
            <w:tcW w:w="575" w:type="dxa"/>
            <w:tcMar>
              <w:left w:w="85" w:type="dxa"/>
              <w:right w:w="85"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r>
      <w:tr w:rsidR="004300E2" w:rsidRPr="00A44ECD" w:rsidTr="00940A6F">
        <w:trPr>
          <w:cantSplit/>
          <w:trHeight w:val="20"/>
        </w:trPr>
        <w:tc>
          <w:tcPr>
            <w:tcW w:w="567" w:type="dxa"/>
          </w:tcPr>
          <w:p w:rsidR="004300E2" w:rsidRPr="008A0F36" w:rsidDel="00F55272" w:rsidRDefault="004300E2" w:rsidP="004300E2">
            <w:pPr>
              <w:ind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IFRS 1.IG63</w:t>
            </w:r>
          </w:p>
        </w:tc>
        <w:tc>
          <w:tcPr>
            <w:tcW w:w="7079" w:type="dxa"/>
            <w:tcMar>
              <w:left w:w="108" w:type="dxa"/>
            </w:tcMar>
          </w:tcPr>
          <w:p w:rsidR="004300E2" w:rsidRPr="008A0F36" w:rsidRDefault="004300E2" w:rsidP="00E1617D">
            <w:pPr>
              <w:pStyle w:val="Paragarfobordato"/>
            </w:pPr>
            <w:r w:rsidRPr="008A0F36">
              <w:t>L’IFRS 1.IG63 fornisce esempi del livello di dettaglio richiesto nelle riconciliazioni degli effetti del passaggio dai principi contabili generalmente accettati precedenti e gli IFRS.</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4300E2" w:rsidRPr="00A44ECD" w:rsidTr="00940A6F">
        <w:trPr>
          <w:cantSplit/>
          <w:trHeight w:val="20"/>
        </w:trPr>
        <w:tc>
          <w:tcPr>
            <w:tcW w:w="567" w:type="dxa"/>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IFRS 1.24</w:t>
            </w:r>
          </w:p>
        </w:tc>
        <w:tc>
          <w:tcPr>
            <w:tcW w:w="7079" w:type="dxa"/>
            <w:tcMar>
              <w:left w:w="108" w:type="dxa"/>
            </w:tcMar>
          </w:tcPr>
          <w:p w:rsidR="004300E2" w:rsidRPr="008A0F36" w:rsidRDefault="004300E2" w:rsidP="004300E2">
            <w:pPr>
              <w:rPr>
                <w:lang w:val="it-IT"/>
              </w:rPr>
            </w:pPr>
            <w:r w:rsidRPr="008A0F36">
              <w:rPr>
                <w:lang w:val="it-IT"/>
              </w:rPr>
              <w:t xml:space="preserve">Il primo bilancio dell’entità redatto in conformità agli IFRS deve includere: </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numPr>
                <w:ilvl w:val="0"/>
                <w:numId w:val="16"/>
              </w:numPr>
            </w:pPr>
            <w:r w:rsidRPr="008A0F36">
              <w:t>le riconciliazioni del patrimonio netto redatto secondo i precedenti principi contabili e del patrimonio netto redatto in conformità agli IFRS per:</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Puntoelenco"/>
              <w:ind w:hanging="322"/>
              <w:contextualSpacing w:val="0"/>
            </w:pPr>
            <w:r w:rsidRPr="008A0F36">
              <w:t>la data di passaggio agli IFRS; 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Puntoelenco"/>
              <w:ind w:hanging="322"/>
              <w:contextualSpacing w:val="0"/>
            </w:pPr>
            <w:r w:rsidRPr="008A0F36">
              <w:t>la data di chiusura dell’ultimo esercizio per il quale l’entità ha redatto il bilancio in conformità ai precedenti principi contabili</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 xml:space="preserve">una riconciliazione del </w:t>
            </w:r>
            <w:r>
              <w:t xml:space="preserve">totale </w:t>
            </w:r>
            <w:r w:rsidRPr="008A0F36">
              <w:t xml:space="preserve">conto economico complessivo riportato nell’ultimo bilancio dell’entità redatto secondo i precedenti principi contabili e del </w:t>
            </w:r>
            <w:r>
              <w:t xml:space="preserve">totale </w:t>
            </w:r>
            <w:r w:rsidRPr="008A0F36">
              <w:t>conto economico complessivo redatto in conformità agli IFRS per il medesimo esercizio.</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pStyle w:val="Numeroelenco"/>
              <w:ind w:left="0" w:firstLine="57"/>
              <w:rPr>
                <w:lang w:val="it-IT"/>
              </w:rPr>
            </w:pPr>
          </w:p>
        </w:tc>
        <w:tc>
          <w:tcPr>
            <w:tcW w:w="851" w:type="dxa"/>
            <w:tcMar>
              <w:left w:w="108" w:type="dxa"/>
              <w:right w:w="0" w:type="dxa"/>
            </w:tcMar>
          </w:tcPr>
          <w:p w:rsidR="0066483E" w:rsidRPr="008A0F36" w:rsidRDefault="0066483E" w:rsidP="004300E2">
            <w:pPr>
              <w:pStyle w:val="IAS"/>
              <w:rPr>
                <w:lang w:val="it-IT"/>
              </w:rPr>
            </w:pPr>
            <w:r w:rsidRPr="008A0F36">
              <w:rPr>
                <w:lang w:val="it-IT"/>
              </w:rPr>
              <w:t>IFRS 1.25</w:t>
            </w:r>
          </w:p>
        </w:tc>
        <w:tc>
          <w:tcPr>
            <w:tcW w:w="7079" w:type="dxa"/>
            <w:tcMar>
              <w:left w:w="108" w:type="dxa"/>
            </w:tcMar>
          </w:tcPr>
          <w:p w:rsidR="0066483E" w:rsidRPr="008A0F36" w:rsidRDefault="0066483E" w:rsidP="004300E2">
            <w:pPr>
              <w:rPr>
                <w:lang w:val="it-IT"/>
              </w:rPr>
            </w:pPr>
            <w:r w:rsidRPr="008A0F36">
              <w:rPr>
                <w:lang w:val="it-IT"/>
              </w:rPr>
              <w:t>Le riconciliazioni di cui al paragrafo IFRS 1.24 devono essere dettagliate in maniera sufficiente a consentire all’utilizzatore del bilancio di comprendere le rettifiche rilevanti.</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pStyle w:val="Numeroelenco"/>
              <w:ind w:left="0" w:firstLine="57"/>
              <w:rPr>
                <w:lang w:val="it-IT"/>
              </w:rPr>
            </w:pPr>
          </w:p>
        </w:tc>
        <w:tc>
          <w:tcPr>
            <w:tcW w:w="851" w:type="dxa"/>
            <w:tcMar>
              <w:left w:w="108" w:type="dxa"/>
              <w:right w:w="0" w:type="dxa"/>
            </w:tcMar>
          </w:tcPr>
          <w:p w:rsidR="0066483E" w:rsidRPr="008A0F36" w:rsidRDefault="0066483E" w:rsidP="004300E2">
            <w:pPr>
              <w:pStyle w:val="IAS"/>
              <w:rPr>
                <w:lang w:val="it-IT"/>
              </w:rPr>
            </w:pPr>
            <w:r w:rsidRPr="008A0F36">
              <w:rPr>
                <w:lang w:val="it-IT"/>
              </w:rPr>
              <w:t>IFRS 1.24</w:t>
            </w:r>
            <w:r>
              <w:rPr>
                <w:lang w:val="it-IT"/>
              </w:rPr>
              <w:t>(c)</w:t>
            </w:r>
          </w:p>
        </w:tc>
        <w:tc>
          <w:tcPr>
            <w:tcW w:w="7079" w:type="dxa"/>
            <w:tcMar>
              <w:left w:w="108" w:type="dxa"/>
            </w:tcMar>
          </w:tcPr>
          <w:p w:rsidR="0066483E" w:rsidRPr="004F522B" w:rsidRDefault="0066483E" w:rsidP="004300E2">
            <w:pPr>
              <w:rPr>
                <w:lang w:val="it-IT"/>
              </w:rPr>
            </w:pPr>
            <w:r w:rsidRPr="004F522B">
              <w:rPr>
                <w:lang w:val="it-IT"/>
              </w:rPr>
              <w:t xml:space="preserve">Nel caso in cui l’entità rilevi o ripristini eventuali perdite per riduzione di valore di attività per la prima volta quando redige la situazione patrimoniale-finanziaria IFRS di apertura deve essere data l’informativa che sarebbe stata richiesta dallo IAS 36 (vedi punti </w:t>
            </w:r>
            <w:r w:rsidRPr="00A73A8F">
              <w:rPr>
                <w:lang w:val="it-IT"/>
              </w:rPr>
              <w:t>dal 30</w:t>
            </w:r>
            <w:r>
              <w:rPr>
                <w:lang w:val="it-IT"/>
              </w:rPr>
              <w:t>3</w:t>
            </w:r>
            <w:r w:rsidRPr="00A73A8F">
              <w:rPr>
                <w:lang w:val="it-IT"/>
              </w:rPr>
              <w:t xml:space="preserve"> al </w:t>
            </w:r>
            <w:r>
              <w:rPr>
                <w:lang w:val="it-IT"/>
              </w:rPr>
              <w:t>310</w:t>
            </w:r>
            <w:r w:rsidRPr="004F522B">
              <w:rPr>
                <w:lang w:val="it-IT"/>
              </w:rPr>
              <w:t>).</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pStyle w:val="Numeroelenco"/>
              <w:ind w:left="0" w:firstLine="57"/>
              <w:rPr>
                <w:lang w:val="it-IT"/>
              </w:rPr>
            </w:pPr>
          </w:p>
        </w:tc>
        <w:tc>
          <w:tcPr>
            <w:tcW w:w="851" w:type="dxa"/>
            <w:tcMar>
              <w:left w:w="108" w:type="dxa"/>
              <w:right w:w="0" w:type="dxa"/>
            </w:tcMar>
          </w:tcPr>
          <w:p w:rsidR="0066483E" w:rsidRPr="008A0F36" w:rsidRDefault="0066483E" w:rsidP="004300E2">
            <w:pPr>
              <w:pStyle w:val="IAS"/>
              <w:rPr>
                <w:lang w:val="it-IT"/>
              </w:rPr>
            </w:pPr>
            <w:r w:rsidRPr="008A0F36">
              <w:rPr>
                <w:lang w:val="it-IT"/>
              </w:rPr>
              <w:t>IFRS 1.26</w:t>
            </w:r>
          </w:p>
        </w:tc>
        <w:tc>
          <w:tcPr>
            <w:tcW w:w="7079" w:type="dxa"/>
            <w:tcMar>
              <w:left w:w="108" w:type="dxa"/>
            </w:tcMar>
          </w:tcPr>
          <w:p w:rsidR="0066483E" w:rsidRPr="004F522B" w:rsidRDefault="0066483E" w:rsidP="004300E2">
            <w:pPr>
              <w:rPr>
                <w:lang w:val="it-IT"/>
              </w:rPr>
            </w:pPr>
            <w:r w:rsidRPr="004F522B">
              <w:rPr>
                <w:lang w:val="it-IT"/>
              </w:rPr>
              <w:t xml:space="preserve">Se l’entità si rende conto di errori commessi in base ai precedenti principi contabili, le riconciliazioni richieste dall’IFRS 1.24(a) e </w:t>
            </w:r>
            <w:r>
              <w:rPr>
                <w:lang w:val="it-IT"/>
              </w:rPr>
              <w:t>1.</w:t>
            </w:r>
            <w:r w:rsidRPr="004F522B">
              <w:rPr>
                <w:lang w:val="it-IT"/>
              </w:rPr>
              <w:t>24.(b)</w:t>
            </w:r>
            <w:r>
              <w:rPr>
                <w:lang w:val="it-IT"/>
              </w:rPr>
              <w:t xml:space="preserve"> (vedi punto 24</w:t>
            </w:r>
            <w:r w:rsidRPr="004F522B">
              <w:rPr>
                <w:lang w:val="it-IT"/>
              </w:rPr>
              <w:t>) devono evidenziare separatamente le correzioni di errori dai cambiamenti di principi contabili.</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pStyle w:val="Numeroelenco"/>
              <w:ind w:left="0" w:firstLine="57"/>
              <w:rPr>
                <w:lang w:val="it-IT"/>
              </w:rPr>
            </w:pPr>
          </w:p>
        </w:tc>
        <w:tc>
          <w:tcPr>
            <w:tcW w:w="851" w:type="dxa"/>
            <w:tcMar>
              <w:left w:w="108" w:type="dxa"/>
              <w:right w:w="0" w:type="dxa"/>
            </w:tcMar>
          </w:tcPr>
          <w:p w:rsidR="0066483E" w:rsidRPr="008A0F36" w:rsidRDefault="0066483E" w:rsidP="004300E2">
            <w:pPr>
              <w:pStyle w:val="IAS"/>
              <w:rPr>
                <w:lang w:val="it-IT"/>
              </w:rPr>
            </w:pPr>
            <w:r w:rsidRPr="008A0F36">
              <w:rPr>
                <w:lang w:val="it-IT"/>
              </w:rPr>
              <w:t>IFRS 1.25</w:t>
            </w:r>
          </w:p>
        </w:tc>
        <w:tc>
          <w:tcPr>
            <w:tcW w:w="7079" w:type="dxa"/>
            <w:tcMar>
              <w:left w:w="108" w:type="dxa"/>
            </w:tcMar>
          </w:tcPr>
          <w:p w:rsidR="0066483E" w:rsidRPr="008A0F36" w:rsidRDefault="0066483E" w:rsidP="004300E2">
            <w:pPr>
              <w:rPr>
                <w:lang w:val="it-IT"/>
              </w:rPr>
            </w:pPr>
            <w:r w:rsidRPr="008A0F36">
              <w:rPr>
                <w:lang w:val="it-IT"/>
              </w:rPr>
              <w:t xml:space="preserve">Se l’entità ha presentato un rendiconto finanziario in base ai precedenti principi contabili, l’entità deve illustrare le principali rettifiche al rendiconto finanziario. </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pStyle w:val="Numeroelenco"/>
              <w:ind w:left="0" w:firstLine="57"/>
              <w:rPr>
                <w:lang w:val="it-IT"/>
              </w:rPr>
            </w:pPr>
          </w:p>
        </w:tc>
        <w:tc>
          <w:tcPr>
            <w:tcW w:w="851" w:type="dxa"/>
            <w:tcMar>
              <w:left w:w="108" w:type="dxa"/>
              <w:right w:w="0" w:type="dxa"/>
            </w:tcMar>
          </w:tcPr>
          <w:p w:rsidR="0066483E" w:rsidRPr="008A0F36" w:rsidRDefault="0066483E" w:rsidP="004300E2">
            <w:pPr>
              <w:pStyle w:val="IAS"/>
              <w:rPr>
                <w:lang w:val="it-IT"/>
              </w:rPr>
            </w:pPr>
            <w:r w:rsidRPr="008A0F36">
              <w:rPr>
                <w:lang w:val="it-IT"/>
              </w:rPr>
              <w:t>IFRS 1.28</w:t>
            </w:r>
          </w:p>
        </w:tc>
        <w:tc>
          <w:tcPr>
            <w:tcW w:w="7079" w:type="dxa"/>
            <w:tcMar>
              <w:left w:w="108" w:type="dxa"/>
            </w:tcMar>
          </w:tcPr>
          <w:p w:rsidR="0066483E" w:rsidRPr="008A0F36" w:rsidRDefault="0066483E" w:rsidP="004300E2">
            <w:pPr>
              <w:rPr>
                <w:lang w:val="it-IT"/>
              </w:rPr>
            </w:pPr>
            <w:r w:rsidRPr="008A0F36">
              <w:rPr>
                <w:lang w:val="it-IT"/>
              </w:rPr>
              <w:t>Se l’entità non ha presentato bilanci per gli esercizi precedenti, deve darne informativa.</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Default="004300E2" w:rsidP="004300E2">
            <w:pPr>
              <w:pStyle w:val="Numeroelenco"/>
              <w:numPr>
                <w:ilvl w:val="0"/>
                <w:numId w:val="0"/>
              </w:numPr>
              <w:ind w:left="57"/>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Default="004300E2" w:rsidP="004300E2">
            <w:pPr>
              <w:pStyle w:val="Titolo2"/>
              <w:rPr>
                <w:lang w:val="it-IT"/>
              </w:rPr>
            </w:pPr>
            <w:r w:rsidRPr="005D6ADF">
              <w:rPr>
                <w:lang w:val="it-IT"/>
              </w:rPr>
              <w:t>Ripetizione</w:t>
            </w:r>
            <w:r w:rsidRPr="006D3F4E">
              <w:rPr>
                <w:lang w:val="it-IT"/>
              </w:rPr>
              <w:t xml:space="preserve"> della prima adozione degli IAS/IFRS</w:t>
            </w:r>
          </w:p>
        </w:tc>
        <w:tc>
          <w:tcPr>
            <w:tcW w:w="575" w:type="dxa"/>
            <w:tcMar>
              <w:left w:w="85" w:type="dxa"/>
              <w:right w:w="85"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r>
      <w:tr w:rsidR="004300E2" w:rsidRPr="00A44ECD" w:rsidTr="00940A6F">
        <w:trPr>
          <w:cantSplit/>
          <w:trHeight w:val="20"/>
        </w:trPr>
        <w:tc>
          <w:tcPr>
            <w:tcW w:w="567" w:type="dxa"/>
          </w:tcPr>
          <w:p w:rsidR="004300E2" w:rsidRDefault="004300E2" w:rsidP="004300E2">
            <w:pPr>
              <w:pStyle w:val="Numeroelenco"/>
              <w:numPr>
                <w:ilvl w:val="0"/>
                <w:numId w:val="0"/>
              </w:numPr>
              <w:ind w:left="57"/>
              <w:rPr>
                <w:lang w:val="it-IT"/>
              </w:rPr>
            </w:pPr>
          </w:p>
        </w:tc>
        <w:tc>
          <w:tcPr>
            <w:tcW w:w="851" w:type="dxa"/>
            <w:tcMar>
              <w:left w:w="108" w:type="dxa"/>
              <w:right w:w="0" w:type="dxa"/>
            </w:tcMar>
          </w:tcPr>
          <w:p w:rsidR="004300E2" w:rsidRPr="008A0F36" w:rsidRDefault="004300E2" w:rsidP="004300E2">
            <w:pPr>
              <w:pStyle w:val="IAS"/>
              <w:rPr>
                <w:lang w:val="it-IT"/>
              </w:rPr>
            </w:pPr>
            <w:r>
              <w:rPr>
                <w:lang w:val="it-IT"/>
              </w:rPr>
              <w:t>IFRS 1.4A</w:t>
            </w:r>
          </w:p>
        </w:tc>
        <w:tc>
          <w:tcPr>
            <w:tcW w:w="7079" w:type="dxa"/>
            <w:tcMar>
              <w:left w:w="108" w:type="dxa"/>
            </w:tcMar>
          </w:tcPr>
          <w:p w:rsidR="004300E2" w:rsidRDefault="004300E2" w:rsidP="00E1617D">
            <w:pPr>
              <w:pStyle w:val="Paragarfobordato"/>
            </w:pPr>
            <w:r>
              <w:t>U</w:t>
            </w:r>
            <w:r w:rsidRPr="007F30BC">
              <w:t>n'entità che abbia applicato gli IFRS per un esercizio precedente, ma il cui bilancio annuale più recente non contenga una dichiarazione di conformità agli IFRS esplicita e senza ris</w:t>
            </w:r>
            <w:r>
              <w:t>erve, deve applicare</w:t>
            </w:r>
            <w:r w:rsidRPr="007F30BC">
              <w:t xml:space="preserve"> </w:t>
            </w:r>
            <w:r>
              <w:t>l’</w:t>
            </w:r>
            <w:r w:rsidRPr="007F30BC">
              <w:t>IFRS</w:t>
            </w:r>
            <w:r>
              <w:t xml:space="preserve"> 1</w:t>
            </w:r>
            <w:r w:rsidRPr="007F30BC">
              <w:t xml:space="preserve"> o deve applicare gli IFRS retroattivamente in base alle disposizioni dello IAS 8 </w:t>
            </w:r>
            <w:r w:rsidRPr="007F30BC">
              <w:rPr>
                <w:i/>
              </w:rPr>
              <w:t xml:space="preserve">Principi contabili, Cambiamenti nelle stime contabili ed Errori </w:t>
            </w:r>
            <w:r w:rsidRPr="007F30BC">
              <w:t>come se l’entità non avesse mai smesso di applicare gli IFRS.</w:t>
            </w:r>
          </w:p>
        </w:tc>
        <w:tc>
          <w:tcPr>
            <w:tcW w:w="575" w:type="dxa"/>
            <w:tcMar>
              <w:left w:w="85" w:type="dxa"/>
              <w:right w:w="85"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r>
      <w:tr w:rsidR="004300E2" w:rsidRPr="00A44ECD" w:rsidTr="00940A6F">
        <w:trPr>
          <w:cantSplit/>
          <w:trHeight w:val="20"/>
        </w:trPr>
        <w:tc>
          <w:tcPr>
            <w:tcW w:w="567" w:type="dxa"/>
          </w:tcPr>
          <w:p w:rsidR="004300E2" w:rsidRDefault="004300E2" w:rsidP="004300E2">
            <w:pPr>
              <w:pStyle w:val="Numeroelenco"/>
              <w:ind w:left="0" w:firstLine="57"/>
              <w:rPr>
                <w:lang w:val="it-IT"/>
              </w:rPr>
            </w:pPr>
          </w:p>
        </w:tc>
        <w:tc>
          <w:tcPr>
            <w:tcW w:w="851" w:type="dxa"/>
            <w:tcMar>
              <w:left w:w="108" w:type="dxa"/>
              <w:right w:w="0" w:type="dxa"/>
            </w:tcMar>
          </w:tcPr>
          <w:p w:rsidR="004300E2" w:rsidRDefault="004300E2" w:rsidP="004300E2">
            <w:pPr>
              <w:pStyle w:val="IAS"/>
              <w:rPr>
                <w:lang w:val="it-IT"/>
              </w:rPr>
            </w:pPr>
            <w:r>
              <w:rPr>
                <w:lang w:val="it-IT"/>
              </w:rPr>
              <w:t>IFRS 1.23A</w:t>
            </w:r>
          </w:p>
        </w:tc>
        <w:tc>
          <w:tcPr>
            <w:tcW w:w="7079" w:type="dxa"/>
            <w:tcMar>
              <w:left w:w="108" w:type="dxa"/>
            </w:tcMar>
          </w:tcPr>
          <w:p w:rsidR="004300E2" w:rsidRPr="00AB2C1C" w:rsidRDefault="004300E2" w:rsidP="004300E2">
            <w:pPr>
              <w:rPr>
                <w:lang w:val="it-IT"/>
              </w:rPr>
            </w:pPr>
            <w:r w:rsidRPr="00AB2C1C">
              <w:rPr>
                <w:lang w:val="it-IT"/>
              </w:rPr>
              <w:t>Un’entità che abbia applicato gli IFRS a un esercizio precedente, come descritto nel paragrafo 4</w:t>
            </w:r>
            <w:r>
              <w:rPr>
                <w:lang w:val="it-IT"/>
              </w:rPr>
              <w:t xml:space="preserve"> dell’IFRS 1</w:t>
            </w:r>
            <w:r w:rsidRPr="00AB2C1C">
              <w:rPr>
                <w:lang w:val="it-IT"/>
              </w:rPr>
              <w:t>, deve indicare:</w:t>
            </w:r>
          </w:p>
        </w:tc>
        <w:tc>
          <w:tcPr>
            <w:tcW w:w="575" w:type="dxa"/>
            <w:tcMar>
              <w:left w:w="85" w:type="dxa"/>
              <w:right w:w="85"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r>
      <w:tr w:rsidR="0066483E" w:rsidRPr="008129DA" w:rsidTr="00940A6F">
        <w:trPr>
          <w:cantSplit/>
          <w:trHeight w:val="20"/>
        </w:trPr>
        <w:tc>
          <w:tcPr>
            <w:tcW w:w="567" w:type="dxa"/>
          </w:tcPr>
          <w:p w:rsidR="0066483E" w:rsidRDefault="0066483E" w:rsidP="004300E2">
            <w:pPr>
              <w:pStyle w:val="Numeroelenco"/>
              <w:numPr>
                <w:ilvl w:val="0"/>
                <w:numId w:val="0"/>
              </w:numPr>
              <w:ind w:left="57"/>
              <w:rPr>
                <w:lang w:val="it-IT"/>
              </w:rPr>
            </w:pPr>
          </w:p>
        </w:tc>
        <w:tc>
          <w:tcPr>
            <w:tcW w:w="851" w:type="dxa"/>
            <w:tcMar>
              <w:left w:w="108" w:type="dxa"/>
              <w:right w:w="0" w:type="dxa"/>
            </w:tcMar>
          </w:tcPr>
          <w:p w:rsidR="0066483E" w:rsidRDefault="0066483E" w:rsidP="004300E2">
            <w:pPr>
              <w:pStyle w:val="IAS"/>
              <w:rPr>
                <w:lang w:val="it-IT"/>
              </w:rPr>
            </w:pPr>
          </w:p>
        </w:tc>
        <w:tc>
          <w:tcPr>
            <w:tcW w:w="7079" w:type="dxa"/>
            <w:tcMar>
              <w:left w:w="108" w:type="dxa"/>
            </w:tcMar>
          </w:tcPr>
          <w:p w:rsidR="0066483E" w:rsidRPr="00AB2C1C" w:rsidRDefault="0066483E" w:rsidP="004300E2">
            <w:pPr>
              <w:ind w:left="458" w:hanging="458"/>
              <w:rPr>
                <w:lang w:val="it-IT"/>
              </w:rPr>
            </w:pPr>
            <w:r w:rsidRPr="00AB2C1C">
              <w:rPr>
                <w:lang w:val="it-IT"/>
              </w:rPr>
              <w:t xml:space="preserve">(a) </w:t>
            </w:r>
            <w:r>
              <w:rPr>
                <w:lang w:val="it-IT"/>
              </w:rPr>
              <w:tab/>
            </w:r>
            <w:r w:rsidRPr="00AB2C1C">
              <w:rPr>
                <w:lang w:val="it-IT"/>
              </w:rPr>
              <w:t xml:space="preserve">le motivazioni per cui ha smesso di applicare gli IFRS; e </w:t>
            </w:r>
          </w:p>
        </w:tc>
        <w:tc>
          <w:tcPr>
            <w:tcW w:w="575" w:type="dxa"/>
            <w:tcMar>
              <w:left w:w="85" w:type="dxa"/>
              <w:right w:w="85" w:type="dxa"/>
            </w:tcMar>
            <w:vAlign w:val="center"/>
          </w:tcPr>
          <w:p w:rsidR="0066483E" w:rsidRPr="00725691"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725691"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725691"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Default="0066483E" w:rsidP="004300E2">
            <w:pPr>
              <w:pStyle w:val="Numeroelenco"/>
              <w:numPr>
                <w:ilvl w:val="0"/>
                <w:numId w:val="0"/>
              </w:numPr>
              <w:ind w:left="57"/>
              <w:rPr>
                <w:lang w:val="it-IT"/>
              </w:rPr>
            </w:pPr>
          </w:p>
        </w:tc>
        <w:tc>
          <w:tcPr>
            <w:tcW w:w="851" w:type="dxa"/>
            <w:tcMar>
              <w:left w:w="108" w:type="dxa"/>
              <w:right w:w="0" w:type="dxa"/>
            </w:tcMar>
          </w:tcPr>
          <w:p w:rsidR="0066483E" w:rsidRDefault="0066483E" w:rsidP="004300E2">
            <w:pPr>
              <w:pStyle w:val="IAS"/>
              <w:rPr>
                <w:lang w:val="it-IT"/>
              </w:rPr>
            </w:pPr>
          </w:p>
        </w:tc>
        <w:tc>
          <w:tcPr>
            <w:tcW w:w="7079" w:type="dxa"/>
            <w:tcMar>
              <w:left w:w="108" w:type="dxa"/>
            </w:tcMar>
          </w:tcPr>
          <w:p w:rsidR="0066483E" w:rsidRPr="00AB2C1C" w:rsidRDefault="0066483E" w:rsidP="004300E2">
            <w:pPr>
              <w:ind w:left="458" w:hanging="458"/>
              <w:rPr>
                <w:lang w:val="it-IT"/>
              </w:rPr>
            </w:pPr>
            <w:r w:rsidRPr="00AB2C1C">
              <w:rPr>
                <w:lang w:val="it-IT"/>
              </w:rPr>
              <w:t>(b)</w:t>
            </w:r>
            <w:r>
              <w:rPr>
                <w:lang w:val="it-IT"/>
              </w:rPr>
              <w:tab/>
            </w:r>
            <w:r w:rsidRPr="00AB2C1C">
              <w:rPr>
                <w:lang w:val="it-IT"/>
              </w:rPr>
              <w:t>le motivazioni per cui ha ripreso ad applicare gli IFRS.</w:t>
            </w:r>
          </w:p>
        </w:tc>
        <w:tc>
          <w:tcPr>
            <w:tcW w:w="575" w:type="dxa"/>
            <w:tcMar>
              <w:left w:w="85" w:type="dxa"/>
              <w:right w:w="85" w:type="dxa"/>
            </w:tcMar>
            <w:vAlign w:val="center"/>
          </w:tcPr>
          <w:p w:rsidR="0066483E" w:rsidRPr="00725691"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725691"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725691"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pStyle w:val="Numeroelenco"/>
              <w:ind w:left="0" w:firstLine="57"/>
              <w:rPr>
                <w:lang w:val="it-IT"/>
              </w:rPr>
            </w:pPr>
          </w:p>
        </w:tc>
        <w:tc>
          <w:tcPr>
            <w:tcW w:w="851" w:type="dxa"/>
            <w:tcMar>
              <w:left w:w="108" w:type="dxa"/>
              <w:right w:w="0" w:type="dxa"/>
            </w:tcMar>
          </w:tcPr>
          <w:p w:rsidR="0066483E" w:rsidRDefault="0066483E" w:rsidP="004300E2">
            <w:pPr>
              <w:pStyle w:val="IAS"/>
              <w:rPr>
                <w:lang w:val="it-IT"/>
              </w:rPr>
            </w:pPr>
            <w:r>
              <w:rPr>
                <w:lang w:val="it-IT"/>
              </w:rPr>
              <w:t>IFRS 1.23B</w:t>
            </w:r>
          </w:p>
        </w:tc>
        <w:tc>
          <w:tcPr>
            <w:tcW w:w="7079" w:type="dxa"/>
            <w:tcMar>
              <w:left w:w="108" w:type="dxa"/>
            </w:tcMar>
          </w:tcPr>
          <w:p w:rsidR="0066483E" w:rsidRPr="00D84D7C" w:rsidRDefault="0066483E" w:rsidP="004300E2">
            <w:pPr>
              <w:rPr>
                <w:lang w:val="it-IT"/>
              </w:rPr>
            </w:pPr>
            <w:r w:rsidRPr="00AB2C1C">
              <w:rPr>
                <w:lang w:val="it-IT"/>
              </w:rPr>
              <w:t>Se un’entità, in conformità al paragrafo 4</w:t>
            </w:r>
            <w:r>
              <w:rPr>
                <w:lang w:val="it-IT"/>
              </w:rPr>
              <w:t xml:space="preserve"> dell’IFRS 1</w:t>
            </w:r>
            <w:r w:rsidRPr="00AB2C1C">
              <w:rPr>
                <w:lang w:val="it-IT"/>
              </w:rPr>
              <w:t>, decide di non applicare l'IFRS 1, deve illustrare le ragioni per cui ha scelto di applicare gli IFRS come se non avesse mai smesso di applicarli.</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Pr="008A0F36" w:rsidRDefault="004300E2" w:rsidP="004300E2">
            <w:pPr>
              <w:ind w:firstLine="57"/>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Pr="008A0F36" w:rsidRDefault="004300E2" w:rsidP="004300E2">
            <w:pPr>
              <w:pStyle w:val="Titolo2"/>
              <w:rPr>
                <w:lang w:val="it-IT"/>
              </w:rPr>
            </w:pPr>
            <w:r w:rsidRPr="008A0F36">
              <w:rPr>
                <w:lang w:val="it-IT"/>
              </w:rPr>
              <w:t>Designazione delle attività e delle passività finanziarie</w:t>
            </w:r>
          </w:p>
        </w:tc>
        <w:tc>
          <w:tcPr>
            <w:tcW w:w="575" w:type="dxa"/>
            <w:tcMar>
              <w:left w:w="85" w:type="dxa"/>
              <w:right w:w="85" w:type="dxa"/>
            </w:tcMar>
            <w:vAlign w:val="center"/>
          </w:tcPr>
          <w:p w:rsidR="004300E2" w:rsidRPr="006F1EF4" w:rsidRDefault="004300E2" w:rsidP="004300E2">
            <w:pPr>
              <w:jc w:val="center"/>
              <w:rPr>
                <w:lang w:val="it-IT"/>
              </w:rPr>
            </w:pPr>
          </w:p>
        </w:tc>
        <w:tc>
          <w:tcPr>
            <w:tcW w:w="567" w:type="dxa"/>
            <w:tcMar>
              <w:left w:w="108" w:type="dxa"/>
            </w:tcMar>
            <w:vAlign w:val="center"/>
          </w:tcPr>
          <w:p w:rsidR="004300E2" w:rsidRPr="006F1EF4" w:rsidRDefault="004300E2" w:rsidP="004300E2">
            <w:pPr>
              <w:jc w:val="center"/>
              <w:rPr>
                <w:lang w:val="it-IT"/>
              </w:rPr>
            </w:pPr>
          </w:p>
        </w:tc>
        <w:tc>
          <w:tcPr>
            <w:tcW w:w="567" w:type="dxa"/>
            <w:tcMar>
              <w:left w:w="108" w:type="dxa"/>
            </w:tcMar>
            <w:vAlign w:val="center"/>
          </w:tcPr>
          <w:p w:rsidR="004300E2" w:rsidRPr="006F1EF4" w:rsidRDefault="004300E2" w:rsidP="004300E2">
            <w:pPr>
              <w:jc w:val="center"/>
              <w:rPr>
                <w:lang w:val="it-IT"/>
              </w:rPr>
            </w:pPr>
          </w:p>
        </w:tc>
      </w:tr>
      <w:tr w:rsidR="0066483E" w:rsidRPr="008129DA" w:rsidTr="00940A6F">
        <w:trPr>
          <w:cantSplit/>
          <w:trHeight w:val="20"/>
        </w:trPr>
        <w:tc>
          <w:tcPr>
            <w:tcW w:w="567" w:type="dxa"/>
          </w:tcPr>
          <w:p w:rsidR="0066483E" w:rsidRPr="008A0F36" w:rsidRDefault="0066483E" w:rsidP="004300E2">
            <w:pPr>
              <w:pStyle w:val="Numeroelenco"/>
              <w:ind w:left="0" w:firstLine="57"/>
              <w:rPr>
                <w:lang w:val="it-IT"/>
              </w:rPr>
            </w:pPr>
          </w:p>
        </w:tc>
        <w:tc>
          <w:tcPr>
            <w:tcW w:w="851" w:type="dxa"/>
            <w:tcMar>
              <w:left w:w="108" w:type="dxa"/>
              <w:right w:w="0" w:type="dxa"/>
            </w:tcMar>
          </w:tcPr>
          <w:p w:rsidR="0066483E" w:rsidRPr="008A0F36" w:rsidRDefault="0066483E" w:rsidP="004300E2">
            <w:pPr>
              <w:pStyle w:val="IAS"/>
              <w:rPr>
                <w:lang w:val="it-IT"/>
              </w:rPr>
            </w:pPr>
            <w:r w:rsidRPr="008A0F36">
              <w:rPr>
                <w:lang w:val="it-IT"/>
              </w:rPr>
              <w:t>IFRS 1.29</w:t>
            </w:r>
          </w:p>
        </w:tc>
        <w:tc>
          <w:tcPr>
            <w:tcW w:w="7079" w:type="dxa"/>
            <w:tcMar>
              <w:left w:w="108" w:type="dxa"/>
            </w:tcMar>
          </w:tcPr>
          <w:p w:rsidR="0066483E" w:rsidRPr="008A0F36" w:rsidRDefault="0066483E" w:rsidP="004300E2">
            <w:pPr>
              <w:rPr>
                <w:lang w:val="it-IT"/>
              </w:rPr>
            </w:pPr>
            <w:r w:rsidRPr="008A0F36">
              <w:rPr>
                <w:lang w:val="it-IT"/>
              </w:rPr>
              <w:t xml:space="preserve">Se l’entità ha designato un’attività finanziaria o una passività finanziaria, iscritta in precedenza, come un’attività finanziaria o una passività finanziaria al </w:t>
            </w:r>
            <w:r w:rsidRPr="008A0F36">
              <w:rPr>
                <w:i/>
                <w:lang w:val="it-IT"/>
              </w:rPr>
              <w:t>fair value</w:t>
            </w:r>
            <w:r w:rsidRPr="008A0F36">
              <w:rPr>
                <w:lang w:val="it-IT"/>
              </w:rPr>
              <w:t xml:space="preserve"> rilevato </w:t>
            </w:r>
            <w:r>
              <w:rPr>
                <w:lang w:val="it-IT"/>
              </w:rPr>
              <w:t xml:space="preserve">nell’utile/(perdita) </w:t>
            </w:r>
            <w:r w:rsidRPr="008A0F36">
              <w:rPr>
                <w:lang w:val="it-IT"/>
              </w:rPr>
              <w:t xml:space="preserve">o come disponibile per la vendita in accordo con l’IFRS 1.D19, l’entità deve fornire l’informativa sul </w:t>
            </w:r>
            <w:r w:rsidRPr="008A0F36">
              <w:rPr>
                <w:i/>
                <w:lang w:val="it-IT"/>
              </w:rPr>
              <w:t>fair value</w:t>
            </w:r>
            <w:r w:rsidRPr="008A0F36">
              <w:rPr>
                <w:lang w:val="it-IT"/>
              </w:rPr>
              <w:t xml:space="preserve"> di ogni attività o passività finanziaria designata in ogni categoria nonché la classificazione ed il valore contabile nel precedente bilancio.</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Pr="008A0F36" w:rsidRDefault="004300E2" w:rsidP="004300E2">
            <w:pPr>
              <w:ind w:firstLine="57"/>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Pr="008A0F36" w:rsidRDefault="004300E2" w:rsidP="004300E2">
            <w:pPr>
              <w:pStyle w:val="Titolo2"/>
              <w:rPr>
                <w:lang w:val="it-IT"/>
              </w:rPr>
            </w:pPr>
            <w:r w:rsidRPr="008A0F36">
              <w:rPr>
                <w:lang w:val="it-IT"/>
              </w:rPr>
              <w:t xml:space="preserve">Utilizzo del </w:t>
            </w:r>
            <w:r w:rsidRPr="008A0F36">
              <w:rPr>
                <w:i/>
                <w:lang w:val="it-IT"/>
              </w:rPr>
              <w:t>fair value</w:t>
            </w:r>
            <w:r w:rsidRPr="008A0F36">
              <w:rPr>
                <w:lang w:val="it-IT"/>
              </w:rPr>
              <w:t xml:space="preserve"> come sostituto del costo</w:t>
            </w:r>
            <w:r w:rsidRPr="008A0F36">
              <w:rPr>
                <w:lang w:val="it-IT"/>
              </w:rPr>
              <w:tab/>
            </w:r>
          </w:p>
        </w:tc>
        <w:tc>
          <w:tcPr>
            <w:tcW w:w="575" w:type="dxa"/>
            <w:tcMar>
              <w:left w:w="85" w:type="dxa"/>
              <w:right w:w="85" w:type="dxa"/>
            </w:tcMar>
            <w:vAlign w:val="center"/>
          </w:tcPr>
          <w:p w:rsidR="004300E2" w:rsidRPr="006F1EF4" w:rsidRDefault="004300E2" w:rsidP="004300E2">
            <w:pPr>
              <w:jc w:val="center"/>
              <w:rPr>
                <w:lang w:val="it-IT"/>
              </w:rPr>
            </w:pPr>
          </w:p>
        </w:tc>
        <w:tc>
          <w:tcPr>
            <w:tcW w:w="567" w:type="dxa"/>
            <w:tcMar>
              <w:left w:w="108" w:type="dxa"/>
            </w:tcMar>
            <w:vAlign w:val="center"/>
          </w:tcPr>
          <w:p w:rsidR="004300E2" w:rsidRPr="006F1EF4" w:rsidRDefault="004300E2" w:rsidP="004300E2">
            <w:pPr>
              <w:jc w:val="center"/>
              <w:rPr>
                <w:lang w:val="it-IT"/>
              </w:rPr>
            </w:pPr>
          </w:p>
        </w:tc>
        <w:tc>
          <w:tcPr>
            <w:tcW w:w="567" w:type="dxa"/>
            <w:tcMar>
              <w:left w:w="108" w:type="dxa"/>
            </w:tcMar>
            <w:vAlign w:val="center"/>
          </w:tcPr>
          <w:p w:rsidR="004300E2" w:rsidRPr="006F1EF4" w:rsidRDefault="004300E2" w:rsidP="004300E2">
            <w:pPr>
              <w:jc w:val="center"/>
              <w:rPr>
                <w:lang w:val="it-IT"/>
              </w:rPr>
            </w:pPr>
          </w:p>
        </w:tc>
      </w:tr>
      <w:tr w:rsidR="004300E2" w:rsidRPr="00A44ECD" w:rsidTr="00940A6F">
        <w:trPr>
          <w:cantSplit/>
          <w:trHeight w:val="20"/>
        </w:trPr>
        <w:tc>
          <w:tcPr>
            <w:tcW w:w="567" w:type="dxa"/>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IFRS 1.30</w:t>
            </w:r>
          </w:p>
        </w:tc>
        <w:tc>
          <w:tcPr>
            <w:tcW w:w="7079" w:type="dxa"/>
            <w:tcMar>
              <w:left w:w="108" w:type="dxa"/>
            </w:tcMar>
          </w:tcPr>
          <w:p w:rsidR="004300E2" w:rsidRPr="008A0F36" w:rsidRDefault="004300E2" w:rsidP="004300E2">
            <w:pPr>
              <w:rPr>
                <w:lang w:val="it-IT"/>
              </w:rPr>
            </w:pPr>
            <w:r w:rsidRPr="008A0F36">
              <w:rPr>
                <w:lang w:val="it-IT"/>
              </w:rPr>
              <w:t xml:space="preserve">Se l’entità, nel prospetto della situazione patrimoniale-finanziaria di apertura redatto in conformità agli IFRS, utilizza il </w:t>
            </w:r>
            <w:r w:rsidRPr="008A0F36">
              <w:rPr>
                <w:i/>
                <w:lang w:val="it-IT"/>
              </w:rPr>
              <w:t>fair value</w:t>
            </w:r>
            <w:r w:rsidRPr="008A0F36">
              <w:rPr>
                <w:lang w:val="it-IT"/>
              </w:rPr>
              <w:t xml:space="preserve"> come sostituto del costo di un elemento degli immobili, degli impianti e macchinari, degli investimenti immobiliari o delle attività immateriali, deve indicare per ogni voce della situazione patrimoniale-finanziaria di apertura:</w:t>
            </w:r>
          </w:p>
        </w:tc>
        <w:tc>
          <w:tcPr>
            <w:tcW w:w="575" w:type="dxa"/>
            <w:tcMar>
              <w:left w:w="85" w:type="dxa"/>
              <w:right w:w="85"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numPr>
                <w:ilvl w:val="0"/>
                <w:numId w:val="17"/>
              </w:numPr>
            </w:pPr>
            <w:r w:rsidRPr="008A0F36">
              <w:t xml:space="preserve">l’importo complessivo di tali </w:t>
            </w:r>
            <w:r w:rsidRPr="008A0F36">
              <w:rPr>
                <w:i/>
              </w:rPr>
              <w:t>fair value</w:t>
            </w:r>
            <w:r w:rsidRPr="008A0F36">
              <w:t>; 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l’importo complessivo delle rettifiche apportate ai valori contabili esposti in base ai precedenti principi contabili.</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Pr="008A0F36" w:rsidRDefault="004300E2" w:rsidP="004300E2">
            <w:pPr>
              <w:ind w:firstLine="57"/>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Pr="008A0F36" w:rsidRDefault="004300E2" w:rsidP="004300E2">
            <w:pPr>
              <w:pStyle w:val="Titolo2"/>
              <w:jc w:val="both"/>
              <w:rPr>
                <w:lang w:val="it-IT"/>
              </w:rPr>
            </w:pPr>
            <w:r w:rsidRPr="008A0F36">
              <w:rPr>
                <w:lang w:val="it-IT"/>
              </w:rPr>
              <w:t xml:space="preserve">Utilizzo del sostituto del costo per le partecipazioni in controllate, </w:t>
            </w:r>
            <w:r w:rsidRPr="00251283">
              <w:rPr>
                <w:i/>
                <w:lang w:val="it-IT"/>
              </w:rPr>
              <w:t>joint venture</w:t>
            </w:r>
            <w:r>
              <w:rPr>
                <w:lang w:val="it-IT"/>
              </w:rPr>
              <w:t xml:space="preserve"> </w:t>
            </w:r>
            <w:r w:rsidRPr="008A0F36">
              <w:rPr>
                <w:lang w:val="it-IT"/>
              </w:rPr>
              <w:t>e società collegate</w:t>
            </w:r>
            <w:r w:rsidRPr="008A0F36">
              <w:rPr>
                <w:lang w:val="it-IT"/>
              </w:rPr>
              <w:tab/>
            </w:r>
          </w:p>
        </w:tc>
        <w:tc>
          <w:tcPr>
            <w:tcW w:w="575" w:type="dxa"/>
            <w:tcMar>
              <w:left w:w="85" w:type="dxa"/>
              <w:right w:w="85" w:type="dxa"/>
            </w:tcMar>
            <w:vAlign w:val="center"/>
          </w:tcPr>
          <w:p w:rsidR="004300E2" w:rsidRPr="006F1EF4" w:rsidRDefault="004300E2" w:rsidP="004300E2">
            <w:pPr>
              <w:jc w:val="center"/>
              <w:rPr>
                <w:lang w:val="it-IT"/>
              </w:rPr>
            </w:pPr>
          </w:p>
        </w:tc>
        <w:tc>
          <w:tcPr>
            <w:tcW w:w="567" w:type="dxa"/>
            <w:tcMar>
              <w:left w:w="108" w:type="dxa"/>
            </w:tcMar>
            <w:vAlign w:val="center"/>
          </w:tcPr>
          <w:p w:rsidR="004300E2" w:rsidRPr="006F1EF4" w:rsidRDefault="004300E2" w:rsidP="004300E2">
            <w:pPr>
              <w:jc w:val="center"/>
              <w:rPr>
                <w:lang w:val="it-IT"/>
              </w:rPr>
            </w:pPr>
          </w:p>
        </w:tc>
        <w:tc>
          <w:tcPr>
            <w:tcW w:w="567" w:type="dxa"/>
            <w:tcMar>
              <w:left w:w="108" w:type="dxa"/>
            </w:tcMar>
            <w:vAlign w:val="center"/>
          </w:tcPr>
          <w:p w:rsidR="004300E2" w:rsidRPr="006F1EF4" w:rsidRDefault="004300E2" w:rsidP="004300E2">
            <w:pPr>
              <w:jc w:val="center"/>
              <w:rPr>
                <w:lang w:val="it-IT"/>
              </w:rPr>
            </w:pPr>
          </w:p>
        </w:tc>
      </w:tr>
      <w:tr w:rsidR="004300E2" w:rsidRPr="00A44ECD" w:rsidTr="00940A6F">
        <w:trPr>
          <w:cantSplit/>
          <w:trHeight w:val="20"/>
        </w:trPr>
        <w:tc>
          <w:tcPr>
            <w:tcW w:w="567" w:type="dxa"/>
          </w:tcPr>
          <w:p w:rsidR="004300E2" w:rsidRPr="008A0F36" w:rsidRDefault="004300E2" w:rsidP="004300E2">
            <w:pPr>
              <w:pStyle w:val="Numeroelenco"/>
              <w:ind w:left="0" w:firstLine="57"/>
              <w:rPr>
                <w:lang w:val="it-IT"/>
              </w:rPr>
            </w:pPr>
          </w:p>
          <w:p w:rsidR="004300E2" w:rsidRPr="008A0F36" w:rsidRDefault="004300E2" w:rsidP="004300E2">
            <w:pPr>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IFRS 1.31</w:t>
            </w:r>
          </w:p>
        </w:tc>
        <w:tc>
          <w:tcPr>
            <w:tcW w:w="7079" w:type="dxa"/>
            <w:tcMar>
              <w:left w:w="108" w:type="dxa"/>
            </w:tcMar>
          </w:tcPr>
          <w:p w:rsidR="004300E2" w:rsidRPr="008A0F36" w:rsidRDefault="004300E2" w:rsidP="004300E2">
            <w:pPr>
              <w:rPr>
                <w:lang w:val="it-IT"/>
              </w:rPr>
            </w:pPr>
            <w:r w:rsidRPr="008A0F36">
              <w:rPr>
                <w:lang w:val="it-IT"/>
              </w:rPr>
              <w:t xml:space="preserve">Se l’entità nel prospetto della situazione patrimoniale-finanziaria di apertura redatto in conformità agli IFRS, utilizza il sostituto del costo per la valutazione della partecipazione in una controllata, collegata o </w:t>
            </w:r>
            <w:r w:rsidRPr="008A0F36">
              <w:rPr>
                <w:i/>
                <w:lang w:val="it-IT"/>
              </w:rPr>
              <w:t>joint venture</w:t>
            </w:r>
            <w:r w:rsidRPr="008A0F36">
              <w:rPr>
                <w:lang w:val="it-IT"/>
              </w:rPr>
              <w:t xml:space="preserve"> nel proprio bilancio separato, l’entità indica, nel primo bilancio separato IFRS:</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numPr>
                <w:ilvl w:val="0"/>
                <w:numId w:val="18"/>
              </w:numPr>
              <w:rPr>
                <w:bCs/>
              </w:rPr>
            </w:pPr>
            <w:r w:rsidRPr="008A0F36">
              <w:t>il sostituto del costo complessivo di quegli investimenti per i quali il sostituto del costo è rappresentato dal valore contabile determinato in base ai precedenti principi contabili</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 xml:space="preserve">il sostituto del costo complessivo di quegli investimenti per i quali il sostituto del costo è rappresentato dal </w:t>
            </w:r>
            <w:r w:rsidRPr="008A0F36">
              <w:rPr>
                <w:i/>
              </w:rPr>
              <w:t>fair value</w:t>
            </w:r>
            <w:r w:rsidRPr="008A0F36">
              <w:t>; 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le rettifiche complessive ai valori di bilancio presentati in base ai precedenti principi contabili.</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Pr="008A0F36" w:rsidRDefault="004300E2" w:rsidP="004300E2">
            <w:pPr>
              <w:ind w:firstLine="57"/>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Pr="008A0F36" w:rsidRDefault="004300E2" w:rsidP="004300E2">
            <w:pPr>
              <w:pStyle w:val="Titolo2"/>
              <w:rPr>
                <w:lang w:val="it-IT"/>
              </w:rPr>
            </w:pPr>
            <w:r w:rsidRPr="008A0F36">
              <w:rPr>
                <w:lang w:val="it-IT"/>
              </w:rPr>
              <w:t>Utilizzo del sostituto del costo per le attività relative a petrolio e gas</w:t>
            </w:r>
          </w:p>
        </w:tc>
        <w:tc>
          <w:tcPr>
            <w:tcW w:w="575" w:type="dxa"/>
            <w:tcMar>
              <w:left w:w="85" w:type="dxa"/>
              <w:right w:w="85" w:type="dxa"/>
            </w:tcMar>
            <w:vAlign w:val="center"/>
          </w:tcPr>
          <w:p w:rsidR="004300E2" w:rsidRPr="006F1EF4" w:rsidRDefault="004300E2" w:rsidP="004300E2">
            <w:pPr>
              <w:jc w:val="center"/>
              <w:rPr>
                <w:lang w:val="it-IT"/>
              </w:rPr>
            </w:pPr>
          </w:p>
        </w:tc>
        <w:tc>
          <w:tcPr>
            <w:tcW w:w="567" w:type="dxa"/>
            <w:tcMar>
              <w:left w:w="108" w:type="dxa"/>
            </w:tcMar>
            <w:vAlign w:val="center"/>
          </w:tcPr>
          <w:p w:rsidR="004300E2" w:rsidRPr="006F1EF4" w:rsidRDefault="004300E2" w:rsidP="004300E2">
            <w:pPr>
              <w:jc w:val="center"/>
              <w:rPr>
                <w:lang w:val="it-IT"/>
              </w:rPr>
            </w:pPr>
          </w:p>
        </w:tc>
        <w:tc>
          <w:tcPr>
            <w:tcW w:w="567" w:type="dxa"/>
            <w:tcMar>
              <w:left w:w="108" w:type="dxa"/>
            </w:tcMar>
            <w:vAlign w:val="center"/>
          </w:tcPr>
          <w:p w:rsidR="004300E2" w:rsidRPr="006F1EF4" w:rsidRDefault="004300E2" w:rsidP="004300E2">
            <w:pPr>
              <w:jc w:val="center"/>
              <w:rPr>
                <w:lang w:val="it-IT"/>
              </w:rPr>
            </w:pPr>
          </w:p>
        </w:tc>
      </w:tr>
      <w:tr w:rsidR="0066483E" w:rsidRPr="008129DA" w:rsidTr="00940A6F">
        <w:trPr>
          <w:cantSplit/>
          <w:trHeight w:val="20"/>
        </w:trPr>
        <w:tc>
          <w:tcPr>
            <w:tcW w:w="567" w:type="dxa"/>
          </w:tcPr>
          <w:p w:rsidR="0066483E" w:rsidRPr="008A0F36" w:rsidRDefault="0066483E" w:rsidP="004300E2">
            <w:pPr>
              <w:pStyle w:val="Numeroelenco"/>
              <w:ind w:left="0" w:firstLine="57"/>
              <w:rPr>
                <w:lang w:val="it-IT"/>
              </w:rPr>
            </w:pPr>
          </w:p>
          <w:p w:rsidR="0066483E" w:rsidRPr="008A0F36" w:rsidRDefault="0066483E" w:rsidP="004300E2">
            <w:pPr>
              <w:rPr>
                <w:lang w:val="it-IT"/>
              </w:rPr>
            </w:pPr>
          </w:p>
        </w:tc>
        <w:tc>
          <w:tcPr>
            <w:tcW w:w="851" w:type="dxa"/>
            <w:tcMar>
              <w:left w:w="108" w:type="dxa"/>
              <w:right w:w="0" w:type="dxa"/>
            </w:tcMar>
          </w:tcPr>
          <w:p w:rsidR="0066483E" w:rsidRPr="000C2263" w:rsidRDefault="0066483E" w:rsidP="004300E2">
            <w:pPr>
              <w:pStyle w:val="IAS"/>
            </w:pPr>
            <w:r w:rsidRPr="000C2263">
              <w:t>IFRS 1.31A</w:t>
            </w:r>
          </w:p>
          <w:p w:rsidR="0066483E" w:rsidRPr="000C2263" w:rsidRDefault="0066483E" w:rsidP="004300E2">
            <w:pPr>
              <w:pStyle w:val="IAS"/>
            </w:pPr>
            <w:r w:rsidRPr="000C2263">
              <w:t>IFRS 1.D8A(b)</w:t>
            </w:r>
          </w:p>
        </w:tc>
        <w:tc>
          <w:tcPr>
            <w:tcW w:w="7079" w:type="dxa"/>
            <w:tcBorders>
              <w:bottom w:val="single" w:sz="4" w:space="0" w:color="auto"/>
            </w:tcBorders>
            <w:tcMar>
              <w:left w:w="108" w:type="dxa"/>
            </w:tcMar>
          </w:tcPr>
          <w:p w:rsidR="0066483E" w:rsidRPr="005B01CB" w:rsidRDefault="0066483E" w:rsidP="004300E2">
            <w:pPr>
              <w:rPr>
                <w:lang w:val="it-IT"/>
              </w:rPr>
            </w:pPr>
            <w:r w:rsidRPr="005B01CB">
              <w:rPr>
                <w:lang w:val="it-IT"/>
              </w:rPr>
              <w:t>Se l’entità utilizza l’esenzione prevista dall’IFRS 1.D8A(b) per le attività relative a petrolio e gas, deve dare informativa del fatto e dei criteri di allocazione dei valori contabili determinati in base ai precedenti principi contabili.</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Pr="008A0F36" w:rsidRDefault="004300E2" w:rsidP="004300E2">
            <w:pPr>
              <w:ind w:firstLine="57"/>
              <w:rPr>
                <w:lang w:val="it-IT"/>
              </w:rPr>
            </w:pPr>
          </w:p>
        </w:tc>
        <w:tc>
          <w:tcPr>
            <w:tcW w:w="851" w:type="dxa"/>
            <w:tcBorders>
              <w:right w:val="single" w:sz="4" w:space="0" w:color="auto"/>
            </w:tcBorders>
            <w:tcMar>
              <w:left w:w="108" w:type="dxa"/>
              <w:right w:w="0" w:type="dxa"/>
            </w:tcMar>
          </w:tcPr>
          <w:p w:rsidR="004300E2" w:rsidRPr="008A0F36" w:rsidRDefault="004300E2" w:rsidP="004300E2">
            <w:pPr>
              <w:pStyle w:val="IAS"/>
              <w:rPr>
                <w:lang w:val="it-IT"/>
              </w:rPr>
            </w:pPr>
            <w:r w:rsidRPr="008A0F36">
              <w:rPr>
                <w:lang w:val="it-IT"/>
              </w:rPr>
              <w:t>IFRS 1.D8A(b)</w:t>
            </w:r>
          </w:p>
        </w:tc>
        <w:tc>
          <w:tcPr>
            <w:tcW w:w="7079" w:type="dxa"/>
            <w:tcBorders>
              <w:top w:val="single" w:sz="4" w:space="0" w:color="auto"/>
              <w:left w:val="single" w:sz="4" w:space="0" w:color="auto"/>
              <w:bottom w:val="single" w:sz="4" w:space="0" w:color="auto"/>
              <w:right w:val="single" w:sz="4" w:space="0" w:color="auto"/>
            </w:tcBorders>
            <w:shd w:val="clear" w:color="auto" w:fill="FFFFFF"/>
            <w:tcMar>
              <w:left w:w="108" w:type="dxa"/>
            </w:tcMar>
          </w:tcPr>
          <w:p w:rsidR="004300E2" w:rsidRPr="008A0F36" w:rsidRDefault="004300E2" w:rsidP="00E1617D">
            <w:pPr>
              <w:pStyle w:val="Paragarfobordato"/>
            </w:pPr>
            <w:r w:rsidRPr="008A0F36">
              <w:t>Questa esenzione è applicabile alle entità che, in accordo con i precedenti principi contabili, hanno contabilizzato i costi di esplorazione e sviluppo di impianti petroliferi e del gas nelle fasi di sviluppo e produzione in centri di costo che comprendono tutti gli impianti appartenenti a una vasta area geografica (</w:t>
            </w:r>
            <w:r w:rsidRPr="008A0F36">
              <w:rPr>
                <w:i/>
              </w:rPr>
              <w:t>full cost accounting</w:t>
            </w:r>
            <w:r w:rsidRPr="008A0F36">
              <w:t xml:space="preserve">). </w:t>
            </w:r>
          </w:p>
        </w:tc>
        <w:tc>
          <w:tcPr>
            <w:tcW w:w="575" w:type="dxa"/>
            <w:tcBorders>
              <w:left w:val="single" w:sz="4" w:space="0" w:color="auto"/>
            </w:tcBorders>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4300E2" w:rsidRPr="00A44ECD" w:rsidTr="00940A6F">
        <w:trPr>
          <w:cantSplit/>
          <w:trHeight w:val="20"/>
        </w:trPr>
        <w:tc>
          <w:tcPr>
            <w:tcW w:w="567" w:type="dxa"/>
          </w:tcPr>
          <w:p w:rsidR="004300E2" w:rsidRPr="008A0F36" w:rsidRDefault="004300E2" w:rsidP="004300E2">
            <w:pPr>
              <w:ind w:firstLine="57"/>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Pr="008A0F36" w:rsidRDefault="004300E2" w:rsidP="004300E2">
            <w:pPr>
              <w:pStyle w:val="Titolo2"/>
              <w:jc w:val="both"/>
              <w:rPr>
                <w:lang w:val="it-IT"/>
              </w:rPr>
            </w:pPr>
            <w:r w:rsidRPr="008A0F36">
              <w:rPr>
                <w:lang w:val="it-IT"/>
              </w:rPr>
              <w:t>Utilizzo del sostituto del costo per attività soggette a regolamentazione delle tariffe</w:t>
            </w:r>
          </w:p>
        </w:tc>
        <w:tc>
          <w:tcPr>
            <w:tcW w:w="575" w:type="dxa"/>
            <w:tcMar>
              <w:left w:w="85" w:type="dxa"/>
              <w:right w:w="85" w:type="dxa"/>
            </w:tcMar>
            <w:vAlign w:val="center"/>
          </w:tcPr>
          <w:p w:rsidR="004300E2" w:rsidRPr="006F1EF4" w:rsidRDefault="004300E2" w:rsidP="004300E2">
            <w:pPr>
              <w:jc w:val="center"/>
              <w:rPr>
                <w:lang w:val="it-IT"/>
              </w:rPr>
            </w:pPr>
          </w:p>
        </w:tc>
        <w:tc>
          <w:tcPr>
            <w:tcW w:w="567" w:type="dxa"/>
            <w:tcMar>
              <w:left w:w="108" w:type="dxa"/>
            </w:tcMar>
            <w:vAlign w:val="center"/>
          </w:tcPr>
          <w:p w:rsidR="004300E2" w:rsidRPr="006F1EF4" w:rsidRDefault="004300E2" w:rsidP="004300E2">
            <w:pPr>
              <w:jc w:val="center"/>
              <w:rPr>
                <w:lang w:val="it-IT"/>
              </w:rPr>
            </w:pPr>
          </w:p>
        </w:tc>
        <w:tc>
          <w:tcPr>
            <w:tcW w:w="567" w:type="dxa"/>
            <w:tcMar>
              <w:left w:w="108" w:type="dxa"/>
            </w:tcMar>
            <w:vAlign w:val="center"/>
          </w:tcPr>
          <w:p w:rsidR="004300E2" w:rsidRPr="006F1EF4" w:rsidRDefault="004300E2" w:rsidP="004300E2">
            <w:pPr>
              <w:jc w:val="center"/>
              <w:rPr>
                <w:lang w:val="it-IT"/>
              </w:rPr>
            </w:pPr>
          </w:p>
        </w:tc>
      </w:tr>
      <w:tr w:rsidR="004300E2" w:rsidRPr="00A44ECD" w:rsidTr="00940A6F">
        <w:trPr>
          <w:cantSplit/>
          <w:trHeight w:val="20"/>
        </w:trPr>
        <w:tc>
          <w:tcPr>
            <w:tcW w:w="567" w:type="dxa"/>
          </w:tcPr>
          <w:p w:rsidR="004300E2" w:rsidRPr="008A0F36" w:rsidRDefault="004300E2" w:rsidP="004300E2">
            <w:pPr>
              <w:pStyle w:val="Numeroelenco"/>
              <w:ind w:left="0" w:firstLine="57"/>
              <w:rPr>
                <w:lang w:val="it-IT"/>
              </w:rPr>
            </w:pPr>
          </w:p>
        </w:tc>
        <w:tc>
          <w:tcPr>
            <w:tcW w:w="851" w:type="dxa"/>
            <w:tcBorders>
              <w:right w:val="single" w:sz="4" w:space="0" w:color="auto"/>
            </w:tcBorders>
            <w:tcMar>
              <w:left w:w="108" w:type="dxa"/>
              <w:right w:w="0" w:type="dxa"/>
            </w:tcMar>
          </w:tcPr>
          <w:p w:rsidR="004300E2" w:rsidRPr="008A0F36" w:rsidRDefault="004300E2" w:rsidP="004300E2">
            <w:pPr>
              <w:pStyle w:val="IAS"/>
              <w:rPr>
                <w:lang w:val="it-IT"/>
              </w:rPr>
            </w:pPr>
            <w:r w:rsidRPr="008A0F36">
              <w:rPr>
                <w:lang w:val="it-IT"/>
              </w:rPr>
              <w:t>IFRS 1.31B</w:t>
            </w:r>
          </w:p>
          <w:p w:rsidR="004300E2" w:rsidRPr="008A0F36" w:rsidRDefault="004300E2" w:rsidP="004300E2">
            <w:pPr>
              <w:pStyle w:val="IAS"/>
              <w:rPr>
                <w:lang w:val="it-IT"/>
              </w:rPr>
            </w:pPr>
            <w:r w:rsidRPr="008A0F36">
              <w:rPr>
                <w:lang w:val="it-IT"/>
              </w:rPr>
              <w:t>IFRS 1.D8B</w:t>
            </w:r>
          </w:p>
        </w:tc>
        <w:tc>
          <w:tcPr>
            <w:tcW w:w="7079" w:type="dxa"/>
            <w:tcBorders>
              <w:top w:val="single" w:sz="4" w:space="0" w:color="auto"/>
              <w:left w:val="single" w:sz="4" w:space="0" w:color="auto"/>
              <w:bottom w:val="single" w:sz="4" w:space="0" w:color="auto"/>
              <w:right w:val="single" w:sz="4" w:space="0" w:color="auto"/>
            </w:tcBorders>
            <w:tcMar>
              <w:left w:w="108" w:type="dxa"/>
            </w:tcMar>
          </w:tcPr>
          <w:p w:rsidR="004300E2" w:rsidRPr="008A0F36" w:rsidRDefault="004300E2" w:rsidP="004300E2">
            <w:pPr>
              <w:rPr>
                <w:lang w:val="it-IT"/>
              </w:rPr>
            </w:pPr>
            <w:r w:rsidRPr="008A0F36">
              <w:rPr>
                <w:lang w:val="it-IT"/>
              </w:rPr>
              <w:t>Se l’entità possiede degli elementi di immobili, impianti e macchinari o attività immateriali che sono utilizzati o sono stati precedentemente utilizzati in attività soggette a regolamentazione delle tariffe e l’entità utilizza il valore contabile di questi elementi quale risultante dai precedenti principi contabili come sostituto del costo alla data di transizione, l’entità deve dare informativa su:</w:t>
            </w:r>
          </w:p>
        </w:tc>
        <w:tc>
          <w:tcPr>
            <w:tcW w:w="575" w:type="dxa"/>
            <w:tcBorders>
              <w:left w:val="single" w:sz="4" w:space="0" w:color="auto"/>
            </w:tcBorders>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66483E" w:rsidRPr="008A0F36" w:rsidTr="00940A6F">
        <w:trPr>
          <w:cantSplit/>
          <w:trHeight w:val="20"/>
        </w:trPr>
        <w:tc>
          <w:tcPr>
            <w:tcW w:w="567" w:type="dxa"/>
          </w:tcPr>
          <w:p w:rsidR="0066483E" w:rsidRPr="008A0F36" w:rsidRDefault="0066483E" w:rsidP="004300E2">
            <w:pPr>
              <w:rPr>
                <w:lang w:val="it-IT"/>
              </w:rPr>
            </w:pPr>
          </w:p>
        </w:tc>
        <w:tc>
          <w:tcPr>
            <w:tcW w:w="851" w:type="dxa"/>
            <w:tcBorders>
              <w:right w:val="single" w:sz="4" w:space="0" w:color="auto"/>
            </w:tcBorders>
            <w:tcMar>
              <w:left w:w="108" w:type="dxa"/>
              <w:right w:w="0" w:type="dxa"/>
            </w:tcMar>
          </w:tcPr>
          <w:p w:rsidR="0066483E" w:rsidRPr="008A0F36" w:rsidRDefault="0066483E" w:rsidP="004300E2">
            <w:pPr>
              <w:rPr>
                <w:lang w:val="it-IT"/>
              </w:rPr>
            </w:pPr>
          </w:p>
        </w:tc>
        <w:tc>
          <w:tcPr>
            <w:tcW w:w="7079" w:type="dxa"/>
            <w:tcBorders>
              <w:top w:val="single" w:sz="4" w:space="0" w:color="auto"/>
              <w:left w:val="single" w:sz="4" w:space="0" w:color="auto"/>
              <w:bottom w:val="single" w:sz="4" w:space="0" w:color="auto"/>
              <w:right w:val="single" w:sz="4" w:space="0" w:color="auto"/>
            </w:tcBorders>
            <w:tcMar>
              <w:left w:w="108" w:type="dxa"/>
            </w:tcMar>
          </w:tcPr>
          <w:p w:rsidR="0066483E" w:rsidRPr="008A0F36" w:rsidRDefault="0066483E" w:rsidP="004300E2">
            <w:pPr>
              <w:pStyle w:val="Paragrafoelenco"/>
              <w:numPr>
                <w:ilvl w:val="0"/>
                <w:numId w:val="201"/>
              </w:numPr>
              <w:ind w:left="457" w:hanging="425"/>
              <w:contextualSpacing w:val="0"/>
              <w:rPr>
                <w:iCs/>
                <w:lang w:val="it-IT"/>
              </w:rPr>
            </w:pPr>
            <w:r w:rsidRPr="008A0F36">
              <w:rPr>
                <w:lang w:val="it-IT"/>
              </w:rPr>
              <w:t>questo fatto; e</w:t>
            </w:r>
          </w:p>
        </w:tc>
        <w:tc>
          <w:tcPr>
            <w:tcW w:w="575" w:type="dxa"/>
            <w:tcBorders>
              <w:left w:val="single" w:sz="4" w:space="0" w:color="auto"/>
            </w:tcBorders>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rPr>
                <w:lang w:val="it-IT"/>
              </w:rPr>
            </w:pPr>
          </w:p>
        </w:tc>
        <w:tc>
          <w:tcPr>
            <w:tcW w:w="851" w:type="dxa"/>
            <w:tcBorders>
              <w:right w:val="single" w:sz="4" w:space="0" w:color="auto"/>
            </w:tcBorders>
            <w:tcMar>
              <w:left w:w="108" w:type="dxa"/>
              <w:right w:w="0" w:type="dxa"/>
            </w:tcMar>
          </w:tcPr>
          <w:p w:rsidR="0066483E" w:rsidRPr="008A0F36" w:rsidRDefault="0066483E" w:rsidP="004300E2">
            <w:pPr>
              <w:rPr>
                <w:lang w:val="it-IT"/>
              </w:rPr>
            </w:pPr>
          </w:p>
        </w:tc>
        <w:tc>
          <w:tcPr>
            <w:tcW w:w="7079" w:type="dxa"/>
            <w:tcBorders>
              <w:top w:val="single" w:sz="4" w:space="0" w:color="auto"/>
              <w:left w:val="single" w:sz="4" w:space="0" w:color="auto"/>
              <w:bottom w:val="single" w:sz="4" w:space="0" w:color="auto"/>
              <w:right w:val="single" w:sz="4" w:space="0" w:color="auto"/>
            </w:tcBorders>
            <w:tcMar>
              <w:left w:w="108" w:type="dxa"/>
            </w:tcMar>
          </w:tcPr>
          <w:p w:rsidR="0066483E" w:rsidRPr="008A0F36" w:rsidRDefault="0066483E" w:rsidP="004300E2">
            <w:pPr>
              <w:pStyle w:val="Paragrafoelenco"/>
              <w:numPr>
                <w:ilvl w:val="0"/>
                <w:numId w:val="201"/>
              </w:numPr>
              <w:ind w:left="457" w:hanging="425"/>
              <w:contextualSpacing w:val="0"/>
              <w:rPr>
                <w:iCs/>
                <w:lang w:val="it-IT"/>
              </w:rPr>
            </w:pPr>
            <w:r w:rsidRPr="008A0F36">
              <w:rPr>
                <w:lang w:val="it-IT"/>
              </w:rPr>
              <w:t>il criterio di determinazione dei valori contabili adottato in base ai precedenti principi contabili.</w:t>
            </w:r>
          </w:p>
        </w:tc>
        <w:tc>
          <w:tcPr>
            <w:tcW w:w="575" w:type="dxa"/>
            <w:tcBorders>
              <w:left w:val="single" w:sz="4" w:space="0" w:color="auto"/>
            </w:tcBorders>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163356" w:rsidTr="00940A6F">
        <w:trPr>
          <w:cantSplit/>
          <w:trHeight w:val="20"/>
        </w:trPr>
        <w:tc>
          <w:tcPr>
            <w:tcW w:w="567" w:type="dxa"/>
          </w:tcPr>
          <w:p w:rsidR="004300E2" w:rsidRPr="008A0F36" w:rsidRDefault="004300E2" w:rsidP="004300E2">
            <w:pPr>
              <w:rPr>
                <w:lang w:val="it-IT"/>
              </w:rPr>
            </w:pPr>
          </w:p>
        </w:tc>
        <w:tc>
          <w:tcPr>
            <w:tcW w:w="851" w:type="dxa"/>
            <w:tcBorders>
              <w:right w:val="single" w:sz="4" w:space="0" w:color="auto"/>
            </w:tcBorders>
            <w:tcMar>
              <w:left w:w="108" w:type="dxa"/>
              <w:right w:w="0" w:type="dxa"/>
            </w:tcMar>
          </w:tcPr>
          <w:p w:rsidR="004300E2" w:rsidRPr="008A0F36" w:rsidRDefault="004300E2" w:rsidP="004300E2">
            <w:pPr>
              <w:rPr>
                <w:lang w:val="it-IT"/>
              </w:rPr>
            </w:pPr>
          </w:p>
        </w:tc>
        <w:tc>
          <w:tcPr>
            <w:tcW w:w="7079" w:type="dxa"/>
            <w:tcBorders>
              <w:top w:val="single" w:sz="4" w:space="0" w:color="auto"/>
              <w:left w:val="single" w:sz="4" w:space="0" w:color="auto"/>
              <w:bottom w:val="single" w:sz="4" w:space="0" w:color="auto"/>
              <w:right w:val="single" w:sz="4" w:space="0" w:color="auto"/>
            </w:tcBorders>
            <w:tcMar>
              <w:left w:w="108" w:type="dxa"/>
            </w:tcMar>
          </w:tcPr>
          <w:p w:rsidR="004300E2" w:rsidRDefault="004300E2" w:rsidP="004300E2">
            <w:pPr>
              <w:pStyle w:val="Titolo2"/>
              <w:jc w:val="both"/>
              <w:rPr>
                <w:iCs/>
                <w:lang w:val="it-IT"/>
              </w:rPr>
            </w:pPr>
            <w:r>
              <w:rPr>
                <w:lang w:val="it-IT"/>
              </w:rPr>
              <w:t>G</w:t>
            </w:r>
            <w:r w:rsidRPr="00AB2C1C">
              <w:rPr>
                <w:lang w:val="it-IT"/>
              </w:rPr>
              <w:t xml:space="preserve">rave iperinflazione </w:t>
            </w:r>
          </w:p>
        </w:tc>
        <w:tc>
          <w:tcPr>
            <w:tcW w:w="575" w:type="dxa"/>
            <w:tcBorders>
              <w:left w:val="single" w:sz="4" w:space="0" w:color="auto"/>
            </w:tcBorders>
            <w:tcMar>
              <w:left w:w="85" w:type="dxa"/>
              <w:right w:w="85"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r>
      <w:tr w:rsidR="004300E2" w:rsidRPr="00A44ECD" w:rsidTr="00940A6F">
        <w:trPr>
          <w:cantSplit/>
          <w:trHeight w:val="20"/>
        </w:trPr>
        <w:tc>
          <w:tcPr>
            <w:tcW w:w="567" w:type="dxa"/>
          </w:tcPr>
          <w:p w:rsidR="004300E2" w:rsidRDefault="004300E2" w:rsidP="004300E2">
            <w:pPr>
              <w:pStyle w:val="Numeroelenco"/>
              <w:ind w:left="0" w:firstLine="57"/>
              <w:rPr>
                <w:lang w:val="it-IT"/>
              </w:rPr>
            </w:pPr>
          </w:p>
        </w:tc>
        <w:tc>
          <w:tcPr>
            <w:tcW w:w="851" w:type="dxa"/>
            <w:tcBorders>
              <w:right w:val="single" w:sz="4" w:space="0" w:color="auto"/>
            </w:tcBorders>
            <w:tcMar>
              <w:left w:w="108" w:type="dxa"/>
              <w:right w:w="0" w:type="dxa"/>
            </w:tcMar>
          </w:tcPr>
          <w:p w:rsidR="004300E2" w:rsidRDefault="004300E2" w:rsidP="004300E2">
            <w:pPr>
              <w:pStyle w:val="IAS"/>
              <w:rPr>
                <w:lang w:val="it-IT"/>
              </w:rPr>
            </w:pPr>
            <w:r>
              <w:rPr>
                <w:lang w:val="it-IT"/>
              </w:rPr>
              <w:t>IFRS 1.31C</w:t>
            </w:r>
          </w:p>
        </w:tc>
        <w:tc>
          <w:tcPr>
            <w:tcW w:w="7079" w:type="dxa"/>
            <w:tcBorders>
              <w:top w:val="single" w:sz="4" w:space="0" w:color="auto"/>
              <w:left w:val="single" w:sz="4" w:space="0" w:color="auto"/>
              <w:bottom w:val="single" w:sz="4" w:space="0" w:color="auto"/>
              <w:right w:val="single" w:sz="4" w:space="0" w:color="auto"/>
            </w:tcBorders>
            <w:tcMar>
              <w:left w:w="108" w:type="dxa"/>
            </w:tcMar>
          </w:tcPr>
          <w:p w:rsidR="004300E2" w:rsidRPr="00D80CE3" w:rsidRDefault="004300E2" w:rsidP="00FD41D8">
            <w:pPr>
              <w:overflowPunct/>
              <w:textAlignment w:val="auto"/>
              <w:rPr>
                <w:rFonts w:cs="EUAlbertina"/>
                <w:color w:val="19161B"/>
                <w:lang w:val="it-IT" w:eastAsia="it-IT"/>
              </w:rPr>
            </w:pPr>
            <w:r w:rsidRPr="005B14F4">
              <w:rPr>
                <w:rFonts w:cs="EUAlbertina"/>
                <w:color w:val="19161B"/>
                <w:lang w:val="it-IT" w:eastAsia="it-IT"/>
              </w:rPr>
              <w:t>Se un’entità</w:t>
            </w:r>
            <w:r>
              <w:rPr>
                <w:rFonts w:cs="EUAlbertina"/>
                <w:color w:val="19161B"/>
                <w:lang w:val="it-IT" w:eastAsia="it-IT"/>
              </w:rPr>
              <w:t>,</w:t>
            </w:r>
            <w:r w:rsidRPr="005B14F4">
              <w:rPr>
                <w:rFonts w:cs="EUAlbertina"/>
                <w:color w:val="19161B"/>
                <w:lang w:val="it-IT" w:eastAsia="it-IT"/>
              </w:rPr>
              <w:t xml:space="preserve"> </w:t>
            </w:r>
            <w:r>
              <w:rPr>
                <w:rFonts w:cs="EUAlbertina"/>
                <w:color w:val="19161B"/>
                <w:lang w:val="it-IT" w:eastAsia="it-IT"/>
              </w:rPr>
              <w:t xml:space="preserve">che aveva una valuta funzionale legata ad una economia in grave iperinflazione, </w:t>
            </w:r>
            <w:r w:rsidRPr="005B14F4">
              <w:rPr>
                <w:rFonts w:cs="EUAlbertina"/>
                <w:color w:val="19161B"/>
                <w:lang w:val="it-IT" w:eastAsia="it-IT"/>
              </w:rPr>
              <w:t xml:space="preserve">decide </w:t>
            </w:r>
            <w:r>
              <w:rPr>
                <w:rFonts w:cs="EUAlbertina"/>
                <w:color w:val="19161B"/>
                <w:lang w:val="it-IT" w:eastAsia="it-IT"/>
              </w:rPr>
              <w:t xml:space="preserve">nel primo bilancio redatto in conformità agli IFRS </w:t>
            </w:r>
            <w:r w:rsidRPr="005B14F4">
              <w:rPr>
                <w:rFonts w:cs="EUAlbertina"/>
                <w:color w:val="19161B"/>
                <w:lang w:val="it-IT" w:eastAsia="it-IT"/>
              </w:rPr>
              <w:t xml:space="preserve">di valutare </w:t>
            </w:r>
            <w:r>
              <w:rPr>
                <w:rFonts w:cs="EUAlbertina"/>
                <w:color w:val="19161B"/>
                <w:lang w:val="it-IT" w:eastAsia="it-IT"/>
              </w:rPr>
              <w:t xml:space="preserve">le </w:t>
            </w:r>
            <w:r w:rsidRPr="005B14F4">
              <w:rPr>
                <w:rFonts w:cs="EUAlbertina"/>
                <w:color w:val="19161B"/>
                <w:lang w:val="it-IT" w:eastAsia="it-IT"/>
              </w:rPr>
              <w:t xml:space="preserve">attività e </w:t>
            </w:r>
            <w:r>
              <w:rPr>
                <w:rFonts w:cs="EUAlbertina"/>
                <w:color w:val="19161B"/>
                <w:lang w:val="it-IT" w:eastAsia="it-IT"/>
              </w:rPr>
              <w:t xml:space="preserve">le </w:t>
            </w:r>
            <w:r w:rsidRPr="005B14F4">
              <w:rPr>
                <w:rFonts w:cs="EUAlbertina"/>
                <w:color w:val="19161B"/>
                <w:lang w:val="it-IT" w:eastAsia="it-IT"/>
              </w:rPr>
              <w:t xml:space="preserve">passività al </w:t>
            </w:r>
            <w:r w:rsidRPr="005B14F4">
              <w:rPr>
                <w:rFonts w:cs="EUAlbertina"/>
                <w:i/>
                <w:iCs/>
                <w:color w:val="19161B"/>
                <w:lang w:val="it-IT" w:eastAsia="it-IT"/>
              </w:rPr>
              <w:t xml:space="preserve">fair value </w:t>
            </w:r>
            <w:r w:rsidRPr="005B14F4">
              <w:rPr>
                <w:rFonts w:cs="EUAlbertina"/>
                <w:color w:val="19161B"/>
                <w:lang w:val="it-IT" w:eastAsia="it-IT"/>
              </w:rPr>
              <w:t xml:space="preserve">e di utilizzare tale </w:t>
            </w:r>
            <w:r w:rsidRPr="005B14F4">
              <w:rPr>
                <w:rFonts w:cs="EUAlbertina"/>
                <w:i/>
                <w:iCs/>
                <w:color w:val="19161B"/>
                <w:lang w:val="it-IT" w:eastAsia="it-IT"/>
              </w:rPr>
              <w:t xml:space="preserve">fair value </w:t>
            </w:r>
            <w:r w:rsidRPr="005B14F4">
              <w:rPr>
                <w:rFonts w:cs="EUAlbertina"/>
                <w:color w:val="19161B"/>
                <w:lang w:val="it-IT" w:eastAsia="it-IT"/>
              </w:rPr>
              <w:t xml:space="preserve">come sostituto del costo nel prospetto della situazione patrimoniale-finanziaria d’apertura </w:t>
            </w:r>
            <w:r>
              <w:rPr>
                <w:rFonts w:cs="EUAlbertina"/>
                <w:color w:val="19161B"/>
                <w:lang w:val="it-IT" w:eastAsia="it-IT"/>
              </w:rPr>
              <w:t>(si vedano paragrafi IFRS 1.D26-D30)</w:t>
            </w:r>
            <w:r w:rsidRPr="005B14F4">
              <w:rPr>
                <w:rFonts w:cs="EUAlbertina"/>
                <w:color w:val="19161B"/>
                <w:lang w:val="it-IT" w:eastAsia="it-IT"/>
              </w:rPr>
              <w:t xml:space="preserve">, </w:t>
            </w:r>
            <w:r>
              <w:rPr>
                <w:rFonts w:cs="EUAlbertina"/>
                <w:color w:val="19161B"/>
                <w:lang w:val="it-IT" w:eastAsia="it-IT"/>
              </w:rPr>
              <w:t xml:space="preserve">l’entità </w:t>
            </w:r>
            <w:r w:rsidRPr="005B14F4">
              <w:rPr>
                <w:rFonts w:cs="EUAlbertina"/>
                <w:color w:val="19161B"/>
                <w:lang w:val="it-IT" w:eastAsia="it-IT"/>
              </w:rPr>
              <w:t>deve spiegare come e perché l'entità aveva una valuta funzionale che presentava entrambe le seguenti caratteristiche, e</w:t>
            </w:r>
            <w:r>
              <w:rPr>
                <w:rFonts w:cs="EUAlbertina"/>
                <w:color w:val="19161B"/>
                <w:lang w:val="it-IT" w:eastAsia="it-IT"/>
              </w:rPr>
              <w:t xml:space="preserve"> perché poi ha cessato di averle</w:t>
            </w:r>
            <w:r w:rsidRPr="005B14F4">
              <w:rPr>
                <w:rFonts w:cs="EUAlbertina"/>
                <w:color w:val="19161B"/>
                <w:lang w:val="it-IT" w:eastAsia="it-IT"/>
              </w:rPr>
              <w:t>:</w:t>
            </w:r>
          </w:p>
        </w:tc>
        <w:tc>
          <w:tcPr>
            <w:tcW w:w="575" w:type="dxa"/>
            <w:tcBorders>
              <w:left w:val="single" w:sz="4" w:space="0" w:color="auto"/>
            </w:tcBorders>
            <w:tcMar>
              <w:left w:w="85" w:type="dxa"/>
              <w:right w:w="85"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B11F61" w:rsidRDefault="004300E2" w:rsidP="004300E2">
            <w:pPr>
              <w:rPr>
                <w:lang w:val="it-IT"/>
              </w:rPr>
            </w:pPr>
          </w:p>
        </w:tc>
        <w:tc>
          <w:tcPr>
            <w:tcW w:w="567" w:type="dxa"/>
            <w:tcMar>
              <w:left w:w="108" w:type="dxa"/>
            </w:tcMar>
            <w:vAlign w:val="center"/>
          </w:tcPr>
          <w:p w:rsidR="004300E2" w:rsidRPr="00B11F61" w:rsidRDefault="004300E2" w:rsidP="004300E2">
            <w:pPr>
              <w:jc w:val="center"/>
              <w:rPr>
                <w:lang w:val="it-IT"/>
              </w:rPr>
            </w:pPr>
          </w:p>
        </w:tc>
      </w:tr>
      <w:tr w:rsidR="0066483E" w:rsidRPr="008129DA" w:rsidTr="00940A6F">
        <w:trPr>
          <w:cantSplit/>
          <w:trHeight w:val="20"/>
        </w:trPr>
        <w:tc>
          <w:tcPr>
            <w:tcW w:w="567" w:type="dxa"/>
          </w:tcPr>
          <w:p w:rsidR="0066483E" w:rsidRDefault="0066483E" w:rsidP="004300E2">
            <w:pPr>
              <w:pStyle w:val="Numeroelenco"/>
              <w:numPr>
                <w:ilvl w:val="0"/>
                <w:numId w:val="0"/>
              </w:numPr>
              <w:ind w:left="57"/>
              <w:rPr>
                <w:lang w:val="it-IT"/>
              </w:rPr>
            </w:pPr>
          </w:p>
        </w:tc>
        <w:tc>
          <w:tcPr>
            <w:tcW w:w="851" w:type="dxa"/>
            <w:tcBorders>
              <w:right w:val="single" w:sz="4" w:space="0" w:color="auto"/>
            </w:tcBorders>
            <w:tcMar>
              <w:left w:w="108" w:type="dxa"/>
              <w:right w:w="0" w:type="dxa"/>
            </w:tcMar>
          </w:tcPr>
          <w:p w:rsidR="0066483E" w:rsidRDefault="0066483E" w:rsidP="004300E2">
            <w:pPr>
              <w:pStyle w:val="IAS"/>
              <w:rPr>
                <w:lang w:val="it-IT"/>
              </w:rPr>
            </w:pPr>
          </w:p>
        </w:tc>
        <w:tc>
          <w:tcPr>
            <w:tcW w:w="7079" w:type="dxa"/>
            <w:tcBorders>
              <w:top w:val="single" w:sz="4" w:space="0" w:color="auto"/>
              <w:left w:val="single" w:sz="4" w:space="0" w:color="auto"/>
              <w:bottom w:val="single" w:sz="4" w:space="0" w:color="auto"/>
              <w:right w:val="single" w:sz="4" w:space="0" w:color="auto"/>
            </w:tcBorders>
            <w:tcMar>
              <w:left w:w="108" w:type="dxa"/>
            </w:tcMar>
          </w:tcPr>
          <w:p w:rsidR="0066483E" w:rsidRPr="005B14F4" w:rsidRDefault="00FD41D8" w:rsidP="00FD41D8">
            <w:pPr>
              <w:overflowPunct/>
              <w:ind w:left="458" w:hanging="458"/>
              <w:jc w:val="left"/>
              <w:textAlignment w:val="auto"/>
              <w:rPr>
                <w:rFonts w:cs="EUAlbertina"/>
                <w:color w:val="19161B"/>
                <w:lang w:val="it-IT" w:eastAsia="it-IT"/>
              </w:rPr>
            </w:pPr>
            <w:r>
              <w:rPr>
                <w:rFonts w:cs="EUAlbertina"/>
                <w:color w:val="19161B"/>
                <w:lang w:val="it-IT" w:eastAsia="it-IT"/>
              </w:rPr>
              <w:t>(a)</w:t>
            </w:r>
            <w:r w:rsidR="0066483E">
              <w:rPr>
                <w:rFonts w:cs="EUAlbertina"/>
                <w:color w:val="19161B"/>
                <w:lang w:val="it-IT" w:eastAsia="it-IT"/>
              </w:rPr>
              <w:tab/>
            </w:r>
            <w:r w:rsidR="0066483E" w:rsidRPr="005B14F4">
              <w:rPr>
                <w:rFonts w:cs="EUAlbertina"/>
                <w:color w:val="19161B"/>
                <w:lang w:val="it-IT" w:eastAsia="it-IT"/>
              </w:rPr>
              <w:t xml:space="preserve">non </w:t>
            </w:r>
            <w:r w:rsidR="0066483E">
              <w:rPr>
                <w:rFonts w:cs="EUAlbertina"/>
                <w:color w:val="19161B"/>
                <w:lang w:val="it-IT" w:eastAsia="it-IT"/>
              </w:rPr>
              <w:t>è</w:t>
            </w:r>
            <w:r w:rsidR="0066483E" w:rsidRPr="005B14F4">
              <w:rPr>
                <w:rFonts w:cs="EUAlbertina"/>
                <w:color w:val="19161B"/>
                <w:lang w:val="it-IT" w:eastAsia="it-IT"/>
              </w:rPr>
              <w:t xml:space="preserve"> disponibile un indice generale dei prezzi attendibile per tutte le entità con operazioni e saldi in quella valuta; </w:t>
            </w:r>
          </w:p>
        </w:tc>
        <w:tc>
          <w:tcPr>
            <w:tcW w:w="575" w:type="dxa"/>
            <w:tcBorders>
              <w:left w:val="single" w:sz="4" w:space="0" w:color="auto"/>
            </w:tcBorders>
            <w:tcMar>
              <w:left w:w="85" w:type="dxa"/>
              <w:right w:w="85" w:type="dxa"/>
            </w:tcMar>
            <w:vAlign w:val="center"/>
          </w:tcPr>
          <w:p w:rsidR="0066483E" w:rsidRPr="004979D5"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D80CE3"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D80CE3"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Default="0066483E" w:rsidP="004300E2">
            <w:pPr>
              <w:pStyle w:val="Numeroelenco"/>
              <w:numPr>
                <w:ilvl w:val="0"/>
                <w:numId w:val="0"/>
              </w:numPr>
              <w:ind w:left="57"/>
              <w:rPr>
                <w:lang w:val="it-IT"/>
              </w:rPr>
            </w:pPr>
          </w:p>
        </w:tc>
        <w:tc>
          <w:tcPr>
            <w:tcW w:w="851" w:type="dxa"/>
            <w:tcBorders>
              <w:right w:val="single" w:sz="4" w:space="0" w:color="auto"/>
            </w:tcBorders>
            <w:tcMar>
              <w:left w:w="108" w:type="dxa"/>
              <w:right w:w="0" w:type="dxa"/>
            </w:tcMar>
          </w:tcPr>
          <w:p w:rsidR="0066483E" w:rsidRDefault="0066483E" w:rsidP="004300E2">
            <w:pPr>
              <w:pStyle w:val="IAS"/>
              <w:rPr>
                <w:lang w:val="it-IT"/>
              </w:rPr>
            </w:pPr>
          </w:p>
        </w:tc>
        <w:tc>
          <w:tcPr>
            <w:tcW w:w="7079" w:type="dxa"/>
            <w:tcBorders>
              <w:top w:val="single" w:sz="4" w:space="0" w:color="auto"/>
              <w:left w:val="single" w:sz="4" w:space="0" w:color="auto"/>
              <w:bottom w:val="single" w:sz="4" w:space="0" w:color="auto"/>
              <w:right w:val="single" w:sz="4" w:space="0" w:color="auto"/>
            </w:tcBorders>
            <w:tcMar>
              <w:left w:w="108" w:type="dxa"/>
            </w:tcMar>
          </w:tcPr>
          <w:p w:rsidR="0066483E" w:rsidRPr="005B14F4" w:rsidRDefault="00FD41D8" w:rsidP="00FD41D8">
            <w:pPr>
              <w:overflowPunct/>
              <w:textAlignment w:val="auto"/>
              <w:rPr>
                <w:rFonts w:cs="EUAlbertina"/>
                <w:color w:val="19161B"/>
                <w:lang w:val="it-IT" w:eastAsia="it-IT"/>
              </w:rPr>
            </w:pPr>
            <w:r>
              <w:rPr>
                <w:rFonts w:cs="EUAlbertina"/>
                <w:color w:val="19161B"/>
                <w:lang w:val="it-IT" w:eastAsia="it-IT"/>
              </w:rPr>
              <w:t>(b)</w:t>
            </w:r>
            <w:r>
              <w:rPr>
                <w:rFonts w:cs="EUAlbertina"/>
                <w:color w:val="19161B"/>
                <w:lang w:val="it-IT" w:eastAsia="it-IT"/>
              </w:rPr>
              <w:tab/>
            </w:r>
            <w:r w:rsidR="0066483E" w:rsidRPr="00B9235C">
              <w:rPr>
                <w:rFonts w:cs="EUAlbertina"/>
                <w:color w:val="19161B"/>
                <w:lang w:val="it-IT" w:eastAsia="it-IT"/>
              </w:rPr>
              <w:tab/>
              <w:t>non esiste possibilità di cambio tra la valuta e una valuta estera relativamente stabile.</w:t>
            </w:r>
          </w:p>
        </w:tc>
        <w:tc>
          <w:tcPr>
            <w:tcW w:w="575" w:type="dxa"/>
            <w:tcBorders>
              <w:left w:val="single" w:sz="4" w:space="0" w:color="auto"/>
            </w:tcBorders>
            <w:tcMar>
              <w:left w:w="85" w:type="dxa"/>
              <w:right w:w="85" w:type="dxa"/>
            </w:tcMar>
            <w:vAlign w:val="center"/>
          </w:tcPr>
          <w:p w:rsidR="0066483E" w:rsidRPr="004979D5"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D80CE3"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D80CE3"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IFRS 1.D2</w:t>
            </w:r>
          </w:p>
        </w:tc>
        <w:tc>
          <w:tcPr>
            <w:tcW w:w="7079" w:type="dxa"/>
            <w:tcMar>
              <w:left w:w="108" w:type="dxa"/>
            </w:tcMar>
          </w:tcPr>
          <w:p w:rsidR="004300E2" w:rsidRPr="008A0F36" w:rsidRDefault="004300E2" w:rsidP="00E1617D">
            <w:pPr>
              <w:pStyle w:val="Paragarfobordato"/>
            </w:pPr>
            <w:r w:rsidRPr="008A0F36">
              <w:t xml:space="preserve">Per tutte le assegnazioni di strumenti rappresentativi di capitale a cui non è stato applicato l’IFRS 2, l’entità fornisce le informazioni richieste dall’IFRS 2.44-45 (vedi punti </w:t>
            </w:r>
            <w:r w:rsidRPr="004F522B">
              <w:t xml:space="preserve">successivi </w:t>
            </w:r>
            <w:r>
              <w:t>39</w:t>
            </w:r>
            <w:r w:rsidR="00390734">
              <w:t>2</w:t>
            </w:r>
            <w:r>
              <w:t>-39</w:t>
            </w:r>
            <w:r w:rsidR="00390734">
              <w:t>3</w:t>
            </w:r>
            <w:r w:rsidRPr="004F522B">
              <w:t xml:space="preserve"> ).</w:t>
            </w:r>
            <w:r w:rsidRPr="008A0F36">
              <w:t xml:space="preserve"> </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4300E2" w:rsidRPr="00A44ECD" w:rsidTr="00940A6F">
        <w:trPr>
          <w:cantSplit/>
          <w:trHeight w:val="20"/>
        </w:trPr>
        <w:tc>
          <w:tcPr>
            <w:tcW w:w="567" w:type="dxa"/>
          </w:tcPr>
          <w:p w:rsidR="004300E2" w:rsidRPr="008A0F36" w:rsidRDefault="004300E2" w:rsidP="004300E2">
            <w:pPr>
              <w:widowControl w:val="0"/>
              <w:ind w:firstLine="57"/>
              <w:rPr>
                <w:lang w:val="it-IT"/>
              </w:rPr>
            </w:pPr>
          </w:p>
        </w:tc>
        <w:tc>
          <w:tcPr>
            <w:tcW w:w="851" w:type="dxa"/>
            <w:tcMar>
              <w:left w:w="108" w:type="dxa"/>
              <w:right w:w="0" w:type="dxa"/>
            </w:tcMar>
          </w:tcPr>
          <w:p w:rsidR="004300E2" w:rsidRPr="008A0F36" w:rsidRDefault="004300E2" w:rsidP="004300E2">
            <w:pPr>
              <w:pStyle w:val="IAS"/>
              <w:widowControl w:val="0"/>
              <w:rPr>
                <w:lang w:val="it-IT"/>
              </w:rPr>
            </w:pPr>
          </w:p>
        </w:tc>
        <w:tc>
          <w:tcPr>
            <w:tcW w:w="7079" w:type="dxa"/>
            <w:tcBorders>
              <w:top w:val="single" w:sz="4" w:space="0" w:color="auto"/>
            </w:tcBorders>
            <w:tcMar>
              <w:left w:w="108" w:type="dxa"/>
            </w:tcMar>
          </w:tcPr>
          <w:p w:rsidR="004300E2" w:rsidRPr="008A0F36" w:rsidRDefault="004300E2" w:rsidP="004300E2">
            <w:pPr>
              <w:pStyle w:val="Titolo1"/>
              <w:keepNext w:val="0"/>
              <w:widowControl w:val="0"/>
              <w:jc w:val="both"/>
            </w:pPr>
            <w:r w:rsidRPr="008A0F36">
              <w:rPr>
                <w:smallCaps/>
              </w:rPr>
              <w:t>ALTRI DOCUMENTI PRESENTATI INSIEME AL BILANCIO (</w:t>
            </w:r>
            <w:r w:rsidRPr="008A0F36">
              <w:t>relazione degli amministratori, rendiconti e altri documenti</w:t>
            </w:r>
            <w:r w:rsidRPr="008A0F36">
              <w:rPr>
                <w:smallCaps/>
              </w:rPr>
              <w:t>)</w:t>
            </w:r>
          </w:p>
        </w:tc>
        <w:tc>
          <w:tcPr>
            <w:tcW w:w="575" w:type="dxa"/>
            <w:tcMar>
              <w:left w:w="85" w:type="dxa"/>
              <w:right w:w="85" w:type="dxa"/>
            </w:tcMar>
            <w:vAlign w:val="center"/>
          </w:tcPr>
          <w:p w:rsidR="004300E2" w:rsidRPr="006F1EF4" w:rsidRDefault="004300E2" w:rsidP="004300E2">
            <w:pPr>
              <w:widowControl w:val="0"/>
              <w:jc w:val="center"/>
              <w:rPr>
                <w:lang w:val="it-IT"/>
              </w:rPr>
            </w:pPr>
          </w:p>
        </w:tc>
        <w:tc>
          <w:tcPr>
            <w:tcW w:w="567" w:type="dxa"/>
            <w:tcMar>
              <w:left w:w="108" w:type="dxa"/>
            </w:tcMar>
            <w:vAlign w:val="center"/>
          </w:tcPr>
          <w:p w:rsidR="004300E2" w:rsidRPr="006F1EF4" w:rsidRDefault="004300E2" w:rsidP="004300E2">
            <w:pPr>
              <w:widowControl w:val="0"/>
              <w:jc w:val="center"/>
              <w:rPr>
                <w:lang w:val="it-IT"/>
              </w:rPr>
            </w:pPr>
          </w:p>
        </w:tc>
        <w:tc>
          <w:tcPr>
            <w:tcW w:w="567" w:type="dxa"/>
            <w:tcMar>
              <w:left w:w="108" w:type="dxa"/>
            </w:tcMar>
            <w:vAlign w:val="center"/>
          </w:tcPr>
          <w:p w:rsidR="004300E2" w:rsidRPr="006F1EF4" w:rsidRDefault="004300E2" w:rsidP="004300E2">
            <w:pPr>
              <w:widowControl w:val="0"/>
              <w:jc w:val="center"/>
              <w:rPr>
                <w:lang w:val="it-IT"/>
              </w:rPr>
            </w:pPr>
          </w:p>
        </w:tc>
      </w:tr>
      <w:tr w:rsidR="004300E2" w:rsidRPr="00A44ECD" w:rsidTr="00940A6F">
        <w:trPr>
          <w:cantSplit/>
          <w:trHeight w:val="20"/>
        </w:trPr>
        <w:tc>
          <w:tcPr>
            <w:tcW w:w="567" w:type="dxa"/>
          </w:tcPr>
          <w:p w:rsidR="004300E2" w:rsidRPr="008A0F36" w:rsidRDefault="004300E2" w:rsidP="004300E2">
            <w:pPr>
              <w:ind w:firstLine="57"/>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Pr="005062DC" w:rsidRDefault="004300E2" w:rsidP="005062DC">
            <w:pPr>
              <w:pStyle w:val="Paragarfobordato"/>
            </w:pPr>
            <w:r w:rsidRPr="005062DC">
              <w:t>Per quanto riguarda le disposizioni informative, richieste dalla normativa italiana e dalle comunicazioni/delibere CONSOB, da includere nella relazione sulla gestione si rinvia alla lista di controllo CONSOB.</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4300E2" w:rsidRPr="00A44ECD" w:rsidTr="00940A6F">
        <w:trPr>
          <w:cantSplit/>
          <w:trHeight w:val="20"/>
        </w:trPr>
        <w:tc>
          <w:tcPr>
            <w:tcW w:w="567" w:type="dxa"/>
          </w:tcPr>
          <w:p w:rsidR="004300E2" w:rsidRPr="008A0F36" w:rsidRDefault="004300E2" w:rsidP="004300E2">
            <w:pPr>
              <w:ind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1.14</w:t>
            </w:r>
          </w:p>
        </w:tc>
        <w:tc>
          <w:tcPr>
            <w:tcW w:w="7079" w:type="dxa"/>
            <w:tcMar>
              <w:left w:w="108" w:type="dxa"/>
            </w:tcMar>
          </w:tcPr>
          <w:p w:rsidR="004300E2" w:rsidRPr="005062DC" w:rsidRDefault="004300E2" w:rsidP="005062DC">
            <w:pPr>
              <w:pStyle w:val="Paragarfobordato"/>
              <w:rPr>
                <w:spacing w:val="-2"/>
              </w:rPr>
            </w:pPr>
            <w:r w:rsidRPr="005062DC">
              <w:t>Rendiconti e documenti presentati al di fuori del bilancio non rientrano nell’ambito degli IFRS.</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4300E2" w:rsidRPr="00A44ECD" w:rsidTr="00940A6F">
        <w:trPr>
          <w:cantSplit/>
          <w:trHeight w:val="20"/>
        </w:trPr>
        <w:tc>
          <w:tcPr>
            <w:tcW w:w="567" w:type="dxa"/>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1.13</w:t>
            </w:r>
          </w:p>
        </w:tc>
        <w:tc>
          <w:tcPr>
            <w:tcW w:w="7079" w:type="dxa"/>
            <w:tcMar>
              <w:left w:w="108" w:type="dxa"/>
            </w:tcMar>
          </w:tcPr>
          <w:p w:rsidR="004300E2" w:rsidRPr="00BF03D1" w:rsidRDefault="004300E2" w:rsidP="004300E2">
            <w:pPr>
              <w:rPr>
                <w:lang w:val="it-IT"/>
              </w:rPr>
            </w:pPr>
            <w:r w:rsidRPr="00BF03D1">
              <w:rPr>
                <w:lang w:val="it-IT"/>
              </w:rPr>
              <w:t>L’entità ha presentato oltre al bilancio, una relazione degli amministratori che descriva e spieghi gli aspetti principali del risultato economico e della situazione patrimoniale- finanziaria dell’entità e le principali incertezze che essa affronta e che includa:</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BF03D1" w:rsidRDefault="0066483E" w:rsidP="004300E2">
            <w:pPr>
              <w:pStyle w:val="Rientroa"/>
              <w:numPr>
                <w:ilvl w:val="0"/>
                <w:numId w:val="20"/>
              </w:numPr>
            </w:pPr>
            <w:r w:rsidRPr="00BF03D1">
              <w:t>I principali fattori e le influenze che incidono sul risultato economico inclusi:</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BF03D1" w:rsidRDefault="0066483E" w:rsidP="0012469E">
            <w:pPr>
              <w:pStyle w:val="Puntoelenco"/>
              <w:tabs>
                <w:tab w:val="clear" w:pos="780"/>
              </w:tabs>
              <w:ind w:left="570" w:hanging="112"/>
              <w:contextualSpacing w:val="0"/>
            </w:pPr>
            <w:r w:rsidRPr="00BF03D1">
              <w:t>i cambiamenti del contesto economico ed ambientale in genere nel quale l’entità opera</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BF03D1" w:rsidRDefault="0066483E" w:rsidP="0012469E">
            <w:pPr>
              <w:pStyle w:val="Puntoelenco"/>
              <w:tabs>
                <w:tab w:val="clear" w:pos="780"/>
              </w:tabs>
              <w:ind w:left="570" w:hanging="112"/>
              <w:contextualSpacing w:val="0"/>
            </w:pPr>
            <w:r w:rsidRPr="00BF03D1">
              <w:t>la risposta dell’entità a questi cambiamenti e il loro effetto; 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BF03D1" w:rsidRDefault="0066483E" w:rsidP="0012469E">
            <w:pPr>
              <w:pStyle w:val="Puntoelenco"/>
              <w:tabs>
                <w:tab w:val="clear" w:pos="780"/>
              </w:tabs>
              <w:ind w:left="570" w:hanging="112"/>
              <w:contextualSpacing w:val="0"/>
            </w:pPr>
            <w:r w:rsidRPr="00BF03D1">
              <w:t>la politica di investimento dell’entità per mantenere e migliorare il risultato economico, inclusa la politica sui dividendi</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BF03D1" w:rsidRDefault="0066483E" w:rsidP="004300E2">
            <w:pPr>
              <w:pStyle w:val="Rientroa"/>
            </w:pPr>
            <w:r w:rsidRPr="00BF03D1">
              <w:t>le fonti di finanziamento dell’entità, la sua politica in materia di ricorso ai finanziamenti esterni e il relativo rapporto fra passività e patrimonio netto; 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BF03D1" w:rsidRDefault="0066483E" w:rsidP="004300E2">
            <w:pPr>
              <w:pStyle w:val="Rientroa"/>
            </w:pPr>
            <w:r w:rsidRPr="00BF03D1">
              <w:t>le risorse dell’entità non rilevate nel prospetto della situazione-patrimoniale finanziaria secondo quanto previsto dagli IFRS.</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pStyle w:val="Numeroelenco"/>
              <w:ind w:left="0" w:firstLine="57"/>
              <w:rPr>
                <w:lang w:val="it-IT"/>
              </w:rPr>
            </w:pPr>
          </w:p>
        </w:tc>
        <w:tc>
          <w:tcPr>
            <w:tcW w:w="851" w:type="dxa"/>
            <w:tcMar>
              <w:left w:w="108" w:type="dxa"/>
              <w:right w:w="0" w:type="dxa"/>
            </w:tcMar>
          </w:tcPr>
          <w:p w:rsidR="0066483E" w:rsidRPr="008A0F36" w:rsidRDefault="0066483E" w:rsidP="004300E2">
            <w:pPr>
              <w:pStyle w:val="IAS"/>
              <w:rPr>
                <w:lang w:val="it-IT"/>
              </w:rPr>
            </w:pPr>
            <w:r w:rsidRPr="008A0F36">
              <w:rPr>
                <w:lang w:val="it-IT"/>
              </w:rPr>
              <w:t>IAS 1.14</w:t>
            </w:r>
          </w:p>
        </w:tc>
        <w:tc>
          <w:tcPr>
            <w:tcW w:w="7079" w:type="dxa"/>
            <w:tcMar>
              <w:left w:w="108" w:type="dxa"/>
            </w:tcMar>
          </w:tcPr>
          <w:p w:rsidR="0066483E" w:rsidRPr="00BF03D1" w:rsidRDefault="0066483E" w:rsidP="003171FD">
            <w:pPr>
              <w:spacing w:line="212" w:lineRule="exact"/>
              <w:rPr>
                <w:lang w:val="it-IT"/>
              </w:rPr>
            </w:pPr>
            <w:r w:rsidRPr="00BF03D1">
              <w:rPr>
                <w:lang w:val="it-IT"/>
              </w:rPr>
              <w:t>L’entità ha presentato, fuori del bilancio, rendiconti e documenti quali bilanci ambientali e sociali, particolarmente nei settori dove i fattori ambientali sono significativi e dove i dipendenti sono considerati un importante gruppo di utilizzatori</w:t>
            </w:r>
            <w:r>
              <w:rPr>
                <w:lang w:val="it-IT"/>
              </w:rPr>
              <w:t>.</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vAlign w:val="center"/>
          </w:tcPr>
          <w:p w:rsidR="004300E2" w:rsidRDefault="004300E2" w:rsidP="004300E2">
            <w:pPr>
              <w:ind w:firstLine="57"/>
              <w:jc w:val="left"/>
              <w:rPr>
                <w:b/>
                <w:bCs/>
                <w:i/>
                <w:lang w:val="it-IT"/>
              </w:rPr>
            </w:pPr>
          </w:p>
        </w:tc>
        <w:tc>
          <w:tcPr>
            <w:tcW w:w="851" w:type="dxa"/>
            <w:tcMar>
              <w:left w:w="108" w:type="dxa"/>
              <w:right w:w="0" w:type="dxa"/>
            </w:tcMar>
            <w:vAlign w:val="center"/>
          </w:tcPr>
          <w:p w:rsidR="004300E2" w:rsidRDefault="004300E2" w:rsidP="004300E2">
            <w:pPr>
              <w:pStyle w:val="IAS"/>
              <w:jc w:val="left"/>
              <w:rPr>
                <w:b/>
                <w:bCs/>
                <w:i/>
                <w:lang w:val="it-IT"/>
              </w:rPr>
            </w:pPr>
          </w:p>
        </w:tc>
        <w:tc>
          <w:tcPr>
            <w:tcW w:w="7079" w:type="dxa"/>
            <w:tcMar>
              <w:left w:w="108" w:type="dxa"/>
            </w:tcMar>
            <w:vAlign w:val="center"/>
          </w:tcPr>
          <w:p w:rsidR="004300E2" w:rsidRDefault="004300E2" w:rsidP="004300E2">
            <w:pPr>
              <w:pStyle w:val="Titolo1"/>
              <w:keepNext w:val="0"/>
            </w:pPr>
            <w:r w:rsidRPr="008A0F36">
              <w:t>PROSPETTO DELLA SITUAZIONE PATRIMONIALE-FINANZIARIA</w:t>
            </w:r>
          </w:p>
        </w:tc>
        <w:tc>
          <w:tcPr>
            <w:tcW w:w="575" w:type="dxa"/>
            <w:tcMar>
              <w:left w:w="85" w:type="dxa"/>
              <w:right w:w="85" w:type="dxa"/>
            </w:tcMar>
            <w:vAlign w:val="center"/>
          </w:tcPr>
          <w:p w:rsidR="004300E2" w:rsidRPr="006F1EF4" w:rsidRDefault="004300E2" w:rsidP="004300E2">
            <w:pPr>
              <w:jc w:val="left"/>
              <w:rPr>
                <w:lang w:val="it-IT"/>
              </w:rPr>
            </w:pPr>
          </w:p>
        </w:tc>
        <w:tc>
          <w:tcPr>
            <w:tcW w:w="567" w:type="dxa"/>
            <w:tcMar>
              <w:left w:w="108" w:type="dxa"/>
            </w:tcMar>
            <w:vAlign w:val="center"/>
          </w:tcPr>
          <w:p w:rsidR="004300E2" w:rsidRPr="006F1EF4" w:rsidRDefault="004300E2" w:rsidP="004300E2">
            <w:pPr>
              <w:jc w:val="left"/>
              <w:rPr>
                <w:lang w:val="it-IT"/>
              </w:rPr>
            </w:pPr>
          </w:p>
        </w:tc>
        <w:tc>
          <w:tcPr>
            <w:tcW w:w="567" w:type="dxa"/>
            <w:tcMar>
              <w:left w:w="108" w:type="dxa"/>
            </w:tcMar>
            <w:vAlign w:val="center"/>
          </w:tcPr>
          <w:p w:rsidR="004300E2" w:rsidRPr="006F1EF4" w:rsidRDefault="004300E2" w:rsidP="004300E2">
            <w:pPr>
              <w:jc w:val="left"/>
              <w:rPr>
                <w:lang w:val="it-IT"/>
              </w:rPr>
            </w:pPr>
          </w:p>
        </w:tc>
      </w:tr>
      <w:tr w:rsidR="0066483E" w:rsidRPr="008129DA" w:rsidTr="00940A6F">
        <w:trPr>
          <w:cantSplit/>
          <w:trHeight w:val="20"/>
        </w:trPr>
        <w:tc>
          <w:tcPr>
            <w:tcW w:w="567" w:type="dxa"/>
          </w:tcPr>
          <w:p w:rsidR="0066483E" w:rsidRPr="008A0F36" w:rsidRDefault="0066483E" w:rsidP="004300E2">
            <w:pPr>
              <w:pStyle w:val="Numeroelenco"/>
              <w:ind w:left="0" w:firstLine="57"/>
              <w:rPr>
                <w:lang w:val="it-IT"/>
              </w:rPr>
            </w:pPr>
          </w:p>
        </w:tc>
        <w:tc>
          <w:tcPr>
            <w:tcW w:w="851" w:type="dxa"/>
            <w:tcMar>
              <w:left w:w="108" w:type="dxa"/>
              <w:right w:w="0" w:type="dxa"/>
            </w:tcMar>
          </w:tcPr>
          <w:p w:rsidR="0066483E" w:rsidRPr="008A0F36" w:rsidRDefault="0066483E" w:rsidP="004300E2">
            <w:pPr>
              <w:pStyle w:val="IAS"/>
              <w:rPr>
                <w:lang w:val="it-IT"/>
              </w:rPr>
            </w:pPr>
            <w:r w:rsidRPr="008A0F36">
              <w:rPr>
                <w:lang w:val="it-IT"/>
              </w:rPr>
              <w:t>IAS 1.29</w:t>
            </w:r>
          </w:p>
        </w:tc>
        <w:tc>
          <w:tcPr>
            <w:tcW w:w="7079" w:type="dxa"/>
            <w:tcMar>
              <w:left w:w="108" w:type="dxa"/>
            </w:tcMar>
          </w:tcPr>
          <w:p w:rsidR="0066483E" w:rsidRPr="008A0F36" w:rsidRDefault="0066483E" w:rsidP="003171FD">
            <w:pPr>
              <w:spacing w:line="212" w:lineRule="exact"/>
              <w:rPr>
                <w:lang w:val="it-IT"/>
              </w:rPr>
            </w:pPr>
            <w:r w:rsidRPr="008A0F36">
              <w:rPr>
                <w:lang w:val="it-IT"/>
              </w:rPr>
              <w:t xml:space="preserve">Ogni classe rilevante di voci simili </w:t>
            </w:r>
            <w:r>
              <w:rPr>
                <w:lang w:val="it-IT"/>
              </w:rPr>
              <w:t xml:space="preserve">deve essere </w:t>
            </w:r>
            <w:r w:rsidRPr="008A0F36">
              <w:rPr>
                <w:lang w:val="it-IT"/>
              </w:rPr>
              <w:t>esposta distintamente nel prospetto della situazione patrimoniale-finanziaria</w:t>
            </w:r>
            <w:r>
              <w:rPr>
                <w:lang w:val="it-IT"/>
              </w:rPr>
              <w:t>.</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pStyle w:val="Numeroelenco"/>
              <w:ind w:left="0" w:firstLine="57"/>
              <w:rPr>
                <w:lang w:val="it-IT"/>
              </w:rPr>
            </w:pPr>
          </w:p>
        </w:tc>
        <w:tc>
          <w:tcPr>
            <w:tcW w:w="851" w:type="dxa"/>
            <w:tcMar>
              <w:left w:w="108" w:type="dxa"/>
              <w:right w:w="0" w:type="dxa"/>
            </w:tcMar>
          </w:tcPr>
          <w:p w:rsidR="0066483E" w:rsidRPr="008A0F36" w:rsidRDefault="0066483E" w:rsidP="004300E2">
            <w:pPr>
              <w:pStyle w:val="IAS"/>
              <w:rPr>
                <w:lang w:val="it-IT"/>
              </w:rPr>
            </w:pPr>
            <w:r w:rsidRPr="008A0F36">
              <w:rPr>
                <w:lang w:val="it-IT"/>
              </w:rPr>
              <w:t>IAS 1.32</w:t>
            </w:r>
          </w:p>
        </w:tc>
        <w:tc>
          <w:tcPr>
            <w:tcW w:w="7079" w:type="dxa"/>
            <w:tcMar>
              <w:left w:w="108" w:type="dxa"/>
            </w:tcMar>
          </w:tcPr>
          <w:p w:rsidR="0066483E" w:rsidRPr="008A0F36" w:rsidRDefault="0066483E" w:rsidP="003171FD">
            <w:pPr>
              <w:spacing w:line="212" w:lineRule="exact"/>
              <w:rPr>
                <w:lang w:val="it-IT"/>
              </w:rPr>
            </w:pPr>
            <w:r w:rsidRPr="008A0F36">
              <w:rPr>
                <w:lang w:val="it-IT"/>
              </w:rPr>
              <w:t>Le attività e le passività, sono state esposte separatamente e senza compensazioni (se non richiesto o consentito da un altro IFRS)</w:t>
            </w:r>
            <w:r>
              <w:rPr>
                <w:lang w:val="it-IT"/>
              </w:rPr>
              <w:t>.</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Default="004300E2" w:rsidP="004300E2">
            <w:pPr>
              <w:ind w:firstLine="57"/>
              <w:rPr>
                <w:lang w:val="it-IT"/>
              </w:rPr>
            </w:pPr>
          </w:p>
        </w:tc>
        <w:tc>
          <w:tcPr>
            <w:tcW w:w="851" w:type="dxa"/>
            <w:tcMar>
              <w:left w:w="108" w:type="dxa"/>
              <w:right w:w="0" w:type="dxa"/>
            </w:tcMar>
          </w:tcPr>
          <w:p w:rsidR="004300E2" w:rsidRDefault="004300E2" w:rsidP="004300E2">
            <w:pPr>
              <w:pStyle w:val="IAS"/>
              <w:rPr>
                <w:lang w:val="fr-FR"/>
              </w:rPr>
            </w:pPr>
            <w:r w:rsidRPr="001D3205">
              <w:rPr>
                <w:lang w:val="fr-FR"/>
              </w:rPr>
              <w:t>IAS 12.71</w:t>
            </w:r>
            <w:r w:rsidRPr="001D3205">
              <w:rPr>
                <w:lang w:val="fr-FR"/>
              </w:rPr>
              <w:br/>
              <w:t>IAS 12.74</w:t>
            </w:r>
            <w:r w:rsidRPr="001D3205">
              <w:rPr>
                <w:lang w:val="fr-FR"/>
              </w:rPr>
              <w:br/>
              <w:t>IAS 32.42</w:t>
            </w:r>
          </w:p>
          <w:p w:rsidR="004300E2" w:rsidRPr="001D3205" w:rsidRDefault="004300E2" w:rsidP="004300E2">
            <w:pPr>
              <w:pStyle w:val="IAS"/>
              <w:rPr>
                <w:lang w:val="fr-FR"/>
              </w:rPr>
            </w:pPr>
            <w:r>
              <w:rPr>
                <w:lang w:val="fr-FR"/>
              </w:rPr>
              <w:t>IAS 39.36</w:t>
            </w:r>
            <w:r w:rsidRPr="001D3205">
              <w:rPr>
                <w:lang w:val="fr-FR"/>
              </w:rPr>
              <w:br/>
              <w:t>IAS 19.1</w:t>
            </w:r>
            <w:r>
              <w:rPr>
                <w:lang w:val="fr-FR"/>
              </w:rPr>
              <w:t>3</w:t>
            </w:r>
            <w:r w:rsidRPr="001D3205">
              <w:rPr>
                <w:lang w:val="fr-FR"/>
              </w:rPr>
              <w:t>1</w:t>
            </w:r>
          </w:p>
        </w:tc>
        <w:tc>
          <w:tcPr>
            <w:tcW w:w="7079" w:type="dxa"/>
            <w:tcMar>
              <w:left w:w="108" w:type="dxa"/>
            </w:tcMar>
          </w:tcPr>
          <w:p w:rsidR="004300E2" w:rsidRPr="005062DC" w:rsidRDefault="004300E2" w:rsidP="005062DC">
            <w:pPr>
              <w:pStyle w:val="Paragarfobordato"/>
            </w:pPr>
            <w:r w:rsidRPr="005062DC">
              <w:t>Indicazioni sulla compensazione di imposte correnti e differite sono contenute nello IAS 12.71 e nello IAS 12.74 rispettivamente. Indicazioni sulla compensazione tra attività e passività finanziarie sono contenute nello IAS 32.42 e nello IAS 39.36 . Nello IAS 19.131 sono contenute indicazioni sulla compensazione tra le attività relative ad un piano e le passività relative ad un altro piano.</w:t>
            </w:r>
          </w:p>
        </w:tc>
        <w:tc>
          <w:tcPr>
            <w:tcW w:w="575" w:type="dxa"/>
            <w:tcMar>
              <w:left w:w="85" w:type="dxa"/>
              <w:right w:w="85" w:type="dxa"/>
            </w:tcMar>
            <w:vAlign w:val="center"/>
          </w:tcPr>
          <w:p w:rsidR="004300E2" w:rsidRPr="00DD7F05" w:rsidRDefault="004300E2" w:rsidP="004300E2">
            <w:pPr>
              <w:jc w:val="center"/>
              <w:rPr>
                <w:lang w:val="it-IT"/>
              </w:rPr>
            </w:pPr>
          </w:p>
        </w:tc>
        <w:tc>
          <w:tcPr>
            <w:tcW w:w="567" w:type="dxa"/>
            <w:tcMar>
              <w:left w:w="108" w:type="dxa"/>
            </w:tcMar>
            <w:vAlign w:val="center"/>
          </w:tcPr>
          <w:p w:rsidR="004300E2" w:rsidRPr="00DD7F05" w:rsidRDefault="004300E2" w:rsidP="004300E2">
            <w:pPr>
              <w:jc w:val="center"/>
              <w:rPr>
                <w:lang w:val="it-IT"/>
              </w:rPr>
            </w:pPr>
          </w:p>
        </w:tc>
        <w:tc>
          <w:tcPr>
            <w:tcW w:w="567" w:type="dxa"/>
            <w:tcMar>
              <w:left w:w="108" w:type="dxa"/>
            </w:tcMar>
            <w:vAlign w:val="center"/>
          </w:tcPr>
          <w:p w:rsidR="004300E2" w:rsidRPr="00DD7F05" w:rsidRDefault="004300E2" w:rsidP="004300E2">
            <w:pPr>
              <w:jc w:val="center"/>
              <w:rPr>
                <w:lang w:val="it-IT"/>
              </w:rPr>
            </w:pPr>
          </w:p>
        </w:tc>
      </w:tr>
      <w:tr w:rsidR="004300E2" w:rsidRPr="008A0F36" w:rsidTr="00940A6F">
        <w:trPr>
          <w:cantSplit/>
          <w:trHeight w:val="20"/>
        </w:trPr>
        <w:tc>
          <w:tcPr>
            <w:tcW w:w="567" w:type="dxa"/>
          </w:tcPr>
          <w:p w:rsidR="004300E2" w:rsidRPr="008A0F36" w:rsidRDefault="004300E2" w:rsidP="004300E2">
            <w:pPr>
              <w:ind w:firstLine="57"/>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Pr="008A0F36" w:rsidRDefault="004300E2" w:rsidP="004300E2">
            <w:pPr>
              <w:pStyle w:val="Titolo2"/>
              <w:keepNext w:val="0"/>
              <w:rPr>
                <w:lang w:val="it-IT"/>
              </w:rPr>
            </w:pPr>
            <w:r w:rsidRPr="008A0F36">
              <w:rPr>
                <w:lang w:val="it-IT"/>
              </w:rPr>
              <w:t>Distinzione corrente/non corrente</w:t>
            </w:r>
          </w:p>
        </w:tc>
        <w:tc>
          <w:tcPr>
            <w:tcW w:w="575" w:type="dxa"/>
            <w:tcMar>
              <w:left w:w="85" w:type="dxa"/>
              <w:right w:w="85" w:type="dxa"/>
            </w:tcMar>
            <w:vAlign w:val="center"/>
          </w:tcPr>
          <w:p w:rsidR="004300E2" w:rsidRDefault="004300E2" w:rsidP="004300E2">
            <w:pPr>
              <w:jc w:val="center"/>
            </w:pPr>
          </w:p>
        </w:tc>
        <w:tc>
          <w:tcPr>
            <w:tcW w:w="567" w:type="dxa"/>
            <w:tcMar>
              <w:left w:w="108" w:type="dxa"/>
            </w:tcMar>
            <w:vAlign w:val="center"/>
          </w:tcPr>
          <w:p w:rsidR="004300E2" w:rsidRDefault="004300E2" w:rsidP="004300E2">
            <w:pPr>
              <w:jc w:val="center"/>
            </w:pPr>
          </w:p>
        </w:tc>
        <w:tc>
          <w:tcPr>
            <w:tcW w:w="567" w:type="dxa"/>
            <w:tcMar>
              <w:left w:w="108" w:type="dxa"/>
            </w:tcMar>
            <w:vAlign w:val="center"/>
          </w:tcPr>
          <w:p w:rsidR="004300E2" w:rsidRDefault="004300E2" w:rsidP="004300E2">
            <w:pPr>
              <w:jc w:val="center"/>
            </w:pPr>
          </w:p>
        </w:tc>
      </w:tr>
      <w:tr w:rsidR="004300E2" w:rsidRPr="00A44ECD" w:rsidTr="00940A6F">
        <w:trPr>
          <w:cantSplit/>
          <w:trHeight w:val="20"/>
        </w:trPr>
        <w:tc>
          <w:tcPr>
            <w:tcW w:w="567" w:type="dxa"/>
          </w:tcPr>
          <w:p w:rsidR="004300E2" w:rsidRPr="008A0F36" w:rsidRDefault="004300E2" w:rsidP="004300E2">
            <w:pPr>
              <w:ind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1.60</w:t>
            </w:r>
          </w:p>
        </w:tc>
        <w:tc>
          <w:tcPr>
            <w:tcW w:w="7079" w:type="dxa"/>
            <w:tcMar>
              <w:left w:w="108" w:type="dxa"/>
            </w:tcMar>
          </w:tcPr>
          <w:p w:rsidR="004300E2" w:rsidRPr="008A0F36" w:rsidRDefault="004300E2" w:rsidP="005062DC">
            <w:pPr>
              <w:pStyle w:val="Paragarfobordato"/>
            </w:pPr>
            <w:r w:rsidRPr="008A0F36">
              <w:t>Un’entità deve presentare attività correnti e non correnti e passività correnti e non correnti come classificazioni distinte nel prospetto della situazione patrimoniale-finanziaria, ad eccezione del caso in cui una presentazione basata sulla liquidità fornisca informazioni che siano attendibili e più appropriate.</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66483E" w:rsidRPr="008129DA" w:rsidTr="00940A6F">
        <w:trPr>
          <w:cantSplit/>
          <w:trHeight w:val="20"/>
        </w:trPr>
        <w:tc>
          <w:tcPr>
            <w:tcW w:w="567" w:type="dxa"/>
          </w:tcPr>
          <w:p w:rsidR="0066483E" w:rsidRPr="008A0F36" w:rsidRDefault="0066483E" w:rsidP="004300E2">
            <w:pPr>
              <w:pStyle w:val="Numeroelenco"/>
              <w:ind w:left="0" w:firstLine="57"/>
              <w:rPr>
                <w:lang w:val="it-IT"/>
              </w:rPr>
            </w:pPr>
          </w:p>
        </w:tc>
        <w:tc>
          <w:tcPr>
            <w:tcW w:w="851" w:type="dxa"/>
            <w:tcMar>
              <w:left w:w="108" w:type="dxa"/>
              <w:right w:w="0" w:type="dxa"/>
            </w:tcMar>
          </w:tcPr>
          <w:p w:rsidR="0066483E" w:rsidRPr="008A0F36" w:rsidRDefault="0066483E" w:rsidP="004300E2">
            <w:pPr>
              <w:pStyle w:val="IAS"/>
              <w:rPr>
                <w:lang w:val="it-IT"/>
              </w:rPr>
            </w:pPr>
            <w:r w:rsidRPr="008A0F36">
              <w:rPr>
                <w:lang w:val="it-IT"/>
              </w:rPr>
              <w:t>IAS 1.60</w:t>
            </w:r>
          </w:p>
        </w:tc>
        <w:tc>
          <w:tcPr>
            <w:tcW w:w="7079" w:type="dxa"/>
            <w:tcMar>
              <w:left w:w="108" w:type="dxa"/>
            </w:tcMar>
          </w:tcPr>
          <w:p w:rsidR="0066483E" w:rsidRPr="008A0F36" w:rsidRDefault="0066483E" w:rsidP="003171FD">
            <w:pPr>
              <w:spacing w:line="214" w:lineRule="exact"/>
              <w:rPr>
                <w:lang w:val="it-IT"/>
              </w:rPr>
            </w:pPr>
            <w:r w:rsidRPr="008A0F36">
              <w:rPr>
                <w:lang w:val="it-IT"/>
              </w:rPr>
              <w:t xml:space="preserve">Se l’entità non </w:t>
            </w:r>
            <w:r>
              <w:rPr>
                <w:lang w:val="it-IT"/>
              </w:rPr>
              <w:t xml:space="preserve">presenta </w:t>
            </w:r>
            <w:r w:rsidRPr="008A0F36">
              <w:rPr>
                <w:lang w:val="it-IT"/>
              </w:rPr>
              <w:t>distintamente attività c</w:t>
            </w:r>
            <w:r w:rsidRPr="008A0F36" w:rsidDel="005E2A6F">
              <w:rPr>
                <w:lang w:val="it-IT"/>
              </w:rPr>
              <w:t xml:space="preserve">orrenti </w:t>
            </w:r>
            <w:r w:rsidRPr="008A0F36">
              <w:rPr>
                <w:lang w:val="it-IT"/>
              </w:rPr>
              <w:t xml:space="preserve">e non correnti </w:t>
            </w:r>
            <w:r w:rsidRPr="008A0F36" w:rsidDel="005E2A6F">
              <w:rPr>
                <w:lang w:val="it-IT"/>
              </w:rPr>
              <w:t xml:space="preserve">e passività correnti e non correnti </w:t>
            </w:r>
            <w:r w:rsidRPr="008A0F36">
              <w:rPr>
                <w:lang w:val="it-IT"/>
              </w:rPr>
              <w:t xml:space="preserve">nel prospetto della situazione patrimoniale-finanziaria, </w:t>
            </w:r>
            <w:r>
              <w:rPr>
                <w:lang w:val="it-IT"/>
              </w:rPr>
              <w:t xml:space="preserve">deve presentare </w:t>
            </w:r>
            <w:r w:rsidRPr="008A0F36">
              <w:rPr>
                <w:lang w:val="it-IT"/>
              </w:rPr>
              <w:t>tutte le</w:t>
            </w:r>
            <w:r w:rsidRPr="008A0F36" w:rsidDel="005E2A6F">
              <w:rPr>
                <w:lang w:val="it-IT"/>
              </w:rPr>
              <w:t xml:space="preserve"> </w:t>
            </w:r>
            <w:r w:rsidRPr="008A0F36">
              <w:rPr>
                <w:lang w:val="it-IT"/>
              </w:rPr>
              <w:t xml:space="preserve">sue attività e </w:t>
            </w:r>
            <w:r w:rsidRPr="008A0F36" w:rsidDel="005E2A6F">
              <w:rPr>
                <w:lang w:val="it-IT"/>
              </w:rPr>
              <w:t xml:space="preserve">passività </w:t>
            </w:r>
            <w:r w:rsidRPr="008A0F36">
              <w:rPr>
                <w:lang w:val="it-IT"/>
              </w:rPr>
              <w:t>nell’ordine della loro liquidità</w:t>
            </w:r>
            <w:r>
              <w:rPr>
                <w:lang w:val="it-IT"/>
              </w:rPr>
              <w:t>.</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1.60</w:t>
            </w:r>
          </w:p>
        </w:tc>
        <w:tc>
          <w:tcPr>
            <w:tcW w:w="7079" w:type="dxa"/>
            <w:tcMar>
              <w:left w:w="108" w:type="dxa"/>
            </w:tcMar>
          </w:tcPr>
          <w:p w:rsidR="004300E2" w:rsidRPr="008A0F36" w:rsidRDefault="004300E2" w:rsidP="003171FD">
            <w:pPr>
              <w:spacing w:line="214" w:lineRule="exact"/>
              <w:rPr>
                <w:lang w:val="it-IT"/>
              </w:rPr>
            </w:pPr>
            <w:r w:rsidRPr="008A0F36">
              <w:rPr>
                <w:lang w:val="it-IT"/>
              </w:rPr>
              <w:t xml:space="preserve">Quando l’entità ha presentato distintamente attività correnti e non correnti e passività correnti e non correnti nel prospetto della situazione patrimoniale-finanziaria, ha classificato: </w:t>
            </w:r>
          </w:p>
        </w:tc>
        <w:tc>
          <w:tcPr>
            <w:tcW w:w="575" w:type="dxa"/>
            <w:tcMar>
              <w:left w:w="85" w:type="dxa"/>
              <w:right w:w="85"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r>
      <w:tr w:rsidR="0066483E" w:rsidRPr="008A0F36"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r w:rsidRPr="008A0F36">
              <w:rPr>
                <w:lang w:val="it-IT"/>
              </w:rPr>
              <w:t>IAS 1.66</w:t>
            </w:r>
          </w:p>
        </w:tc>
        <w:tc>
          <w:tcPr>
            <w:tcW w:w="7079" w:type="dxa"/>
            <w:tcMar>
              <w:left w:w="108" w:type="dxa"/>
            </w:tcMar>
          </w:tcPr>
          <w:p w:rsidR="0066483E" w:rsidRPr="008A0F36" w:rsidRDefault="0066483E" w:rsidP="00E1617D">
            <w:pPr>
              <w:pStyle w:val="Rientroa"/>
              <w:numPr>
                <w:ilvl w:val="0"/>
                <w:numId w:val="21"/>
              </w:numPr>
              <w:rPr>
                <w:iCs/>
              </w:rPr>
            </w:pPr>
            <w:r w:rsidRPr="008A0F36">
              <w:t>un’attività come corrente quando:</w:t>
            </w:r>
          </w:p>
        </w:tc>
        <w:tc>
          <w:tcPr>
            <w:tcW w:w="575" w:type="dxa"/>
            <w:tcMar>
              <w:left w:w="85" w:type="dxa"/>
              <w:right w:w="85" w:type="dxa"/>
            </w:tcMar>
            <w:vAlign w:val="center"/>
          </w:tcPr>
          <w:p w:rsidR="0066483E" w:rsidRDefault="0066483E" w:rsidP="004300E2">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Default="0066483E" w:rsidP="004300E2">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Default="0066483E" w:rsidP="004300E2">
            <w:pPr>
              <w:jc w:val="cente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E1617D">
            <w:pPr>
              <w:pStyle w:val="Puntoelenco"/>
              <w:ind w:hanging="322"/>
              <w:contextualSpacing w:val="0"/>
            </w:pPr>
            <w:r w:rsidRPr="008A0F36">
              <w:t>si prevede che l’attività sia realizzata, o si prevede che sia venduta o utilizzata nel normale svolgimento del ciclo operativo dell’entità</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E1617D">
            <w:pPr>
              <w:pStyle w:val="Puntoelenco"/>
              <w:ind w:hanging="322"/>
              <w:contextualSpacing w:val="0"/>
            </w:pPr>
            <w:r w:rsidRPr="008A0F36">
              <w:t>è posseduta principalmente per essere negoziata</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E1617D">
            <w:pPr>
              <w:pStyle w:val="Puntoelenco"/>
              <w:ind w:hanging="322"/>
              <w:contextualSpacing w:val="0"/>
            </w:pPr>
            <w:r w:rsidRPr="008A0F36">
              <w:t>si prevede che si realizzi entro dodici mesi dalla data di chiusura dell’esercizio; o</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3171FD">
            <w:pPr>
              <w:pStyle w:val="Puntoelenco"/>
              <w:spacing w:line="214" w:lineRule="exact"/>
              <w:ind w:left="778" w:hanging="317"/>
              <w:contextualSpacing w:val="0"/>
            </w:pPr>
            <w:r w:rsidRPr="008A0F36">
              <w:t>si tratta di disponibilità liquide o di mezzi equivalenti, a meno che non sia preclusa dall’essere scambiata o utilizzata per estinguere una passività per almeno dodici mesi dalla data di chiusura dell’esercizio.</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Pr="008A0F36" w:rsidRDefault="004300E2" w:rsidP="004300E2">
            <w:pPr>
              <w:ind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1.68</w:t>
            </w:r>
          </w:p>
        </w:tc>
        <w:tc>
          <w:tcPr>
            <w:tcW w:w="7079" w:type="dxa"/>
            <w:tcMar>
              <w:left w:w="108" w:type="dxa"/>
            </w:tcMar>
          </w:tcPr>
          <w:p w:rsidR="004300E2" w:rsidRPr="00E1617D" w:rsidRDefault="004300E2" w:rsidP="00E1617D">
            <w:pPr>
              <w:pStyle w:val="Paragarfobordato"/>
            </w:pPr>
            <w:r w:rsidRPr="00E1617D">
              <w:t>Attività correnti includono anche attività detenute principalmente per la negoziazione (per esempio attività finanziarie detenute per la negoziazione) nonché la quota corrente di attività finanziarie non correnti.</w:t>
            </w:r>
          </w:p>
        </w:tc>
        <w:tc>
          <w:tcPr>
            <w:tcW w:w="575" w:type="dxa"/>
            <w:tcMar>
              <w:left w:w="85" w:type="dxa"/>
              <w:right w:w="85"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r w:rsidRPr="008A0F36">
              <w:rPr>
                <w:lang w:val="it-IT"/>
              </w:rPr>
              <w:t>IAS 1.69</w:t>
            </w:r>
          </w:p>
        </w:tc>
        <w:tc>
          <w:tcPr>
            <w:tcW w:w="7079" w:type="dxa"/>
            <w:tcMar>
              <w:left w:w="108" w:type="dxa"/>
            </w:tcMar>
          </w:tcPr>
          <w:p w:rsidR="0066483E" w:rsidRPr="008A0F36" w:rsidRDefault="0066483E" w:rsidP="00E1617D">
            <w:pPr>
              <w:pStyle w:val="Rientroa"/>
            </w:pPr>
            <w:r w:rsidRPr="008A0F36">
              <w:t>una passività come corrente quando:</w:t>
            </w:r>
          </w:p>
        </w:tc>
        <w:tc>
          <w:tcPr>
            <w:tcW w:w="575" w:type="dxa"/>
            <w:tcMar>
              <w:left w:w="85" w:type="dxa"/>
              <w:right w:w="85" w:type="dxa"/>
            </w:tcMar>
            <w:vAlign w:val="center"/>
          </w:tcPr>
          <w:p w:rsidR="0066483E" w:rsidRPr="00FF19F7"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FF19F7"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FF19F7"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E1617D">
            <w:pPr>
              <w:pStyle w:val="Puntoelenco"/>
              <w:ind w:hanging="322"/>
              <w:contextualSpacing w:val="0"/>
            </w:pPr>
            <w:r w:rsidRPr="008A0F36">
              <w:t xml:space="preserve">si prevede che la passività sia estinta nel normale ciclo </w:t>
            </w:r>
            <w:r w:rsidRPr="008A0F36">
              <w:rPr>
                <w:spacing w:val="-2"/>
              </w:rPr>
              <w:t>operativo dell’entità</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E1617D">
            <w:pPr>
              <w:pStyle w:val="Puntoelenco"/>
              <w:ind w:hanging="322"/>
              <w:contextualSpacing w:val="0"/>
            </w:pPr>
            <w:r w:rsidRPr="008A0F36">
              <w:t>è detenuta principalmente per essere negoziata</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E1617D">
            <w:pPr>
              <w:pStyle w:val="Puntoelenco"/>
              <w:ind w:hanging="322"/>
              <w:contextualSpacing w:val="0"/>
              <w:rPr>
                <w:spacing w:val="-2"/>
              </w:rPr>
            </w:pPr>
            <w:r w:rsidRPr="008A0F36">
              <w:t>deve essere estinta entro dodici mesi dalla data di chiusura dell’esercizio; o</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3171FD">
            <w:pPr>
              <w:pStyle w:val="Puntoelenco"/>
              <w:spacing w:line="214" w:lineRule="exact"/>
              <w:ind w:left="778" w:hanging="317"/>
              <w:contextualSpacing w:val="0"/>
            </w:pPr>
            <w:r w:rsidRPr="008A0F36">
              <w:t>l’entità non ha un diritto incondizionato a differire il regolamento della passività per almeno dodici mesi dalla data di chiusura dell’esercizio.</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Pr="008A0F36" w:rsidRDefault="004300E2" w:rsidP="004300E2">
            <w:pPr>
              <w:ind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1.71</w:t>
            </w:r>
          </w:p>
        </w:tc>
        <w:tc>
          <w:tcPr>
            <w:tcW w:w="7079" w:type="dxa"/>
            <w:tcMar>
              <w:left w:w="108" w:type="dxa"/>
            </w:tcMar>
          </w:tcPr>
          <w:p w:rsidR="004300E2" w:rsidRPr="005062DC" w:rsidRDefault="004300E2" w:rsidP="005062DC">
            <w:pPr>
              <w:pStyle w:val="Paragarfobordato"/>
            </w:pPr>
            <w:r w:rsidRPr="005062DC">
              <w:t>Altre passività correnti sono quelle che pur non essendo estinte nel corso del normale ciclo operativo dell’entità, hanno scadenza entro 12 mesi dalla data di chiusura dell’esercizio o sono detenute principalmente allo scopo di negoziazione. Esempi di questo tipo sono alcune passività finanziarie classificate come di negoziazione in base allo IAS 39, gli scoperti di conto corrente, e la porzione corrente di passività finanziarie non correnti, i dividendi da pagare e le passività per imposte sul reddito ed altri debiti a breve termine.</w:t>
            </w:r>
          </w:p>
        </w:tc>
        <w:tc>
          <w:tcPr>
            <w:tcW w:w="575" w:type="dxa"/>
            <w:tcMar>
              <w:left w:w="85" w:type="dxa"/>
              <w:right w:w="85"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r w:rsidRPr="008A0F36">
              <w:rPr>
                <w:lang w:val="it-IT"/>
              </w:rPr>
              <w:t>IAS 1.72</w:t>
            </w:r>
          </w:p>
        </w:tc>
        <w:tc>
          <w:tcPr>
            <w:tcW w:w="7079" w:type="dxa"/>
            <w:tcMar>
              <w:left w:w="108" w:type="dxa"/>
            </w:tcMar>
          </w:tcPr>
          <w:p w:rsidR="0066483E" w:rsidRPr="008A0F36" w:rsidRDefault="0066483E" w:rsidP="003171FD">
            <w:pPr>
              <w:pStyle w:val="Rientroa"/>
              <w:spacing w:line="212" w:lineRule="exact"/>
            </w:pPr>
            <w:r w:rsidRPr="008A0F36">
              <w:t>una passività finanziaria come corrente quando deve essere regolata entro dodici mesi dalla data di chiusura dell’esercizio, anche se:</w:t>
            </w:r>
          </w:p>
        </w:tc>
        <w:tc>
          <w:tcPr>
            <w:tcW w:w="575" w:type="dxa"/>
            <w:tcMar>
              <w:left w:w="85" w:type="dxa"/>
              <w:right w:w="85" w:type="dxa"/>
            </w:tcMar>
            <w:vAlign w:val="center"/>
          </w:tcPr>
          <w:p w:rsidR="0066483E" w:rsidRPr="00FF19F7"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FF19F7"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FF19F7"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3171FD">
            <w:pPr>
              <w:pStyle w:val="Puntoelenco"/>
              <w:spacing w:line="212" w:lineRule="exact"/>
              <w:ind w:hanging="322"/>
              <w:contextualSpacing w:val="0"/>
            </w:pPr>
            <w:r w:rsidRPr="008A0F36">
              <w:t>il termine originale era un periodo superiore ai dodici mesi; 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3171FD">
            <w:pPr>
              <w:pStyle w:val="Puntoelenco"/>
              <w:spacing w:line="212" w:lineRule="exact"/>
              <w:ind w:hanging="322"/>
              <w:contextualSpacing w:val="0"/>
            </w:pPr>
            <w:r w:rsidRPr="008A0F36">
              <w:t>un accordo di rifinanziamento o ridefinizione dei pagamenti a lungo termine viene concluso dopo la data di chiusura dell’esercizio e prima che il bilancio sia autorizzato per la pubblicazione.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Pr="008A0F36" w:rsidRDefault="004300E2" w:rsidP="004300E2">
            <w:pPr>
              <w:ind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1.73</w:t>
            </w:r>
          </w:p>
        </w:tc>
        <w:tc>
          <w:tcPr>
            <w:tcW w:w="7079" w:type="dxa"/>
            <w:tcMar>
              <w:left w:w="108" w:type="dxa"/>
            </w:tcMar>
          </w:tcPr>
          <w:p w:rsidR="004300E2" w:rsidRPr="00251283" w:rsidRDefault="004300E2" w:rsidP="00E1617D">
            <w:pPr>
              <w:pStyle w:val="Paragarfobordato"/>
              <w:rPr>
                <w:spacing w:val="-2"/>
              </w:rPr>
            </w:pPr>
            <w:r>
              <w:t xml:space="preserve">In ogni caso una passività finanziaria è classificata come passività non corrente se: </w:t>
            </w:r>
            <w:r>
              <w:rPr>
                <w:spacing w:val="-2"/>
              </w:rPr>
              <w:t xml:space="preserve">un’entità prevede, e ne ha la discrezionalità, di rifinanziare o rinnovare un’obbligazione per almeno </w:t>
            </w:r>
            <w:r>
              <w:t>dodici mesi dalla data di chiusura dell’esercizio secondo un accordo di finanziamento esistente.</w:t>
            </w:r>
          </w:p>
        </w:tc>
        <w:tc>
          <w:tcPr>
            <w:tcW w:w="575" w:type="dxa"/>
            <w:tcMar>
              <w:left w:w="85" w:type="dxa"/>
              <w:right w:w="85"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r w:rsidRPr="008A0F36">
              <w:rPr>
                <w:lang w:val="it-IT"/>
              </w:rPr>
              <w:t>IAS 1.74</w:t>
            </w:r>
          </w:p>
        </w:tc>
        <w:tc>
          <w:tcPr>
            <w:tcW w:w="7079" w:type="dxa"/>
            <w:tcMar>
              <w:left w:w="108" w:type="dxa"/>
            </w:tcMar>
          </w:tcPr>
          <w:p w:rsidR="0066483E" w:rsidRPr="008A0F36" w:rsidRDefault="0066483E" w:rsidP="003171FD">
            <w:pPr>
              <w:pStyle w:val="Rientroa"/>
              <w:spacing w:line="212" w:lineRule="exact"/>
              <w:ind w:left="389"/>
            </w:pPr>
            <w:r w:rsidRPr="008A0F36">
              <w:t>una passività finanziaria a lungo termine come corrente, nel caso in cui un’entità viola una condizione di un contratto di finanziamento alla data di chiusura dell’esercizio, o prima, con l’effetto che la passività diventa un debito esigibile a richiesta, anche se il finanziatore ha concordato dopo la data di chiusura dell’esercizio e prima dell’autorizzazione alla pubblicazione del bilancio, di non richiedere il pagamento come conseguenza della violazione.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Pr="008A0F36" w:rsidRDefault="004300E2" w:rsidP="004300E2">
            <w:pPr>
              <w:ind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1.75</w:t>
            </w:r>
          </w:p>
        </w:tc>
        <w:tc>
          <w:tcPr>
            <w:tcW w:w="7079" w:type="dxa"/>
            <w:tcMar>
              <w:left w:w="108" w:type="dxa"/>
            </w:tcMar>
          </w:tcPr>
          <w:p w:rsidR="004300E2" w:rsidRPr="008A0F36" w:rsidRDefault="004300E2" w:rsidP="003171FD">
            <w:pPr>
              <w:spacing w:line="212" w:lineRule="exact"/>
              <w:rPr>
                <w:lang w:val="it-IT"/>
              </w:rPr>
            </w:pPr>
            <w:r w:rsidRPr="008A0F36">
              <w:rPr>
                <w:lang w:val="it-IT"/>
              </w:rPr>
              <w:t>Tuttavia la passività finanziaria di cui al punto d) sopra esposto è classificata come passività non corrente se:</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3171FD">
            <w:pPr>
              <w:pStyle w:val="Rientroa"/>
              <w:numPr>
                <w:ilvl w:val="0"/>
                <w:numId w:val="22"/>
              </w:numPr>
              <w:spacing w:line="212" w:lineRule="exact"/>
              <w:rPr>
                <w:iCs/>
              </w:rPr>
            </w:pPr>
            <w:r w:rsidRPr="008A0F36">
              <w:t>il finanziatore ha concordato prima della data di chiusura dell’esercizio di fornire una dilazione che termina almeno dodici mesi dopo la data di chiusura dell’esercizio, entro il quale l’entità può sanare la violazione; 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durante il periodo di dilazione il finanziatore non può chiedere il rimborso immediato.</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1.61</w:t>
            </w:r>
          </w:p>
        </w:tc>
        <w:tc>
          <w:tcPr>
            <w:tcW w:w="7079" w:type="dxa"/>
            <w:tcMar>
              <w:left w:w="108" w:type="dxa"/>
            </w:tcMar>
          </w:tcPr>
          <w:p w:rsidR="004300E2" w:rsidRPr="008A0F36" w:rsidRDefault="004300E2" w:rsidP="004300E2">
            <w:pPr>
              <w:rPr>
                <w:lang w:val="it-IT"/>
              </w:rPr>
            </w:pPr>
            <w:r w:rsidRPr="008A0F36">
              <w:rPr>
                <w:lang w:val="it-IT"/>
              </w:rPr>
              <w:t>Qualunque sia il metodo di presentazione adottato, un’entità deve indicare l’importo che prevede di realizzare o regolare oltre dodici mesi dalla</w:t>
            </w:r>
            <w:r w:rsidRPr="008A0F36">
              <w:rPr>
                <w:spacing w:val="-2"/>
                <w:lang w:val="it-IT"/>
              </w:rPr>
              <w:t xml:space="preserve"> </w:t>
            </w:r>
            <w:r w:rsidRPr="008A0F36">
              <w:rPr>
                <w:lang w:val="it-IT"/>
              </w:rPr>
              <w:t>data di chiusura dell’esercizio per ciascuna voce di attività e passività che include gli importi che ci si aspetta di realizzare o estinguere:</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numPr>
                <w:ilvl w:val="0"/>
                <w:numId w:val="23"/>
              </w:numPr>
              <w:rPr>
                <w:iCs/>
              </w:rPr>
            </w:pPr>
            <w:r w:rsidRPr="008A0F36">
              <w:t>non oltre dodici mesi dalla data di chiusura dell’esercizio; 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oltre dodici mesi dalla data di chiusura dell’esercizio.</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pStyle w:val="Numeroelenco"/>
              <w:ind w:left="0" w:firstLine="57"/>
              <w:rPr>
                <w:lang w:val="it-IT"/>
              </w:rPr>
            </w:pPr>
          </w:p>
        </w:tc>
        <w:tc>
          <w:tcPr>
            <w:tcW w:w="851" w:type="dxa"/>
            <w:tcMar>
              <w:left w:w="108" w:type="dxa"/>
              <w:right w:w="0" w:type="dxa"/>
            </w:tcMar>
          </w:tcPr>
          <w:p w:rsidR="0066483E" w:rsidRPr="008A0F36" w:rsidRDefault="0066483E" w:rsidP="004300E2">
            <w:pPr>
              <w:pStyle w:val="IAS"/>
              <w:rPr>
                <w:lang w:val="it-IT"/>
              </w:rPr>
            </w:pPr>
            <w:r w:rsidRPr="008A0F36">
              <w:rPr>
                <w:lang w:val="it-IT"/>
              </w:rPr>
              <w:t>IAS 1.56</w:t>
            </w:r>
          </w:p>
        </w:tc>
        <w:tc>
          <w:tcPr>
            <w:tcW w:w="7079" w:type="dxa"/>
            <w:tcMar>
              <w:left w:w="108" w:type="dxa"/>
            </w:tcMar>
          </w:tcPr>
          <w:p w:rsidR="0066483E" w:rsidRPr="008A0F36" w:rsidRDefault="0066483E" w:rsidP="004300E2">
            <w:pPr>
              <w:rPr>
                <w:lang w:val="it-IT"/>
              </w:rPr>
            </w:pPr>
            <w:r w:rsidRPr="008A0F36">
              <w:rPr>
                <w:lang w:val="it-IT"/>
              </w:rPr>
              <w:t>Quando un’entità presenta attività correnti e non correnti come classificazioni distinte nel prospetto della situazione patrimoniale-finanziaria, deve classificare le attività per imposte differite come attività non correnti.</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pStyle w:val="Numeroelenco"/>
              <w:ind w:left="0" w:firstLine="57"/>
              <w:rPr>
                <w:lang w:val="it-IT"/>
              </w:rPr>
            </w:pPr>
          </w:p>
        </w:tc>
        <w:tc>
          <w:tcPr>
            <w:tcW w:w="851" w:type="dxa"/>
            <w:tcMar>
              <w:left w:w="108" w:type="dxa"/>
              <w:right w:w="0" w:type="dxa"/>
            </w:tcMar>
          </w:tcPr>
          <w:p w:rsidR="0066483E" w:rsidRPr="008A0F36" w:rsidRDefault="0066483E" w:rsidP="004300E2">
            <w:pPr>
              <w:pStyle w:val="IAS"/>
              <w:rPr>
                <w:lang w:val="it-IT"/>
              </w:rPr>
            </w:pPr>
            <w:r w:rsidRPr="008A0F36">
              <w:rPr>
                <w:lang w:val="it-IT"/>
              </w:rPr>
              <w:t>IAS 1.56</w:t>
            </w:r>
          </w:p>
        </w:tc>
        <w:tc>
          <w:tcPr>
            <w:tcW w:w="7079" w:type="dxa"/>
            <w:tcBorders>
              <w:bottom w:val="single" w:sz="2" w:space="0" w:color="auto"/>
            </w:tcBorders>
            <w:tcMar>
              <w:left w:w="108" w:type="dxa"/>
            </w:tcMar>
          </w:tcPr>
          <w:p w:rsidR="0066483E" w:rsidRPr="008A0F36" w:rsidRDefault="0066483E" w:rsidP="004300E2">
            <w:pPr>
              <w:rPr>
                <w:lang w:val="it-IT"/>
              </w:rPr>
            </w:pPr>
            <w:r w:rsidRPr="008A0F36">
              <w:rPr>
                <w:lang w:val="it-IT"/>
              </w:rPr>
              <w:t>Quando un’entità presenta passività correnti e non correnti come classificazioni distinte nel prospetto della situazione patrimoniale-finanziaria, deve classificare le passività per imposte differite come passività non correnti</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pStyle w:val="Numeroelenco"/>
              <w:ind w:left="0" w:firstLine="57"/>
              <w:rPr>
                <w:lang w:val="it-IT"/>
              </w:rPr>
            </w:pPr>
          </w:p>
        </w:tc>
        <w:tc>
          <w:tcPr>
            <w:tcW w:w="851" w:type="dxa"/>
            <w:tcMar>
              <w:left w:w="108" w:type="dxa"/>
              <w:right w:w="0" w:type="dxa"/>
            </w:tcMar>
          </w:tcPr>
          <w:p w:rsidR="0066483E" w:rsidRPr="008A0F36" w:rsidRDefault="0066483E" w:rsidP="004300E2">
            <w:pPr>
              <w:pStyle w:val="IAS"/>
              <w:rPr>
                <w:lang w:val="it-IT"/>
              </w:rPr>
            </w:pPr>
            <w:r w:rsidRPr="008A0F36">
              <w:rPr>
                <w:lang w:val="it-IT"/>
              </w:rPr>
              <w:t>IAS 28.</w:t>
            </w:r>
            <w:r>
              <w:rPr>
                <w:lang w:val="it-IT"/>
              </w:rPr>
              <w:t>15</w:t>
            </w:r>
          </w:p>
        </w:tc>
        <w:tc>
          <w:tcPr>
            <w:tcW w:w="7079" w:type="dxa"/>
            <w:tcMar>
              <w:left w:w="108" w:type="dxa"/>
            </w:tcMar>
          </w:tcPr>
          <w:p w:rsidR="0066483E" w:rsidRPr="008A0F36" w:rsidRDefault="0066483E" w:rsidP="004300E2">
            <w:pPr>
              <w:rPr>
                <w:lang w:val="it-IT"/>
              </w:rPr>
            </w:pPr>
            <w:r w:rsidRPr="008A0F36">
              <w:rPr>
                <w:lang w:val="it-IT"/>
              </w:rPr>
              <w:t>L’entità classifica le partecipazioni in società collegate</w:t>
            </w:r>
            <w:r>
              <w:rPr>
                <w:lang w:val="it-IT"/>
              </w:rPr>
              <w:t xml:space="preserve"> o in </w:t>
            </w:r>
            <w:r w:rsidRPr="000F56BA">
              <w:rPr>
                <w:i/>
                <w:lang w:val="it-IT"/>
              </w:rPr>
              <w:t>joint venture</w:t>
            </w:r>
            <w:r w:rsidRPr="008A0F36">
              <w:rPr>
                <w:lang w:val="it-IT"/>
              </w:rPr>
              <w:t xml:space="preserve"> come attività non correnti</w:t>
            </w:r>
            <w:r>
              <w:rPr>
                <w:lang w:val="it-IT"/>
              </w:rPr>
              <w:t>, salvo non siano classificate come possedute per la vendita in accordo all’IFRS 5</w:t>
            </w:r>
            <w:r w:rsidRPr="008A0F36">
              <w:rPr>
                <w:lang w:val="it-IT"/>
              </w:rPr>
              <w:t>.</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Pr="008A0F36" w:rsidRDefault="004300E2" w:rsidP="004300E2">
            <w:pPr>
              <w:ind w:firstLine="57"/>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Pr="008A0F36" w:rsidRDefault="004300E2" w:rsidP="004300E2">
            <w:pPr>
              <w:pStyle w:val="Titolo2"/>
              <w:jc w:val="both"/>
              <w:rPr>
                <w:lang w:val="it-IT"/>
              </w:rPr>
            </w:pPr>
            <w:r w:rsidRPr="008A0F36">
              <w:rPr>
                <w:lang w:val="it-IT"/>
              </w:rPr>
              <w:t>Informazioni da esporre nel prospetto della situazione patrimoniale-finanziaria</w:t>
            </w:r>
          </w:p>
        </w:tc>
        <w:tc>
          <w:tcPr>
            <w:tcW w:w="575" w:type="dxa"/>
            <w:tcMar>
              <w:left w:w="85" w:type="dxa"/>
              <w:right w:w="85" w:type="dxa"/>
            </w:tcMar>
            <w:vAlign w:val="center"/>
          </w:tcPr>
          <w:p w:rsidR="004300E2" w:rsidRPr="006F1EF4" w:rsidRDefault="004300E2" w:rsidP="004300E2">
            <w:pPr>
              <w:jc w:val="center"/>
              <w:rPr>
                <w:lang w:val="it-IT"/>
              </w:rPr>
            </w:pPr>
          </w:p>
        </w:tc>
        <w:tc>
          <w:tcPr>
            <w:tcW w:w="567" w:type="dxa"/>
            <w:tcMar>
              <w:left w:w="108" w:type="dxa"/>
            </w:tcMar>
            <w:vAlign w:val="center"/>
          </w:tcPr>
          <w:p w:rsidR="004300E2" w:rsidRPr="006F1EF4" w:rsidRDefault="004300E2" w:rsidP="004300E2">
            <w:pPr>
              <w:jc w:val="center"/>
              <w:rPr>
                <w:lang w:val="it-IT"/>
              </w:rPr>
            </w:pPr>
          </w:p>
        </w:tc>
        <w:tc>
          <w:tcPr>
            <w:tcW w:w="567" w:type="dxa"/>
            <w:tcMar>
              <w:left w:w="108" w:type="dxa"/>
            </w:tcMar>
            <w:vAlign w:val="center"/>
          </w:tcPr>
          <w:p w:rsidR="004300E2" w:rsidRPr="006F1EF4" w:rsidRDefault="004300E2" w:rsidP="004300E2">
            <w:pPr>
              <w:jc w:val="center"/>
              <w:rPr>
                <w:lang w:val="it-IT"/>
              </w:rPr>
            </w:pPr>
          </w:p>
        </w:tc>
      </w:tr>
      <w:tr w:rsidR="004300E2" w:rsidRPr="00A44ECD" w:rsidTr="00940A6F">
        <w:trPr>
          <w:cantSplit/>
          <w:trHeight w:val="20"/>
        </w:trPr>
        <w:tc>
          <w:tcPr>
            <w:tcW w:w="567" w:type="dxa"/>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1.54</w:t>
            </w:r>
          </w:p>
        </w:tc>
        <w:tc>
          <w:tcPr>
            <w:tcW w:w="7079" w:type="dxa"/>
            <w:tcMar>
              <w:left w:w="108" w:type="dxa"/>
            </w:tcMar>
          </w:tcPr>
          <w:p w:rsidR="004300E2" w:rsidRPr="008A0F36" w:rsidRDefault="004300E2" w:rsidP="004300E2">
            <w:pPr>
              <w:rPr>
                <w:lang w:val="it-IT"/>
              </w:rPr>
            </w:pPr>
            <w:r>
              <w:rPr>
                <w:lang w:val="it-IT"/>
              </w:rPr>
              <w:t>I</w:t>
            </w:r>
            <w:r w:rsidRPr="008A0F36">
              <w:rPr>
                <w:lang w:val="it-IT"/>
              </w:rPr>
              <w:t>l prospetto della situazione patrimoniale-finanziaria deve includere</w:t>
            </w:r>
            <w:r>
              <w:rPr>
                <w:lang w:val="it-IT"/>
              </w:rPr>
              <w:t xml:space="preserve"> le</w:t>
            </w:r>
            <w:r w:rsidRPr="008A0F36">
              <w:rPr>
                <w:lang w:val="it-IT"/>
              </w:rPr>
              <w:t xml:space="preserve"> voci </w:t>
            </w:r>
            <w:r>
              <w:rPr>
                <w:lang w:val="it-IT"/>
              </w:rPr>
              <w:t>rappresentative</w:t>
            </w:r>
            <w:r w:rsidRPr="008A0F36">
              <w:rPr>
                <w:lang w:val="it-IT"/>
              </w:rPr>
              <w:t xml:space="preserve"> </w:t>
            </w:r>
            <w:r>
              <w:rPr>
                <w:lang w:val="it-IT"/>
              </w:rPr>
              <w:t>de</w:t>
            </w:r>
            <w:r w:rsidRPr="008A0F36">
              <w:rPr>
                <w:lang w:val="it-IT"/>
              </w:rPr>
              <w:t>i seguenti valori:</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66483E" w:rsidRPr="008A0F36"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numPr>
                <w:ilvl w:val="0"/>
                <w:numId w:val="24"/>
              </w:numPr>
              <w:rPr>
                <w:iCs/>
              </w:rPr>
            </w:pPr>
            <w:r w:rsidRPr="008A0F36">
              <w:t>immobili, impianti e macchinari</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A0F36"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investimenti immobiliari</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A0F36"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attività immateriali</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attività finanziarie (esclusi i valori esposti sotto in e), h), i))</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partecipazioni contabilizzate con il metodo del patrimonio netto</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attività biologiche</w:t>
            </w:r>
            <w:r>
              <w:t xml:space="preserve"> rientranti nell’ambito dello IAS 41 </w:t>
            </w:r>
            <w:r w:rsidRPr="004300E2">
              <w:rPr>
                <w:i/>
              </w:rPr>
              <w:t>Agricoltura</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A0F36"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rimanenze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crediti commerciali e altri crediti</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disponibilità liquide e mezzi equivalenti</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il totale delle attività classificate come possedute per la vendita e le attività incluse nei gruppi in dismissione classificati come posseduti per la vendita in conformità allo IFRS 5</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debiti commerciali ed altri debiti</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A0F36"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fondi per accantonamenti</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passività finanziarie (esclusi i valori esposti sopra in k), l))</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passività e attività per imposte correnti (come definite nello IAS 12)</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passività e attività per imposte differite (come definite nello IAS 12)</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passività incluse nei gruppi in dismissione classificati come posseduti per la vendita in conformità allo IFRS 5</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t>partecipazioni di minoranza</w:t>
            </w:r>
            <w:r w:rsidRPr="008A0F36">
              <w:t>, presentate nel patrimonio netto; 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capitale emesso e riserve attribuibili ai soci della controllante.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Pr="008A0F36" w:rsidRDefault="004300E2" w:rsidP="004300E2">
            <w:pPr>
              <w:ind w:firstLine="57"/>
              <w:rPr>
                <w:lang w:val="it-IT"/>
              </w:rPr>
            </w:pPr>
          </w:p>
        </w:tc>
        <w:tc>
          <w:tcPr>
            <w:tcW w:w="851" w:type="dxa"/>
            <w:tcMar>
              <w:right w:w="0" w:type="dxa"/>
            </w:tcMar>
          </w:tcPr>
          <w:p w:rsidR="004300E2" w:rsidRPr="008A0F36" w:rsidRDefault="004300E2" w:rsidP="004300E2">
            <w:pPr>
              <w:pStyle w:val="IAS"/>
              <w:rPr>
                <w:lang w:val="it-IT"/>
              </w:rPr>
            </w:pPr>
            <w:r w:rsidRPr="008A0F36">
              <w:rPr>
                <w:lang w:val="it-IT"/>
              </w:rPr>
              <w:t>IAS 1.57</w:t>
            </w:r>
          </w:p>
        </w:tc>
        <w:tc>
          <w:tcPr>
            <w:tcW w:w="7079" w:type="dxa"/>
          </w:tcPr>
          <w:p w:rsidR="004300E2" w:rsidRPr="008A0F36" w:rsidRDefault="004300E2" w:rsidP="003171FD">
            <w:pPr>
              <w:pStyle w:val="Paragarfobordato"/>
            </w:pPr>
            <w:r w:rsidRPr="008A0F36">
              <w:t>Le descrizioni usate e l’ordine delle voci o l’aggregazione di voci simili possono essere modificati in relazione alla natura dell’entità e delle sue operazioni, per fornire l’informativa necessaria per una comprensione della posizione patrimoniale-finanziaria dell’entità. Per esempio, una banca può modificare le descrizioni sopra elencate per fornire le informazioni più rilevanti alle operazioni di un istituto finanziario.</w:t>
            </w:r>
          </w:p>
        </w:tc>
        <w:tc>
          <w:tcPr>
            <w:tcW w:w="575" w:type="dxa"/>
            <w:vAlign w:val="center"/>
          </w:tcPr>
          <w:p w:rsidR="004300E2" w:rsidRPr="00FF19F7" w:rsidRDefault="004300E2" w:rsidP="004300E2">
            <w:pPr>
              <w:jc w:val="center"/>
              <w:rPr>
                <w:lang w:val="it-IT"/>
              </w:rPr>
            </w:pPr>
          </w:p>
        </w:tc>
        <w:tc>
          <w:tcPr>
            <w:tcW w:w="567" w:type="dxa"/>
            <w:vAlign w:val="center"/>
          </w:tcPr>
          <w:p w:rsidR="004300E2" w:rsidRPr="00FF19F7" w:rsidRDefault="004300E2" w:rsidP="004300E2">
            <w:pPr>
              <w:jc w:val="center"/>
              <w:rPr>
                <w:lang w:val="it-IT"/>
              </w:rPr>
            </w:pPr>
          </w:p>
        </w:tc>
        <w:tc>
          <w:tcPr>
            <w:tcW w:w="567" w:type="dxa"/>
            <w:vAlign w:val="center"/>
          </w:tcPr>
          <w:p w:rsidR="004300E2" w:rsidRPr="00FF19F7" w:rsidRDefault="004300E2" w:rsidP="004300E2">
            <w:pPr>
              <w:jc w:val="center"/>
              <w:rPr>
                <w:lang w:val="it-IT"/>
              </w:rPr>
            </w:pPr>
          </w:p>
        </w:tc>
      </w:tr>
      <w:tr w:rsidR="0066483E" w:rsidRPr="008129DA" w:rsidTr="00940A6F">
        <w:trPr>
          <w:cantSplit/>
          <w:trHeight w:val="20"/>
        </w:trPr>
        <w:tc>
          <w:tcPr>
            <w:tcW w:w="567" w:type="dxa"/>
          </w:tcPr>
          <w:p w:rsidR="0066483E" w:rsidRPr="008A0F36" w:rsidRDefault="0066483E" w:rsidP="004300E2">
            <w:pPr>
              <w:pStyle w:val="Numeroelenco"/>
              <w:ind w:left="0" w:firstLine="57"/>
              <w:rPr>
                <w:lang w:val="it-IT"/>
              </w:rPr>
            </w:pPr>
          </w:p>
        </w:tc>
        <w:tc>
          <w:tcPr>
            <w:tcW w:w="851" w:type="dxa"/>
            <w:tcMar>
              <w:left w:w="108" w:type="dxa"/>
              <w:right w:w="0" w:type="dxa"/>
            </w:tcMar>
          </w:tcPr>
          <w:p w:rsidR="0066483E" w:rsidRDefault="0066483E" w:rsidP="004300E2">
            <w:pPr>
              <w:pStyle w:val="IAS"/>
              <w:rPr>
                <w:lang w:val="it-IT"/>
              </w:rPr>
            </w:pPr>
            <w:r w:rsidRPr="008A0F36">
              <w:rPr>
                <w:lang w:val="it-IT"/>
              </w:rPr>
              <w:t>IAS 1.55</w:t>
            </w:r>
          </w:p>
          <w:p w:rsidR="0066483E" w:rsidRPr="008A0F36" w:rsidRDefault="0066483E" w:rsidP="004300E2">
            <w:pPr>
              <w:pStyle w:val="IAS"/>
              <w:rPr>
                <w:lang w:val="it-IT"/>
              </w:rPr>
            </w:pPr>
            <w:r>
              <w:rPr>
                <w:lang w:val="it-IT"/>
              </w:rPr>
              <w:t>IAS 1.57</w:t>
            </w:r>
          </w:p>
        </w:tc>
        <w:tc>
          <w:tcPr>
            <w:tcW w:w="7079" w:type="dxa"/>
            <w:tcMar>
              <w:left w:w="108" w:type="dxa"/>
            </w:tcMar>
          </w:tcPr>
          <w:p w:rsidR="0066483E" w:rsidRPr="008A0F36" w:rsidRDefault="0066483E" w:rsidP="00ED44D5">
            <w:pPr>
              <w:rPr>
                <w:lang w:val="it-IT"/>
              </w:rPr>
            </w:pPr>
            <w:r>
              <w:rPr>
                <w:lang w:val="it-IT"/>
              </w:rPr>
              <w:t xml:space="preserve">L’entità deve </w:t>
            </w:r>
            <w:r w:rsidRPr="008A0F36">
              <w:rPr>
                <w:lang w:val="it-IT"/>
              </w:rPr>
              <w:t>presenta</w:t>
            </w:r>
            <w:r>
              <w:rPr>
                <w:lang w:val="it-IT"/>
              </w:rPr>
              <w:t>re</w:t>
            </w:r>
            <w:r w:rsidRPr="004300E2">
              <w:rPr>
                <w:lang w:val="it-IT"/>
              </w:rPr>
              <w:t xml:space="preserve"> voci aggiuntive (anche disaggregando le voci elencate al paragrafo 54</w:t>
            </w:r>
            <w:r>
              <w:rPr>
                <w:lang w:val="it-IT"/>
              </w:rPr>
              <w:t xml:space="preserve"> dello IAS 1</w:t>
            </w:r>
            <w:r w:rsidRPr="004300E2">
              <w:rPr>
                <w:lang w:val="it-IT"/>
              </w:rPr>
              <w:t>), intestazioni e risultati parziali quando tale presentazione è significativa ai fini della comprensione della situazione patrimoniale-finanziaria dell'entità</w:t>
            </w:r>
            <w:r>
              <w:rPr>
                <w:lang w:val="it-IT"/>
              </w:rPr>
              <w:t>.</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Pr="008A0F36" w:rsidRDefault="004300E2" w:rsidP="004300E2">
            <w:pPr>
              <w:ind w:firstLine="57"/>
              <w:rPr>
                <w:lang w:val="it-IT"/>
              </w:rPr>
            </w:pPr>
          </w:p>
        </w:tc>
        <w:tc>
          <w:tcPr>
            <w:tcW w:w="851" w:type="dxa"/>
            <w:tcMar>
              <w:right w:w="0" w:type="dxa"/>
            </w:tcMar>
          </w:tcPr>
          <w:p w:rsidR="004300E2" w:rsidRPr="008A0F36" w:rsidRDefault="004300E2" w:rsidP="004300E2">
            <w:pPr>
              <w:pStyle w:val="IAS"/>
              <w:rPr>
                <w:lang w:val="it-IT"/>
              </w:rPr>
            </w:pPr>
            <w:r>
              <w:rPr>
                <w:lang w:val="it-IT"/>
              </w:rPr>
              <w:t>IAS1</w:t>
            </w:r>
            <w:r w:rsidRPr="008A0F36">
              <w:rPr>
                <w:lang w:val="it-IT"/>
              </w:rPr>
              <w:t>.</w:t>
            </w:r>
            <w:r>
              <w:rPr>
                <w:lang w:val="it-IT"/>
              </w:rPr>
              <w:t>55A</w:t>
            </w:r>
          </w:p>
        </w:tc>
        <w:tc>
          <w:tcPr>
            <w:tcW w:w="7079" w:type="dxa"/>
          </w:tcPr>
          <w:p w:rsidR="004300E2" w:rsidRDefault="004300E2" w:rsidP="00E1617D">
            <w:pPr>
              <w:pStyle w:val="Paragarfobordato"/>
            </w:pPr>
            <w:r w:rsidRPr="004300E2">
              <w:t>Quando l'entità presenta risultati parziali a norma del paragrafo 55</w:t>
            </w:r>
            <w:r w:rsidR="00C21C31">
              <w:t xml:space="preserve"> dello IAS 1</w:t>
            </w:r>
            <w:r w:rsidRPr="004300E2">
              <w:t>, tali risultati parziali devono:</w:t>
            </w:r>
          </w:p>
          <w:p w:rsidR="004300E2" w:rsidRPr="004300E2" w:rsidRDefault="004300E2" w:rsidP="00E1617D">
            <w:pPr>
              <w:pStyle w:val="Paragarfobordato"/>
              <w:ind w:left="205" w:hanging="205"/>
            </w:pPr>
            <w:r w:rsidRPr="004300E2">
              <w:t xml:space="preserve"> a) </w:t>
            </w:r>
            <w:r w:rsidR="00E1617D">
              <w:tab/>
            </w:r>
            <w:r w:rsidRPr="004300E2">
              <w:t>essere costituiti da voci che consistono in importi rilevati e valutati in conformità all'IFRS;</w:t>
            </w:r>
          </w:p>
          <w:p w:rsidR="004300E2" w:rsidRPr="004300E2" w:rsidRDefault="004300E2" w:rsidP="00E1617D">
            <w:pPr>
              <w:pStyle w:val="Paragarfobordato"/>
              <w:ind w:left="205" w:hanging="205"/>
            </w:pPr>
            <w:r w:rsidRPr="004300E2">
              <w:t xml:space="preserve"> b) essere presentati ed identificati in modo da rendere le voci</w:t>
            </w:r>
            <w:r w:rsidR="00C21C31">
              <w:t>,</w:t>
            </w:r>
            <w:r w:rsidRPr="004300E2">
              <w:t xml:space="preserve"> che costituiscono il risultato parziale</w:t>
            </w:r>
            <w:r w:rsidR="00C21C31">
              <w:t>,</w:t>
            </w:r>
            <w:r w:rsidRPr="004300E2">
              <w:t xml:space="preserve"> chiare e comprensibili; </w:t>
            </w:r>
          </w:p>
          <w:p w:rsidR="004300E2" w:rsidRPr="004300E2" w:rsidRDefault="004300E2" w:rsidP="00E1617D">
            <w:pPr>
              <w:pStyle w:val="Paragarfobordato"/>
              <w:ind w:left="205" w:hanging="205"/>
            </w:pPr>
            <w:r w:rsidRPr="004300E2">
              <w:t xml:space="preserve">c) </w:t>
            </w:r>
            <w:r w:rsidR="00E1617D">
              <w:tab/>
            </w:r>
            <w:r w:rsidRPr="004300E2">
              <w:t>essere coerenti da un esercizio all'altro, conformemente al paragrafo 45</w:t>
            </w:r>
            <w:r w:rsidR="00C21C31">
              <w:t xml:space="preserve"> dello IAS 1 (vedi punto 20)</w:t>
            </w:r>
            <w:r w:rsidRPr="004300E2">
              <w:t xml:space="preserve">; e </w:t>
            </w:r>
          </w:p>
          <w:p w:rsidR="004300E2" w:rsidRPr="00DB403F" w:rsidRDefault="004300E2" w:rsidP="00E1617D">
            <w:pPr>
              <w:pStyle w:val="Paragarfobordato"/>
              <w:ind w:left="205" w:hanging="205"/>
            </w:pPr>
            <w:r w:rsidRPr="004300E2">
              <w:t xml:space="preserve">d) </w:t>
            </w:r>
            <w:r w:rsidR="00E1617D">
              <w:tab/>
            </w:r>
            <w:r w:rsidRPr="004300E2">
              <w:t xml:space="preserve">non essere esposti con maggiore evidenza rispetto ai risultati parziali e ai totali richiesti </w:t>
            </w:r>
            <w:r w:rsidR="00C21C31">
              <w:t xml:space="preserve">dagli </w:t>
            </w:r>
            <w:r w:rsidR="00C21C31" w:rsidRPr="004300E2">
              <w:t xml:space="preserve">IFRS </w:t>
            </w:r>
            <w:r w:rsidRPr="004300E2">
              <w:t>per il prospetto della situazione patrimoniale-finanziaria.</w:t>
            </w:r>
          </w:p>
        </w:tc>
        <w:tc>
          <w:tcPr>
            <w:tcW w:w="575" w:type="dxa"/>
            <w:vAlign w:val="center"/>
          </w:tcPr>
          <w:p w:rsidR="004300E2" w:rsidRPr="00FF19F7" w:rsidRDefault="004300E2" w:rsidP="004300E2">
            <w:pPr>
              <w:jc w:val="center"/>
              <w:rPr>
                <w:lang w:val="it-IT"/>
              </w:rPr>
            </w:pPr>
          </w:p>
        </w:tc>
        <w:tc>
          <w:tcPr>
            <w:tcW w:w="567" w:type="dxa"/>
            <w:vAlign w:val="center"/>
          </w:tcPr>
          <w:p w:rsidR="004300E2" w:rsidRPr="00FF19F7" w:rsidRDefault="004300E2" w:rsidP="004300E2">
            <w:pPr>
              <w:jc w:val="center"/>
              <w:rPr>
                <w:lang w:val="it-IT"/>
              </w:rPr>
            </w:pPr>
          </w:p>
        </w:tc>
        <w:tc>
          <w:tcPr>
            <w:tcW w:w="567" w:type="dxa"/>
            <w:vAlign w:val="center"/>
          </w:tcPr>
          <w:p w:rsidR="004300E2" w:rsidRPr="00FF19F7" w:rsidRDefault="004300E2" w:rsidP="004300E2">
            <w:pPr>
              <w:jc w:val="center"/>
              <w:rPr>
                <w:lang w:val="it-IT"/>
              </w:rPr>
            </w:pPr>
          </w:p>
        </w:tc>
      </w:tr>
      <w:tr w:rsidR="004300E2" w:rsidRPr="00A44ECD" w:rsidTr="00940A6F">
        <w:trPr>
          <w:cantSplit/>
          <w:trHeight w:val="20"/>
        </w:trPr>
        <w:tc>
          <w:tcPr>
            <w:tcW w:w="567" w:type="dxa"/>
          </w:tcPr>
          <w:p w:rsidR="004300E2" w:rsidRPr="008A0F36" w:rsidRDefault="004300E2" w:rsidP="004300E2">
            <w:pPr>
              <w:ind w:firstLine="57"/>
              <w:rPr>
                <w:lang w:val="it-IT"/>
              </w:rPr>
            </w:pPr>
          </w:p>
        </w:tc>
        <w:tc>
          <w:tcPr>
            <w:tcW w:w="851" w:type="dxa"/>
            <w:tcMar>
              <w:right w:w="0" w:type="dxa"/>
            </w:tcMar>
          </w:tcPr>
          <w:p w:rsidR="004300E2" w:rsidRPr="008A0F36" w:rsidRDefault="004300E2" w:rsidP="004300E2">
            <w:pPr>
              <w:pStyle w:val="IAS"/>
              <w:rPr>
                <w:lang w:val="it-IT"/>
              </w:rPr>
            </w:pPr>
            <w:r w:rsidRPr="008A0F36">
              <w:rPr>
                <w:lang w:val="it-IT"/>
              </w:rPr>
              <w:t>IFRS 5.40</w:t>
            </w:r>
          </w:p>
        </w:tc>
        <w:tc>
          <w:tcPr>
            <w:tcW w:w="7079" w:type="dxa"/>
          </w:tcPr>
          <w:p w:rsidR="004300E2" w:rsidRPr="008A0F36" w:rsidRDefault="004300E2" w:rsidP="00E1617D">
            <w:pPr>
              <w:pStyle w:val="Paragarfobordato"/>
            </w:pPr>
            <w:r w:rsidRPr="008A0F36">
              <w:t>L’IFRS 5.40 prevede che un’entità non deve riclassificare o ripresentare gli importi in precedenza classificati come attività non correnti, o come attività e passività appartenenti a gruppi in dismissione, classificati come posseduti per la vendita, nei prospetti della situazione patrimoniale-finanziaria degli esercizi precedenti ai fini comparativi per uniformarsi alla classificazione nel prospetto della situazione patrimoniale-finanziaria dell’ultimo esercizio presentato.</w:t>
            </w:r>
          </w:p>
        </w:tc>
        <w:tc>
          <w:tcPr>
            <w:tcW w:w="575" w:type="dxa"/>
            <w:vAlign w:val="center"/>
          </w:tcPr>
          <w:p w:rsidR="004300E2" w:rsidRPr="00FF19F7" w:rsidRDefault="004300E2" w:rsidP="004300E2">
            <w:pPr>
              <w:jc w:val="center"/>
              <w:rPr>
                <w:lang w:val="it-IT"/>
              </w:rPr>
            </w:pPr>
          </w:p>
        </w:tc>
        <w:tc>
          <w:tcPr>
            <w:tcW w:w="567" w:type="dxa"/>
            <w:vAlign w:val="center"/>
          </w:tcPr>
          <w:p w:rsidR="004300E2" w:rsidRPr="00FF19F7" w:rsidRDefault="004300E2" w:rsidP="004300E2">
            <w:pPr>
              <w:jc w:val="center"/>
              <w:rPr>
                <w:lang w:val="it-IT"/>
              </w:rPr>
            </w:pPr>
          </w:p>
        </w:tc>
        <w:tc>
          <w:tcPr>
            <w:tcW w:w="567" w:type="dxa"/>
            <w:vAlign w:val="center"/>
          </w:tcPr>
          <w:p w:rsidR="004300E2" w:rsidRPr="00FF19F7" w:rsidRDefault="004300E2" w:rsidP="004300E2">
            <w:pPr>
              <w:jc w:val="center"/>
              <w:rPr>
                <w:lang w:val="it-IT"/>
              </w:rPr>
            </w:pPr>
          </w:p>
        </w:tc>
      </w:tr>
      <w:tr w:rsidR="004300E2" w:rsidRPr="00A44ECD" w:rsidTr="00940A6F">
        <w:trPr>
          <w:cantSplit/>
          <w:trHeight w:val="20"/>
        </w:trPr>
        <w:tc>
          <w:tcPr>
            <w:tcW w:w="567" w:type="dxa"/>
          </w:tcPr>
          <w:p w:rsidR="004300E2" w:rsidRPr="008A0F36" w:rsidRDefault="004300E2" w:rsidP="004300E2">
            <w:pPr>
              <w:ind w:firstLine="57"/>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Pr="008A0F36" w:rsidRDefault="004300E2" w:rsidP="004300E2">
            <w:pPr>
              <w:pStyle w:val="Titolo2"/>
              <w:jc w:val="both"/>
              <w:rPr>
                <w:lang w:val="it-IT"/>
              </w:rPr>
            </w:pPr>
            <w:r w:rsidRPr="008A0F36">
              <w:rPr>
                <w:lang w:val="it-IT"/>
              </w:rPr>
              <w:t>Informazioni da esporre nel prospetto della situazione patrimoniale-finanziaria o nelle note</w:t>
            </w:r>
          </w:p>
        </w:tc>
        <w:tc>
          <w:tcPr>
            <w:tcW w:w="575" w:type="dxa"/>
            <w:tcMar>
              <w:left w:w="85" w:type="dxa"/>
              <w:right w:w="85" w:type="dxa"/>
            </w:tcMar>
            <w:vAlign w:val="center"/>
          </w:tcPr>
          <w:p w:rsidR="004300E2" w:rsidRPr="006F1EF4" w:rsidRDefault="004300E2" w:rsidP="004300E2">
            <w:pPr>
              <w:jc w:val="center"/>
              <w:rPr>
                <w:lang w:val="it-IT"/>
              </w:rPr>
            </w:pPr>
          </w:p>
        </w:tc>
        <w:tc>
          <w:tcPr>
            <w:tcW w:w="567" w:type="dxa"/>
            <w:tcMar>
              <w:left w:w="108" w:type="dxa"/>
            </w:tcMar>
            <w:vAlign w:val="center"/>
          </w:tcPr>
          <w:p w:rsidR="004300E2" w:rsidRPr="006F1EF4" w:rsidRDefault="004300E2" w:rsidP="004300E2">
            <w:pPr>
              <w:jc w:val="center"/>
              <w:rPr>
                <w:lang w:val="it-IT"/>
              </w:rPr>
            </w:pPr>
          </w:p>
        </w:tc>
        <w:tc>
          <w:tcPr>
            <w:tcW w:w="567" w:type="dxa"/>
            <w:tcMar>
              <w:left w:w="108" w:type="dxa"/>
            </w:tcMar>
            <w:vAlign w:val="center"/>
          </w:tcPr>
          <w:p w:rsidR="004300E2" w:rsidRPr="006F1EF4" w:rsidRDefault="004300E2" w:rsidP="004300E2">
            <w:pPr>
              <w:jc w:val="center"/>
              <w:rPr>
                <w:lang w:val="it-IT"/>
              </w:rPr>
            </w:pPr>
          </w:p>
        </w:tc>
      </w:tr>
      <w:tr w:rsidR="0066483E" w:rsidRPr="008129DA" w:rsidTr="00940A6F">
        <w:trPr>
          <w:cantSplit/>
          <w:trHeight w:val="20"/>
        </w:trPr>
        <w:tc>
          <w:tcPr>
            <w:tcW w:w="567" w:type="dxa"/>
          </w:tcPr>
          <w:p w:rsidR="0066483E" w:rsidRPr="008A0F36" w:rsidRDefault="0066483E" w:rsidP="004300E2">
            <w:pPr>
              <w:pStyle w:val="Numeroelenco"/>
              <w:ind w:left="0" w:firstLine="57"/>
              <w:rPr>
                <w:lang w:val="it-IT"/>
              </w:rPr>
            </w:pPr>
          </w:p>
        </w:tc>
        <w:tc>
          <w:tcPr>
            <w:tcW w:w="851" w:type="dxa"/>
            <w:tcMar>
              <w:left w:w="108" w:type="dxa"/>
              <w:right w:w="0" w:type="dxa"/>
            </w:tcMar>
          </w:tcPr>
          <w:p w:rsidR="0066483E" w:rsidRPr="008A0F36" w:rsidRDefault="0066483E" w:rsidP="004300E2">
            <w:pPr>
              <w:pStyle w:val="IAS"/>
              <w:rPr>
                <w:lang w:val="it-IT"/>
              </w:rPr>
            </w:pPr>
            <w:r w:rsidRPr="008A0F36">
              <w:rPr>
                <w:lang w:val="it-IT"/>
              </w:rPr>
              <w:t>IAS 1.77</w:t>
            </w:r>
          </w:p>
        </w:tc>
        <w:tc>
          <w:tcPr>
            <w:tcW w:w="7079" w:type="dxa"/>
            <w:tcMar>
              <w:left w:w="108" w:type="dxa"/>
            </w:tcMar>
          </w:tcPr>
          <w:p w:rsidR="0066483E" w:rsidRPr="008A0F36" w:rsidRDefault="0066483E" w:rsidP="004300E2">
            <w:pPr>
              <w:rPr>
                <w:lang w:val="it-IT"/>
              </w:rPr>
            </w:pPr>
            <w:r w:rsidRPr="008A0F36">
              <w:rPr>
                <w:lang w:val="it-IT"/>
              </w:rPr>
              <w:t>L’entità ha evidenziato nel prospetto della situazione patrimoniale-finanziaria o nelle note, ulteriori sotto-classificazioni delle voci esposte, classificate con modalità adeguate alle operazioni dell’entità stessa.</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pStyle w:val="Numeroelenco"/>
              <w:ind w:left="0" w:firstLine="57"/>
              <w:rPr>
                <w:lang w:val="it-IT"/>
              </w:rPr>
            </w:pPr>
          </w:p>
        </w:tc>
        <w:tc>
          <w:tcPr>
            <w:tcW w:w="851" w:type="dxa"/>
            <w:tcMar>
              <w:left w:w="108" w:type="dxa"/>
              <w:right w:w="0" w:type="dxa"/>
            </w:tcMar>
          </w:tcPr>
          <w:p w:rsidR="0066483E" w:rsidRPr="008A0F36" w:rsidRDefault="0066483E" w:rsidP="004300E2">
            <w:pPr>
              <w:pStyle w:val="IAS"/>
              <w:rPr>
                <w:lang w:val="it-IT"/>
              </w:rPr>
            </w:pPr>
            <w:r w:rsidRPr="008A0F36">
              <w:rPr>
                <w:lang w:val="it-IT"/>
              </w:rPr>
              <w:t>IFRS 5.38 IFRS 5.39</w:t>
            </w:r>
          </w:p>
        </w:tc>
        <w:tc>
          <w:tcPr>
            <w:tcW w:w="7079" w:type="dxa"/>
            <w:tcMar>
              <w:left w:w="108" w:type="dxa"/>
            </w:tcMar>
          </w:tcPr>
          <w:p w:rsidR="0066483E" w:rsidRPr="008A0F36" w:rsidRDefault="0066483E" w:rsidP="004300E2">
            <w:pPr>
              <w:rPr>
                <w:lang w:val="it-IT"/>
              </w:rPr>
            </w:pPr>
            <w:r w:rsidRPr="008A0F36">
              <w:rPr>
                <w:lang w:val="it-IT"/>
              </w:rPr>
              <w:t>L’entità ha presentato distintamente nel prospetto della situazione patrimoniale-finanziaria o nelle note le principali classi di attività e passività classificate come detenute per la vendita, ad eccezione del caso in cui il gruppo in dismissione è costituito da una controllata recentemente acquisita, che all’acquisizione soddisfa i criteri per essere classificata come detenuta per la vendita.</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Pr="008A0F36" w:rsidRDefault="004300E2" w:rsidP="004300E2">
            <w:pPr>
              <w:pStyle w:val="Numeroelenco"/>
              <w:numPr>
                <w:ilvl w:val="0"/>
                <w:numId w:val="0"/>
              </w:numPr>
              <w:ind w:firstLine="57"/>
              <w:jc w:val="left"/>
              <w:rPr>
                <w:lang w:val="it-IT"/>
              </w:rPr>
            </w:pPr>
          </w:p>
        </w:tc>
        <w:tc>
          <w:tcPr>
            <w:tcW w:w="851" w:type="dxa"/>
            <w:tcMar>
              <w:right w:w="0" w:type="dxa"/>
            </w:tcMar>
          </w:tcPr>
          <w:p w:rsidR="004300E2" w:rsidRPr="008A0F36" w:rsidRDefault="004300E2" w:rsidP="004300E2">
            <w:pPr>
              <w:pStyle w:val="IAS"/>
              <w:rPr>
                <w:lang w:val="it-IT"/>
              </w:rPr>
            </w:pPr>
            <w:r w:rsidRPr="008A0F36">
              <w:rPr>
                <w:lang w:val="it-IT"/>
              </w:rPr>
              <w:t>IAS 1.78</w:t>
            </w:r>
          </w:p>
        </w:tc>
        <w:tc>
          <w:tcPr>
            <w:tcW w:w="7079" w:type="dxa"/>
          </w:tcPr>
          <w:p w:rsidR="004300E2" w:rsidRPr="008A0F36" w:rsidRDefault="004300E2" w:rsidP="003171FD">
            <w:pPr>
              <w:pStyle w:val="Paragarfobordato"/>
            </w:pPr>
            <w:r w:rsidRPr="008A0F36">
              <w:t>Il dettaglio fornito nelle sotto-classificazioni dipende dalle disposizioni degli IFRS e dalla dimensione, natura, funzione dei relativi importi. L’informativa varia per ciascuna voce, per esempio:</w:t>
            </w:r>
          </w:p>
          <w:p w:rsidR="004300E2" w:rsidRPr="008A0F36" w:rsidRDefault="004300E2" w:rsidP="003171FD">
            <w:pPr>
              <w:pStyle w:val="Paragarfobordato"/>
              <w:ind w:left="205" w:hanging="205"/>
            </w:pPr>
            <w:r w:rsidRPr="008A0F36">
              <w:t xml:space="preserve">a) </w:t>
            </w:r>
            <w:r w:rsidRPr="008A0F36">
              <w:tab/>
              <w:t>le voci di immobili, impianti e macchinari sono disaggregate in classi secondo quanto previsto dallo IAS 16</w:t>
            </w:r>
          </w:p>
          <w:p w:rsidR="004300E2" w:rsidRPr="008A0F36" w:rsidRDefault="004300E2" w:rsidP="003171FD">
            <w:pPr>
              <w:pStyle w:val="Paragarfobordato"/>
              <w:ind w:left="205" w:hanging="205"/>
            </w:pPr>
            <w:r w:rsidRPr="008A0F36">
              <w:t xml:space="preserve">b) </w:t>
            </w:r>
            <w:r w:rsidRPr="008A0F36">
              <w:tab/>
              <w:t>i crediti sono disaggregati tra crediti commerciali, crediti da parti correlate, anticipi e altri crediti</w:t>
            </w:r>
          </w:p>
          <w:p w:rsidR="004300E2" w:rsidRPr="008A0F36" w:rsidRDefault="004300E2" w:rsidP="003171FD">
            <w:pPr>
              <w:pStyle w:val="Paragarfobordato"/>
              <w:ind w:left="205" w:hanging="205"/>
            </w:pPr>
            <w:r w:rsidRPr="008A0F36">
              <w:t xml:space="preserve">c) </w:t>
            </w:r>
            <w:r w:rsidRPr="008A0F36">
              <w:tab/>
              <w:t>le rimanenze sono disaggregate, in conformità allo IAS 2 in categorie quali merci, materiali di consumo, materie prime, prodotti in corso di lavorazione, prodotti finiti</w:t>
            </w:r>
          </w:p>
          <w:p w:rsidR="004300E2" w:rsidRPr="008A0F36" w:rsidRDefault="004300E2" w:rsidP="003171FD">
            <w:pPr>
              <w:pStyle w:val="Paragarfobordato"/>
              <w:ind w:left="205" w:hanging="205"/>
            </w:pPr>
            <w:r w:rsidRPr="008A0F36">
              <w:t xml:space="preserve">d) </w:t>
            </w:r>
            <w:r w:rsidRPr="008A0F36">
              <w:tab/>
              <w:t xml:space="preserve">gli accantonamenti sono disaggregati in fondi per benefici per i dipendenti e altre voci </w:t>
            </w:r>
          </w:p>
          <w:p w:rsidR="004300E2" w:rsidRPr="008A0F36" w:rsidRDefault="004300E2" w:rsidP="003171FD">
            <w:pPr>
              <w:pStyle w:val="Paragarfobordato"/>
              <w:ind w:left="205" w:hanging="205"/>
            </w:pPr>
            <w:r w:rsidRPr="008A0F36">
              <w:t xml:space="preserve">e) </w:t>
            </w:r>
            <w:r w:rsidRPr="008A0F36">
              <w:tab/>
              <w:t>il capitale e le riserve di patrimonio netto sono disaggregati in classi quali capitale sottoscritto, riserva sovrapprezzo azioni e riserve.</w:t>
            </w:r>
          </w:p>
        </w:tc>
        <w:tc>
          <w:tcPr>
            <w:tcW w:w="575" w:type="dxa"/>
            <w:vAlign w:val="center"/>
          </w:tcPr>
          <w:p w:rsidR="004300E2" w:rsidRPr="00FF19F7" w:rsidRDefault="004300E2" w:rsidP="004300E2">
            <w:pPr>
              <w:jc w:val="center"/>
              <w:rPr>
                <w:lang w:val="it-IT"/>
              </w:rPr>
            </w:pPr>
          </w:p>
        </w:tc>
        <w:tc>
          <w:tcPr>
            <w:tcW w:w="567" w:type="dxa"/>
            <w:vAlign w:val="center"/>
          </w:tcPr>
          <w:p w:rsidR="004300E2" w:rsidRPr="00FF19F7" w:rsidRDefault="004300E2" w:rsidP="004300E2">
            <w:pPr>
              <w:jc w:val="center"/>
              <w:rPr>
                <w:lang w:val="it-IT"/>
              </w:rPr>
            </w:pPr>
          </w:p>
        </w:tc>
        <w:tc>
          <w:tcPr>
            <w:tcW w:w="567" w:type="dxa"/>
            <w:vAlign w:val="center"/>
          </w:tcPr>
          <w:p w:rsidR="004300E2" w:rsidRPr="00FF19F7" w:rsidRDefault="004300E2" w:rsidP="004300E2">
            <w:pPr>
              <w:jc w:val="center"/>
              <w:rPr>
                <w:lang w:val="it-IT"/>
              </w:rPr>
            </w:pPr>
          </w:p>
        </w:tc>
      </w:tr>
      <w:tr w:rsidR="004300E2" w:rsidRPr="00A44ECD" w:rsidTr="00940A6F">
        <w:trPr>
          <w:cantSplit/>
          <w:trHeight w:val="20"/>
        </w:trPr>
        <w:tc>
          <w:tcPr>
            <w:tcW w:w="567" w:type="dxa"/>
          </w:tcPr>
          <w:p w:rsidR="004300E2" w:rsidRPr="008A0F36" w:rsidRDefault="004300E2" w:rsidP="004300E2">
            <w:pPr>
              <w:pStyle w:val="Numeroelenco"/>
              <w:numPr>
                <w:ilvl w:val="0"/>
                <w:numId w:val="0"/>
              </w:numPr>
              <w:ind w:firstLine="57"/>
              <w:jc w:val="left"/>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Pr="008A0F36" w:rsidRDefault="004300E2" w:rsidP="004300E2">
            <w:pPr>
              <w:pStyle w:val="Titolo1"/>
              <w:jc w:val="both"/>
            </w:pPr>
            <w:r w:rsidRPr="008A0F36">
              <w:t>PROSPETTO</w:t>
            </w:r>
            <w:r>
              <w:t>(I)</w:t>
            </w:r>
            <w:r w:rsidRPr="008A0F36">
              <w:t xml:space="preserve"> </w:t>
            </w:r>
            <w:r>
              <w:t xml:space="preserve">dell’utile/(perdita) e delle altre componenti </w:t>
            </w:r>
            <w:r w:rsidRPr="008A0F36">
              <w:t>DI CONTO ECONOMICO COMPLESSIVO</w:t>
            </w:r>
          </w:p>
        </w:tc>
        <w:tc>
          <w:tcPr>
            <w:tcW w:w="575" w:type="dxa"/>
            <w:tcMar>
              <w:left w:w="85" w:type="dxa"/>
              <w:right w:w="85" w:type="dxa"/>
            </w:tcMar>
            <w:vAlign w:val="center"/>
          </w:tcPr>
          <w:p w:rsidR="004300E2" w:rsidRPr="006F1EF4" w:rsidRDefault="004300E2" w:rsidP="004300E2">
            <w:pPr>
              <w:jc w:val="center"/>
              <w:rPr>
                <w:lang w:val="it-IT"/>
              </w:rPr>
            </w:pPr>
          </w:p>
        </w:tc>
        <w:tc>
          <w:tcPr>
            <w:tcW w:w="567" w:type="dxa"/>
            <w:tcMar>
              <w:left w:w="108" w:type="dxa"/>
            </w:tcMar>
            <w:vAlign w:val="center"/>
          </w:tcPr>
          <w:p w:rsidR="004300E2" w:rsidRPr="006F1EF4" w:rsidRDefault="004300E2" w:rsidP="004300E2">
            <w:pPr>
              <w:jc w:val="center"/>
              <w:rPr>
                <w:lang w:val="it-IT"/>
              </w:rPr>
            </w:pPr>
          </w:p>
        </w:tc>
        <w:tc>
          <w:tcPr>
            <w:tcW w:w="567" w:type="dxa"/>
            <w:tcMar>
              <w:left w:w="108" w:type="dxa"/>
            </w:tcMar>
            <w:vAlign w:val="center"/>
          </w:tcPr>
          <w:p w:rsidR="004300E2" w:rsidRPr="006F1EF4" w:rsidRDefault="004300E2" w:rsidP="004300E2">
            <w:pPr>
              <w:jc w:val="center"/>
              <w:rPr>
                <w:lang w:val="it-IT"/>
              </w:rPr>
            </w:pPr>
          </w:p>
        </w:tc>
      </w:tr>
      <w:tr w:rsidR="004300E2" w:rsidRPr="00A44ECD" w:rsidDel="00695F8B" w:rsidTr="00940A6F">
        <w:trPr>
          <w:cantSplit/>
          <w:trHeight w:val="20"/>
        </w:trPr>
        <w:tc>
          <w:tcPr>
            <w:tcW w:w="567" w:type="dxa"/>
          </w:tcPr>
          <w:p w:rsidR="004300E2" w:rsidRDefault="004300E2" w:rsidP="004300E2">
            <w:pPr>
              <w:pStyle w:val="Numeroelenco"/>
              <w:ind w:left="0" w:firstLine="57"/>
              <w:rPr>
                <w:lang w:val="it-IT"/>
              </w:rPr>
            </w:pPr>
          </w:p>
        </w:tc>
        <w:tc>
          <w:tcPr>
            <w:tcW w:w="851" w:type="dxa"/>
            <w:tcMar>
              <w:left w:w="108" w:type="dxa"/>
              <w:right w:w="0" w:type="dxa"/>
            </w:tcMar>
          </w:tcPr>
          <w:p w:rsidR="004300E2" w:rsidRPr="008A0F36" w:rsidDel="00695F8B" w:rsidRDefault="004300E2" w:rsidP="004300E2">
            <w:pPr>
              <w:pStyle w:val="IAS"/>
              <w:rPr>
                <w:lang w:val="it-IT"/>
              </w:rPr>
            </w:pPr>
            <w:r>
              <w:rPr>
                <w:lang w:val="it-IT"/>
              </w:rPr>
              <w:t>IAS 1.81A</w:t>
            </w:r>
          </w:p>
        </w:tc>
        <w:tc>
          <w:tcPr>
            <w:tcW w:w="7079" w:type="dxa"/>
            <w:tcMar>
              <w:left w:w="108" w:type="dxa"/>
            </w:tcMar>
          </w:tcPr>
          <w:p w:rsidR="004300E2" w:rsidRPr="006A7D0E" w:rsidRDefault="004300E2" w:rsidP="004300E2">
            <w:pPr>
              <w:rPr>
                <w:lang w:val="it-IT"/>
              </w:rPr>
            </w:pPr>
            <w:r>
              <w:rPr>
                <w:lang w:val="it-IT"/>
              </w:rPr>
              <w:t>Il prospetto dell’utile/(perdita) d’esercizio e delle altre componenti di conto economico complessivo deve presentare, oltre alle sezioni relative all’utile/(perdita) d’esercizio e alle altre componenti di conto economico complessivo:</w:t>
            </w:r>
          </w:p>
        </w:tc>
        <w:tc>
          <w:tcPr>
            <w:tcW w:w="575" w:type="dxa"/>
            <w:tcMar>
              <w:left w:w="85" w:type="dxa"/>
              <w:right w:w="85" w:type="dxa"/>
            </w:tcMar>
          </w:tcPr>
          <w:p w:rsidR="004300E2" w:rsidRPr="00A32A16" w:rsidRDefault="004300E2" w:rsidP="004300E2">
            <w:pPr>
              <w:jc w:val="center"/>
              <w:rPr>
                <w:lang w:val="it-IT"/>
              </w:rPr>
            </w:pPr>
          </w:p>
        </w:tc>
        <w:tc>
          <w:tcPr>
            <w:tcW w:w="567" w:type="dxa"/>
            <w:tcMar>
              <w:left w:w="108" w:type="dxa"/>
            </w:tcMar>
          </w:tcPr>
          <w:p w:rsidR="004300E2" w:rsidRPr="00A32A16" w:rsidRDefault="004300E2" w:rsidP="004300E2">
            <w:pPr>
              <w:jc w:val="center"/>
              <w:rPr>
                <w:lang w:val="it-IT"/>
              </w:rPr>
            </w:pPr>
          </w:p>
        </w:tc>
        <w:tc>
          <w:tcPr>
            <w:tcW w:w="567" w:type="dxa"/>
            <w:tcMar>
              <w:left w:w="108" w:type="dxa"/>
            </w:tcMar>
          </w:tcPr>
          <w:p w:rsidR="004300E2" w:rsidRPr="00A32A16" w:rsidRDefault="004300E2" w:rsidP="004300E2">
            <w:pPr>
              <w:jc w:val="center"/>
              <w:rPr>
                <w:lang w:val="it-IT"/>
              </w:rPr>
            </w:pPr>
          </w:p>
        </w:tc>
      </w:tr>
      <w:tr w:rsidR="0066483E" w:rsidRPr="008361A3" w:rsidDel="00695F8B" w:rsidTr="00940A6F">
        <w:trPr>
          <w:cantSplit/>
          <w:trHeight w:val="20"/>
        </w:trPr>
        <w:tc>
          <w:tcPr>
            <w:tcW w:w="567" w:type="dxa"/>
          </w:tcPr>
          <w:p w:rsidR="0066483E" w:rsidRDefault="0066483E" w:rsidP="004300E2">
            <w:pPr>
              <w:pStyle w:val="Numeroelenco"/>
              <w:numPr>
                <w:ilvl w:val="0"/>
                <w:numId w:val="0"/>
              </w:numPr>
              <w:ind w:left="57"/>
              <w:rPr>
                <w:lang w:val="it-IT"/>
              </w:rPr>
            </w:pPr>
          </w:p>
        </w:tc>
        <w:tc>
          <w:tcPr>
            <w:tcW w:w="851" w:type="dxa"/>
            <w:tcMar>
              <w:left w:w="108" w:type="dxa"/>
              <w:right w:w="0" w:type="dxa"/>
            </w:tcMar>
          </w:tcPr>
          <w:p w:rsidR="0066483E" w:rsidRDefault="0066483E" w:rsidP="004300E2">
            <w:pPr>
              <w:pStyle w:val="IAS"/>
              <w:rPr>
                <w:lang w:val="it-IT"/>
              </w:rPr>
            </w:pPr>
          </w:p>
        </w:tc>
        <w:tc>
          <w:tcPr>
            <w:tcW w:w="7079" w:type="dxa"/>
            <w:tcMar>
              <w:left w:w="108" w:type="dxa"/>
            </w:tcMar>
          </w:tcPr>
          <w:p w:rsidR="0066483E" w:rsidRPr="006A7D0E" w:rsidRDefault="0066483E" w:rsidP="004300E2">
            <w:pPr>
              <w:pStyle w:val="Paragrafoelenco"/>
              <w:numPr>
                <w:ilvl w:val="0"/>
                <w:numId w:val="233"/>
              </w:numPr>
              <w:ind w:left="458"/>
              <w:contextualSpacing w:val="0"/>
              <w:rPr>
                <w:lang w:val="it-IT"/>
              </w:rPr>
            </w:pPr>
            <w:r>
              <w:rPr>
                <w:lang w:val="it-IT"/>
              </w:rPr>
              <w:t>l’utile/(perdita) d’esercizio</w:t>
            </w:r>
          </w:p>
        </w:tc>
        <w:tc>
          <w:tcPr>
            <w:tcW w:w="575" w:type="dxa"/>
            <w:tcMar>
              <w:left w:w="85" w:type="dxa"/>
              <w:right w:w="85" w:type="dxa"/>
            </w:tcMar>
            <w:vAlign w:val="center"/>
          </w:tcPr>
          <w:p w:rsidR="0066483E" w:rsidRPr="004979D5"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Default="0066483E" w:rsidP="004300E2">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Default="0066483E" w:rsidP="004300E2">
            <w:pPr>
              <w:jc w:val="cente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Del="00695F8B" w:rsidTr="00940A6F">
        <w:trPr>
          <w:cantSplit/>
          <w:trHeight w:val="20"/>
        </w:trPr>
        <w:tc>
          <w:tcPr>
            <w:tcW w:w="567" w:type="dxa"/>
          </w:tcPr>
          <w:p w:rsidR="0066483E" w:rsidRDefault="0066483E" w:rsidP="004300E2">
            <w:pPr>
              <w:pStyle w:val="Numeroelenco"/>
              <w:numPr>
                <w:ilvl w:val="0"/>
                <w:numId w:val="0"/>
              </w:numPr>
              <w:ind w:left="57"/>
              <w:rPr>
                <w:lang w:val="it-IT"/>
              </w:rPr>
            </w:pPr>
          </w:p>
        </w:tc>
        <w:tc>
          <w:tcPr>
            <w:tcW w:w="851" w:type="dxa"/>
            <w:tcMar>
              <w:left w:w="108" w:type="dxa"/>
              <w:right w:w="0" w:type="dxa"/>
            </w:tcMar>
          </w:tcPr>
          <w:p w:rsidR="0066483E" w:rsidRDefault="0066483E" w:rsidP="004300E2">
            <w:pPr>
              <w:pStyle w:val="IAS"/>
              <w:rPr>
                <w:lang w:val="it-IT"/>
              </w:rPr>
            </w:pPr>
          </w:p>
        </w:tc>
        <w:tc>
          <w:tcPr>
            <w:tcW w:w="7079" w:type="dxa"/>
            <w:tcMar>
              <w:left w:w="108" w:type="dxa"/>
            </w:tcMar>
          </w:tcPr>
          <w:p w:rsidR="0066483E" w:rsidRPr="006A7D0E" w:rsidRDefault="0066483E" w:rsidP="004300E2">
            <w:pPr>
              <w:pStyle w:val="Paragrafoelenco"/>
              <w:numPr>
                <w:ilvl w:val="0"/>
                <w:numId w:val="233"/>
              </w:numPr>
              <w:ind w:left="458"/>
              <w:contextualSpacing w:val="0"/>
              <w:rPr>
                <w:lang w:val="it-IT"/>
              </w:rPr>
            </w:pPr>
            <w:r w:rsidRPr="006A7D0E">
              <w:rPr>
                <w:lang w:val="it-IT"/>
              </w:rPr>
              <w:t>il totale delle altre componenti di conto economico complessivo</w:t>
            </w:r>
          </w:p>
        </w:tc>
        <w:tc>
          <w:tcPr>
            <w:tcW w:w="575" w:type="dxa"/>
            <w:tcMar>
              <w:left w:w="85" w:type="dxa"/>
              <w:right w:w="85" w:type="dxa"/>
            </w:tcMar>
            <w:vAlign w:val="center"/>
          </w:tcPr>
          <w:p w:rsidR="0066483E" w:rsidRPr="004979D5"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B11F61"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B11F61"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Del="00695F8B" w:rsidTr="00940A6F">
        <w:trPr>
          <w:cantSplit/>
          <w:trHeight w:val="20"/>
        </w:trPr>
        <w:tc>
          <w:tcPr>
            <w:tcW w:w="567" w:type="dxa"/>
          </w:tcPr>
          <w:p w:rsidR="0066483E" w:rsidRDefault="0066483E" w:rsidP="004300E2">
            <w:pPr>
              <w:pStyle w:val="Numeroelenco"/>
              <w:numPr>
                <w:ilvl w:val="0"/>
                <w:numId w:val="0"/>
              </w:numPr>
              <w:ind w:left="57"/>
              <w:rPr>
                <w:lang w:val="it-IT"/>
              </w:rPr>
            </w:pPr>
          </w:p>
        </w:tc>
        <w:tc>
          <w:tcPr>
            <w:tcW w:w="851" w:type="dxa"/>
            <w:tcMar>
              <w:left w:w="108" w:type="dxa"/>
              <w:right w:w="0" w:type="dxa"/>
            </w:tcMar>
          </w:tcPr>
          <w:p w:rsidR="0066483E" w:rsidRDefault="0066483E" w:rsidP="004300E2">
            <w:pPr>
              <w:pStyle w:val="IAS"/>
              <w:rPr>
                <w:lang w:val="it-IT"/>
              </w:rPr>
            </w:pPr>
          </w:p>
        </w:tc>
        <w:tc>
          <w:tcPr>
            <w:tcW w:w="7079" w:type="dxa"/>
            <w:tcMar>
              <w:left w:w="108" w:type="dxa"/>
            </w:tcMar>
          </w:tcPr>
          <w:p w:rsidR="0066483E" w:rsidRPr="006A7D0E" w:rsidRDefault="0066483E" w:rsidP="004300E2">
            <w:pPr>
              <w:pStyle w:val="Paragrafoelenco"/>
              <w:numPr>
                <w:ilvl w:val="0"/>
                <w:numId w:val="233"/>
              </w:numPr>
              <w:ind w:left="458"/>
              <w:contextualSpacing w:val="0"/>
              <w:rPr>
                <w:lang w:val="it-IT"/>
              </w:rPr>
            </w:pPr>
            <w:r>
              <w:rPr>
                <w:lang w:val="it-IT"/>
              </w:rPr>
              <w:t>il totale conto economico complessivo dell’esercizio, dato dalla somma dell’utile/(perdita) d’esercizio e delle altre componenti di conto economico complessivo.</w:t>
            </w:r>
          </w:p>
        </w:tc>
        <w:tc>
          <w:tcPr>
            <w:tcW w:w="575" w:type="dxa"/>
            <w:tcMar>
              <w:left w:w="85" w:type="dxa"/>
              <w:right w:w="85" w:type="dxa"/>
            </w:tcMar>
            <w:vAlign w:val="center"/>
          </w:tcPr>
          <w:p w:rsidR="0066483E" w:rsidRPr="004979D5"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B11F61"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B11F61"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Del="00695F8B" w:rsidTr="00940A6F">
        <w:trPr>
          <w:cantSplit/>
          <w:trHeight w:val="20"/>
        </w:trPr>
        <w:tc>
          <w:tcPr>
            <w:tcW w:w="567" w:type="dxa"/>
          </w:tcPr>
          <w:p w:rsidR="0066483E" w:rsidRPr="008A0F36" w:rsidDel="00695F8B" w:rsidRDefault="0066483E" w:rsidP="004300E2">
            <w:pPr>
              <w:pStyle w:val="Numeroelenco"/>
              <w:ind w:left="0" w:firstLine="57"/>
              <w:rPr>
                <w:lang w:val="it-IT"/>
              </w:rPr>
            </w:pPr>
          </w:p>
        </w:tc>
        <w:tc>
          <w:tcPr>
            <w:tcW w:w="851" w:type="dxa"/>
            <w:tcMar>
              <w:left w:w="108" w:type="dxa"/>
              <w:right w:w="0" w:type="dxa"/>
            </w:tcMar>
          </w:tcPr>
          <w:p w:rsidR="0066483E" w:rsidRDefault="0066483E" w:rsidP="004300E2">
            <w:pPr>
              <w:pStyle w:val="IAS"/>
              <w:rPr>
                <w:lang w:val="it-IT"/>
              </w:rPr>
            </w:pPr>
            <w:r>
              <w:rPr>
                <w:lang w:val="it-IT"/>
              </w:rPr>
              <w:t>IAS 1.81A</w:t>
            </w:r>
          </w:p>
        </w:tc>
        <w:tc>
          <w:tcPr>
            <w:tcW w:w="7079" w:type="dxa"/>
            <w:tcMar>
              <w:left w:w="108" w:type="dxa"/>
            </w:tcMar>
          </w:tcPr>
          <w:p w:rsidR="0066483E" w:rsidRDefault="0066483E" w:rsidP="004300E2">
            <w:pPr>
              <w:rPr>
                <w:lang w:val="it-IT"/>
              </w:rPr>
            </w:pPr>
            <w:r w:rsidRPr="007E567E">
              <w:rPr>
                <w:lang w:val="it-IT"/>
              </w:rPr>
              <w:t>Se un’entità presenta u</w:t>
            </w:r>
            <w:r>
              <w:rPr>
                <w:lang w:val="it-IT"/>
              </w:rPr>
              <w:t>n prospetto distinto dell’utile/</w:t>
            </w:r>
            <w:r w:rsidRPr="007E567E">
              <w:rPr>
                <w:lang w:val="it-IT"/>
              </w:rPr>
              <w:t>(perdita) d’esercizio, NON deve presentare la sezio</w:t>
            </w:r>
            <w:r>
              <w:rPr>
                <w:lang w:val="it-IT"/>
              </w:rPr>
              <w:t>ne relativa all’utile/</w:t>
            </w:r>
            <w:r w:rsidRPr="007E567E">
              <w:rPr>
                <w:lang w:val="it-IT"/>
              </w:rPr>
              <w:t>(perdita) d’esercizio nel prospetto di conto economico complessivo.</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Pr>
                <w:lang w:val="it-IT"/>
              </w:rPr>
              <w:t>IAS 1.81B</w:t>
            </w:r>
          </w:p>
        </w:tc>
        <w:tc>
          <w:tcPr>
            <w:tcW w:w="7079" w:type="dxa"/>
            <w:tcMar>
              <w:left w:w="108" w:type="dxa"/>
            </w:tcMar>
          </w:tcPr>
          <w:p w:rsidR="004300E2" w:rsidRPr="0061026A" w:rsidRDefault="004300E2" w:rsidP="004300E2">
            <w:pPr>
              <w:rPr>
                <w:lang w:val="it-IT"/>
              </w:rPr>
            </w:pPr>
            <w:r>
              <w:rPr>
                <w:lang w:val="it-IT"/>
              </w:rPr>
              <w:t>Oltre alle sezioni dell’utile/(perdita) d’esercizio e delle altre componenti di conto economico complessivo, un’entità deve presentare la ripartizioni dell’utile/(perdita) d’esercizio e delle altre componenti di conto economico complessivo tra le seguenti voci:</w:t>
            </w:r>
          </w:p>
        </w:tc>
        <w:tc>
          <w:tcPr>
            <w:tcW w:w="575" w:type="dxa"/>
            <w:tcMar>
              <w:left w:w="85" w:type="dxa"/>
              <w:right w:w="85" w:type="dxa"/>
            </w:tcMar>
          </w:tcPr>
          <w:p w:rsidR="004300E2" w:rsidRPr="00A32A16" w:rsidRDefault="004300E2" w:rsidP="004300E2">
            <w:pPr>
              <w:rPr>
                <w:lang w:val="it-IT"/>
              </w:rPr>
            </w:pPr>
          </w:p>
        </w:tc>
        <w:tc>
          <w:tcPr>
            <w:tcW w:w="567" w:type="dxa"/>
            <w:tcMar>
              <w:left w:w="108" w:type="dxa"/>
            </w:tcMar>
          </w:tcPr>
          <w:p w:rsidR="004300E2" w:rsidRPr="00A32A16" w:rsidRDefault="004300E2" w:rsidP="004300E2">
            <w:pPr>
              <w:rPr>
                <w:lang w:val="it-IT"/>
              </w:rPr>
            </w:pPr>
          </w:p>
        </w:tc>
        <w:tc>
          <w:tcPr>
            <w:tcW w:w="567" w:type="dxa"/>
            <w:tcMar>
              <w:left w:w="108" w:type="dxa"/>
            </w:tcMar>
          </w:tcPr>
          <w:p w:rsidR="004300E2" w:rsidRPr="00A32A16" w:rsidRDefault="004300E2" w:rsidP="004300E2">
            <w:pPr>
              <w:rPr>
                <w:lang w:val="it-IT"/>
              </w:rPr>
            </w:pPr>
          </w:p>
        </w:tc>
      </w:tr>
      <w:tr w:rsidR="0066483E" w:rsidRPr="008129DA" w:rsidTr="0066483E">
        <w:trPr>
          <w:cantSplit/>
          <w:trHeight w:val="20"/>
        </w:trPr>
        <w:tc>
          <w:tcPr>
            <w:tcW w:w="567" w:type="dxa"/>
          </w:tcPr>
          <w:p w:rsidR="0066483E" w:rsidRDefault="0066483E" w:rsidP="004300E2">
            <w:pPr>
              <w:pStyle w:val="Numeroelenco"/>
              <w:numPr>
                <w:ilvl w:val="0"/>
                <w:numId w:val="0"/>
              </w:numPr>
              <w:ind w:left="57"/>
              <w:rPr>
                <w:lang w:val="it-IT"/>
              </w:rPr>
            </w:pPr>
          </w:p>
        </w:tc>
        <w:tc>
          <w:tcPr>
            <w:tcW w:w="851" w:type="dxa"/>
            <w:tcMar>
              <w:left w:w="108" w:type="dxa"/>
              <w:right w:w="0" w:type="dxa"/>
            </w:tcMar>
          </w:tcPr>
          <w:p w:rsidR="0066483E" w:rsidRDefault="0066483E" w:rsidP="004300E2">
            <w:pPr>
              <w:pStyle w:val="IAS"/>
              <w:rPr>
                <w:lang w:val="it-IT"/>
              </w:rPr>
            </w:pPr>
          </w:p>
        </w:tc>
        <w:tc>
          <w:tcPr>
            <w:tcW w:w="7079" w:type="dxa"/>
            <w:tcMar>
              <w:left w:w="108" w:type="dxa"/>
            </w:tcMar>
          </w:tcPr>
          <w:p w:rsidR="0066483E" w:rsidRPr="0061026A" w:rsidRDefault="0066483E" w:rsidP="0012469E">
            <w:pPr>
              <w:pStyle w:val="Paragrafoelenco"/>
              <w:numPr>
                <w:ilvl w:val="0"/>
                <w:numId w:val="234"/>
              </w:numPr>
              <w:ind w:left="428" w:hanging="283"/>
              <w:contextualSpacing w:val="0"/>
              <w:rPr>
                <w:lang w:val="it-IT"/>
              </w:rPr>
            </w:pPr>
            <w:r>
              <w:rPr>
                <w:lang w:val="it-IT"/>
              </w:rPr>
              <w:t>Utile/(perdita) d’esercizio attribuibile a:</w:t>
            </w:r>
          </w:p>
        </w:tc>
        <w:tc>
          <w:tcPr>
            <w:tcW w:w="575" w:type="dxa"/>
            <w:tcMar>
              <w:left w:w="85" w:type="dxa"/>
              <w:right w:w="85" w:type="dxa"/>
            </w:tcMar>
            <w:vAlign w:val="center"/>
          </w:tcPr>
          <w:p w:rsidR="0066483E" w:rsidRPr="0061026A"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61026A"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61026A"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61026A" w:rsidTr="00940A6F">
        <w:trPr>
          <w:cantSplit/>
          <w:trHeight w:val="20"/>
        </w:trPr>
        <w:tc>
          <w:tcPr>
            <w:tcW w:w="567" w:type="dxa"/>
          </w:tcPr>
          <w:p w:rsidR="0066483E" w:rsidRDefault="0066483E" w:rsidP="004300E2">
            <w:pPr>
              <w:pStyle w:val="Numeroelenco"/>
              <w:numPr>
                <w:ilvl w:val="0"/>
                <w:numId w:val="0"/>
              </w:numPr>
              <w:ind w:left="57"/>
              <w:rPr>
                <w:lang w:val="it-IT"/>
              </w:rPr>
            </w:pPr>
          </w:p>
        </w:tc>
        <w:tc>
          <w:tcPr>
            <w:tcW w:w="851" w:type="dxa"/>
            <w:tcMar>
              <w:left w:w="108" w:type="dxa"/>
              <w:right w:w="0" w:type="dxa"/>
            </w:tcMar>
          </w:tcPr>
          <w:p w:rsidR="0066483E" w:rsidRDefault="0066483E" w:rsidP="004300E2">
            <w:pPr>
              <w:pStyle w:val="IAS"/>
              <w:rPr>
                <w:lang w:val="it-IT"/>
              </w:rPr>
            </w:pPr>
          </w:p>
        </w:tc>
        <w:tc>
          <w:tcPr>
            <w:tcW w:w="7079" w:type="dxa"/>
            <w:tcMar>
              <w:left w:w="108" w:type="dxa"/>
            </w:tcMar>
          </w:tcPr>
          <w:p w:rsidR="0066483E" w:rsidRPr="0061026A" w:rsidRDefault="0066483E" w:rsidP="00BF3D7D">
            <w:pPr>
              <w:pStyle w:val="Paragrafoelenco"/>
              <w:numPr>
                <w:ilvl w:val="0"/>
                <w:numId w:val="235"/>
              </w:numPr>
              <w:ind w:left="745" w:hanging="270"/>
              <w:contextualSpacing w:val="0"/>
              <w:rPr>
                <w:lang w:val="it-IT"/>
              </w:rPr>
            </w:pPr>
            <w:r>
              <w:rPr>
                <w:lang w:val="it-IT"/>
              </w:rPr>
              <w:t>partecipazioni di minoranza, e</w:t>
            </w:r>
          </w:p>
        </w:tc>
        <w:tc>
          <w:tcPr>
            <w:tcW w:w="575" w:type="dxa"/>
            <w:tcMar>
              <w:left w:w="85" w:type="dxa"/>
              <w:right w:w="85" w:type="dxa"/>
            </w:tcMar>
            <w:vAlign w:val="center"/>
          </w:tcPr>
          <w:p w:rsidR="0066483E" w:rsidRPr="0061026A"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61026A"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61026A"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61026A" w:rsidTr="00940A6F">
        <w:trPr>
          <w:cantSplit/>
          <w:trHeight w:val="20"/>
        </w:trPr>
        <w:tc>
          <w:tcPr>
            <w:tcW w:w="567" w:type="dxa"/>
          </w:tcPr>
          <w:p w:rsidR="0066483E" w:rsidRDefault="0066483E" w:rsidP="004300E2">
            <w:pPr>
              <w:pStyle w:val="Numeroelenco"/>
              <w:numPr>
                <w:ilvl w:val="0"/>
                <w:numId w:val="0"/>
              </w:numPr>
              <w:ind w:left="57"/>
              <w:rPr>
                <w:lang w:val="it-IT"/>
              </w:rPr>
            </w:pPr>
          </w:p>
        </w:tc>
        <w:tc>
          <w:tcPr>
            <w:tcW w:w="851" w:type="dxa"/>
            <w:tcMar>
              <w:left w:w="108" w:type="dxa"/>
              <w:right w:w="0" w:type="dxa"/>
            </w:tcMar>
          </w:tcPr>
          <w:p w:rsidR="0066483E" w:rsidRDefault="0066483E" w:rsidP="004300E2">
            <w:pPr>
              <w:pStyle w:val="IAS"/>
              <w:rPr>
                <w:lang w:val="it-IT"/>
              </w:rPr>
            </w:pPr>
          </w:p>
        </w:tc>
        <w:tc>
          <w:tcPr>
            <w:tcW w:w="7079" w:type="dxa"/>
            <w:tcMar>
              <w:left w:w="108" w:type="dxa"/>
            </w:tcMar>
          </w:tcPr>
          <w:p w:rsidR="0066483E" w:rsidRPr="00607182" w:rsidRDefault="0066483E" w:rsidP="00BF3D7D">
            <w:pPr>
              <w:pStyle w:val="Paragrafoelenco"/>
              <w:numPr>
                <w:ilvl w:val="0"/>
                <w:numId w:val="235"/>
              </w:numPr>
              <w:ind w:left="745" w:hanging="270"/>
              <w:contextualSpacing w:val="0"/>
              <w:rPr>
                <w:lang w:val="it-IT"/>
              </w:rPr>
            </w:pPr>
            <w:r w:rsidRPr="00607182">
              <w:rPr>
                <w:lang w:val="it-IT"/>
              </w:rPr>
              <w:t>soci dell’entità controllante.</w:t>
            </w:r>
          </w:p>
        </w:tc>
        <w:tc>
          <w:tcPr>
            <w:tcW w:w="575" w:type="dxa"/>
            <w:tcMar>
              <w:left w:w="85" w:type="dxa"/>
              <w:right w:w="85" w:type="dxa"/>
            </w:tcMar>
            <w:vAlign w:val="center"/>
          </w:tcPr>
          <w:p w:rsidR="0066483E" w:rsidRPr="0061026A"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61026A"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61026A"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Default="0066483E" w:rsidP="004300E2">
            <w:pPr>
              <w:pStyle w:val="Numeroelenco"/>
              <w:numPr>
                <w:ilvl w:val="0"/>
                <w:numId w:val="0"/>
              </w:numPr>
              <w:ind w:left="57"/>
              <w:rPr>
                <w:lang w:val="it-IT"/>
              </w:rPr>
            </w:pPr>
          </w:p>
        </w:tc>
        <w:tc>
          <w:tcPr>
            <w:tcW w:w="851" w:type="dxa"/>
            <w:tcMar>
              <w:left w:w="108" w:type="dxa"/>
              <w:right w:w="0" w:type="dxa"/>
            </w:tcMar>
          </w:tcPr>
          <w:p w:rsidR="0066483E" w:rsidRDefault="0066483E" w:rsidP="004300E2">
            <w:pPr>
              <w:pStyle w:val="IAS"/>
              <w:rPr>
                <w:lang w:val="it-IT"/>
              </w:rPr>
            </w:pPr>
          </w:p>
        </w:tc>
        <w:tc>
          <w:tcPr>
            <w:tcW w:w="7079" w:type="dxa"/>
            <w:tcMar>
              <w:left w:w="108" w:type="dxa"/>
            </w:tcMar>
          </w:tcPr>
          <w:p w:rsidR="0066483E" w:rsidRPr="0061026A" w:rsidRDefault="0066483E" w:rsidP="0012469E">
            <w:pPr>
              <w:pStyle w:val="Paragrafoelenco"/>
              <w:numPr>
                <w:ilvl w:val="0"/>
                <w:numId w:val="234"/>
              </w:numPr>
              <w:ind w:left="428" w:hanging="283"/>
              <w:contextualSpacing w:val="0"/>
              <w:rPr>
                <w:lang w:val="it-IT"/>
              </w:rPr>
            </w:pPr>
            <w:r w:rsidRPr="0061026A">
              <w:rPr>
                <w:lang w:val="it-IT"/>
              </w:rPr>
              <w:t>Totale conto economico complessivo d’esercizio attribuibile a:</w:t>
            </w:r>
          </w:p>
        </w:tc>
        <w:tc>
          <w:tcPr>
            <w:tcW w:w="575" w:type="dxa"/>
            <w:tcMar>
              <w:left w:w="85" w:type="dxa"/>
              <w:right w:w="85" w:type="dxa"/>
            </w:tcMar>
            <w:vAlign w:val="center"/>
          </w:tcPr>
          <w:p w:rsidR="0066483E" w:rsidRPr="0061026A"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61026A"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61026A"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61026A" w:rsidTr="00940A6F">
        <w:trPr>
          <w:cantSplit/>
          <w:trHeight w:val="20"/>
        </w:trPr>
        <w:tc>
          <w:tcPr>
            <w:tcW w:w="567" w:type="dxa"/>
          </w:tcPr>
          <w:p w:rsidR="0066483E" w:rsidRDefault="0066483E" w:rsidP="004300E2">
            <w:pPr>
              <w:pStyle w:val="Numeroelenco"/>
              <w:numPr>
                <w:ilvl w:val="0"/>
                <w:numId w:val="0"/>
              </w:numPr>
              <w:ind w:left="57"/>
              <w:rPr>
                <w:lang w:val="it-IT"/>
              </w:rPr>
            </w:pPr>
          </w:p>
        </w:tc>
        <w:tc>
          <w:tcPr>
            <w:tcW w:w="851" w:type="dxa"/>
            <w:tcMar>
              <w:left w:w="108" w:type="dxa"/>
              <w:right w:w="0" w:type="dxa"/>
            </w:tcMar>
          </w:tcPr>
          <w:p w:rsidR="0066483E" w:rsidRDefault="0066483E" w:rsidP="004300E2">
            <w:pPr>
              <w:pStyle w:val="IAS"/>
              <w:rPr>
                <w:lang w:val="it-IT"/>
              </w:rPr>
            </w:pPr>
          </w:p>
        </w:tc>
        <w:tc>
          <w:tcPr>
            <w:tcW w:w="7079" w:type="dxa"/>
            <w:tcMar>
              <w:left w:w="108" w:type="dxa"/>
            </w:tcMar>
          </w:tcPr>
          <w:p w:rsidR="0066483E" w:rsidRPr="0061026A" w:rsidRDefault="0066483E" w:rsidP="00BF3D7D">
            <w:pPr>
              <w:pStyle w:val="Paragrafoelenco"/>
              <w:numPr>
                <w:ilvl w:val="0"/>
                <w:numId w:val="236"/>
              </w:numPr>
              <w:ind w:left="745" w:hanging="270"/>
              <w:contextualSpacing w:val="0"/>
              <w:rPr>
                <w:lang w:val="it-IT"/>
              </w:rPr>
            </w:pPr>
            <w:r>
              <w:rPr>
                <w:lang w:val="it-IT"/>
              </w:rPr>
              <w:t xml:space="preserve">partecipazioni di minoranza, </w:t>
            </w:r>
          </w:p>
        </w:tc>
        <w:tc>
          <w:tcPr>
            <w:tcW w:w="575" w:type="dxa"/>
            <w:tcMar>
              <w:left w:w="85" w:type="dxa"/>
              <w:right w:w="85" w:type="dxa"/>
            </w:tcMar>
            <w:vAlign w:val="center"/>
          </w:tcPr>
          <w:p w:rsidR="0066483E" w:rsidRPr="0061026A"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Default="0066483E" w:rsidP="004300E2">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Default="0066483E" w:rsidP="004300E2">
            <w:pPr>
              <w:jc w:val="cente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61026A" w:rsidTr="00940A6F">
        <w:trPr>
          <w:cantSplit/>
          <w:trHeight w:val="20"/>
        </w:trPr>
        <w:tc>
          <w:tcPr>
            <w:tcW w:w="567" w:type="dxa"/>
          </w:tcPr>
          <w:p w:rsidR="0066483E" w:rsidRDefault="0066483E" w:rsidP="004300E2">
            <w:pPr>
              <w:pStyle w:val="Numeroelenco"/>
              <w:numPr>
                <w:ilvl w:val="0"/>
                <w:numId w:val="0"/>
              </w:numPr>
              <w:ind w:left="57"/>
              <w:rPr>
                <w:lang w:val="it-IT"/>
              </w:rPr>
            </w:pPr>
          </w:p>
        </w:tc>
        <w:tc>
          <w:tcPr>
            <w:tcW w:w="851" w:type="dxa"/>
            <w:tcMar>
              <w:left w:w="108" w:type="dxa"/>
              <w:right w:w="0" w:type="dxa"/>
            </w:tcMar>
          </w:tcPr>
          <w:p w:rsidR="0066483E" w:rsidRDefault="0066483E" w:rsidP="004300E2">
            <w:pPr>
              <w:pStyle w:val="IAS"/>
              <w:rPr>
                <w:lang w:val="it-IT"/>
              </w:rPr>
            </w:pPr>
          </w:p>
        </w:tc>
        <w:tc>
          <w:tcPr>
            <w:tcW w:w="7079" w:type="dxa"/>
            <w:tcMar>
              <w:left w:w="108" w:type="dxa"/>
            </w:tcMar>
          </w:tcPr>
          <w:p w:rsidR="0066483E" w:rsidRDefault="00BF3D7D" w:rsidP="00BF3D7D">
            <w:pPr>
              <w:ind w:left="745" w:hanging="270"/>
              <w:rPr>
                <w:lang w:val="it-IT"/>
              </w:rPr>
            </w:pPr>
            <w:r>
              <w:rPr>
                <w:lang w:val="it-IT"/>
              </w:rPr>
              <w:t xml:space="preserve">(ii)  </w:t>
            </w:r>
            <w:r w:rsidR="0066483E" w:rsidRPr="00C668A2">
              <w:rPr>
                <w:lang w:val="it-IT"/>
              </w:rPr>
              <w:t>soci dell’entità controllante.</w:t>
            </w:r>
          </w:p>
        </w:tc>
        <w:tc>
          <w:tcPr>
            <w:tcW w:w="575" w:type="dxa"/>
            <w:tcMar>
              <w:left w:w="85" w:type="dxa"/>
              <w:right w:w="85" w:type="dxa"/>
            </w:tcMar>
            <w:vAlign w:val="center"/>
          </w:tcPr>
          <w:p w:rsidR="0066483E" w:rsidRDefault="0066483E" w:rsidP="004300E2">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Default="0066483E" w:rsidP="004300E2">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Default="0066483E" w:rsidP="004300E2">
            <w:pPr>
              <w:jc w:val="cente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pStyle w:val="Numeroelenco"/>
              <w:ind w:left="0" w:firstLine="57"/>
              <w:rPr>
                <w:lang w:val="it-IT"/>
              </w:rPr>
            </w:pPr>
          </w:p>
        </w:tc>
        <w:tc>
          <w:tcPr>
            <w:tcW w:w="851" w:type="dxa"/>
            <w:tcMar>
              <w:left w:w="108" w:type="dxa"/>
              <w:right w:w="0" w:type="dxa"/>
            </w:tcMar>
          </w:tcPr>
          <w:p w:rsidR="0066483E" w:rsidRDefault="0066483E" w:rsidP="004300E2">
            <w:pPr>
              <w:pStyle w:val="IAS"/>
              <w:rPr>
                <w:lang w:val="it-IT"/>
              </w:rPr>
            </w:pPr>
            <w:r>
              <w:rPr>
                <w:lang w:val="it-IT"/>
              </w:rPr>
              <w:t>IAS 1.81B</w:t>
            </w:r>
          </w:p>
        </w:tc>
        <w:tc>
          <w:tcPr>
            <w:tcW w:w="7079" w:type="dxa"/>
            <w:tcMar>
              <w:left w:w="108" w:type="dxa"/>
            </w:tcMar>
          </w:tcPr>
          <w:p w:rsidR="0066483E" w:rsidRDefault="0066483E" w:rsidP="004300E2">
            <w:pPr>
              <w:rPr>
                <w:lang w:val="it-IT"/>
              </w:rPr>
            </w:pPr>
            <w:r w:rsidRPr="001C42D7">
              <w:rPr>
                <w:lang w:val="it-IT"/>
              </w:rPr>
              <w:t>Se un’entità rappresenta l’utile/(perdita) d’esercizio in un prospetto distinto, in tale prospetto deve riportare l</w:t>
            </w:r>
            <w:r>
              <w:rPr>
                <w:lang w:val="it-IT"/>
              </w:rPr>
              <w:t xml:space="preserve">a ripartizione di cui al </w:t>
            </w:r>
            <w:r w:rsidRPr="004F522B">
              <w:rPr>
                <w:lang w:val="it-IT"/>
              </w:rPr>
              <w:t>precedente punto 5</w:t>
            </w:r>
            <w:r>
              <w:rPr>
                <w:lang w:val="it-IT"/>
              </w:rPr>
              <w:t>5</w:t>
            </w:r>
            <w:r w:rsidRPr="004F522B">
              <w:rPr>
                <w:lang w:val="it-IT"/>
              </w:rPr>
              <w:t>.a).</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Default="004300E2" w:rsidP="004300E2">
            <w:pPr>
              <w:pStyle w:val="IAS"/>
              <w:rPr>
                <w:lang w:val="it-IT"/>
              </w:rPr>
            </w:pPr>
            <w:r>
              <w:rPr>
                <w:lang w:val="it-IT"/>
              </w:rPr>
              <w:t>IAS 1.82</w:t>
            </w:r>
          </w:p>
        </w:tc>
        <w:tc>
          <w:tcPr>
            <w:tcW w:w="7079" w:type="dxa"/>
            <w:tcMar>
              <w:left w:w="108" w:type="dxa"/>
            </w:tcMar>
          </w:tcPr>
          <w:p w:rsidR="004300E2" w:rsidRPr="00AA7A8C" w:rsidRDefault="004300E2" w:rsidP="00FD41D8">
            <w:pPr>
              <w:spacing w:line="214" w:lineRule="exact"/>
              <w:rPr>
                <w:lang w:val="it-IT"/>
              </w:rPr>
            </w:pPr>
            <w:r>
              <w:rPr>
                <w:lang w:val="it-IT"/>
              </w:rPr>
              <w:t>In aggiunta alle voci richieste da altri IFRS, la sezione dell’utile/(perdita) d’esercizio o il prospetto dell’utile/(perdita) d’esercizio deve comprendere quelle voci che presentano i seguenti importi relativi all’esercizio:</w:t>
            </w:r>
          </w:p>
        </w:tc>
        <w:tc>
          <w:tcPr>
            <w:tcW w:w="575" w:type="dxa"/>
            <w:tcMar>
              <w:left w:w="85" w:type="dxa"/>
              <w:right w:w="85" w:type="dxa"/>
            </w:tcMar>
          </w:tcPr>
          <w:p w:rsidR="004300E2" w:rsidRPr="00A32A16" w:rsidRDefault="004300E2" w:rsidP="004300E2">
            <w:pPr>
              <w:rPr>
                <w:lang w:val="it-IT"/>
              </w:rPr>
            </w:pPr>
          </w:p>
        </w:tc>
        <w:tc>
          <w:tcPr>
            <w:tcW w:w="567" w:type="dxa"/>
            <w:tcMar>
              <w:left w:w="108" w:type="dxa"/>
            </w:tcMar>
          </w:tcPr>
          <w:p w:rsidR="004300E2" w:rsidRPr="00AA7A8C" w:rsidRDefault="004300E2" w:rsidP="004300E2">
            <w:pPr>
              <w:rPr>
                <w:lang w:val="it-IT"/>
              </w:rPr>
            </w:pPr>
          </w:p>
        </w:tc>
        <w:tc>
          <w:tcPr>
            <w:tcW w:w="567" w:type="dxa"/>
            <w:tcMar>
              <w:left w:w="108" w:type="dxa"/>
            </w:tcMar>
          </w:tcPr>
          <w:p w:rsidR="004300E2" w:rsidRPr="00AA7A8C" w:rsidRDefault="004300E2" w:rsidP="004300E2">
            <w:pPr>
              <w:rPr>
                <w:lang w:val="it-IT"/>
              </w:rPr>
            </w:pPr>
          </w:p>
        </w:tc>
      </w:tr>
      <w:tr w:rsidR="0066483E" w:rsidRPr="008361A3" w:rsidTr="00940A6F">
        <w:trPr>
          <w:cantSplit/>
          <w:trHeight w:val="20"/>
        </w:trPr>
        <w:tc>
          <w:tcPr>
            <w:tcW w:w="567" w:type="dxa"/>
          </w:tcPr>
          <w:p w:rsidR="0066483E" w:rsidRPr="008A0F36" w:rsidRDefault="0066483E" w:rsidP="004300E2">
            <w:pPr>
              <w:pStyle w:val="Numeroelenco"/>
              <w:numPr>
                <w:ilvl w:val="0"/>
                <w:numId w:val="0"/>
              </w:numPr>
              <w:ind w:left="644" w:hanging="360"/>
              <w:rPr>
                <w:lang w:val="it-IT"/>
              </w:rPr>
            </w:pPr>
          </w:p>
        </w:tc>
        <w:tc>
          <w:tcPr>
            <w:tcW w:w="851" w:type="dxa"/>
            <w:tcMar>
              <w:left w:w="108" w:type="dxa"/>
              <w:right w:w="0" w:type="dxa"/>
            </w:tcMar>
          </w:tcPr>
          <w:p w:rsidR="0066483E" w:rsidRDefault="0066483E" w:rsidP="004300E2">
            <w:pPr>
              <w:pStyle w:val="IAS"/>
              <w:rPr>
                <w:lang w:val="it-IT"/>
              </w:rPr>
            </w:pPr>
          </w:p>
        </w:tc>
        <w:tc>
          <w:tcPr>
            <w:tcW w:w="7079" w:type="dxa"/>
            <w:tcMar>
              <w:left w:w="108" w:type="dxa"/>
            </w:tcMar>
          </w:tcPr>
          <w:p w:rsidR="0066483E" w:rsidRPr="00AA7A8C" w:rsidRDefault="0066483E" w:rsidP="003171FD">
            <w:pPr>
              <w:pStyle w:val="Paragrafoelenco"/>
              <w:numPr>
                <w:ilvl w:val="0"/>
                <w:numId w:val="237"/>
              </w:numPr>
              <w:spacing w:line="214" w:lineRule="exact"/>
              <w:ind w:left="475"/>
              <w:contextualSpacing w:val="0"/>
              <w:rPr>
                <w:lang w:val="it-IT"/>
              </w:rPr>
            </w:pPr>
            <w:r>
              <w:rPr>
                <w:lang w:val="it-IT"/>
              </w:rPr>
              <w:t>ricavi</w:t>
            </w:r>
          </w:p>
        </w:tc>
        <w:tc>
          <w:tcPr>
            <w:tcW w:w="575" w:type="dxa"/>
            <w:tcMar>
              <w:left w:w="85" w:type="dxa"/>
              <w:right w:w="85" w:type="dxa"/>
            </w:tcMar>
            <w:vAlign w:val="center"/>
          </w:tcPr>
          <w:p w:rsidR="0066483E" w:rsidRDefault="0066483E" w:rsidP="004300E2">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Default="0066483E" w:rsidP="004300E2">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Default="0066483E" w:rsidP="004300E2">
            <w:pPr>
              <w:jc w:val="cente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361A3" w:rsidTr="00940A6F">
        <w:trPr>
          <w:cantSplit/>
          <w:trHeight w:val="20"/>
        </w:trPr>
        <w:tc>
          <w:tcPr>
            <w:tcW w:w="567" w:type="dxa"/>
          </w:tcPr>
          <w:p w:rsidR="0066483E" w:rsidRPr="008A0F36" w:rsidRDefault="0066483E" w:rsidP="004300E2">
            <w:pPr>
              <w:pStyle w:val="Numeroelenco"/>
              <w:numPr>
                <w:ilvl w:val="0"/>
                <w:numId w:val="0"/>
              </w:numPr>
              <w:ind w:left="57"/>
              <w:rPr>
                <w:lang w:val="it-IT"/>
              </w:rPr>
            </w:pPr>
          </w:p>
        </w:tc>
        <w:tc>
          <w:tcPr>
            <w:tcW w:w="851" w:type="dxa"/>
            <w:tcMar>
              <w:left w:w="108" w:type="dxa"/>
              <w:right w:w="0" w:type="dxa"/>
            </w:tcMar>
          </w:tcPr>
          <w:p w:rsidR="0066483E" w:rsidRDefault="0066483E" w:rsidP="004300E2">
            <w:pPr>
              <w:pStyle w:val="IAS"/>
              <w:rPr>
                <w:lang w:val="it-IT"/>
              </w:rPr>
            </w:pPr>
          </w:p>
        </w:tc>
        <w:tc>
          <w:tcPr>
            <w:tcW w:w="7079" w:type="dxa"/>
            <w:tcMar>
              <w:left w:w="108" w:type="dxa"/>
            </w:tcMar>
          </w:tcPr>
          <w:p w:rsidR="0066483E" w:rsidRPr="00AA7A8C" w:rsidRDefault="0066483E" w:rsidP="003171FD">
            <w:pPr>
              <w:pStyle w:val="Paragrafoelenco"/>
              <w:numPr>
                <w:ilvl w:val="0"/>
                <w:numId w:val="237"/>
              </w:numPr>
              <w:spacing w:line="214" w:lineRule="exact"/>
              <w:ind w:left="475"/>
              <w:contextualSpacing w:val="0"/>
              <w:rPr>
                <w:lang w:val="it-IT"/>
              </w:rPr>
            </w:pPr>
            <w:r>
              <w:rPr>
                <w:lang w:val="it-IT"/>
              </w:rPr>
              <w:t>oneri finanziari</w:t>
            </w:r>
          </w:p>
        </w:tc>
        <w:tc>
          <w:tcPr>
            <w:tcW w:w="575" w:type="dxa"/>
            <w:tcMar>
              <w:left w:w="85" w:type="dxa"/>
              <w:right w:w="85" w:type="dxa"/>
            </w:tcMar>
            <w:vAlign w:val="center"/>
          </w:tcPr>
          <w:p w:rsidR="0066483E" w:rsidRDefault="0066483E" w:rsidP="004300E2">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Default="0066483E" w:rsidP="004300E2">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Default="0066483E" w:rsidP="004300E2">
            <w:pPr>
              <w:jc w:val="cente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pStyle w:val="Numeroelenco"/>
              <w:numPr>
                <w:ilvl w:val="0"/>
                <w:numId w:val="0"/>
              </w:numPr>
              <w:ind w:left="57"/>
              <w:rPr>
                <w:lang w:val="it-IT"/>
              </w:rPr>
            </w:pPr>
          </w:p>
        </w:tc>
        <w:tc>
          <w:tcPr>
            <w:tcW w:w="851" w:type="dxa"/>
            <w:tcMar>
              <w:left w:w="108" w:type="dxa"/>
              <w:right w:w="0" w:type="dxa"/>
            </w:tcMar>
          </w:tcPr>
          <w:p w:rsidR="0066483E" w:rsidRDefault="0066483E" w:rsidP="004300E2">
            <w:pPr>
              <w:pStyle w:val="IAS"/>
              <w:rPr>
                <w:lang w:val="it-IT"/>
              </w:rPr>
            </w:pPr>
          </w:p>
        </w:tc>
        <w:tc>
          <w:tcPr>
            <w:tcW w:w="7079" w:type="dxa"/>
            <w:tcMar>
              <w:left w:w="108" w:type="dxa"/>
            </w:tcMar>
          </w:tcPr>
          <w:p w:rsidR="0066483E" w:rsidRPr="00AA7A8C" w:rsidRDefault="0066483E" w:rsidP="003171FD">
            <w:pPr>
              <w:pStyle w:val="Paragrafoelenco"/>
              <w:numPr>
                <w:ilvl w:val="0"/>
                <w:numId w:val="237"/>
              </w:numPr>
              <w:spacing w:line="214" w:lineRule="exact"/>
              <w:ind w:left="475"/>
              <w:contextualSpacing w:val="0"/>
              <w:rPr>
                <w:lang w:val="it-IT"/>
              </w:rPr>
            </w:pPr>
            <w:r w:rsidRPr="00AA7A8C">
              <w:rPr>
                <w:lang w:val="it-IT"/>
              </w:rPr>
              <w:t xml:space="preserve">quota dell’utile o perdita di collegate e </w:t>
            </w:r>
            <w:r w:rsidRPr="00AA7A8C">
              <w:rPr>
                <w:i/>
                <w:lang w:val="it-IT"/>
              </w:rPr>
              <w:t>joint venture</w:t>
            </w:r>
            <w:r w:rsidRPr="00AA7A8C">
              <w:rPr>
                <w:lang w:val="it-IT"/>
              </w:rPr>
              <w:t xml:space="preserve"> contabilizzate con il metodo del patrimonio netto</w:t>
            </w:r>
          </w:p>
        </w:tc>
        <w:tc>
          <w:tcPr>
            <w:tcW w:w="575" w:type="dxa"/>
            <w:tcMar>
              <w:left w:w="85" w:type="dxa"/>
              <w:right w:w="85" w:type="dxa"/>
            </w:tcMar>
            <w:vAlign w:val="center"/>
          </w:tcPr>
          <w:p w:rsidR="0066483E" w:rsidRPr="00725691"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725691"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725691"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pStyle w:val="Numeroelenco"/>
              <w:numPr>
                <w:ilvl w:val="0"/>
                <w:numId w:val="0"/>
              </w:numPr>
              <w:ind w:left="57"/>
              <w:rPr>
                <w:lang w:val="it-IT"/>
              </w:rPr>
            </w:pPr>
          </w:p>
        </w:tc>
        <w:tc>
          <w:tcPr>
            <w:tcW w:w="851" w:type="dxa"/>
            <w:tcMar>
              <w:left w:w="108" w:type="dxa"/>
              <w:right w:w="0" w:type="dxa"/>
            </w:tcMar>
          </w:tcPr>
          <w:p w:rsidR="0066483E" w:rsidRDefault="0066483E" w:rsidP="004300E2">
            <w:pPr>
              <w:pStyle w:val="IAS"/>
              <w:rPr>
                <w:lang w:val="it-IT"/>
              </w:rPr>
            </w:pPr>
          </w:p>
        </w:tc>
        <w:tc>
          <w:tcPr>
            <w:tcW w:w="7079" w:type="dxa"/>
            <w:tcMar>
              <w:left w:w="108" w:type="dxa"/>
            </w:tcMar>
          </w:tcPr>
          <w:p w:rsidR="0066483E" w:rsidRPr="00AA7A8C" w:rsidRDefault="0066483E" w:rsidP="003171FD">
            <w:pPr>
              <w:pStyle w:val="Paragrafoelenco"/>
              <w:numPr>
                <w:ilvl w:val="0"/>
                <w:numId w:val="237"/>
              </w:numPr>
              <w:spacing w:line="214" w:lineRule="exact"/>
              <w:ind w:left="475"/>
              <w:contextualSpacing w:val="0"/>
              <w:rPr>
                <w:lang w:val="it-IT"/>
              </w:rPr>
            </w:pPr>
            <w:r w:rsidRPr="00AA7A8C">
              <w:rPr>
                <w:lang w:val="it-IT"/>
              </w:rPr>
              <w:t>oneri per imposte sul reddito</w:t>
            </w:r>
          </w:p>
        </w:tc>
        <w:tc>
          <w:tcPr>
            <w:tcW w:w="575" w:type="dxa"/>
            <w:tcMar>
              <w:left w:w="85" w:type="dxa"/>
              <w:right w:w="85" w:type="dxa"/>
            </w:tcMar>
            <w:vAlign w:val="center"/>
          </w:tcPr>
          <w:p w:rsidR="0066483E" w:rsidRPr="00725691"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725691"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725691"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pStyle w:val="Numeroelenco"/>
              <w:numPr>
                <w:ilvl w:val="0"/>
                <w:numId w:val="0"/>
              </w:numPr>
              <w:ind w:left="57"/>
              <w:rPr>
                <w:lang w:val="it-IT"/>
              </w:rPr>
            </w:pPr>
          </w:p>
        </w:tc>
        <w:tc>
          <w:tcPr>
            <w:tcW w:w="851" w:type="dxa"/>
            <w:tcMar>
              <w:left w:w="108" w:type="dxa"/>
              <w:right w:w="0" w:type="dxa"/>
            </w:tcMar>
          </w:tcPr>
          <w:p w:rsidR="0066483E" w:rsidRDefault="0066483E" w:rsidP="004300E2">
            <w:pPr>
              <w:pStyle w:val="IAS"/>
              <w:rPr>
                <w:lang w:val="it-IT"/>
              </w:rPr>
            </w:pPr>
          </w:p>
        </w:tc>
        <w:tc>
          <w:tcPr>
            <w:tcW w:w="7079" w:type="dxa"/>
            <w:tcMar>
              <w:left w:w="108" w:type="dxa"/>
            </w:tcMar>
          </w:tcPr>
          <w:p w:rsidR="0066483E" w:rsidRPr="00AA7A8C" w:rsidRDefault="0066483E" w:rsidP="003171FD">
            <w:pPr>
              <w:pStyle w:val="Paragrafoelenco"/>
              <w:numPr>
                <w:ilvl w:val="0"/>
                <w:numId w:val="237"/>
              </w:numPr>
              <w:spacing w:line="214" w:lineRule="exact"/>
              <w:ind w:left="475"/>
              <w:contextualSpacing w:val="0"/>
              <w:rPr>
                <w:lang w:val="it-IT"/>
              </w:rPr>
            </w:pPr>
            <w:r w:rsidRPr="00C668A2">
              <w:rPr>
                <w:lang w:val="it-IT"/>
              </w:rPr>
              <w:t>un unico importo relativo al totale delle attività operative cessate (vedere IFRS 5).</w:t>
            </w:r>
          </w:p>
        </w:tc>
        <w:tc>
          <w:tcPr>
            <w:tcW w:w="575" w:type="dxa"/>
            <w:tcMar>
              <w:left w:w="85" w:type="dxa"/>
              <w:right w:w="85" w:type="dxa"/>
            </w:tcMar>
            <w:vAlign w:val="center"/>
          </w:tcPr>
          <w:p w:rsidR="0066483E" w:rsidRPr="00725691"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725691"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725691"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Default="004300E2" w:rsidP="004300E2">
            <w:pPr>
              <w:pStyle w:val="IAS"/>
              <w:rPr>
                <w:lang w:val="it-IT"/>
              </w:rPr>
            </w:pPr>
            <w:r>
              <w:rPr>
                <w:lang w:val="it-IT"/>
              </w:rPr>
              <w:t>IAS 1.82A</w:t>
            </w:r>
          </w:p>
        </w:tc>
        <w:tc>
          <w:tcPr>
            <w:tcW w:w="7079" w:type="dxa"/>
            <w:tcMar>
              <w:left w:w="108" w:type="dxa"/>
            </w:tcMar>
          </w:tcPr>
          <w:p w:rsidR="004300E2" w:rsidRPr="00FA4864" w:rsidRDefault="004300E2" w:rsidP="00FD41D8">
            <w:pPr>
              <w:spacing w:line="214" w:lineRule="exact"/>
              <w:rPr>
                <w:lang w:val="it-IT"/>
              </w:rPr>
            </w:pPr>
            <w:r w:rsidRPr="004300E2">
              <w:rPr>
                <w:lang w:val="it-IT"/>
              </w:rPr>
              <w:t>La sezione relativa alle altre componenti di conto economico complessivo deve presentare le voci relative agli importi del periodo con riguardo:</w:t>
            </w:r>
          </w:p>
        </w:tc>
        <w:tc>
          <w:tcPr>
            <w:tcW w:w="575" w:type="dxa"/>
            <w:tcMar>
              <w:left w:w="85" w:type="dxa"/>
              <w:right w:w="85" w:type="dxa"/>
            </w:tcMar>
            <w:vAlign w:val="bottom"/>
          </w:tcPr>
          <w:p w:rsidR="004300E2" w:rsidRPr="00A32A16" w:rsidRDefault="004300E2" w:rsidP="004300E2">
            <w:pPr>
              <w:jc w:val="center"/>
              <w:rPr>
                <w:lang w:val="it-IT"/>
              </w:rPr>
            </w:pPr>
          </w:p>
        </w:tc>
        <w:tc>
          <w:tcPr>
            <w:tcW w:w="567" w:type="dxa"/>
            <w:tcMar>
              <w:left w:w="108" w:type="dxa"/>
            </w:tcMar>
            <w:vAlign w:val="bottom"/>
          </w:tcPr>
          <w:p w:rsidR="004300E2" w:rsidRPr="00CB6B64" w:rsidRDefault="004300E2" w:rsidP="004300E2">
            <w:pPr>
              <w:jc w:val="center"/>
              <w:rPr>
                <w:lang w:val="it-IT"/>
              </w:rPr>
            </w:pPr>
          </w:p>
        </w:tc>
        <w:tc>
          <w:tcPr>
            <w:tcW w:w="567" w:type="dxa"/>
            <w:tcMar>
              <w:left w:w="108" w:type="dxa"/>
            </w:tcMar>
            <w:vAlign w:val="bottom"/>
          </w:tcPr>
          <w:p w:rsidR="004300E2" w:rsidRPr="00CB6B64" w:rsidRDefault="004300E2" w:rsidP="004300E2">
            <w:pPr>
              <w:jc w:val="center"/>
              <w:rPr>
                <w:lang w:val="it-IT"/>
              </w:rPr>
            </w:pPr>
          </w:p>
        </w:tc>
      </w:tr>
      <w:tr w:rsidR="0066483E" w:rsidRPr="008129DA" w:rsidTr="00940A6F">
        <w:trPr>
          <w:cantSplit/>
          <w:trHeight w:val="20"/>
        </w:trPr>
        <w:tc>
          <w:tcPr>
            <w:tcW w:w="567" w:type="dxa"/>
          </w:tcPr>
          <w:p w:rsidR="0066483E" w:rsidRPr="008A0F36" w:rsidRDefault="0066483E" w:rsidP="004300E2">
            <w:pPr>
              <w:pStyle w:val="Numeroelenco"/>
              <w:numPr>
                <w:ilvl w:val="0"/>
                <w:numId w:val="0"/>
              </w:numPr>
              <w:ind w:left="57"/>
              <w:rPr>
                <w:lang w:val="it-IT"/>
              </w:rPr>
            </w:pPr>
          </w:p>
        </w:tc>
        <w:tc>
          <w:tcPr>
            <w:tcW w:w="851" w:type="dxa"/>
            <w:tcMar>
              <w:left w:w="108" w:type="dxa"/>
              <w:right w:w="0" w:type="dxa"/>
            </w:tcMar>
          </w:tcPr>
          <w:p w:rsidR="0066483E" w:rsidRDefault="0066483E" w:rsidP="004300E2">
            <w:pPr>
              <w:pStyle w:val="IAS"/>
              <w:rPr>
                <w:lang w:val="it-IT"/>
              </w:rPr>
            </w:pPr>
          </w:p>
        </w:tc>
        <w:tc>
          <w:tcPr>
            <w:tcW w:w="7079" w:type="dxa"/>
            <w:tcMar>
              <w:left w:w="108" w:type="dxa"/>
            </w:tcMar>
          </w:tcPr>
          <w:p w:rsidR="0066483E" w:rsidRPr="00C21C31" w:rsidRDefault="0066483E" w:rsidP="003171FD">
            <w:pPr>
              <w:pStyle w:val="Paragrafoelenco"/>
              <w:numPr>
                <w:ilvl w:val="0"/>
                <w:numId w:val="238"/>
              </w:numPr>
              <w:spacing w:line="214" w:lineRule="exact"/>
              <w:ind w:left="385" w:hanging="270"/>
              <w:contextualSpacing w:val="0"/>
              <w:rPr>
                <w:lang w:val="it-IT"/>
              </w:rPr>
            </w:pPr>
            <w:r w:rsidRPr="00FB4B6E">
              <w:rPr>
                <w:bCs/>
                <w:lang w:val="it-IT"/>
              </w:rPr>
              <w:t xml:space="preserve">alle voci delle altre componenti di conto economico complessivo </w:t>
            </w:r>
            <w:r>
              <w:rPr>
                <w:bCs/>
                <w:lang w:val="it-IT"/>
              </w:rPr>
              <w:t>[</w:t>
            </w:r>
            <w:r w:rsidRPr="00FB4B6E">
              <w:rPr>
                <w:bCs/>
                <w:lang w:val="it-IT"/>
              </w:rPr>
              <w:t xml:space="preserve">esclusi gli importi di cui alla lettera (b)], classificate per natura e raggruppate in quelle che, in conformità agli altri IFRS: </w:t>
            </w:r>
          </w:p>
          <w:p w:rsidR="0066483E" w:rsidRPr="00FB4B6E" w:rsidRDefault="0066483E" w:rsidP="00BF3D7D">
            <w:pPr>
              <w:pStyle w:val="Paragrafoelenco"/>
              <w:spacing w:line="214" w:lineRule="exact"/>
              <w:ind w:left="565" w:hanging="180"/>
              <w:contextualSpacing w:val="0"/>
              <w:rPr>
                <w:bCs/>
                <w:lang w:val="it-IT"/>
              </w:rPr>
            </w:pPr>
            <w:r w:rsidRPr="00FB4B6E">
              <w:rPr>
                <w:bCs/>
                <w:lang w:val="it-IT"/>
              </w:rPr>
              <w:t xml:space="preserve">i) </w:t>
            </w:r>
            <w:r>
              <w:rPr>
                <w:bCs/>
                <w:lang w:val="it-IT"/>
              </w:rPr>
              <w:tab/>
            </w:r>
            <w:r w:rsidRPr="00FB4B6E">
              <w:rPr>
                <w:bCs/>
                <w:lang w:val="it-IT"/>
              </w:rPr>
              <w:t xml:space="preserve">non saranno successivamente riclassificate nell'utile/(perdita) d'esercizio; e </w:t>
            </w:r>
          </w:p>
          <w:p w:rsidR="0066483E" w:rsidRPr="00C21C31" w:rsidRDefault="0066483E" w:rsidP="00BF3D7D">
            <w:pPr>
              <w:pStyle w:val="Paragrafoelenco"/>
              <w:spacing w:line="214" w:lineRule="exact"/>
              <w:ind w:left="565" w:hanging="180"/>
              <w:contextualSpacing w:val="0"/>
              <w:rPr>
                <w:lang w:val="it-IT"/>
              </w:rPr>
            </w:pPr>
            <w:r w:rsidRPr="00FB4B6E">
              <w:rPr>
                <w:bCs/>
                <w:lang w:val="it-IT"/>
              </w:rPr>
              <w:t xml:space="preserve">ii) </w:t>
            </w:r>
            <w:r>
              <w:rPr>
                <w:bCs/>
                <w:lang w:val="it-IT"/>
              </w:rPr>
              <w:tab/>
            </w:r>
            <w:r w:rsidRPr="00FB4B6E">
              <w:rPr>
                <w:bCs/>
                <w:lang w:val="it-IT"/>
              </w:rPr>
              <w:t>saranno successivamente riclassificate nell'utile/(perdita) d'esercizio se sono soddisfatte determinate condizioni;</w:t>
            </w:r>
            <w:r w:rsidRPr="00FB4B6E">
              <w:rPr>
                <w:b/>
                <w:bCs/>
                <w:lang w:val="it-IT"/>
              </w:rPr>
              <w:t xml:space="preserve"> </w:t>
            </w:r>
          </w:p>
        </w:tc>
        <w:tc>
          <w:tcPr>
            <w:tcW w:w="575" w:type="dxa"/>
            <w:tcMar>
              <w:left w:w="85" w:type="dxa"/>
              <w:right w:w="85" w:type="dxa"/>
            </w:tcMar>
            <w:vAlign w:val="center"/>
          </w:tcPr>
          <w:p w:rsidR="0066483E" w:rsidRPr="00725691"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725691"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725691"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pStyle w:val="Numeroelenco"/>
              <w:numPr>
                <w:ilvl w:val="0"/>
                <w:numId w:val="0"/>
              </w:numPr>
              <w:ind w:left="57"/>
              <w:rPr>
                <w:lang w:val="it-IT"/>
              </w:rPr>
            </w:pPr>
          </w:p>
        </w:tc>
        <w:tc>
          <w:tcPr>
            <w:tcW w:w="851" w:type="dxa"/>
            <w:tcMar>
              <w:left w:w="108" w:type="dxa"/>
              <w:right w:w="0" w:type="dxa"/>
            </w:tcMar>
          </w:tcPr>
          <w:p w:rsidR="0066483E" w:rsidRDefault="0066483E" w:rsidP="004300E2">
            <w:pPr>
              <w:pStyle w:val="IAS"/>
              <w:rPr>
                <w:lang w:val="it-IT"/>
              </w:rPr>
            </w:pPr>
          </w:p>
        </w:tc>
        <w:tc>
          <w:tcPr>
            <w:tcW w:w="7079" w:type="dxa"/>
            <w:tcMar>
              <w:left w:w="108" w:type="dxa"/>
            </w:tcMar>
          </w:tcPr>
          <w:p w:rsidR="0066483E" w:rsidRPr="00C21C31" w:rsidRDefault="0066483E" w:rsidP="003171FD">
            <w:pPr>
              <w:pStyle w:val="Paragrafoelenco"/>
              <w:numPr>
                <w:ilvl w:val="0"/>
                <w:numId w:val="238"/>
              </w:numPr>
              <w:spacing w:line="214" w:lineRule="exact"/>
              <w:ind w:left="385" w:hanging="270"/>
              <w:contextualSpacing w:val="0"/>
              <w:rPr>
                <w:lang w:val="it-IT"/>
              </w:rPr>
            </w:pPr>
            <w:r w:rsidRPr="00FB4B6E">
              <w:rPr>
                <w:bCs/>
                <w:lang w:val="it-IT"/>
              </w:rPr>
              <w:t xml:space="preserve">alla quota parte delle altre componenti di conto economico complessivo di pertinenza di società collegate e </w:t>
            </w:r>
            <w:r w:rsidRPr="00FB4B6E">
              <w:rPr>
                <w:bCs/>
                <w:i/>
                <w:lang w:val="it-IT"/>
              </w:rPr>
              <w:t>joint venture</w:t>
            </w:r>
            <w:r w:rsidRPr="00FB4B6E">
              <w:rPr>
                <w:bCs/>
                <w:lang w:val="it-IT"/>
              </w:rPr>
              <w:t xml:space="preserve"> contabilizzate con il metodo del patrimonio netto, ripartita in quote parti delle voci che, in conformità agli altri IFRS: </w:t>
            </w:r>
          </w:p>
          <w:p w:rsidR="0066483E" w:rsidRPr="00FB4B6E" w:rsidRDefault="0066483E" w:rsidP="00BF3D7D">
            <w:pPr>
              <w:pStyle w:val="Paragrafoelenco"/>
              <w:spacing w:line="214" w:lineRule="exact"/>
              <w:ind w:left="565" w:hanging="180"/>
              <w:contextualSpacing w:val="0"/>
              <w:rPr>
                <w:bCs/>
                <w:lang w:val="it-IT"/>
              </w:rPr>
            </w:pPr>
            <w:r w:rsidRPr="00FB4B6E">
              <w:rPr>
                <w:bCs/>
                <w:lang w:val="it-IT"/>
              </w:rPr>
              <w:t xml:space="preserve">i) </w:t>
            </w:r>
            <w:r>
              <w:rPr>
                <w:bCs/>
                <w:lang w:val="it-IT"/>
              </w:rPr>
              <w:tab/>
            </w:r>
            <w:r w:rsidRPr="00FB4B6E">
              <w:rPr>
                <w:bCs/>
                <w:lang w:val="it-IT"/>
              </w:rPr>
              <w:t xml:space="preserve">non saranno successivamente riclassificate nell'utile/(perdita) d'esercizio; e </w:t>
            </w:r>
          </w:p>
          <w:p w:rsidR="0066483E" w:rsidRPr="00C21C31" w:rsidRDefault="0066483E" w:rsidP="00BF3D7D">
            <w:pPr>
              <w:pStyle w:val="Paragrafoelenco"/>
              <w:spacing w:line="214" w:lineRule="exact"/>
              <w:ind w:left="565" w:hanging="180"/>
              <w:contextualSpacing w:val="0"/>
              <w:rPr>
                <w:lang w:val="it-IT"/>
              </w:rPr>
            </w:pPr>
            <w:r w:rsidRPr="00FB4B6E">
              <w:rPr>
                <w:bCs/>
                <w:lang w:val="it-IT"/>
              </w:rPr>
              <w:t xml:space="preserve">ii) </w:t>
            </w:r>
            <w:r>
              <w:rPr>
                <w:bCs/>
                <w:lang w:val="it-IT"/>
              </w:rPr>
              <w:tab/>
            </w:r>
            <w:r w:rsidRPr="00FB4B6E">
              <w:rPr>
                <w:bCs/>
                <w:lang w:val="it-IT"/>
              </w:rPr>
              <w:t>saranno successivamente riclassificate nell'utile/(perdita) d'esercizio se sono soddisfatte determinate condizioni.</w:t>
            </w:r>
          </w:p>
        </w:tc>
        <w:tc>
          <w:tcPr>
            <w:tcW w:w="575" w:type="dxa"/>
            <w:tcMar>
              <w:left w:w="85" w:type="dxa"/>
              <w:right w:w="85" w:type="dxa"/>
            </w:tcMar>
            <w:vAlign w:val="center"/>
          </w:tcPr>
          <w:p w:rsidR="0066483E" w:rsidRPr="00725691"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725691"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725691"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Pr="008A0F36" w:rsidRDefault="004300E2" w:rsidP="004300E2">
            <w:pPr>
              <w:pStyle w:val="Numeroelenco"/>
              <w:numPr>
                <w:ilvl w:val="0"/>
                <w:numId w:val="0"/>
              </w:numPr>
              <w:ind w:firstLine="57"/>
              <w:jc w:val="left"/>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1.7</w:t>
            </w:r>
          </w:p>
        </w:tc>
        <w:tc>
          <w:tcPr>
            <w:tcW w:w="7079" w:type="dxa"/>
            <w:tcMar>
              <w:left w:w="108" w:type="dxa"/>
            </w:tcMar>
          </w:tcPr>
          <w:p w:rsidR="004300E2" w:rsidRPr="008A0F36" w:rsidRDefault="004300E2" w:rsidP="00BF3D7D">
            <w:pPr>
              <w:pStyle w:val="Paragarfobordato"/>
            </w:pPr>
            <w:r w:rsidRPr="008A0F36">
              <w:t xml:space="preserve">Alcuni esempi </w:t>
            </w:r>
            <w:r>
              <w:t xml:space="preserve">di voci </w:t>
            </w:r>
            <w:r w:rsidRPr="008A0F36">
              <w:t xml:space="preserve">delle altre componenti di conto economico complessivo </w:t>
            </w:r>
            <w:r>
              <w:t>che non saranno mai riclassificate nell’utile/(perdita) d’esercizio sono le seguenti:</w:t>
            </w:r>
          </w:p>
          <w:p w:rsidR="004300E2" w:rsidRPr="00251283" w:rsidRDefault="004300E2" w:rsidP="00BF3D7D">
            <w:pPr>
              <w:pStyle w:val="Paragarfobordato"/>
              <w:ind w:left="205" w:hanging="205"/>
            </w:pPr>
            <w:r>
              <w:t xml:space="preserve">a) </w:t>
            </w:r>
            <w:r>
              <w:tab/>
              <w:t>variazioni nella riserva di rivalutazione (si veda IAS 16 e IAS 38);</w:t>
            </w:r>
          </w:p>
          <w:p w:rsidR="004300E2" w:rsidRDefault="00BF3D7D" w:rsidP="00BF3D7D">
            <w:pPr>
              <w:pStyle w:val="Paragarfobordato"/>
              <w:spacing w:line="140" w:lineRule="exact"/>
              <w:ind w:left="202" w:hanging="202"/>
            </w:pPr>
            <w:r>
              <w:t>b)</w:t>
            </w:r>
            <w:r>
              <w:tab/>
            </w:r>
            <w:r w:rsidR="004300E2">
              <w:t xml:space="preserve">rivalutazione dell’attività/(passività) netta </w:t>
            </w:r>
            <w:r w:rsidR="004300E2" w:rsidRPr="00AB2C1C">
              <w:t>dei piani a benefici definiti</w:t>
            </w:r>
            <w:r w:rsidR="004300E2" w:rsidRPr="008A0F36">
              <w:t xml:space="preserve"> </w:t>
            </w:r>
            <w:r w:rsidR="004300E2">
              <w:t>(si veda IAS 19).</w:t>
            </w:r>
            <w:r w:rsidR="004300E2">
              <w:br/>
            </w:r>
          </w:p>
          <w:p w:rsidR="004300E2" w:rsidRDefault="004300E2" w:rsidP="00BF3D7D">
            <w:pPr>
              <w:pStyle w:val="Paragarfobordato"/>
            </w:pPr>
            <w:r w:rsidRPr="008A0F36">
              <w:t xml:space="preserve">Alcuni esempi </w:t>
            </w:r>
            <w:r>
              <w:t xml:space="preserve">di voci </w:t>
            </w:r>
            <w:r w:rsidRPr="008A0F36">
              <w:t xml:space="preserve">delle altre componenti di conto economico complessivo </w:t>
            </w:r>
            <w:r>
              <w:t>che saranno successivamente riclassificate nell’utile/(perdita) d’esercizio:</w:t>
            </w:r>
          </w:p>
          <w:p w:rsidR="004300E2" w:rsidRPr="008A0F36" w:rsidRDefault="004300E2" w:rsidP="00BF3D7D">
            <w:pPr>
              <w:pStyle w:val="Paragarfobordato"/>
              <w:ind w:left="205" w:hanging="205"/>
            </w:pPr>
            <w:r>
              <w:t>a</w:t>
            </w:r>
            <w:r w:rsidRPr="008A0F36">
              <w:t>)</w:t>
            </w:r>
            <w:r>
              <w:tab/>
            </w:r>
            <w:r w:rsidRPr="008A0F36">
              <w:t>utili e perdite derivanti dalla conversione dei bilanci di una gestione estera (si veda IAS 21)</w:t>
            </w:r>
          </w:p>
          <w:p w:rsidR="004300E2" w:rsidRPr="008A0F36" w:rsidRDefault="004300E2" w:rsidP="00BF3D7D">
            <w:pPr>
              <w:pStyle w:val="Paragarfobordato"/>
              <w:ind w:left="205" w:hanging="205"/>
            </w:pPr>
            <w:r>
              <w:t>b</w:t>
            </w:r>
            <w:r w:rsidRPr="008A0F36">
              <w:t>)</w:t>
            </w:r>
            <w:r w:rsidRPr="008A0F36">
              <w:tab/>
              <w:t xml:space="preserve">utili e perdite derivanti dalla </w:t>
            </w:r>
            <w:r>
              <w:t xml:space="preserve">valutazione al </w:t>
            </w:r>
            <w:r>
              <w:rPr>
                <w:i/>
              </w:rPr>
              <w:t xml:space="preserve">fair value </w:t>
            </w:r>
            <w:r>
              <w:t xml:space="preserve">delle </w:t>
            </w:r>
            <w:r w:rsidRPr="008A0F36">
              <w:t>attività finanziarie disponibili per la vendita (si veda IAS 39) e</w:t>
            </w:r>
          </w:p>
          <w:p w:rsidR="004300E2" w:rsidRDefault="004300E2" w:rsidP="00BF3D7D">
            <w:pPr>
              <w:pStyle w:val="Paragarfobordato"/>
              <w:ind w:left="205" w:hanging="205"/>
            </w:pPr>
            <w:r>
              <w:t>c</w:t>
            </w:r>
            <w:r w:rsidRPr="008A0F36">
              <w:t>)</w:t>
            </w:r>
            <w:r w:rsidRPr="008A0F36">
              <w:tab/>
              <w:t>la parte efficace degli utili e delle perdite sugli strumenti di copertura in una copertura di flussi di cassa (si veda IAS 39).</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66483E" w:rsidRPr="008129DA" w:rsidTr="00940A6F">
        <w:trPr>
          <w:cantSplit/>
          <w:trHeight w:val="20"/>
        </w:trPr>
        <w:tc>
          <w:tcPr>
            <w:tcW w:w="567" w:type="dxa"/>
          </w:tcPr>
          <w:p w:rsidR="0066483E" w:rsidRPr="008A0F36" w:rsidRDefault="0066483E" w:rsidP="004300E2">
            <w:pPr>
              <w:pStyle w:val="Numeroelenco"/>
              <w:ind w:left="0" w:firstLine="57"/>
              <w:rPr>
                <w:lang w:val="it-IT"/>
              </w:rPr>
            </w:pPr>
          </w:p>
        </w:tc>
        <w:tc>
          <w:tcPr>
            <w:tcW w:w="851" w:type="dxa"/>
            <w:tcMar>
              <w:left w:w="108" w:type="dxa"/>
              <w:right w:w="0" w:type="dxa"/>
            </w:tcMar>
          </w:tcPr>
          <w:p w:rsidR="0066483E" w:rsidRPr="008A0F36" w:rsidRDefault="0066483E" w:rsidP="004300E2">
            <w:pPr>
              <w:pStyle w:val="IAS"/>
              <w:rPr>
                <w:lang w:val="it-IT"/>
              </w:rPr>
            </w:pPr>
            <w:r w:rsidRPr="008A0F36">
              <w:rPr>
                <w:lang w:val="it-IT"/>
              </w:rPr>
              <w:t>IAS 1.87</w:t>
            </w:r>
          </w:p>
        </w:tc>
        <w:tc>
          <w:tcPr>
            <w:tcW w:w="7079" w:type="dxa"/>
            <w:tcMar>
              <w:left w:w="108" w:type="dxa"/>
            </w:tcMar>
          </w:tcPr>
          <w:p w:rsidR="0066483E" w:rsidRPr="008A0F36" w:rsidRDefault="0066483E" w:rsidP="00FD41D8">
            <w:pPr>
              <w:rPr>
                <w:lang w:val="it-IT"/>
              </w:rPr>
            </w:pPr>
            <w:r w:rsidRPr="008A0F36">
              <w:rPr>
                <w:lang w:val="it-IT"/>
              </w:rPr>
              <w:t>L’entità non deve presentare elementi di costo e ricavo come elementi straordinari nel</w:t>
            </w:r>
            <w:r>
              <w:rPr>
                <w:lang w:val="it-IT"/>
              </w:rPr>
              <w:t xml:space="preserve"> </w:t>
            </w:r>
            <w:r w:rsidRPr="008A0F36">
              <w:rPr>
                <w:lang w:val="it-IT"/>
              </w:rPr>
              <w:t>prospetto</w:t>
            </w:r>
            <w:r>
              <w:rPr>
                <w:lang w:val="it-IT"/>
              </w:rPr>
              <w:t xml:space="preserve"> (nei prospetti)</w:t>
            </w:r>
            <w:r w:rsidRPr="008A0F36">
              <w:rPr>
                <w:lang w:val="it-IT"/>
              </w:rPr>
              <w:t xml:space="preserve"> </w:t>
            </w:r>
            <w:r>
              <w:rPr>
                <w:lang w:val="it-IT"/>
              </w:rPr>
              <w:t xml:space="preserve">del’utile/(perdita) d’esercizio e delle altre componenti di conto </w:t>
            </w:r>
            <w:r w:rsidRPr="008A0F36">
              <w:rPr>
                <w:lang w:val="it-IT"/>
              </w:rPr>
              <w:t xml:space="preserve">economico </w:t>
            </w:r>
            <w:r>
              <w:rPr>
                <w:lang w:val="it-IT"/>
              </w:rPr>
              <w:t>complessivo</w:t>
            </w:r>
            <w:r w:rsidRPr="008A0F36">
              <w:rPr>
                <w:lang w:val="it-IT"/>
              </w:rPr>
              <w:t>, né nelle note.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pStyle w:val="Numeroelenco"/>
              <w:ind w:left="0" w:firstLine="57"/>
              <w:rPr>
                <w:lang w:val="it-IT"/>
              </w:rPr>
            </w:pPr>
          </w:p>
        </w:tc>
        <w:tc>
          <w:tcPr>
            <w:tcW w:w="851" w:type="dxa"/>
            <w:tcMar>
              <w:left w:w="108" w:type="dxa"/>
              <w:right w:w="0" w:type="dxa"/>
            </w:tcMar>
          </w:tcPr>
          <w:p w:rsidR="0066483E" w:rsidRPr="008A0F36" w:rsidRDefault="0066483E" w:rsidP="004300E2">
            <w:pPr>
              <w:pStyle w:val="IAS"/>
              <w:rPr>
                <w:lang w:val="it-IT"/>
              </w:rPr>
            </w:pPr>
            <w:r w:rsidRPr="008A0F36">
              <w:rPr>
                <w:lang w:val="it-IT"/>
              </w:rPr>
              <w:t>IAS 1.29</w:t>
            </w:r>
          </w:p>
        </w:tc>
        <w:tc>
          <w:tcPr>
            <w:tcW w:w="7079" w:type="dxa"/>
            <w:tcMar>
              <w:left w:w="108" w:type="dxa"/>
            </w:tcMar>
          </w:tcPr>
          <w:p w:rsidR="0066483E" w:rsidRPr="008A0F36" w:rsidRDefault="0066483E" w:rsidP="00FD41D8">
            <w:pPr>
              <w:rPr>
                <w:lang w:val="it-IT"/>
              </w:rPr>
            </w:pPr>
            <w:r w:rsidRPr="008A0F36">
              <w:rPr>
                <w:lang w:val="it-IT"/>
              </w:rPr>
              <w:t>Ogni classe rilevante di voci simili è stata esposta distintamente nel</w:t>
            </w:r>
            <w:r>
              <w:rPr>
                <w:lang w:val="it-IT"/>
              </w:rPr>
              <w:t xml:space="preserve"> </w:t>
            </w:r>
            <w:r w:rsidRPr="008A0F36">
              <w:rPr>
                <w:lang w:val="it-IT"/>
              </w:rPr>
              <w:t>prospetto</w:t>
            </w:r>
            <w:r>
              <w:rPr>
                <w:lang w:val="it-IT"/>
              </w:rPr>
              <w:t xml:space="preserve"> (nei prospetti)</w:t>
            </w:r>
            <w:r w:rsidRPr="008A0F36">
              <w:rPr>
                <w:lang w:val="it-IT"/>
              </w:rPr>
              <w:t xml:space="preserve"> </w:t>
            </w:r>
            <w:r>
              <w:rPr>
                <w:lang w:val="it-IT"/>
              </w:rPr>
              <w:t xml:space="preserve">dell’utile/(perdita) e delle altre componenti </w:t>
            </w:r>
            <w:r w:rsidRPr="008A0F36">
              <w:rPr>
                <w:lang w:val="it-IT"/>
              </w:rPr>
              <w:t>di conto economico complessivo.</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pStyle w:val="Numeroelenco"/>
              <w:ind w:left="0" w:firstLine="57"/>
              <w:rPr>
                <w:lang w:val="it-IT"/>
              </w:rPr>
            </w:pPr>
          </w:p>
        </w:tc>
        <w:tc>
          <w:tcPr>
            <w:tcW w:w="851" w:type="dxa"/>
            <w:tcMar>
              <w:left w:w="108" w:type="dxa"/>
              <w:right w:w="0" w:type="dxa"/>
            </w:tcMar>
          </w:tcPr>
          <w:p w:rsidR="0066483E" w:rsidRPr="008A0F36" w:rsidRDefault="0066483E" w:rsidP="004300E2">
            <w:pPr>
              <w:pStyle w:val="IAS"/>
              <w:rPr>
                <w:lang w:val="it-IT"/>
              </w:rPr>
            </w:pPr>
            <w:r w:rsidRPr="008A0F36">
              <w:rPr>
                <w:lang w:val="it-IT"/>
              </w:rPr>
              <w:t>IAS 1.32</w:t>
            </w:r>
          </w:p>
        </w:tc>
        <w:tc>
          <w:tcPr>
            <w:tcW w:w="7079" w:type="dxa"/>
            <w:tcMar>
              <w:left w:w="108" w:type="dxa"/>
            </w:tcMar>
          </w:tcPr>
          <w:p w:rsidR="0066483E" w:rsidRPr="008A0F36" w:rsidRDefault="0066483E" w:rsidP="00FD41D8">
            <w:pPr>
              <w:rPr>
                <w:lang w:val="it-IT"/>
              </w:rPr>
            </w:pPr>
            <w:r w:rsidRPr="008A0F36">
              <w:rPr>
                <w:lang w:val="it-IT"/>
              </w:rPr>
              <w:t>I proventi e gli oneri sono stati presentati distintamente e senza compensazione (se non richiesto o consentito da un IFRS).</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Pr="008A0F36" w:rsidRDefault="004300E2" w:rsidP="004300E2">
            <w:pPr>
              <w:pStyle w:val="Numeroelenco"/>
              <w:numPr>
                <w:ilvl w:val="0"/>
                <w:numId w:val="0"/>
              </w:numPr>
              <w:ind w:firstLine="57"/>
              <w:jc w:val="left"/>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1.34</w:t>
            </w:r>
          </w:p>
          <w:p w:rsidR="004300E2" w:rsidRPr="008A0F36" w:rsidRDefault="004300E2" w:rsidP="004300E2">
            <w:pPr>
              <w:pStyle w:val="IAS"/>
              <w:rPr>
                <w:lang w:val="it-IT"/>
              </w:rPr>
            </w:pPr>
          </w:p>
          <w:p w:rsidR="004300E2" w:rsidRPr="008A0F36" w:rsidRDefault="004300E2" w:rsidP="004300E2">
            <w:pPr>
              <w:pStyle w:val="IAS"/>
              <w:rPr>
                <w:lang w:val="it-IT"/>
              </w:rPr>
            </w:pPr>
          </w:p>
          <w:p w:rsidR="004300E2" w:rsidRPr="008A0F36" w:rsidRDefault="004300E2" w:rsidP="004300E2">
            <w:pPr>
              <w:pStyle w:val="IAS"/>
              <w:rPr>
                <w:lang w:val="it-IT"/>
              </w:rPr>
            </w:pPr>
          </w:p>
          <w:p w:rsidR="004300E2" w:rsidRPr="008A0F36" w:rsidRDefault="004300E2" w:rsidP="004300E2">
            <w:pPr>
              <w:pStyle w:val="IAS"/>
              <w:rPr>
                <w:lang w:val="it-IT"/>
              </w:rPr>
            </w:pPr>
          </w:p>
          <w:p w:rsidR="004300E2" w:rsidRPr="008A0F36" w:rsidRDefault="004300E2" w:rsidP="004300E2">
            <w:pPr>
              <w:pStyle w:val="IAS"/>
              <w:rPr>
                <w:lang w:val="it-IT"/>
              </w:rPr>
            </w:pPr>
            <w:r w:rsidRPr="008A0F36">
              <w:rPr>
                <w:lang w:val="it-IT"/>
              </w:rPr>
              <w:t>IAS 1.35</w:t>
            </w:r>
          </w:p>
        </w:tc>
        <w:tc>
          <w:tcPr>
            <w:tcW w:w="7079" w:type="dxa"/>
            <w:tcMar>
              <w:left w:w="108" w:type="dxa"/>
            </w:tcMar>
          </w:tcPr>
          <w:p w:rsidR="004300E2" w:rsidRPr="008A0F36" w:rsidRDefault="004300E2" w:rsidP="00BF3D7D">
            <w:pPr>
              <w:pStyle w:val="Paragarfobordato"/>
            </w:pPr>
            <w:r w:rsidRPr="008A0F36">
              <w:t>Esempi di voci che possono essere compensate nel</w:t>
            </w:r>
            <w:r>
              <w:t xml:space="preserve"> prospetto dell’utile/(perdita) d’esercizio </w:t>
            </w:r>
            <w:r w:rsidRPr="008A0F36">
              <w:t>includono i seguenti:</w:t>
            </w:r>
          </w:p>
          <w:p w:rsidR="004300E2" w:rsidRPr="008A0F36" w:rsidRDefault="004300E2" w:rsidP="00BF3D7D">
            <w:pPr>
              <w:pStyle w:val="Paragarfobordato"/>
              <w:ind w:left="205" w:hanging="205"/>
            </w:pPr>
            <w:r w:rsidRPr="008A0F36">
              <w:t>a)</w:t>
            </w:r>
            <w:r w:rsidRPr="008A0F36">
              <w:tab/>
              <w:t>plusvalenze e minusvalenze derivanti dalla vendita di attività non correnti, incluse partecipazioni e beni strumentali, sono esposti deducendo dai corrispettivi delle cessione il valore contabile del bene e le relative spese di vendita</w:t>
            </w:r>
          </w:p>
          <w:p w:rsidR="004300E2" w:rsidRPr="008A0F36" w:rsidRDefault="004300E2" w:rsidP="00BF3D7D">
            <w:pPr>
              <w:pStyle w:val="Paragarfobordato"/>
              <w:ind w:left="205" w:hanging="205"/>
            </w:pPr>
            <w:r w:rsidRPr="008A0F36">
              <w:t>b)</w:t>
            </w:r>
            <w:r w:rsidRPr="008A0F36">
              <w:tab/>
              <w:t>un costo che è rimborsato secondo un accordo contrattuale con una parte terza (per esempio un accordo di subappalto), è compensato contro il relativo rimborso; e</w:t>
            </w:r>
          </w:p>
          <w:p w:rsidR="004300E2" w:rsidRPr="008A0F36" w:rsidRDefault="004300E2" w:rsidP="00BF3D7D">
            <w:pPr>
              <w:pStyle w:val="Paragarfobordato"/>
              <w:ind w:left="205" w:hanging="205"/>
            </w:pPr>
            <w:r w:rsidRPr="008A0F36">
              <w:t>c)</w:t>
            </w:r>
            <w:r w:rsidRPr="008A0F36">
              <w:tab/>
              <w:t>utili e perdite derivanti da un gruppo di transazioni simili sono esposte in base al criterio di compensazione, per esempio utili e perdite su cambi e perdite derivanti da operazioni con strumenti finanziari detenuti per la negoziazione, a meno che tali utili e perdite siano rilevanti.</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66483E" w:rsidRPr="008129DA" w:rsidTr="00940A6F">
        <w:trPr>
          <w:cantSplit/>
          <w:trHeight w:val="20"/>
        </w:trPr>
        <w:tc>
          <w:tcPr>
            <w:tcW w:w="567" w:type="dxa"/>
          </w:tcPr>
          <w:p w:rsidR="0066483E" w:rsidRPr="008A0F36" w:rsidRDefault="0066483E" w:rsidP="004300E2">
            <w:pPr>
              <w:pStyle w:val="Numeroelenco"/>
              <w:ind w:left="0" w:firstLine="57"/>
              <w:rPr>
                <w:lang w:val="it-IT"/>
              </w:rPr>
            </w:pPr>
          </w:p>
        </w:tc>
        <w:tc>
          <w:tcPr>
            <w:tcW w:w="851" w:type="dxa"/>
            <w:tcMar>
              <w:left w:w="108" w:type="dxa"/>
              <w:right w:w="0" w:type="dxa"/>
            </w:tcMar>
          </w:tcPr>
          <w:p w:rsidR="0066483E" w:rsidRPr="008A0F36" w:rsidRDefault="0066483E" w:rsidP="004300E2">
            <w:pPr>
              <w:pStyle w:val="IAS"/>
              <w:rPr>
                <w:lang w:val="it-IT"/>
              </w:rPr>
            </w:pPr>
            <w:r w:rsidRPr="008A0F36">
              <w:rPr>
                <w:lang w:val="it-IT"/>
              </w:rPr>
              <w:t>IAS 1.88</w:t>
            </w:r>
          </w:p>
        </w:tc>
        <w:tc>
          <w:tcPr>
            <w:tcW w:w="7079" w:type="dxa"/>
            <w:tcMar>
              <w:left w:w="108" w:type="dxa"/>
            </w:tcMar>
          </w:tcPr>
          <w:p w:rsidR="0066483E" w:rsidRPr="008A0F36" w:rsidRDefault="0066483E" w:rsidP="00ED44D5">
            <w:pPr>
              <w:rPr>
                <w:lang w:val="it-IT"/>
              </w:rPr>
            </w:pPr>
            <w:r w:rsidRPr="008A0F36">
              <w:rPr>
                <w:lang w:val="it-IT"/>
              </w:rPr>
              <w:t xml:space="preserve">A meno che un IFRS non disponga diversamente, l’entità </w:t>
            </w:r>
            <w:r>
              <w:rPr>
                <w:lang w:val="it-IT"/>
              </w:rPr>
              <w:t xml:space="preserve">deve includere </w:t>
            </w:r>
            <w:r w:rsidRPr="008A0F36">
              <w:rPr>
                <w:lang w:val="it-IT"/>
              </w:rPr>
              <w:t>nell’utile/(perdita) d’esercizio tutte le voci di ricavo e di costo relative all’esercizio</w:t>
            </w:r>
            <w:r>
              <w:rPr>
                <w:lang w:val="it-IT"/>
              </w:rPr>
              <w:t>.</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Pr="008A0F36" w:rsidRDefault="004300E2" w:rsidP="004300E2">
            <w:pPr>
              <w:pStyle w:val="Numeroelenco"/>
              <w:numPr>
                <w:ilvl w:val="0"/>
                <w:numId w:val="0"/>
              </w:numPr>
              <w:ind w:firstLine="57"/>
              <w:jc w:val="left"/>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1.89</w:t>
            </w:r>
          </w:p>
          <w:p w:rsidR="004300E2" w:rsidRPr="008A0F36" w:rsidRDefault="004300E2" w:rsidP="004300E2">
            <w:pPr>
              <w:pStyle w:val="IAS"/>
              <w:rPr>
                <w:lang w:val="it-IT"/>
              </w:rPr>
            </w:pPr>
          </w:p>
        </w:tc>
        <w:tc>
          <w:tcPr>
            <w:tcW w:w="7079" w:type="dxa"/>
            <w:tcMar>
              <w:left w:w="108" w:type="dxa"/>
            </w:tcMar>
          </w:tcPr>
          <w:p w:rsidR="004300E2" w:rsidRPr="008A0F36" w:rsidRDefault="004300E2" w:rsidP="00BF3D7D">
            <w:pPr>
              <w:pStyle w:val="Paragarfobordato"/>
            </w:pPr>
            <w:r w:rsidRPr="008A0F36">
              <w:t xml:space="preserve">Lo IAS 8 specifica due circostante in cui l’entità rileva elementi fuori dall’utile/(perdita) d’esercizio: (i) correzioni di errori, (ii) effetti di cambiamenti di principi contabili. Altri IFRS richiedono o consentono di escludere dall’utile/(perdita) d’esercizio altri elementi del conto economico complessivo che soddisfano la definizione di costi o ricavi contenuta nel </w:t>
            </w:r>
            <w:r>
              <w:t>Q</w:t>
            </w:r>
            <w:r w:rsidRPr="008A0F36">
              <w:t xml:space="preserve">uadro </w:t>
            </w:r>
            <w:r>
              <w:t>S</w:t>
            </w:r>
            <w:r w:rsidRPr="008A0F36">
              <w:t xml:space="preserve">istematico </w:t>
            </w:r>
            <w:r>
              <w:t xml:space="preserve">degli IFRS </w:t>
            </w:r>
            <w:r w:rsidRPr="008A0F36">
              <w:t>(</w:t>
            </w:r>
            <w:r w:rsidRPr="00251283">
              <w:rPr>
                <w:i/>
              </w:rPr>
              <w:t>Conceptual</w:t>
            </w:r>
            <w:r>
              <w:t xml:space="preserve"> </w:t>
            </w:r>
            <w:r w:rsidRPr="008A0F36">
              <w:rPr>
                <w:i/>
              </w:rPr>
              <w:t>Framework</w:t>
            </w:r>
            <w:r w:rsidRPr="008A0F36">
              <w:t>).</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4300E2" w:rsidRPr="00A44ECD" w:rsidDel="00695F8B" w:rsidTr="00940A6F">
        <w:trPr>
          <w:cantSplit/>
          <w:trHeight w:val="20"/>
        </w:trPr>
        <w:tc>
          <w:tcPr>
            <w:tcW w:w="567" w:type="dxa"/>
          </w:tcPr>
          <w:p w:rsidR="004300E2" w:rsidRPr="008A0F36" w:rsidDel="00695F8B" w:rsidRDefault="004300E2" w:rsidP="004300E2">
            <w:pPr>
              <w:pStyle w:val="Numeroelenco"/>
              <w:numPr>
                <w:ilvl w:val="0"/>
                <w:numId w:val="0"/>
              </w:numPr>
              <w:ind w:firstLine="57"/>
              <w:jc w:val="left"/>
              <w:rPr>
                <w:lang w:val="it-IT"/>
              </w:rPr>
            </w:pPr>
          </w:p>
        </w:tc>
        <w:tc>
          <w:tcPr>
            <w:tcW w:w="851" w:type="dxa"/>
            <w:tcMar>
              <w:left w:w="108" w:type="dxa"/>
              <w:right w:w="0" w:type="dxa"/>
            </w:tcMar>
          </w:tcPr>
          <w:p w:rsidR="004300E2" w:rsidRPr="008A0F36" w:rsidDel="00695F8B" w:rsidRDefault="004300E2" w:rsidP="004300E2">
            <w:pPr>
              <w:pStyle w:val="IAS"/>
              <w:rPr>
                <w:lang w:val="it-IT"/>
              </w:rPr>
            </w:pPr>
            <w:r>
              <w:rPr>
                <w:lang w:val="it-IT"/>
              </w:rPr>
              <w:t>IAS 32.40</w:t>
            </w:r>
          </w:p>
        </w:tc>
        <w:tc>
          <w:tcPr>
            <w:tcW w:w="7079" w:type="dxa"/>
            <w:tcMar>
              <w:left w:w="108" w:type="dxa"/>
            </w:tcMar>
          </w:tcPr>
          <w:p w:rsidR="004300E2" w:rsidRPr="00CE0185" w:rsidRDefault="004300E2" w:rsidP="00BF3D7D">
            <w:pPr>
              <w:pStyle w:val="Paragarfobordato"/>
            </w:pPr>
            <w:r w:rsidRPr="00C778AA">
              <w:t>I dividendi classificati come oneri possono essere esposti nel prospetto (nei prospetti) dell'</w:t>
            </w:r>
            <w:r>
              <w:t>utile/(perdita)</w:t>
            </w:r>
            <w:r w:rsidRPr="00C778AA">
              <w:t xml:space="preserve"> d'esercizio e delle altre componenti di conto economico complessivo insieme agli interessi per altre passività o in una voce distinta. In aggiunta alle disposizioni contenute </w:t>
            </w:r>
            <w:r>
              <w:t>nello IAS 32</w:t>
            </w:r>
            <w:r w:rsidRPr="00C778AA">
              <w:t>, l'illustrazione di interessi e dividendi è soggetta alle disposizioni dello IAS 1 e dell'IFRS 7. Talvolta, a causa del diverso trattamento al quale sono soggetti, per esempio dal punto di vista della deducibilità fiscale, è opportuno riportare distintamente gli interessi e i dividendi nel prospetto (nei prospetti) dell'</w:t>
            </w:r>
            <w:r>
              <w:t>utile/(perdita)</w:t>
            </w:r>
            <w:r w:rsidRPr="00C778AA">
              <w:t xml:space="preserve"> d'esercizio e delle altre componenti di conto economico complessivo. L'informativa sugli effetti fiscali è esposta secondo quanto previsto dallo IAS 12.</w:t>
            </w:r>
          </w:p>
        </w:tc>
        <w:tc>
          <w:tcPr>
            <w:tcW w:w="575" w:type="dxa"/>
            <w:tcMar>
              <w:left w:w="85" w:type="dxa"/>
              <w:right w:w="85" w:type="dxa"/>
            </w:tcMar>
            <w:vAlign w:val="center"/>
          </w:tcPr>
          <w:p w:rsidR="004300E2" w:rsidRPr="00F57D80" w:rsidDel="00695F8B" w:rsidRDefault="004300E2" w:rsidP="004300E2">
            <w:pPr>
              <w:jc w:val="center"/>
              <w:rPr>
                <w:lang w:val="it-IT"/>
              </w:rPr>
            </w:pPr>
          </w:p>
        </w:tc>
        <w:tc>
          <w:tcPr>
            <w:tcW w:w="567" w:type="dxa"/>
            <w:tcMar>
              <w:left w:w="108" w:type="dxa"/>
            </w:tcMar>
            <w:vAlign w:val="center"/>
          </w:tcPr>
          <w:p w:rsidR="004300E2" w:rsidRPr="00F57D80" w:rsidDel="00695F8B" w:rsidRDefault="004300E2" w:rsidP="004300E2">
            <w:pPr>
              <w:jc w:val="center"/>
              <w:rPr>
                <w:lang w:val="it-IT"/>
              </w:rPr>
            </w:pPr>
          </w:p>
        </w:tc>
        <w:tc>
          <w:tcPr>
            <w:tcW w:w="567" w:type="dxa"/>
            <w:tcMar>
              <w:left w:w="108" w:type="dxa"/>
            </w:tcMar>
            <w:vAlign w:val="center"/>
          </w:tcPr>
          <w:p w:rsidR="004300E2" w:rsidRPr="00F57D80" w:rsidDel="00695F8B" w:rsidRDefault="004300E2" w:rsidP="004300E2">
            <w:pPr>
              <w:jc w:val="center"/>
              <w:rPr>
                <w:lang w:val="it-IT"/>
              </w:rPr>
            </w:pPr>
          </w:p>
        </w:tc>
      </w:tr>
      <w:tr w:rsidR="0066483E" w:rsidRPr="008129DA" w:rsidTr="00940A6F">
        <w:trPr>
          <w:cantSplit/>
          <w:trHeight w:val="20"/>
        </w:trPr>
        <w:tc>
          <w:tcPr>
            <w:tcW w:w="567" w:type="dxa"/>
          </w:tcPr>
          <w:p w:rsidR="0066483E" w:rsidRPr="008A0F36" w:rsidRDefault="0066483E" w:rsidP="004300E2">
            <w:pPr>
              <w:pStyle w:val="Numeroelenco"/>
              <w:ind w:left="0" w:firstLine="57"/>
              <w:rPr>
                <w:lang w:val="it-IT"/>
              </w:rPr>
            </w:pPr>
          </w:p>
        </w:tc>
        <w:tc>
          <w:tcPr>
            <w:tcW w:w="851" w:type="dxa"/>
            <w:tcMar>
              <w:left w:w="108" w:type="dxa"/>
              <w:right w:w="0" w:type="dxa"/>
            </w:tcMar>
          </w:tcPr>
          <w:p w:rsidR="0066483E" w:rsidRPr="008A0F36" w:rsidRDefault="0066483E" w:rsidP="004300E2">
            <w:pPr>
              <w:pStyle w:val="IAS"/>
              <w:rPr>
                <w:lang w:val="it-IT"/>
              </w:rPr>
            </w:pPr>
            <w:r w:rsidRPr="008A0F36">
              <w:rPr>
                <w:lang w:val="it-IT"/>
              </w:rPr>
              <w:t>IFRIC1.6</w:t>
            </w:r>
            <w:r w:rsidRPr="008A0F36">
              <w:rPr>
                <w:lang w:val="it-IT"/>
              </w:rPr>
              <w:br/>
              <w:t>(d)</w:t>
            </w:r>
          </w:p>
        </w:tc>
        <w:tc>
          <w:tcPr>
            <w:tcW w:w="7079" w:type="dxa"/>
            <w:tcMar>
              <w:left w:w="108" w:type="dxa"/>
            </w:tcMar>
          </w:tcPr>
          <w:p w:rsidR="0066483E" w:rsidRPr="008A0F36" w:rsidRDefault="0066483E" w:rsidP="004300E2">
            <w:pPr>
              <w:rPr>
                <w:lang w:val="it-IT"/>
              </w:rPr>
            </w:pPr>
            <w:r w:rsidRPr="008A0F36">
              <w:rPr>
                <w:lang w:val="it-IT"/>
              </w:rPr>
              <w:t xml:space="preserve">L’entità espone separatamente </w:t>
            </w:r>
            <w:r>
              <w:rPr>
                <w:lang w:val="it-IT"/>
              </w:rPr>
              <w:t xml:space="preserve">nella sezione </w:t>
            </w:r>
            <w:r w:rsidRPr="008A0F36">
              <w:rPr>
                <w:lang w:val="it-IT"/>
              </w:rPr>
              <w:t>delle altre componenti di conto economico complessivo la variazione della riserva di rivalutazione dovuta ad una modifica della passività iscritta per smantellamenti e ripristini.</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pStyle w:val="Numeroelenco"/>
              <w:ind w:left="0" w:firstLine="57"/>
              <w:rPr>
                <w:lang w:val="it-IT"/>
              </w:rPr>
            </w:pPr>
          </w:p>
        </w:tc>
        <w:tc>
          <w:tcPr>
            <w:tcW w:w="851" w:type="dxa"/>
            <w:tcMar>
              <w:left w:w="108" w:type="dxa"/>
              <w:right w:w="0" w:type="dxa"/>
            </w:tcMar>
          </w:tcPr>
          <w:p w:rsidR="0066483E" w:rsidRPr="008A0F36" w:rsidRDefault="0066483E" w:rsidP="004300E2">
            <w:pPr>
              <w:pStyle w:val="IAS"/>
              <w:rPr>
                <w:lang w:val="it-IT"/>
              </w:rPr>
            </w:pPr>
            <w:r w:rsidRPr="008A0F36">
              <w:rPr>
                <w:lang w:val="it-IT"/>
              </w:rPr>
              <w:t>IAS</w:t>
            </w:r>
            <w:r>
              <w:rPr>
                <w:lang w:val="it-IT"/>
              </w:rPr>
              <w:t xml:space="preserve"> </w:t>
            </w:r>
            <w:r w:rsidRPr="008A0F36">
              <w:rPr>
                <w:lang w:val="it-IT"/>
              </w:rPr>
              <w:t>28.</w:t>
            </w:r>
            <w:r>
              <w:rPr>
                <w:lang w:val="it-IT"/>
              </w:rPr>
              <w:t>10</w:t>
            </w:r>
          </w:p>
        </w:tc>
        <w:tc>
          <w:tcPr>
            <w:tcW w:w="7079" w:type="dxa"/>
            <w:tcMar>
              <w:left w:w="108" w:type="dxa"/>
            </w:tcMar>
          </w:tcPr>
          <w:p w:rsidR="0066483E" w:rsidRPr="008A0F36" w:rsidRDefault="0066483E" w:rsidP="004300E2">
            <w:pPr>
              <w:rPr>
                <w:lang w:val="it-IT"/>
              </w:rPr>
            </w:pPr>
            <w:r w:rsidRPr="008A0F36">
              <w:rPr>
                <w:lang w:val="it-IT"/>
              </w:rPr>
              <w:t>La quota di pertinenza della partecipante alle altre componenti di conto economico complessivo delle società collegate</w:t>
            </w:r>
            <w:r>
              <w:rPr>
                <w:lang w:val="it-IT"/>
              </w:rPr>
              <w:t xml:space="preserve"> e delle </w:t>
            </w:r>
            <w:r w:rsidRPr="00136A38">
              <w:rPr>
                <w:i/>
                <w:lang w:val="it-IT"/>
              </w:rPr>
              <w:t>joint venture</w:t>
            </w:r>
            <w:r>
              <w:rPr>
                <w:lang w:val="it-IT"/>
              </w:rPr>
              <w:t>,</w:t>
            </w:r>
            <w:r w:rsidRPr="008A0F36">
              <w:rPr>
                <w:lang w:val="it-IT"/>
              </w:rPr>
              <w:t xml:space="preserve"> </w:t>
            </w:r>
            <w:r>
              <w:rPr>
                <w:lang w:val="it-IT"/>
              </w:rPr>
              <w:t xml:space="preserve">valutate con il metodo del patrimonio netto, </w:t>
            </w:r>
            <w:r w:rsidRPr="008A0F36">
              <w:rPr>
                <w:lang w:val="it-IT"/>
              </w:rPr>
              <w:t xml:space="preserve">è stata rilevata </w:t>
            </w:r>
            <w:r>
              <w:rPr>
                <w:lang w:val="it-IT"/>
              </w:rPr>
              <w:t xml:space="preserve">nella sezione </w:t>
            </w:r>
            <w:r w:rsidRPr="008A0F36">
              <w:rPr>
                <w:lang w:val="it-IT"/>
              </w:rPr>
              <w:t xml:space="preserve">delle altre componenti </w:t>
            </w:r>
            <w:r>
              <w:rPr>
                <w:lang w:val="it-IT"/>
              </w:rPr>
              <w:t xml:space="preserve">di </w:t>
            </w:r>
            <w:r w:rsidRPr="008A0F36">
              <w:rPr>
                <w:lang w:val="it-IT"/>
              </w:rPr>
              <w:t>conto economico complessivo della partecipante</w:t>
            </w:r>
            <w:r>
              <w:rPr>
                <w:lang w:val="it-IT"/>
              </w:rPr>
              <w:t>.</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pStyle w:val="Numeroelenco"/>
              <w:ind w:left="0" w:firstLine="57"/>
              <w:rPr>
                <w:lang w:val="it-IT"/>
              </w:rPr>
            </w:pPr>
          </w:p>
        </w:tc>
        <w:tc>
          <w:tcPr>
            <w:tcW w:w="851" w:type="dxa"/>
            <w:tcMar>
              <w:left w:w="108" w:type="dxa"/>
              <w:right w:w="0" w:type="dxa"/>
            </w:tcMar>
          </w:tcPr>
          <w:p w:rsidR="0066483E" w:rsidRPr="008A0F36" w:rsidRDefault="0066483E" w:rsidP="004300E2">
            <w:pPr>
              <w:pStyle w:val="IAS"/>
              <w:rPr>
                <w:lang w:val="it-IT"/>
              </w:rPr>
            </w:pPr>
            <w:r w:rsidRPr="008A0F36">
              <w:rPr>
                <w:lang w:val="it-IT"/>
              </w:rPr>
              <w:t>IFRS 5.38</w:t>
            </w:r>
          </w:p>
        </w:tc>
        <w:tc>
          <w:tcPr>
            <w:tcW w:w="7079" w:type="dxa"/>
            <w:tcMar>
              <w:left w:w="108" w:type="dxa"/>
            </w:tcMar>
          </w:tcPr>
          <w:p w:rsidR="0066483E" w:rsidRPr="008A0F36" w:rsidRDefault="0066483E" w:rsidP="004300E2">
            <w:pPr>
              <w:rPr>
                <w:lang w:val="it-IT"/>
              </w:rPr>
            </w:pPr>
            <w:r w:rsidRPr="008A0F36">
              <w:rPr>
                <w:lang w:val="it-IT"/>
              </w:rPr>
              <w:t xml:space="preserve">L’entità ha presentato separatamente ogni provento od onere cumulato rilevato </w:t>
            </w:r>
            <w:r>
              <w:rPr>
                <w:lang w:val="it-IT"/>
              </w:rPr>
              <w:t xml:space="preserve">tra le </w:t>
            </w:r>
            <w:r w:rsidRPr="008A0F36">
              <w:rPr>
                <w:lang w:val="it-IT"/>
              </w:rPr>
              <w:t>altre componenti di conto economico complessivo</w:t>
            </w:r>
            <w:r>
              <w:rPr>
                <w:lang w:val="it-IT"/>
              </w:rPr>
              <w:t xml:space="preserve"> con riferimento </w:t>
            </w:r>
            <w:r w:rsidRPr="008A0F36">
              <w:rPr>
                <w:lang w:val="it-IT"/>
              </w:rPr>
              <w:t>ad un’attività non corrente (o gruppo in dismissione) classificato come posseduto per la vendita.</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pStyle w:val="Numeroelenco"/>
              <w:ind w:left="0" w:firstLine="57"/>
              <w:rPr>
                <w:lang w:val="it-IT"/>
              </w:rPr>
            </w:pPr>
          </w:p>
        </w:tc>
        <w:tc>
          <w:tcPr>
            <w:tcW w:w="851" w:type="dxa"/>
            <w:tcMar>
              <w:left w:w="108" w:type="dxa"/>
              <w:right w:w="0" w:type="dxa"/>
            </w:tcMar>
          </w:tcPr>
          <w:p w:rsidR="0066483E" w:rsidRPr="008A0F36" w:rsidRDefault="0066483E" w:rsidP="004300E2">
            <w:pPr>
              <w:pStyle w:val="IAS"/>
              <w:rPr>
                <w:lang w:val="it-IT"/>
              </w:rPr>
            </w:pPr>
            <w:r w:rsidRPr="008A0F36">
              <w:rPr>
                <w:lang w:val="it-IT"/>
              </w:rPr>
              <w:t>IAS 1.85</w:t>
            </w:r>
          </w:p>
        </w:tc>
        <w:tc>
          <w:tcPr>
            <w:tcW w:w="7079" w:type="dxa"/>
            <w:tcMar>
              <w:left w:w="108" w:type="dxa"/>
            </w:tcMar>
          </w:tcPr>
          <w:p w:rsidR="0066483E" w:rsidRPr="00CD3BA4" w:rsidRDefault="0066483E" w:rsidP="00ED44D5">
            <w:pPr>
              <w:rPr>
                <w:lang w:val="it-IT"/>
              </w:rPr>
            </w:pPr>
            <w:r w:rsidRPr="004300E2">
              <w:rPr>
                <w:bCs/>
                <w:lang w:val="it-IT"/>
              </w:rPr>
              <w:t xml:space="preserve">L’entità </w:t>
            </w:r>
            <w:r>
              <w:rPr>
                <w:bCs/>
                <w:lang w:val="it-IT"/>
              </w:rPr>
              <w:t xml:space="preserve">deve presentare </w:t>
            </w:r>
            <w:r w:rsidRPr="004300E2">
              <w:rPr>
                <w:bCs/>
                <w:lang w:val="it-IT"/>
              </w:rPr>
              <w:t>voci aggiuntive (anche disaggregando le voci elencate al paragrafo 82 dello IAS 1), intestazioni e risultati parziali nel prospetto (nei prospetti) relativo(i) all'</w:t>
            </w:r>
            <w:r>
              <w:rPr>
                <w:bCs/>
                <w:lang w:val="it-IT"/>
              </w:rPr>
              <w:t>utile/(perdita)</w:t>
            </w:r>
            <w:r w:rsidRPr="004300E2">
              <w:rPr>
                <w:bCs/>
                <w:lang w:val="it-IT"/>
              </w:rPr>
              <w:t xml:space="preserve"> d'esercizio e alle altre componenti di conto economico complessivo</w:t>
            </w:r>
            <w:r>
              <w:rPr>
                <w:bCs/>
                <w:lang w:val="it-IT"/>
              </w:rPr>
              <w:t>,</w:t>
            </w:r>
            <w:r w:rsidRPr="004300E2">
              <w:rPr>
                <w:bCs/>
                <w:lang w:val="it-IT"/>
              </w:rPr>
              <w:t xml:space="preserve"> quando tale presentazione è significativa ai fini della comprensione del risultato economico-finanziario dell'entità</w:t>
            </w:r>
            <w:r>
              <w:rPr>
                <w:bCs/>
                <w:lang w:val="it-IT"/>
              </w:rPr>
              <w:t>.</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Pr="008A0F36" w:rsidRDefault="004300E2" w:rsidP="004300E2">
            <w:pPr>
              <w:pStyle w:val="Numeroelenco"/>
              <w:numPr>
                <w:ilvl w:val="0"/>
                <w:numId w:val="0"/>
              </w:numPr>
              <w:ind w:left="360" w:hanging="360"/>
              <w:rPr>
                <w:lang w:val="it-IT"/>
              </w:rPr>
            </w:pPr>
          </w:p>
        </w:tc>
        <w:tc>
          <w:tcPr>
            <w:tcW w:w="851" w:type="dxa"/>
            <w:tcMar>
              <w:left w:w="108" w:type="dxa"/>
              <w:right w:w="0" w:type="dxa"/>
            </w:tcMar>
          </w:tcPr>
          <w:p w:rsidR="004300E2" w:rsidRPr="008A0F36" w:rsidRDefault="004300E2" w:rsidP="004300E2">
            <w:pPr>
              <w:pStyle w:val="IAS"/>
              <w:rPr>
                <w:lang w:val="it-IT"/>
              </w:rPr>
            </w:pPr>
            <w:r>
              <w:rPr>
                <w:lang w:val="it-IT"/>
              </w:rPr>
              <w:t>IAS 1.85A</w:t>
            </w:r>
          </w:p>
        </w:tc>
        <w:tc>
          <w:tcPr>
            <w:tcW w:w="7079" w:type="dxa"/>
            <w:tcMar>
              <w:left w:w="108" w:type="dxa"/>
            </w:tcMar>
          </w:tcPr>
          <w:p w:rsidR="004300E2" w:rsidRPr="003B50C7" w:rsidRDefault="004300E2" w:rsidP="00BF3D7D">
            <w:pPr>
              <w:pStyle w:val="Paragarfobordato"/>
            </w:pPr>
            <w:r w:rsidRPr="004300E2">
              <w:t>Quando l'entità presenta risultati parziali a norma del paragrafo 85, tali risultati p</w:t>
            </w:r>
            <w:r w:rsidRPr="003B50C7">
              <w:t xml:space="preserve">arziali devono: </w:t>
            </w:r>
          </w:p>
          <w:p w:rsidR="004300E2" w:rsidRPr="003B50C7" w:rsidRDefault="004300E2" w:rsidP="00BF3D7D">
            <w:pPr>
              <w:pStyle w:val="Paragarfobordato"/>
              <w:ind w:left="205" w:hanging="205"/>
            </w:pPr>
            <w:r w:rsidRPr="003B50C7">
              <w:t xml:space="preserve">a) </w:t>
            </w:r>
            <w:r w:rsidR="003B50C7">
              <w:tab/>
            </w:r>
            <w:r w:rsidRPr="003B50C7">
              <w:t xml:space="preserve">essere costituiti da voci che consistono in importi rilevati e valutati in conformità all'IFRS; </w:t>
            </w:r>
          </w:p>
          <w:p w:rsidR="004300E2" w:rsidRPr="003B50C7" w:rsidRDefault="004300E2" w:rsidP="00BF3D7D">
            <w:pPr>
              <w:pStyle w:val="Paragarfobordato"/>
              <w:ind w:left="205" w:hanging="205"/>
            </w:pPr>
            <w:r w:rsidRPr="003B50C7">
              <w:t>b)</w:t>
            </w:r>
            <w:r w:rsidR="003B50C7">
              <w:tab/>
            </w:r>
            <w:r w:rsidRPr="003B50C7">
              <w:t>essere presentati ed identificati in modo da rendere le voci che costituiscono il risultato parziale chiare e comprensibili;</w:t>
            </w:r>
          </w:p>
          <w:p w:rsidR="004300E2" w:rsidRPr="003B50C7" w:rsidRDefault="004300E2" w:rsidP="00BF3D7D">
            <w:pPr>
              <w:pStyle w:val="Paragarfobordato"/>
              <w:ind w:left="205" w:hanging="205"/>
            </w:pPr>
            <w:r w:rsidRPr="003B50C7">
              <w:t xml:space="preserve">c) </w:t>
            </w:r>
            <w:r w:rsidR="003B50C7">
              <w:tab/>
            </w:r>
            <w:r w:rsidRPr="003B50C7">
              <w:t xml:space="preserve">essere coerenti da un esercizio all'altro, conformemente al paragrafo 45; e </w:t>
            </w:r>
          </w:p>
          <w:p w:rsidR="004300E2" w:rsidRPr="004300E2" w:rsidDel="00CD3BA4" w:rsidRDefault="004300E2" w:rsidP="00BF3D7D">
            <w:pPr>
              <w:pStyle w:val="Paragarfobordato"/>
              <w:ind w:left="205" w:hanging="205"/>
            </w:pPr>
            <w:r w:rsidRPr="003B50C7">
              <w:t xml:space="preserve">d) </w:t>
            </w:r>
            <w:r w:rsidR="003B50C7">
              <w:tab/>
            </w:r>
            <w:r w:rsidRPr="003B50C7">
              <w:t xml:space="preserve">non essere esposti con maggiore evidenza rispetto ai risultati parziali e ai totali richiesti </w:t>
            </w:r>
            <w:r w:rsidR="00C21C31" w:rsidRPr="003B50C7">
              <w:t xml:space="preserve">dagli IFRS </w:t>
            </w:r>
            <w:r w:rsidRPr="003B50C7">
              <w:t xml:space="preserve">per il </w:t>
            </w:r>
            <w:r w:rsidRPr="004300E2">
              <w:t>prospetto (i prospetti) relativo(i) all'</w:t>
            </w:r>
            <w:r w:rsidR="00CC3578">
              <w:t>utile/(perdita)</w:t>
            </w:r>
            <w:r w:rsidRPr="004300E2">
              <w:t xml:space="preserve"> d'esercizio e alle altre componenti di conto economico complessivo.</w:t>
            </w:r>
          </w:p>
        </w:tc>
        <w:tc>
          <w:tcPr>
            <w:tcW w:w="575" w:type="dxa"/>
            <w:tcMar>
              <w:left w:w="85" w:type="dxa"/>
              <w:right w:w="85"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r>
      <w:tr w:rsidR="0066483E" w:rsidRPr="008129DA" w:rsidTr="00940A6F">
        <w:trPr>
          <w:cantSplit/>
          <w:trHeight w:val="20"/>
        </w:trPr>
        <w:tc>
          <w:tcPr>
            <w:tcW w:w="567" w:type="dxa"/>
          </w:tcPr>
          <w:p w:rsidR="0066483E" w:rsidRPr="008A0F36" w:rsidRDefault="0066483E" w:rsidP="004300E2">
            <w:pPr>
              <w:pStyle w:val="Numeroelenco"/>
              <w:ind w:left="0" w:firstLine="57"/>
              <w:rPr>
                <w:lang w:val="it-IT"/>
              </w:rPr>
            </w:pPr>
          </w:p>
        </w:tc>
        <w:tc>
          <w:tcPr>
            <w:tcW w:w="851" w:type="dxa"/>
            <w:tcMar>
              <w:left w:w="108" w:type="dxa"/>
              <w:right w:w="0" w:type="dxa"/>
            </w:tcMar>
          </w:tcPr>
          <w:p w:rsidR="0066483E" w:rsidRDefault="0066483E" w:rsidP="004300E2">
            <w:pPr>
              <w:pStyle w:val="IAS"/>
              <w:rPr>
                <w:lang w:val="it-IT"/>
              </w:rPr>
            </w:pPr>
            <w:r>
              <w:rPr>
                <w:lang w:val="it-IT"/>
              </w:rPr>
              <w:t>IAS 1.85B</w:t>
            </w:r>
          </w:p>
        </w:tc>
        <w:tc>
          <w:tcPr>
            <w:tcW w:w="7079" w:type="dxa"/>
            <w:tcMar>
              <w:left w:w="108" w:type="dxa"/>
            </w:tcMar>
          </w:tcPr>
          <w:p w:rsidR="0066483E" w:rsidRPr="004300E2" w:rsidRDefault="0066483E" w:rsidP="00ED44D5">
            <w:pPr>
              <w:rPr>
                <w:lang w:val="it-IT"/>
              </w:rPr>
            </w:pPr>
            <w:r>
              <w:rPr>
                <w:lang w:val="it-IT"/>
              </w:rPr>
              <w:t xml:space="preserve">L’entità deve </w:t>
            </w:r>
            <w:r w:rsidRPr="00E56D7E">
              <w:rPr>
                <w:lang w:val="it-IT"/>
              </w:rPr>
              <w:t>presenta</w:t>
            </w:r>
            <w:r>
              <w:rPr>
                <w:lang w:val="it-IT"/>
              </w:rPr>
              <w:t>re</w:t>
            </w:r>
            <w:r w:rsidRPr="004300E2">
              <w:rPr>
                <w:lang w:val="it-IT"/>
              </w:rPr>
              <w:t xml:space="preserve"> le voci nel prospetto (nei prospetti) dell'</w:t>
            </w:r>
            <w:r>
              <w:rPr>
                <w:lang w:val="it-IT"/>
              </w:rPr>
              <w:t>utile/(perdita)</w:t>
            </w:r>
            <w:r w:rsidRPr="004300E2">
              <w:rPr>
                <w:lang w:val="it-IT"/>
              </w:rPr>
              <w:t xml:space="preserve"> d'esercizio e delle altre componenti di conto economico complessivo che riconciliano tutti i risultati parziali presentati conformemente al paragrafo 85 </w:t>
            </w:r>
            <w:r>
              <w:rPr>
                <w:lang w:val="it-IT"/>
              </w:rPr>
              <w:t xml:space="preserve">dello IAS 1 </w:t>
            </w:r>
            <w:r w:rsidRPr="004300E2">
              <w:rPr>
                <w:lang w:val="it-IT"/>
              </w:rPr>
              <w:t>con i risultati parziali o i totali richiesti da</w:t>
            </w:r>
            <w:r>
              <w:rPr>
                <w:lang w:val="it-IT"/>
              </w:rPr>
              <w:t xml:space="preserve">gli </w:t>
            </w:r>
            <w:r w:rsidRPr="004300E2">
              <w:rPr>
                <w:lang w:val="it-IT"/>
              </w:rPr>
              <w:t>IFRS per tale prospetto (tali prospetti)</w:t>
            </w:r>
            <w:r>
              <w:rPr>
                <w:lang w:val="it-IT"/>
              </w:rPr>
              <w:t>.</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Pr="008A0F36" w:rsidRDefault="004300E2" w:rsidP="004300E2">
            <w:pPr>
              <w:pStyle w:val="Numeroelenco"/>
              <w:numPr>
                <w:ilvl w:val="0"/>
                <w:numId w:val="0"/>
              </w:numPr>
              <w:ind w:firstLine="57"/>
              <w:jc w:val="left"/>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Pr="008A0F36" w:rsidRDefault="004300E2" w:rsidP="004300E2">
            <w:pPr>
              <w:pStyle w:val="Titolo2"/>
              <w:jc w:val="both"/>
              <w:rPr>
                <w:lang w:val="it-IT"/>
              </w:rPr>
            </w:pPr>
            <w:r w:rsidRPr="008A0F36">
              <w:rPr>
                <w:lang w:val="it-IT"/>
              </w:rPr>
              <w:t xml:space="preserve">Informazioni da esporre nel prospetto </w:t>
            </w:r>
            <w:r>
              <w:rPr>
                <w:lang w:val="it-IT"/>
              </w:rPr>
              <w:t xml:space="preserve">(nei prospetti) dell’utile/(perdita) d’esercizio e delle altre componenti </w:t>
            </w:r>
            <w:r w:rsidRPr="008A0F36">
              <w:rPr>
                <w:lang w:val="it-IT"/>
              </w:rPr>
              <w:t>di conto economico complessivo o nelle note</w:t>
            </w:r>
          </w:p>
        </w:tc>
        <w:tc>
          <w:tcPr>
            <w:tcW w:w="575" w:type="dxa"/>
            <w:tcMar>
              <w:left w:w="85" w:type="dxa"/>
              <w:right w:w="85" w:type="dxa"/>
            </w:tcMar>
            <w:vAlign w:val="center"/>
          </w:tcPr>
          <w:p w:rsidR="004300E2" w:rsidRPr="006F1EF4" w:rsidRDefault="004300E2" w:rsidP="004300E2">
            <w:pPr>
              <w:jc w:val="center"/>
              <w:rPr>
                <w:lang w:val="it-IT"/>
              </w:rPr>
            </w:pPr>
          </w:p>
        </w:tc>
        <w:tc>
          <w:tcPr>
            <w:tcW w:w="567" w:type="dxa"/>
            <w:tcMar>
              <w:left w:w="108" w:type="dxa"/>
            </w:tcMar>
            <w:vAlign w:val="center"/>
          </w:tcPr>
          <w:p w:rsidR="004300E2" w:rsidRPr="006F1EF4" w:rsidRDefault="004300E2" w:rsidP="004300E2">
            <w:pPr>
              <w:jc w:val="center"/>
              <w:rPr>
                <w:lang w:val="it-IT"/>
              </w:rPr>
            </w:pPr>
          </w:p>
        </w:tc>
        <w:tc>
          <w:tcPr>
            <w:tcW w:w="567" w:type="dxa"/>
            <w:tcMar>
              <w:left w:w="108" w:type="dxa"/>
            </w:tcMar>
            <w:vAlign w:val="center"/>
          </w:tcPr>
          <w:p w:rsidR="004300E2" w:rsidRPr="006F1EF4" w:rsidRDefault="004300E2" w:rsidP="004300E2">
            <w:pPr>
              <w:jc w:val="center"/>
              <w:rPr>
                <w:lang w:val="it-IT"/>
              </w:rPr>
            </w:pPr>
          </w:p>
        </w:tc>
      </w:tr>
      <w:tr w:rsidR="004300E2" w:rsidRPr="00A44ECD" w:rsidTr="00940A6F">
        <w:trPr>
          <w:cantSplit/>
          <w:trHeight w:val="20"/>
        </w:trPr>
        <w:tc>
          <w:tcPr>
            <w:tcW w:w="567" w:type="dxa"/>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1.97</w:t>
            </w:r>
          </w:p>
        </w:tc>
        <w:tc>
          <w:tcPr>
            <w:tcW w:w="7079" w:type="dxa"/>
            <w:tcMar>
              <w:left w:w="108" w:type="dxa"/>
            </w:tcMar>
          </w:tcPr>
          <w:p w:rsidR="004300E2" w:rsidRPr="008A0F36" w:rsidRDefault="004300E2" w:rsidP="004300E2">
            <w:pPr>
              <w:rPr>
                <w:lang w:val="it-IT"/>
              </w:rPr>
            </w:pPr>
            <w:r w:rsidRPr="008A0F36">
              <w:rPr>
                <w:lang w:val="it-IT"/>
              </w:rPr>
              <w:t>Quando le componenti di ricavo e di costo sono significative devono essere indicate separatamente le seguenti informazioni:</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66483E" w:rsidRPr="008A0F36" w:rsidTr="00940A6F">
        <w:trPr>
          <w:cantSplit/>
          <w:trHeight w:val="20"/>
        </w:trPr>
        <w:tc>
          <w:tcPr>
            <w:tcW w:w="567" w:type="dxa"/>
          </w:tcPr>
          <w:p w:rsidR="0066483E" w:rsidRPr="008A0F36" w:rsidRDefault="0066483E" w:rsidP="004300E2">
            <w:pPr>
              <w:pStyle w:val="Numeroelenco"/>
              <w:numPr>
                <w:ilvl w:val="0"/>
                <w:numId w:val="0"/>
              </w:numPr>
              <w:ind w:firstLine="57"/>
              <w:jc w:val="left"/>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numPr>
                <w:ilvl w:val="0"/>
                <w:numId w:val="25"/>
              </w:numPr>
            </w:pPr>
            <w:r w:rsidRPr="008A0F36">
              <w:t>importo; 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A0F36" w:rsidTr="00940A6F">
        <w:trPr>
          <w:cantSplit/>
          <w:trHeight w:val="20"/>
        </w:trPr>
        <w:tc>
          <w:tcPr>
            <w:tcW w:w="567" w:type="dxa"/>
          </w:tcPr>
          <w:p w:rsidR="0066483E" w:rsidRPr="008A0F36" w:rsidRDefault="0066483E" w:rsidP="004300E2">
            <w:pPr>
              <w:pStyle w:val="Numeroelenco"/>
              <w:numPr>
                <w:ilvl w:val="0"/>
                <w:numId w:val="0"/>
              </w:numPr>
              <w:ind w:firstLine="57"/>
              <w:jc w:val="left"/>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pPr>
            <w:r w:rsidRPr="008A0F36">
              <w:t>natura.</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Pr="008A0F36" w:rsidRDefault="004300E2" w:rsidP="004300E2">
            <w:pPr>
              <w:pStyle w:val="Numeroelenco"/>
              <w:numPr>
                <w:ilvl w:val="0"/>
                <w:numId w:val="0"/>
              </w:numPr>
              <w:ind w:firstLine="57"/>
              <w:jc w:val="left"/>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1.98</w:t>
            </w:r>
          </w:p>
        </w:tc>
        <w:tc>
          <w:tcPr>
            <w:tcW w:w="7079" w:type="dxa"/>
            <w:tcMar>
              <w:left w:w="108" w:type="dxa"/>
            </w:tcMar>
          </w:tcPr>
          <w:p w:rsidR="004300E2" w:rsidRPr="008A0F36" w:rsidRDefault="004300E2" w:rsidP="00BF3D7D">
            <w:pPr>
              <w:pStyle w:val="Paragarfobordato"/>
            </w:pPr>
            <w:r w:rsidRPr="008A0F36">
              <w:t xml:space="preserve">Le circostanze da cui potrebbe emergere un’esposizione separata delle componenti di ricavo e di costo includono: </w:t>
            </w:r>
          </w:p>
          <w:p w:rsidR="004300E2" w:rsidRPr="008A0F36" w:rsidRDefault="004300E2" w:rsidP="00BF3D7D">
            <w:pPr>
              <w:pStyle w:val="Paragarfobordato"/>
              <w:ind w:left="205" w:hanging="205"/>
            </w:pPr>
            <w:r w:rsidRPr="008A0F36">
              <w:t>a)</w:t>
            </w:r>
            <w:r w:rsidRPr="008A0F36">
              <w:tab/>
              <w:t>la svalutazione di rimanenze al valore netto di realizzo o di immobili, impianti e macchinari al valore recuperabile, come pure lo storno di tali svalutazioni e il conseguente ripristino</w:t>
            </w:r>
          </w:p>
          <w:p w:rsidR="004300E2" w:rsidRPr="008A0F36" w:rsidRDefault="004300E2" w:rsidP="00BF3D7D">
            <w:pPr>
              <w:pStyle w:val="Paragarfobordato"/>
              <w:ind w:left="205" w:hanging="205"/>
            </w:pPr>
            <w:r w:rsidRPr="008A0F36">
              <w:t>b)</w:t>
            </w:r>
            <w:r w:rsidRPr="008A0F36">
              <w:tab/>
              <w:t>ristrutturazioni delle attività di un’entità e gli storni di eventuali accantonamenti per costi di ristrutturazione;</w:t>
            </w:r>
          </w:p>
          <w:p w:rsidR="004300E2" w:rsidRPr="008A0F36" w:rsidRDefault="004300E2" w:rsidP="00BF3D7D">
            <w:pPr>
              <w:pStyle w:val="Paragarfobordato"/>
              <w:ind w:left="205" w:hanging="205"/>
            </w:pPr>
            <w:r w:rsidRPr="008A0F36">
              <w:t>c)</w:t>
            </w:r>
            <w:r w:rsidRPr="008A0F36">
              <w:tab/>
              <w:t>dismissioni di elementi di immobili, impianti e macchinari</w:t>
            </w:r>
          </w:p>
          <w:p w:rsidR="004300E2" w:rsidRPr="008A0F36" w:rsidRDefault="004300E2" w:rsidP="00BF3D7D">
            <w:pPr>
              <w:pStyle w:val="Paragarfobordato"/>
              <w:ind w:left="205" w:hanging="205"/>
            </w:pPr>
            <w:r w:rsidRPr="008A0F36">
              <w:t>d)</w:t>
            </w:r>
            <w:r w:rsidRPr="008A0F36">
              <w:tab/>
              <w:t>cessioni di partecipazioni</w:t>
            </w:r>
          </w:p>
          <w:p w:rsidR="004300E2" w:rsidRPr="008A0F36" w:rsidRDefault="004300E2" w:rsidP="00BF3D7D">
            <w:pPr>
              <w:pStyle w:val="Paragarfobordato"/>
              <w:ind w:left="205" w:hanging="205"/>
            </w:pPr>
            <w:r w:rsidRPr="008A0F36">
              <w:t>e)</w:t>
            </w:r>
            <w:r w:rsidRPr="008A0F36">
              <w:tab/>
              <w:t>dismissione di attività operative</w:t>
            </w:r>
          </w:p>
          <w:p w:rsidR="004300E2" w:rsidRPr="008A0F36" w:rsidRDefault="004300E2" w:rsidP="00BF3D7D">
            <w:pPr>
              <w:pStyle w:val="Paragarfobordato"/>
              <w:ind w:left="205" w:hanging="205"/>
            </w:pPr>
            <w:r w:rsidRPr="008A0F36">
              <w:t>f)</w:t>
            </w:r>
            <w:r w:rsidRPr="008A0F36">
              <w:tab/>
              <w:t>definizione di contenziosi; e</w:t>
            </w:r>
          </w:p>
          <w:p w:rsidR="004300E2" w:rsidRPr="008A0F36" w:rsidRDefault="004300E2" w:rsidP="00BF3D7D">
            <w:pPr>
              <w:pStyle w:val="Paragarfobordato"/>
              <w:ind w:left="205" w:hanging="205"/>
            </w:pPr>
            <w:r w:rsidRPr="008A0F36">
              <w:t>g)</w:t>
            </w:r>
            <w:r w:rsidRPr="008A0F36">
              <w:tab/>
              <w:t>altri storni di accantonamenti.</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4300E2" w:rsidRPr="00A44ECD" w:rsidTr="00940A6F">
        <w:trPr>
          <w:cantSplit/>
          <w:trHeight w:val="20"/>
        </w:trPr>
        <w:tc>
          <w:tcPr>
            <w:tcW w:w="567" w:type="dxa"/>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1.99</w:t>
            </w:r>
          </w:p>
        </w:tc>
        <w:tc>
          <w:tcPr>
            <w:tcW w:w="7079" w:type="dxa"/>
            <w:tcMar>
              <w:left w:w="108" w:type="dxa"/>
            </w:tcMar>
          </w:tcPr>
          <w:p w:rsidR="004300E2" w:rsidRPr="008A0F36" w:rsidRDefault="004300E2" w:rsidP="004300E2">
            <w:pPr>
              <w:rPr>
                <w:lang w:val="it-IT"/>
              </w:rPr>
            </w:pPr>
            <w:r w:rsidRPr="008A0F36">
              <w:rPr>
                <w:lang w:val="it-IT"/>
              </w:rPr>
              <w:t>L’entità ha presentato un’analisi dei costi rilevati nell’utile/(perdita) d’esercizio utilizzando una classificazione basata in alternativa su (quello fra le due che fornisce informazioni più attendibili e appropriate):</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66483E" w:rsidRPr="008129DA" w:rsidTr="00940A6F">
        <w:trPr>
          <w:cantSplit/>
          <w:trHeight w:val="20"/>
        </w:trPr>
        <w:tc>
          <w:tcPr>
            <w:tcW w:w="567" w:type="dxa"/>
          </w:tcPr>
          <w:p w:rsidR="0066483E" w:rsidRPr="008A0F36" w:rsidRDefault="0066483E" w:rsidP="004300E2">
            <w:pPr>
              <w:pStyle w:val="Numeroelenco"/>
              <w:numPr>
                <w:ilvl w:val="0"/>
                <w:numId w:val="0"/>
              </w:numPr>
              <w:ind w:firstLine="57"/>
              <w:jc w:val="left"/>
              <w:rPr>
                <w:lang w:val="it-IT"/>
              </w:rPr>
            </w:pPr>
          </w:p>
        </w:tc>
        <w:tc>
          <w:tcPr>
            <w:tcW w:w="851" w:type="dxa"/>
            <w:tcMar>
              <w:left w:w="108" w:type="dxa"/>
              <w:right w:w="0" w:type="dxa"/>
            </w:tcMar>
          </w:tcPr>
          <w:p w:rsidR="0066483E" w:rsidRPr="008A0F36" w:rsidRDefault="0066483E" w:rsidP="004300E2">
            <w:pPr>
              <w:pStyle w:val="IAS"/>
              <w:rPr>
                <w:lang w:val="it-IT"/>
              </w:rPr>
            </w:pPr>
            <w:r w:rsidRPr="008A0F36">
              <w:rPr>
                <w:lang w:val="it-IT"/>
              </w:rPr>
              <w:t>IAS 1.102</w:t>
            </w:r>
          </w:p>
        </w:tc>
        <w:tc>
          <w:tcPr>
            <w:tcW w:w="7079" w:type="dxa"/>
            <w:tcMar>
              <w:left w:w="108" w:type="dxa"/>
            </w:tcMar>
          </w:tcPr>
          <w:p w:rsidR="0066483E" w:rsidRPr="008A0F36" w:rsidRDefault="0066483E" w:rsidP="004300E2">
            <w:pPr>
              <w:pStyle w:val="Rientroa"/>
              <w:numPr>
                <w:ilvl w:val="0"/>
                <w:numId w:val="26"/>
              </w:numPr>
            </w:pPr>
            <w:r w:rsidRPr="008A0F36">
              <w:t>la natura dei costi; o</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pStyle w:val="Numeroelenco"/>
              <w:numPr>
                <w:ilvl w:val="0"/>
                <w:numId w:val="0"/>
              </w:numPr>
              <w:ind w:firstLine="57"/>
              <w:jc w:val="left"/>
              <w:rPr>
                <w:lang w:val="it-IT"/>
              </w:rPr>
            </w:pPr>
          </w:p>
        </w:tc>
        <w:tc>
          <w:tcPr>
            <w:tcW w:w="851" w:type="dxa"/>
            <w:tcMar>
              <w:left w:w="108" w:type="dxa"/>
              <w:right w:w="0" w:type="dxa"/>
            </w:tcMar>
          </w:tcPr>
          <w:p w:rsidR="0066483E" w:rsidRPr="008A0F36" w:rsidRDefault="0066483E" w:rsidP="004300E2">
            <w:pPr>
              <w:pStyle w:val="IAS"/>
              <w:rPr>
                <w:lang w:val="it-IT"/>
              </w:rPr>
            </w:pPr>
            <w:r w:rsidRPr="008A0F36">
              <w:rPr>
                <w:lang w:val="it-IT"/>
              </w:rPr>
              <w:t>IAS 1.103</w:t>
            </w:r>
          </w:p>
        </w:tc>
        <w:tc>
          <w:tcPr>
            <w:tcW w:w="7079" w:type="dxa"/>
            <w:tcMar>
              <w:left w:w="108" w:type="dxa"/>
            </w:tcMar>
          </w:tcPr>
          <w:p w:rsidR="0066483E" w:rsidRPr="008A0F36" w:rsidRDefault="0066483E" w:rsidP="004300E2">
            <w:pPr>
              <w:pStyle w:val="Rientroa"/>
            </w:pPr>
            <w:r w:rsidRPr="008A0F36">
              <w:t>la destinazione dei costi all’interno dell’entità (nel qual caso indica almeno il costo del venduto).</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Pr="008A0F36" w:rsidRDefault="004300E2" w:rsidP="004300E2">
            <w:pPr>
              <w:ind w:firstLine="57"/>
              <w:rPr>
                <w:lang w:val="it-IT"/>
              </w:rPr>
            </w:pPr>
          </w:p>
        </w:tc>
        <w:tc>
          <w:tcPr>
            <w:tcW w:w="851" w:type="dxa"/>
            <w:tcMar>
              <w:right w:w="0" w:type="dxa"/>
            </w:tcMar>
          </w:tcPr>
          <w:p w:rsidR="004300E2" w:rsidRPr="008A0F36" w:rsidRDefault="004300E2" w:rsidP="004300E2">
            <w:pPr>
              <w:pStyle w:val="IAS"/>
              <w:rPr>
                <w:lang w:val="it-IT"/>
              </w:rPr>
            </w:pPr>
            <w:r w:rsidRPr="008A0F36">
              <w:rPr>
                <w:lang w:val="it-IT"/>
              </w:rPr>
              <w:t>IAS 1.100</w:t>
            </w:r>
          </w:p>
          <w:p w:rsidR="004300E2" w:rsidRPr="008A0F36" w:rsidRDefault="004300E2" w:rsidP="004300E2">
            <w:pPr>
              <w:pStyle w:val="IAS"/>
              <w:rPr>
                <w:lang w:val="it-IT"/>
              </w:rPr>
            </w:pPr>
          </w:p>
        </w:tc>
        <w:tc>
          <w:tcPr>
            <w:tcW w:w="7079" w:type="dxa"/>
          </w:tcPr>
          <w:p w:rsidR="004300E2" w:rsidRPr="006D1103" w:rsidRDefault="004300E2" w:rsidP="00BF3D7D">
            <w:pPr>
              <w:pStyle w:val="Paragarfobordato"/>
              <w:rPr>
                <w:i/>
              </w:rPr>
            </w:pPr>
            <w:r w:rsidRPr="00AA378D">
              <w:t xml:space="preserve">Le entità sono incoraggiate a esporre l'analisi riportata nel paragrafo 99 nel prospetto (nei prospetti) </w:t>
            </w:r>
            <w:r>
              <w:t>del</w:t>
            </w:r>
            <w:r w:rsidRPr="00AA378D">
              <w:t xml:space="preserve">l'utile/(perdita) d'esercizio e </w:t>
            </w:r>
            <w:r>
              <w:t>del</w:t>
            </w:r>
            <w:r w:rsidRPr="00AA378D">
              <w:t>le altre componenti di conto economico complessivo.</w:t>
            </w:r>
            <w:r w:rsidRPr="00AA378D" w:rsidDel="00AA378D">
              <w:rPr>
                <w:i/>
              </w:rPr>
              <w:t xml:space="preserve"> </w:t>
            </w:r>
          </w:p>
        </w:tc>
        <w:tc>
          <w:tcPr>
            <w:tcW w:w="575" w:type="dxa"/>
            <w:vAlign w:val="center"/>
          </w:tcPr>
          <w:p w:rsidR="004300E2" w:rsidRPr="00FF19F7" w:rsidRDefault="004300E2" w:rsidP="004300E2">
            <w:pPr>
              <w:jc w:val="center"/>
              <w:rPr>
                <w:lang w:val="it-IT"/>
              </w:rPr>
            </w:pPr>
          </w:p>
        </w:tc>
        <w:tc>
          <w:tcPr>
            <w:tcW w:w="567" w:type="dxa"/>
            <w:vAlign w:val="center"/>
          </w:tcPr>
          <w:p w:rsidR="004300E2" w:rsidRPr="00FF19F7" w:rsidRDefault="004300E2" w:rsidP="004300E2">
            <w:pPr>
              <w:jc w:val="center"/>
              <w:rPr>
                <w:lang w:val="it-IT"/>
              </w:rPr>
            </w:pPr>
          </w:p>
        </w:tc>
        <w:tc>
          <w:tcPr>
            <w:tcW w:w="567" w:type="dxa"/>
            <w:vAlign w:val="center"/>
          </w:tcPr>
          <w:p w:rsidR="004300E2" w:rsidRPr="00FF19F7" w:rsidRDefault="004300E2" w:rsidP="004300E2">
            <w:pPr>
              <w:jc w:val="center"/>
              <w:rPr>
                <w:lang w:val="it-IT"/>
              </w:rPr>
            </w:pPr>
          </w:p>
        </w:tc>
      </w:tr>
      <w:tr w:rsidR="004300E2" w:rsidRPr="00A44ECD" w:rsidTr="00940A6F">
        <w:trPr>
          <w:cantSplit/>
          <w:trHeight w:val="20"/>
        </w:trPr>
        <w:tc>
          <w:tcPr>
            <w:tcW w:w="567" w:type="dxa"/>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1.104</w:t>
            </w:r>
          </w:p>
        </w:tc>
        <w:tc>
          <w:tcPr>
            <w:tcW w:w="7079" w:type="dxa"/>
            <w:tcMar>
              <w:left w:w="108" w:type="dxa"/>
            </w:tcMar>
          </w:tcPr>
          <w:p w:rsidR="004300E2" w:rsidRPr="008A0F36" w:rsidRDefault="004300E2" w:rsidP="004300E2">
            <w:pPr>
              <w:rPr>
                <w:lang w:val="it-IT"/>
              </w:rPr>
            </w:pPr>
            <w:r w:rsidRPr="008A0F36">
              <w:rPr>
                <w:lang w:val="it-IT"/>
              </w:rPr>
              <w:t>Se l’entità classifica i costi per destinazione, ha riportato ulteriori informazioni sulla natura dei costi, ivi incluso:</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ind w:firstLine="57"/>
              <w:rPr>
                <w:lang w:val="it-IT"/>
              </w:rPr>
            </w:pPr>
          </w:p>
        </w:tc>
        <w:tc>
          <w:tcPr>
            <w:tcW w:w="7079" w:type="dxa"/>
            <w:tcMar>
              <w:left w:w="108" w:type="dxa"/>
            </w:tcMar>
          </w:tcPr>
          <w:p w:rsidR="0066483E" w:rsidRDefault="0066483E" w:rsidP="004300E2">
            <w:pPr>
              <w:pStyle w:val="Paragrafoelenco"/>
              <w:numPr>
                <w:ilvl w:val="0"/>
                <w:numId w:val="202"/>
              </w:numPr>
              <w:ind w:left="390" w:hanging="357"/>
              <w:rPr>
                <w:lang w:val="it-IT"/>
              </w:rPr>
            </w:pPr>
            <w:r w:rsidRPr="008A0F36">
              <w:rPr>
                <w:lang w:val="it-IT"/>
              </w:rPr>
              <w:t>i costi per ammortamenti; 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4300E2">
            <w:pPr>
              <w:pStyle w:val="Rientroa"/>
              <w:numPr>
                <w:ilvl w:val="0"/>
                <w:numId w:val="203"/>
              </w:numPr>
            </w:pPr>
            <w:r w:rsidRPr="008A0F36">
              <w:t>i costi per benefici ai dipendenti.</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Default="0066483E" w:rsidP="004300E2">
            <w:pPr>
              <w:pStyle w:val="Numeroelenco"/>
              <w:ind w:left="0" w:firstLine="57"/>
              <w:rPr>
                <w:lang w:val="it-IT"/>
              </w:rPr>
            </w:pPr>
          </w:p>
        </w:tc>
        <w:tc>
          <w:tcPr>
            <w:tcW w:w="851" w:type="dxa"/>
            <w:tcMar>
              <w:left w:w="108" w:type="dxa"/>
              <w:right w:w="0" w:type="dxa"/>
            </w:tcMar>
          </w:tcPr>
          <w:p w:rsidR="0066483E" w:rsidRDefault="0066483E" w:rsidP="004300E2">
            <w:pPr>
              <w:pStyle w:val="IAS"/>
              <w:rPr>
                <w:lang w:val="it-IT"/>
              </w:rPr>
            </w:pPr>
            <w:r>
              <w:rPr>
                <w:lang w:val="it-IT"/>
              </w:rPr>
              <w:t>IAS 1.90</w:t>
            </w:r>
          </w:p>
          <w:p w:rsidR="0066483E" w:rsidRPr="008A0F36" w:rsidRDefault="0066483E" w:rsidP="004300E2">
            <w:pPr>
              <w:pStyle w:val="IAS"/>
              <w:rPr>
                <w:lang w:val="it-IT"/>
              </w:rPr>
            </w:pPr>
            <w:r>
              <w:rPr>
                <w:lang w:val="it-IT"/>
              </w:rPr>
              <w:t>IAS 12.81</w:t>
            </w:r>
          </w:p>
        </w:tc>
        <w:tc>
          <w:tcPr>
            <w:tcW w:w="7079" w:type="dxa"/>
            <w:tcMar>
              <w:left w:w="108" w:type="dxa"/>
            </w:tcMar>
          </w:tcPr>
          <w:p w:rsidR="0066483E" w:rsidRPr="00CE0185" w:rsidRDefault="0066483E" w:rsidP="004300E2">
            <w:pPr>
              <w:rPr>
                <w:rFonts w:cs="EUAlbertina"/>
                <w:color w:val="19161B"/>
                <w:lang w:val="it-IT"/>
              </w:rPr>
            </w:pPr>
            <w:r w:rsidRPr="00AB2C1C">
              <w:rPr>
                <w:rFonts w:cs="EUAlbertina"/>
                <w:color w:val="19161B"/>
                <w:lang w:val="it-IT"/>
              </w:rPr>
              <w:t xml:space="preserve">L’entità indica </w:t>
            </w:r>
            <w:r>
              <w:rPr>
                <w:rFonts w:cs="EUAlbertina"/>
                <w:color w:val="19161B"/>
                <w:lang w:val="it-IT"/>
              </w:rPr>
              <w:t>l'ammontare di imposte sul reddito relativo a ciascuna voce delle altre componenti di conto economico complessivo, incluse le rettifiche da riclassificazione nel prospetto dell'utile/(perdita) d'esercizio e delle altre componenti di conto economico complessivo o nelle note.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327"/>
        </w:trPr>
        <w:tc>
          <w:tcPr>
            <w:tcW w:w="567" w:type="dxa"/>
          </w:tcPr>
          <w:p w:rsidR="004300E2" w:rsidRPr="008A0F36" w:rsidRDefault="004300E2" w:rsidP="004300E2">
            <w:pPr>
              <w:pStyle w:val="Numeroelenco"/>
              <w:ind w:left="0" w:firstLine="57"/>
              <w:rPr>
                <w:lang w:val="it-IT"/>
              </w:rPr>
            </w:pPr>
          </w:p>
        </w:tc>
        <w:tc>
          <w:tcPr>
            <w:tcW w:w="851" w:type="dxa"/>
            <w:tcMar>
              <w:right w:w="0" w:type="dxa"/>
            </w:tcMar>
          </w:tcPr>
          <w:p w:rsidR="004300E2" w:rsidRPr="00E023B4" w:rsidRDefault="004300E2" w:rsidP="004300E2">
            <w:pPr>
              <w:pStyle w:val="IAS"/>
              <w:rPr>
                <w:lang w:val="it-IT"/>
              </w:rPr>
            </w:pPr>
            <w:r w:rsidRPr="008A0F36">
              <w:rPr>
                <w:lang w:val="it-IT"/>
              </w:rPr>
              <w:t>IAS 1.91</w:t>
            </w:r>
          </w:p>
        </w:tc>
        <w:tc>
          <w:tcPr>
            <w:tcW w:w="7079" w:type="dxa"/>
          </w:tcPr>
          <w:p w:rsidR="004300E2" w:rsidRPr="00E023B4" w:rsidRDefault="004300E2" w:rsidP="004300E2">
            <w:pPr>
              <w:rPr>
                <w:lang w:val="it-IT"/>
              </w:rPr>
            </w:pPr>
            <w:r w:rsidRPr="00E023B4">
              <w:rPr>
                <w:lang w:val="it-IT"/>
              </w:rPr>
              <w:t>Un’entità può presentare le voci delle altre componenti di conto economico complessivo:</w:t>
            </w:r>
            <w:r>
              <w:rPr>
                <w:lang w:val="it-IT"/>
              </w:rPr>
              <w:tab/>
            </w:r>
          </w:p>
        </w:tc>
        <w:tc>
          <w:tcPr>
            <w:tcW w:w="575" w:type="dxa"/>
          </w:tcPr>
          <w:p w:rsidR="004300E2" w:rsidRPr="00A32A16" w:rsidRDefault="004300E2" w:rsidP="004300E2">
            <w:pPr>
              <w:rPr>
                <w:lang w:val="it-IT"/>
              </w:rPr>
            </w:pPr>
          </w:p>
        </w:tc>
        <w:tc>
          <w:tcPr>
            <w:tcW w:w="567" w:type="dxa"/>
          </w:tcPr>
          <w:p w:rsidR="004300E2" w:rsidRPr="00426597" w:rsidRDefault="004300E2" w:rsidP="004300E2">
            <w:pPr>
              <w:rPr>
                <w:lang w:val="it-IT"/>
              </w:rPr>
            </w:pPr>
          </w:p>
        </w:tc>
        <w:tc>
          <w:tcPr>
            <w:tcW w:w="567" w:type="dxa"/>
          </w:tcPr>
          <w:p w:rsidR="004300E2" w:rsidRPr="00A32A16" w:rsidRDefault="004300E2" w:rsidP="004300E2">
            <w:pPr>
              <w:rPr>
                <w:lang w:val="it-IT"/>
              </w:rPr>
            </w:pPr>
          </w:p>
        </w:tc>
      </w:tr>
      <w:tr w:rsidR="0066483E" w:rsidRPr="008129DA" w:rsidTr="00940A6F">
        <w:trPr>
          <w:cantSplit/>
          <w:trHeight w:val="20"/>
        </w:trPr>
        <w:tc>
          <w:tcPr>
            <w:tcW w:w="567" w:type="dxa"/>
          </w:tcPr>
          <w:p w:rsidR="0066483E" w:rsidRPr="008A0F36" w:rsidRDefault="0066483E" w:rsidP="004300E2">
            <w:pPr>
              <w:pStyle w:val="Numeroelenco"/>
              <w:numPr>
                <w:ilvl w:val="0"/>
                <w:numId w:val="0"/>
              </w:numPr>
              <w:ind w:left="57"/>
              <w:rPr>
                <w:lang w:val="it-IT"/>
              </w:rPr>
            </w:pPr>
          </w:p>
        </w:tc>
        <w:tc>
          <w:tcPr>
            <w:tcW w:w="851" w:type="dxa"/>
            <w:tcMar>
              <w:right w:w="0" w:type="dxa"/>
            </w:tcMar>
          </w:tcPr>
          <w:p w:rsidR="0066483E" w:rsidRPr="008A0F36" w:rsidRDefault="0066483E" w:rsidP="004300E2">
            <w:pPr>
              <w:pStyle w:val="IAS"/>
              <w:rPr>
                <w:lang w:val="it-IT"/>
              </w:rPr>
            </w:pPr>
          </w:p>
        </w:tc>
        <w:tc>
          <w:tcPr>
            <w:tcW w:w="7079" w:type="dxa"/>
          </w:tcPr>
          <w:p w:rsidR="0066483E" w:rsidRPr="00C54DF1" w:rsidRDefault="0066483E" w:rsidP="004300E2">
            <w:pPr>
              <w:pStyle w:val="Paragrafoelenco"/>
              <w:numPr>
                <w:ilvl w:val="0"/>
                <w:numId w:val="217"/>
              </w:numPr>
              <w:ind w:left="458" w:hanging="425"/>
              <w:rPr>
                <w:lang w:val="it-IT"/>
              </w:rPr>
            </w:pPr>
            <w:r>
              <w:rPr>
                <w:lang w:val="it-IT"/>
              </w:rPr>
              <w:t>al netto degli effetti fiscali correlati, o</w:t>
            </w:r>
          </w:p>
        </w:tc>
        <w:tc>
          <w:tcPr>
            <w:tcW w:w="575" w:type="dxa"/>
            <w:vAlign w:val="center"/>
          </w:tcPr>
          <w:p w:rsidR="0066483E" w:rsidRPr="00725691"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66483E" w:rsidRPr="00725691"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66483E" w:rsidRPr="00725691"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pStyle w:val="Numeroelenco"/>
              <w:numPr>
                <w:ilvl w:val="0"/>
                <w:numId w:val="0"/>
              </w:numPr>
              <w:ind w:left="57"/>
              <w:rPr>
                <w:lang w:val="it-IT"/>
              </w:rPr>
            </w:pPr>
          </w:p>
        </w:tc>
        <w:tc>
          <w:tcPr>
            <w:tcW w:w="851" w:type="dxa"/>
            <w:tcMar>
              <w:right w:w="0" w:type="dxa"/>
            </w:tcMar>
          </w:tcPr>
          <w:p w:rsidR="0066483E" w:rsidRPr="008A0F36" w:rsidRDefault="0066483E" w:rsidP="004300E2">
            <w:pPr>
              <w:pStyle w:val="IAS"/>
              <w:rPr>
                <w:lang w:val="it-IT"/>
              </w:rPr>
            </w:pPr>
          </w:p>
        </w:tc>
        <w:tc>
          <w:tcPr>
            <w:tcW w:w="7079" w:type="dxa"/>
          </w:tcPr>
          <w:p w:rsidR="0066483E" w:rsidRPr="001E4262" w:rsidRDefault="0066483E" w:rsidP="004300E2">
            <w:pPr>
              <w:pStyle w:val="Paragrafoelenco"/>
              <w:numPr>
                <w:ilvl w:val="0"/>
                <w:numId w:val="217"/>
              </w:numPr>
              <w:ind w:left="459" w:hanging="425"/>
              <w:rPr>
                <w:lang w:val="it-IT"/>
              </w:rPr>
            </w:pPr>
            <w:r w:rsidRPr="001E4262">
              <w:rPr>
                <w:lang w:val="it-IT"/>
              </w:rPr>
              <w:t>al lordo degli effetti fiscali correlati con un unico valore relativo all’ammontare aggregato delle imposte sul reddito relative a tali voci</w:t>
            </w:r>
          </w:p>
        </w:tc>
        <w:tc>
          <w:tcPr>
            <w:tcW w:w="575" w:type="dxa"/>
            <w:vAlign w:val="center"/>
          </w:tcPr>
          <w:p w:rsidR="0066483E" w:rsidRPr="00725691"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66483E" w:rsidRPr="00725691"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66483E" w:rsidRPr="00725691"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66483E">
        <w:trPr>
          <w:cantSplit/>
          <w:trHeight w:val="20"/>
        </w:trPr>
        <w:tc>
          <w:tcPr>
            <w:tcW w:w="567" w:type="dxa"/>
          </w:tcPr>
          <w:p w:rsidR="0066483E" w:rsidRPr="008A0F36" w:rsidRDefault="0066483E" w:rsidP="004300E2">
            <w:pPr>
              <w:pStyle w:val="Numeroelenco"/>
              <w:numPr>
                <w:ilvl w:val="0"/>
                <w:numId w:val="0"/>
              </w:numPr>
              <w:ind w:left="57"/>
              <w:rPr>
                <w:lang w:val="it-IT"/>
              </w:rPr>
            </w:pPr>
          </w:p>
        </w:tc>
        <w:tc>
          <w:tcPr>
            <w:tcW w:w="851" w:type="dxa"/>
            <w:tcMar>
              <w:right w:w="0" w:type="dxa"/>
            </w:tcMar>
          </w:tcPr>
          <w:p w:rsidR="0066483E" w:rsidRPr="008A0F36" w:rsidRDefault="0066483E" w:rsidP="004300E2">
            <w:pPr>
              <w:pStyle w:val="IAS"/>
              <w:rPr>
                <w:lang w:val="it-IT"/>
              </w:rPr>
            </w:pPr>
          </w:p>
        </w:tc>
        <w:tc>
          <w:tcPr>
            <w:tcW w:w="7079" w:type="dxa"/>
          </w:tcPr>
          <w:p w:rsidR="0066483E" w:rsidRPr="001E4262" w:rsidRDefault="0066483E" w:rsidP="004300E2">
            <w:pPr>
              <w:pStyle w:val="Paragrafoelenco"/>
              <w:ind w:left="34"/>
              <w:rPr>
                <w:lang w:val="it-IT"/>
              </w:rPr>
            </w:pPr>
            <w:r>
              <w:rPr>
                <w:lang w:val="it-IT"/>
              </w:rPr>
              <w:t>Se un’entità sceglie l’alternativa (b), l’effetto fiscale correlato deve essere ripartito tra le voci che potrebbero essere successivamente riclassificate nell’utile/(perdita) d’esercizio e quelle che non saranno successivamente riclassificate nell’utile/(perdita) d’esercizio.</w:t>
            </w:r>
          </w:p>
        </w:tc>
        <w:tc>
          <w:tcPr>
            <w:tcW w:w="575" w:type="dxa"/>
            <w:vAlign w:val="center"/>
          </w:tcPr>
          <w:p w:rsidR="0066483E" w:rsidRPr="004979D5"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66483E" w:rsidRPr="001E4262"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66483E" w:rsidRPr="001E4262"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pStyle w:val="Numeroelenco"/>
              <w:ind w:left="0" w:firstLine="57"/>
              <w:rPr>
                <w:lang w:val="it-IT"/>
              </w:rPr>
            </w:pPr>
          </w:p>
        </w:tc>
        <w:tc>
          <w:tcPr>
            <w:tcW w:w="851" w:type="dxa"/>
            <w:tcMar>
              <w:right w:w="0" w:type="dxa"/>
            </w:tcMar>
          </w:tcPr>
          <w:p w:rsidR="0066483E" w:rsidRPr="008A0F36" w:rsidRDefault="0066483E" w:rsidP="004300E2">
            <w:pPr>
              <w:pStyle w:val="IAS"/>
              <w:rPr>
                <w:lang w:val="it-IT"/>
              </w:rPr>
            </w:pPr>
            <w:r w:rsidRPr="008A0F36">
              <w:rPr>
                <w:lang w:val="it-IT"/>
              </w:rPr>
              <w:t>IAS 1.92</w:t>
            </w:r>
          </w:p>
          <w:p w:rsidR="0066483E" w:rsidRPr="008A0F36" w:rsidRDefault="0066483E" w:rsidP="004300E2">
            <w:pPr>
              <w:pStyle w:val="IAS"/>
              <w:rPr>
                <w:lang w:val="it-IT"/>
              </w:rPr>
            </w:pPr>
          </w:p>
        </w:tc>
        <w:tc>
          <w:tcPr>
            <w:tcW w:w="7079" w:type="dxa"/>
          </w:tcPr>
          <w:p w:rsidR="0066483E" w:rsidRPr="008A0F36" w:rsidRDefault="0066483E" w:rsidP="004300E2">
            <w:pPr>
              <w:rPr>
                <w:lang w:val="it-IT"/>
              </w:rPr>
            </w:pPr>
            <w:r w:rsidRPr="008A0F36">
              <w:rPr>
                <w:lang w:val="it-IT"/>
              </w:rPr>
              <w:t xml:space="preserve">L’entità deve evidenziare le rettifiche conseguenti a riclassifiche relative alle voci delle altre componenti </w:t>
            </w:r>
            <w:r>
              <w:rPr>
                <w:lang w:val="it-IT"/>
              </w:rPr>
              <w:t xml:space="preserve">di </w:t>
            </w:r>
            <w:r w:rsidRPr="008A0F36">
              <w:rPr>
                <w:lang w:val="it-IT"/>
              </w:rPr>
              <w:t>conto economico complessivo.</w:t>
            </w:r>
          </w:p>
        </w:tc>
        <w:tc>
          <w:tcPr>
            <w:tcW w:w="575" w:type="dxa"/>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Pr="008A0F36" w:rsidRDefault="004300E2" w:rsidP="004300E2">
            <w:pPr>
              <w:ind w:firstLine="57"/>
              <w:rPr>
                <w:lang w:val="it-IT"/>
              </w:rPr>
            </w:pPr>
          </w:p>
        </w:tc>
        <w:tc>
          <w:tcPr>
            <w:tcW w:w="851" w:type="dxa"/>
            <w:tcMar>
              <w:right w:w="0" w:type="dxa"/>
            </w:tcMar>
          </w:tcPr>
          <w:p w:rsidR="004300E2" w:rsidRPr="008A0F36" w:rsidRDefault="004300E2" w:rsidP="004300E2">
            <w:pPr>
              <w:pStyle w:val="IAS"/>
              <w:rPr>
                <w:lang w:val="it-IT"/>
              </w:rPr>
            </w:pPr>
            <w:r w:rsidRPr="008A0F36">
              <w:rPr>
                <w:lang w:val="it-IT"/>
              </w:rPr>
              <w:t>IAS 1.95</w:t>
            </w:r>
          </w:p>
        </w:tc>
        <w:tc>
          <w:tcPr>
            <w:tcW w:w="7079" w:type="dxa"/>
          </w:tcPr>
          <w:p w:rsidR="004300E2" w:rsidRPr="008A0F36" w:rsidRDefault="004300E2" w:rsidP="00BF3D7D">
            <w:pPr>
              <w:pStyle w:val="Paragarfobordato"/>
            </w:pPr>
            <w:r w:rsidRPr="008A0F36">
              <w:t xml:space="preserve">Esempi di rettifiche da riclassificazione includono: </w:t>
            </w:r>
          </w:p>
          <w:p w:rsidR="004300E2" w:rsidRPr="008A0F36" w:rsidRDefault="004300E2" w:rsidP="00BF3D7D">
            <w:pPr>
              <w:pStyle w:val="Paragarfobordato"/>
              <w:rPr>
                <w:szCs w:val="18"/>
              </w:rPr>
            </w:pPr>
            <w:r w:rsidRPr="008A0F36">
              <w:rPr>
                <w:szCs w:val="18"/>
              </w:rPr>
              <w:t>a)</w:t>
            </w:r>
            <w:r w:rsidRPr="008A0F36">
              <w:rPr>
                <w:szCs w:val="18"/>
              </w:rPr>
              <w:tab/>
              <w:t>dismissione di una gestione estera (si veda IAS 21)</w:t>
            </w:r>
          </w:p>
          <w:p w:rsidR="004300E2" w:rsidRPr="008A0F36" w:rsidRDefault="004300E2" w:rsidP="00BF3D7D">
            <w:pPr>
              <w:pStyle w:val="Paragarfobordato"/>
              <w:rPr>
                <w:szCs w:val="18"/>
              </w:rPr>
            </w:pPr>
            <w:r w:rsidRPr="008A0F36">
              <w:rPr>
                <w:szCs w:val="18"/>
              </w:rPr>
              <w:t>b)</w:t>
            </w:r>
            <w:r w:rsidRPr="008A0F36">
              <w:rPr>
                <w:szCs w:val="18"/>
              </w:rPr>
              <w:tab/>
              <w:t>eliminazione di attività disponibili per la vendita (si veda IAS 39)</w:t>
            </w:r>
          </w:p>
          <w:p w:rsidR="004300E2" w:rsidRPr="008A0F36" w:rsidRDefault="004300E2" w:rsidP="00BF3D7D">
            <w:pPr>
              <w:pStyle w:val="Paragarfobordato"/>
            </w:pPr>
            <w:r w:rsidRPr="008A0F36">
              <w:rPr>
                <w:szCs w:val="18"/>
              </w:rPr>
              <w:t>c)</w:t>
            </w:r>
            <w:r w:rsidRPr="008A0F36">
              <w:rPr>
                <w:szCs w:val="18"/>
              </w:rPr>
              <w:tab/>
              <w:t>quando una programmata operazione di copertura ha un effetto sull’utile/(perdita) d’esercizio (si veda IAS 39).</w:t>
            </w:r>
          </w:p>
        </w:tc>
        <w:tc>
          <w:tcPr>
            <w:tcW w:w="575" w:type="dxa"/>
            <w:vAlign w:val="center"/>
          </w:tcPr>
          <w:p w:rsidR="004300E2" w:rsidRPr="00FF19F7" w:rsidRDefault="004300E2" w:rsidP="004300E2">
            <w:pPr>
              <w:jc w:val="center"/>
              <w:rPr>
                <w:lang w:val="it-IT"/>
              </w:rPr>
            </w:pPr>
          </w:p>
        </w:tc>
        <w:tc>
          <w:tcPr>
            <w:tcW w:w="567" w:type="dxa"/>
            <w:vAlign w:val="center"/>
          </w:tcPr>
          <w:p w:rsidR="004300E2" w:rsidRPr="00FF19F7" w:rsidRDefault="004300E2" w:rsidP="004300E2">
            <w:pPr>
              <w:jc w:val="center"/>
              <w:rPr>
                <w:lang w:val="it-IT"/>
              </w:rPr>
            </w:pPr>
          </w:p>
        </w:tc>
        <w:tc>
          <w:tcPr>
            <w:tcW w:w="567" w:type="dxa"/>
            <w:vAlign w:val="center"/>
          </w:tcPr>
          <w:p w:rsidR="004300E2" w:rsidRPr="00FF19F7" w:rsidRDefault="004300E2" w:rsidP="004300E2">
            <w:pPr>
              <w:jc w:val="center"/>
              <w:rPr>
                <w:lang w:val="it-IT"/>
              </w:rPr>
            </w:pPr>
          </w:p>
        </w:tc>
      </w:tr>
      <w:tr w:rsidR="004300E2" w:rsidRPr="00A44ECD" w:rsidTr="00940A6F">
        <w:trPr>
          <w:cantSplit/>
          <w:trHeight w:val="20"/>
        </w:trPr>
        <w:tc>
          <w:tcPr>
            <w:tcW w:w="567" w:type="dxa"/>
          </w:tcPr>
          <w:p w:rsidR="004300E2" w:rsidRPr="008A0F36" w:rsidRDefault="004300E2" w:rsidP="004300E2">
            <w:pPr>
              <w:ind w:firstLine="57"/>
              <w:rPr>
                <w:lang w:val="it-IT"/>
              </w:rPr>
            </w:pPr>
          </w:p>
        </w:tc>
        <w:tc>
          <w:tcPr>
            <w:tcW w:w="851" w:type="dxa"/>
            <w:tcMar>
              <w:right w:w="0" w:type="dxa"/>
            </w:tcMar>
          </w:tcPr>
          <w:p w:rsidR="004300E2" w:rsidRPr="008A0F36" w:rsidRDefault="004300E2" w:rsidP="004300E2">
            <w:pPr>
              <w:pStyle w:val="IAS"/>
              <w:rPr>
                <w:lang w:val="it-IT"/>
              </w:rPr>
            </w:pPr>
            <w:r w:rsidRPr="008A0F36">
              <w:rPr>
                <w:lang w:val="it-IT"/>
              </w:rPr>
              <w:t>IAS 1.96</w:t>
            </w:r>
          </w:p>
        </w:tc>
        <w:tc>
          <w:tcPr>
            <w:tcW w:w="7079" w:type="dxa"/>
          </w:tcPr>
          <w:p w:rsidR="004300E2" w:rsidRPr="008A0F36" w:rsidRDefault="004300E2" w:rsidP="00BF3D7D">
            <w:pPr>
              <w:pStyle w:val="Paragarfobordato"/>
            </w:pPr>
            <w:r w:rsidRPr="008A0F36">
              <w:t>Le rettifiche da riclassificazione non derivano invece da variazioni della riserva di rivalutazione rilevate in base allo IAS 16 o allo IAS 38, o da</w:t>
            </w:r>
            <w:r>
              <w:t xml:space="preserve">lla rivalutazione delle attività/(passività) nette per piani a benefici definiti </w:t>
            </w:r>
            <w:r w:rsidRPr="008A0F36">
              <w:t xml:space="preserve">rilevati secondo lo IAS 19. Tali variazioni sono rilevati </w:t>
            </w:r>
            <w:r>
              <w:t xml:space="preserve">tra le </w:t>
            </w:r>
            <w:r w:rsidRPr="008A0F36">
              <w:t xml:space="preserve">altre componenti </w:t>
            </w:r>
            <w:r>
              <w:t xml:space="preserve">di </w:t>
            </w:r>
            <w:r w:rsidRPr="008A0F36">
              <w:t>conto economico complessivo e non sono riclassificate nell’utile/(perdita) degli esercizi successivi.</w:t>
            </w:r>
          </w:p>
        </w:tc>
        <w:tc>
          <w:tcPr>
            <w:tcW w:w="575" w:type="dxa"/>
            <w:vAlign w:val="center"/>
          </w:tcPr>
          <w:p w:rsidR="004300E2" w:rsidRPr="00FF19F7" w:rsidRDefault="004300E2" w:rsidP="004300E2">
            <w:pPr>
              <w:jc w:val="center"/>
              <w:rPr>
                <w:lang w:val="it-IT"/>
              </w:rPr>
            </w:pPr>
          </w:p>
        </w:tc>
        <w:tc>
          <w:tcPr>
            <w:tcW w:w="567" w:type="dxa"/>
            <w:vAlign w:val="center"/>
          </w:tcPr>
          <w:p w:rsidR="004300E2" w:rsidRPr="00FF19F7" w:rsidRDefault="004300E2" w:rsidP="004300E2">
            <w:pPr>
              <w:jc w:val="center"/>
              <w:rPr>
                <w:lang w:val="it-IT"/>
              </w:rPr>
            </w:pPr>
          </w:p>
        </w:tc>
        <w:tc>
          <w:tcPr>
            <w:tcW w:w="567" w:type="dxa"/>
            <w:vAlign w:val="center"/>
          </w:tcPr>
          <w:p w:rsidR="004300E2" w:rsidRPr="00FF19F7" w:rsidRDefault="004300E2" w:rsidP="004300E2">
            <w:pPr>
              <w:jc w:val="center"/>
              <w:rPr>
                <w:lang w:val="it-IT"/>
              </w:rPr>
            </w:pPr>
          </w:p>
        </w:tc>
      </w:tr>
      <w:tr w:rsidR="004300E2" w:rsidRPr="00A44ECD" w:rsidTr="00940A6F">
        <w:trPr>
          <w:cantSplit/>
          <w:trHeight w:val="20"/>
        </w:trPr>
        <w:tc>
          <w:tcPr>
            <w:tcW w:w="567" w:type="dxa"/>
          </w:tcPr>
          <w:p w:rsidR="004300E2" w:rsidRPr="008A0F36" w:rsidRDefault="004300E2" w:rsidP="004300E2">
            <w:pPr>
              <w:pStyle w:val="Numeroelenco"/>
              <w:ind w:left="0" w:firstLine="57"/>
              <w:rPr>
                <w:lang w:val="it-IT"/>
              </w:rPr>
            </w:pPr>
          </w:p>
        </w:tc>
        <w:tc>
          <w:tcPr>
            <w:tcW w:w="851" w:type="dxa"/>
            <w:tcMar>
              <w:right w:w="0" w:type="dxa"/>
            </w:tcMar>
          </w:tcPr>
          <w:p w:rsidR="004300E2" w:rsidRPr="008A0F36" w:rsidRDefault="004300E2" w:rsidP="004300E2">
            <w:pPr>
              <w:pStyle w:val="IAS"/>
              <w:rPr>
                <w:lang w:val="it-IT"/>
              </w:rPr>
            </w:pPr>
            <w:r w:rsidRPr="008A0F36">
              <w:rPr>
                <w:lang w:val="it-IT"/>
              </w:rPr>
              <w:t>IFRS 5.33</w:t>
            </w:r>
          </w:p>
        </w:tc>
        <w:tc>
          <w:tcPr>
            <w:tcW w:w="7079" w:type="dxa"/>
          </w:tcPr>
          <w:p w:rsidR="004300E2" w:rsidRPr="008A0F36" w:rsidRDefault="004300E2" w:rsidP="004300E2">
            <w:pPr>
              <w:rPr>
                <w:lang w:val="it-IT"/>
              </w:rPr>
            </w:pPr>
            <w:r w:rsidRPr="008A0F36">
              <w:rPr>
                <w:lang w:val="it-IT"/>
              </w:rPr>
              <w:t xml:space="preserve">L’entità ha presentato </w:t>
            </w:r>
            <w:r>
              <w:rPr>
                <w:lang w:val="it-IT"/>
              </w:rPr>
              <w:t xml:space="preserve">nel prospetto (nei prospetti) dell’utile/(perdita) d’esercizio e delle altre componenti di conto </w:t>
            </w:r>
            <w:r w:rsidRPr="008A0F36">
              <w:rPr>
                <w:lang w:val="it-IT"/>
              </w:rPr>
              <w:t xml:space="preserve">economico complessivo o nelle note, un’analisi dell’ammontare complessivo degli utili o perdite delle attività operative cessate, al netto degli effetti fiscali, e della plusvalenza o minusvalenza, al netto degli effetti fiscali, rilevata a seguito di valutazioni al </w:t>
            </w:r>
            <w:r w:rsidRPr="008A0F36">
              <w:rPr>
                <w:i/>
                <w:lang w:val="it-IT"/>
              </w:rPr>
              <w:t>fair value</w:t>
            </w:r>
            <w:r w:rsidRPr="008A0F36">
              <w:rPr>
                <w:lang w:val="it-IT"/>
              </w:rPr>
              <w:t xml:space="preserve"> al netto dei costi di vendita o della dismissione di attività o di gruppi di dismissioni che costituiscono l’attività operativa cessata, identificando le seguenti componenti:</w:t>
            </w:r>
          </w:p>
        </w:tc>
        <w:tc>
          <w:tcPr>
            <w:tcW w:w="575" w:type="dxa"/>
            <w:vAlign w:val="center"/>
          </w:tcPr>
          <w:p w:rsidR="004300E2" w:rsidRPr="00FF19F7" w:rsidRDefault="004300E2" w:rsidP="004300E2">
            <w:pPr>
              <w:jc w:val="center"/>
              <w:rPr>
                <w:lang w:val="it-IT"/>
              </w:rPr>
            </w:pPr>
          </w:p>
        </w:tc>
        <w:tc>
          <w:tcPr>
            <w:tcW w:w="567" w:type="dxa"/>
            <w:vAlign w:val="center"/>
          </w:tcPr>
          <w:p w:rsidR="004300E2" w:rsidRPr="00FF19F7" w:rsidRDefault="004300E2" w:rsidP="004300E2">
            <w:pPr>
              <w:jc w:val="center"/>
              <w:rPr>
                <w:lang w:val="it-IT"/>
              </w:rPr>
            </w:pPr>
          </w:p>
        </w:tc>
        <w:tc>
          <w:tcPr>
            <w:tcW w:w="567" w:type="dxa"/>
            <w:vAlign w:val="center"/>
          </w:tcPr>
          <w:p w:rsidR="004300E2" w:rsidRPr="00FF19F7" w:rsidRDefault="004300E2" w:rsidP="004300E2">
            <w:pPr>
              <w:jc w:val="center"/>
              <w:rPr>
                <w:lang w:val="it-IT"/>
              </w:rPr>
            </w:pP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right w:w="0" w:type="dxa"/>
            </w:tcMar>
          </w:tcPr>
          <w:p w:rsidR="0066483E" w:rsidRPr="008A0F36" w:rsidRDefault="0066483E" w:rsidP="004300E2">
            <w:pPr>
              <w:pStyle w:val="IAS"/>
              <w:rPr>
                <w:lang w:val="it-IT"/>
              </w:rPr>
            </w:pPr>
            <w:r w:rsidRPr="008A0F36" w:rsidDel="00B907E2">
              <w:rPr>
                <w:lang w:val="it-IT"/>
              </w:rPr>
              <w:t xml:space="preserve"> </w:t>
            </w:r>
          </w:p>
        </w:tc>
        <w:tc>
          <w:tcPr>
            <w:tcW w:w="7079" w:type="dxa"/>
          </w:tcPr>
          <w:p w:rsidR="0066483E" w:rsidRDefault="0066483E" w:rsidP="004300E2">
            <w:pPr>
              <w:pStyle w:val="Rientroa"/>
              <w:numPr>
                <w:ilvl w:val="0"/>
                <w:numId w:val="0"/>
              </w:numPr>
              <w:ind w:left="376" w:hanging="344"/>
              <w:rPr>
                <w:b/>
                <w:caps/>
                <w:kern w:val="28"/>
                <w:sz w:val="22"/>
                <w:szCs w:val="22"/>
              </w:rPr>
            </w:pPr>
            <w:r>
              <w:t>a)</w:t>
            </w:r>
            <w:r w:rsidRPr="008A0F36">
              <w:tab/>
              <w:t>i ricavi, i costi, e gli utili o le perdite ante imposte delle operazioni cessate</w:t>
            </w:r>
          </w:p>
        </w:tc>
        <w:tc>
          <w:tcPr>
            <w:tcW w:w="575" w:type="dxa"/>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right w:w="0" w:type="dxa"/>
            </w:tcMar>
          </w:tcPr>
          <w:p w:rsidR="0066483E" w:rsidRPr="008A0F36" w:rsidRDefault="0066483E" w:rsidP="004300E2">
            <w:pPr>
              <w:pStyle w:val="IAS"/>
              <w:rPr>
                <w:lang w:val="it-IT"/>
              </w:rPr>
            </w:pPr>
          </w:p>
        </w:tc>
        <w:tc>
          <w:tcPr>
            <w:tcW w:w="7079" w:type="dxa"/>
          </w:tcPr>
          <w:p w:rsidR="0066483E" w:rsidRPr="008A0F36" w:rsidRDefault="0066483E" w:rsidP="004300E2">
            <w:pPr>
              <w:pStyle w:val="Rientroa"/>
              <w:numPr>
                <w:ilvl w:val="0"/>
                <w:numId w:val="189"/>
              </w:numPr>
            </w:pPr>
            <w:r w:rsidRPr="008A0F36">
              <w:t>le relative imposte sul reddito</w:t>
            </w:r>
          </w:p>
        </w:tc>
        <w:tc>
          <w:tcPr>
            <w:tcW w:w="575" w:type="dxa"/>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right w:w="0" w:type="dxa"/>
            </w:tcMar>
          </w:tcPr>
          <w:p w:rsidR="0066483E" w:rsidRPr="008A0F36" w:rsidRDefault="0066483E" w:rsidP="004300E2">
            <w:pPr>
              <w:pStyle w:val="IAS"/>
              <w:rPr>
                <w:lang w:val="it-IT"/>
              </w:rPr>
            </w:pPr>
          </w:p>
        </w:tc>
        <w:tc>
          <w:tcPr>
            <w:tcW w:w="7079" w:type="dxa"/>
          </w:tcPr>
          <w:p w:rsidR="0066483E" w:rsidRPr="008A0F36" w:rsidRDefault="0066483E" w:rsidP="004300E2">
            <w:pPr>
              <w:pStyle w:val="Rientroa"/>
            </w:pPr>
            <w:r w:rsidRPr="008A0F36">
              <w:t xml:space="preserve">la plusvalenza o minusvalenza rilevata a seguito della valutazione al </w:t>
            </w:r>
            <w:r w:rsidRPr="008A0F36">
              <w:rPr>
                <w:i/>
              </w:rPr>
              <w:t>fair value</w:t>
            </w:r>
            <w:r w:rsidRPr="008A0F36">
              <w:t xml:space="preserve"> al netto dei costi di vendita o della dismissione di attività o di gruppi di dismissioni che costituiscono l’attività operativa cessata</w:t>
            </w:r>
            <w:r>
              <w:t>.</w:t>
            </w:r>
          </w:p>
        </w:tc>
        <w:tc>
          <w:tcPr>
            <w:tcW w:w="575" w:type="dxa"/>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A0F36" w:rsidTr="00940A6F">
        <w:trPr>
          <w:cantSplit/>
          <w:trHeight w:val="20"/>
        </w:trPr>
        <w:tc>
          <w:tcPr>
            <w:tcW w:w="567" w:type="dxa"/>
            <w:vAlign w:val="center"/>
          </w:tcPr>
          <w:p w:rsidR="004300E2" w:rsidRPr="008A0F36" w:rsidRDefault="004300E2" w:rsidP="000A7581">
            <w:pPr>
              <w:pageBreakBefore/>
              <w:ind w:firstLine="57"/>
              <w:jc w:val="left"/>
              <w:rPr>
                <w:lang w:val="it-IT"/>
              </w:rPr>
            </w:pPr>
          </w:p>
        </w:tc>
        <w:tc>
          <w:tcPr>
            <w:tcW w:w="851" w:type="dxa"/>
            <w:tcMar>
              <w:left w:w="108" w:type="dxa"/>
              <w:right w:w="0" w:type="dxa"/>
            </w:tcMar>
            <w:vAlign w:val="center"/>
          </w:tcPr>
          <w:p w:rsidR="004300E2" w:rsidRPr="008A0F36" w:rsidRDefault="004300E2" w:rsidP="000A7581">
            <w:pPr>
              <w:pStyle w:val="IAS"/>
              <w:pageBreakBefore/>
              <w:jc w:val="left"/>
              <w:rPr>
                <w:lang w:val="it-IT"/>
              </w:rPr>
            </w:pPr>
          </w:p>
        </w:tc>
        <w:tc>
          <w:tcPr>
            <w:tcW w:w="7079" w:type="dxa"/>
            <w:tcMar>
              <w:left w:w="108" w:type="dxa"/>
            </w:tcMar>
            <w:vAlign w:val="center"/>
          </w:tcPr>
          <w:p w:rsidR="004300E2" w:rsidRPr="008A0F36" w:rsidRDefault="004300E2" w:rsidP="000A7581">
            <w:pPr>
              <w:pStyle w:val="Titolo1"/>
              <w:keepNext w:val="0"/>
              <w:pageBreakBefore/>
            </w:pPr>
            <w:r w:rsidRPr="008A0F36">
              <w:t>UTILE PER AZIONE</w:t>
            </w:r>
          </w:p>
        </w:tc>
        <w:tc>
          <w:tcPr>
            <w:tcW w:w="575" w:type="dxa"/>
            <w:tcMar>
              <w:left w:w="85" w:type="dxa"/>
              <w:right w:w="85" w:type="dxa"/>
            </w:tcMar>
            <w:vAlign w:val="center"/>
          </w:tcPr>
          <w:p w:rsidR="004300E2" w:rsidRDefault="004300E2" w:rsidP="000A7581">
            <w:pPr>
              <w:pageBreakBefore/>
              <w:jc w:val="left"/>
            </w:pPr>
          </w:p>
        </w:tc>
        <w:tc>
          <w:tcPr>
            <w:tcW w:w="567" w:type="dxa"/>
            <w:tcMar>
              <w:left w:w="108" w:type="dxa"/>
            </w:tcMar>
            <w:vAlign w:val="center"/>
          </w:tcPr>
          <w:p w:rsidR="004300E2" w:rsidRDefault="004300E2" w:rsidP="000A7581">
            <w:pPr>
              <w:pageBreakBefore/>
              <w:jc w:val="left"/>
            </w:pPr>
          </w:p>
        </w:tc>
        <w:tc>
          <w:tcPr>
            <w:tcW w:w="567" w:type="dxa"/>
            <w:tcMar>
              <w:left w:w="108" w:type="dxa"/>
            </w:tcMar>
            <w:vAlign w:val="center"/>
          </w:tcPr>
          <w:p w:rsidR="004300E2" w:rsidRDefault="004300E2" w:rsidP="000A7581">
            <w:pPr>
              <w:pageBreakBefore/>
              <w:jc w:val="left"/>
            </w:pPr>
          </w:p>
        </w:tc>
      </w:tr>
      <w:tr w:rsidR="0066483E" w:rsidRPr="008129DA" w:rsidTr="00940A6F">
        <w:trPr>
          <w:cantSplit/>
          <w:trHeight w:val="20"/>
        </w:trPr>
        <w:tc>
          <w:tcPr>
            <w:tcW w:w="567" w:type="dxa"/>
          </w:tcPr>
          <w:p w:rsidR="0066483E" w:rsidRPr="008A0F36" w:rsidRDefault="0066483E" w:rsidP="004300E2">
            <w:pPr>
              <w:pStyle w:val="Numeroelenco"/>
              <w:ind w:left="0" w:firstLine="57"/>
              <w:rPr>
                <w:lang w:val="it-IT"/>
              </w:rPr>
            </w:pPr>
          </w:p>
        </w:tc>
        <w:tc>
          <w:tcPr>
            <w:tcW w:w="851" w:type="dxa"/>
            <w:tcMar>
              <w:left w:w="108" w:type="dxa"/>
              <w:right w:w="0" w:type="dxa"/>
            </w:tcMar>
          </w:tcPr>
          <w:p w:rsidR="0066483E" w:rsidRPr="008A0F36" w:rsidRDefault="0066483E" w:rsidP="004300E2">
            <w:pPr>
              <w:pStyle w:val="IAS"/>
              <w:rPr>
                <w:lang w:val="it-IT"/>
              </w:rPr>
            </w:pPr>
            <w:r w:rsidRPr="008A0F36">
              <w:rPr>
                <w:lang w:val="it-IT"/>
              </w:rPr>
              <w:t>IAS 33.3</w:t>
            </w:r>
          </w:p>
        </w:tc>
        <w:tc>
          <w:tcPr>
            <w:tcW w:w="7079" w:type="dxa"/>
            <w:tcMar>
              <w:left w:w="108" w:type="dxa"/>
            </w:tcMar>
          </w:tcPr>
          <w:p w:rsidR="0066483E" w:rsidRPr="008A0F36" w:rsidRDefault="0066483E" w:rsidP="004300E2">
            <w:pPr>
              <w:rPr>
                <w:lang w:val="it-IT"/>
              </w:rPr>
            </w:pPr>
            <w:r w:rsidRPr="008A0F36">
              <w:rPr>
                <w:lang w:val="it-IT"/>
              </w:rPr>
              <w:t>Se l’entità fornisce, volontariamente, un’informativa sull’utile per azione, deve fornire tale informazioni in base allo IAS 33.</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pStyle w:val="Numeroelenco"/>
              <w:ind w:left="0" w:firstLine="57"/>
              <w:rPr>
                <w:lang w:val="it-IT"/>
              </w:rPr>
            </w:pPr>
          </w:p>
        </w:tc>
        <w:tc>
          <w:tcPr>
            <w:tcW w:w="851" w:type="dxa"/>
            <w:tcMar>
              <w:left w:w="108" w:type="dxa"/>
              <w:right w:w="0" w:type="dxa"/>
            </w:tcMar>
          </w:tcPr>
          <w:p w:rsidR="0066483E" w:rsidRPr="008A0F36" w:rsidRDefault="0066483E" w:rsidP="004300E2">
            <w:pPr>
              <w:pStyle w:val="IAS"/>
              <w:rPr>
                <w:lang w:val="it-IT"/>
              </w:rPr>
            </w:pPr>
            <w:r w:rsidRPr="008A0F36">
              <w:rPr>
                <w:lang w:val="it-IT"/>
              </w:rPr>
              <w:t>IAS 33.4</w:t>
            </w:r>
          </w:p>
        </w:tc>
        <w:tc>
          <w:tcPr>
            <w:tcW w:w="7079" w:type="dxa"/>
            <w:tcMar>
              <w:left w:w="108" w:type="dxa"/>
            </w:tcMar>
          </w:tcPr>
          <w:p w:rsidR="0066483E" w:rsidRPr="008A0F36" w:rsidRDefault="0066483E" w:rsidP="000A7581">
            <w:pPr>
              <w:spacing w:line="214" w:lineRule="exact"/>
              <w:rPr>
                <w:lang w:val="it-IT"/>
              </w:rPr>
            </w:pPr>
            <w:r w:rsidRPr="008A0F36">
              <w:rPr>
                <w:lang w:val="it-IT"/>
              </w:rPr>
              <w:t xml:space="preserve">Se l’entità presenta sia il bilancio consolidato </w:t>
            </w:r>
            <w:r>
              <w:rPr>
                <w:lang w:val="it-IT"/>
              </w:rPr>
              <w:t xml:space="preserve">sia </w:t>
            </w:r>
            <w:r w:rsidRPr="008A0F36">
              <w:rPr>
                <w:lang w:val="it-IT"/>
              </w:rPr>
              <w:t>il bilancio separato</w:t>
            </w:r>
            <w:r>
              <w:rPr>
                <w:lang w:val="it-IT"/>
              </w:rPr>
              <w:t>, rispettivamente</w:t>
            </w:r>
            <w:r w:rsidRPr="008A0F36">
              <w:rPr>
                <w:lang w:val="it-IT"/>
              </w:rPr>
              <w:t xml:space="preserve"> redatt</w:t>
            </w:r>
            <w:r>
              <w:rPr>
                <w:lang w:val="it-IT"/>
              </w:rPr>
              <w:t>i</w:t>
            </w:r>
            <w:r w:rsidRPr="008A0F36">
              <w:rPr>
                <w:lang w:val="it-IT"/>
              </w:rPr>
              <w:t xml:space="preserve"> in conformità</w:t>
            </w:r>
            <w:r>
              <w:rPr>
                <w:lang w:val="it-IT"/>
              </w:rPr>
              <w:t xml:space="preserve"> all’IFRS 10</w:t>
            </w:r>
            <w:r w:rsidRPr="008A0F36">
              <w:rPr>
                <w:lang w:val="it-IT"/>
              </w:rPr>
              <w:t xml:space="preserve"> </w:t>
            </w:r>
            <w:r>
              <w:rPr>
                <w:lang w:val="it-IT"/>
              </w:rPr>
              <w:t xml:space="preserve">e </w:t>
            </w:r>
            <w:r w:rsidRPr="008A0F36">
              <w:rPr>
                <w:lang w:val="it-IT"/>
              </w:rPr>
              <w:t xml:space="preserve">allo IAS 27, ha presentato l’informativa richiesta </w:t>
            </w:r>
            <w:r>
              <w:rPr>
                <w:lang w:val="it-IT"/>
              </w:rPr>
              <w:t xml:space="preserve">dallo IAS 33 </w:t>
            </w:r>
            <w:r w:rsidRPr="008A0F36">
              <w:rPr>
                <w:lang w:val="it-IT"/>
              </w:rPr>
              <w:t>solo sulla base dei dati consolidati</w:t>
            </w:r>
            <w:r>
              <w:rPr>
                <w:lang w:val="it-IT"/>
              </w:rPr>
              <w:t>.</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pStyle w:val="Numeroelenco"/>
              <w:ind w:left="0" w:firstLine="57"/>
              <w:rPr>
                <w:lang w:val="it-IT"/>
              </w:rPr>
            </w:pPr>
          </w:p>
        </w:tc>
        <w:tc>
          <w:tcPr>
            <w:tcW w:w="851" w:type="dxa"/>
            <w:tcMar>
              <w:left w:w="108" w:type="dxa"/>
              <w:right w:w="0" w:type="dxa"/>
            </w:tcMar>
          </w:tcPr>
          <w:p w:rsidR="0066483E" w:rsidRPr="008A0F36" w:rsidRDefault="0066483E" w:rsidP="004300E2">
            <w:pPr>
              <w:pStyle w:val="IAS"/>
              <w:rPr>
                <w:lang w:val="it-IT"/>
              </w:rPr>
            </w:pPr>
            <w:r w:rsidRPr="008A0F36">
              <w:rPr>
                <w:lang w:val="it-IT"/>
              </w:rPr>
              <w:t>IAS 33.4</w:t>
            </w:r>
          </w:p>
        </w:tc>
        <w:tc>
          <w:tcPr>
            <w:tcW w:w="7079" w:type="dxa"/>
            <w:tcMar>
              <w:left w:w="108" w:type="dxa"/>
            </w:tcMar>
          </w:tcPr>
          <w:p w:rsidR="0066483E" w:rsidRPr="008A0F36" w:rsidRDefault="0066483E" w:rsidP="000A7581">
            <w:pPr>
              <w:spacing w:line="214" w:lineRule="exact"/>
              <w:rPr>
                <w:lang w:val="it-IT"/>
              </w:rPr>
            </w:pPr>
            <w:r w:rsidRPr="008A0F36">
              <w:rPr>
                <w:lang w:val="it-IT"/>
              </w:rPr>
              <w:t xml:space="preserve">L’entità che ha scelto di fornire informativa sull’utile per azione in base al bilancio separato, ha presentato tale informativa solo sul </w:t>
            </w:r>
            <w:r>
              <w:rPr>
                <w:lang w:val="it-IT"/>
              </w:rPr>
              <w:t xml:space="preserve">prospetto dell’utile/(perdita) d’esercizio e delle altre componenti di conto </w:t>
            </w:r>
            <w:r w:rsidRPr="008A0F36">
              <w:rPr>
                <w:lang w:val="it-IT"/>
              </w:rPr>
              <w:t>economico complessivo del suo bilancio separato e non su quello del consolidato</w:t>
            </w:r>
            <w:r>
              <w:rPr>
                <w:lang w:val="it-IT"/>
              </w:rPr>
              <w:t>.</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pStyle w:val="Numeroelenco"/>
              <w:ind w:left="0" w:firstLine="57"/>
              <w:rPr>
                <w:lang w:val="it-IT"/>
              </w:rPr>
            </w:pPr>
          </w:p>
        </w:tc>
        <w:tc>
          <w:tcPr>
            <w:tcW w:w="851" w:type="dxa"/>
            <w:tcMar>
              <w:left w:w="108" w:type="dxa"/>
              <w:right w:w="0" w:type="dxa"/>
            </w:tcMar>
          </w:tcPr>
          <w:p w:rsidR="0066483E" w:rsidRPr="008A0F36" w:rsidRDefault="0066483E" w:rsidP="004300E2">
            <w:pPr>
              <w:pStyle w:val="IAS"/>
              <w:rPr>
                <w:lang w:val="it-IT"/>
              </w:rPr>
            </w:pPr>
            <w:r w:rsidRPr="008A0F36">
              <w:rPr>
                <w:lang w:val="it-IT"/>
              </w:rPr>
              <w:t>IAS 33.64</w:t>
            </w:r>
          </w:p>
        </w:tc>
        <w:tc>
          <w:tcPr>
            <w:tcW w:w="7079" w:type="dxa"/>
            <w:tcMar>
              <w:left w:w="108" w:type="dxa"/>
            </w:tcMar>
          </w:tcPr>
          <w:p w:rsidR="0066483E" w:rsidRPr="008A0F36" w:rsidRDefault="0066483E" w:rsidP="000A7581">
            <w:pPr>
              <w:spacing w:line="214" w:lineRule="exact"/>
              <w:rPr>
                <w:lang w:val="it-IT"/>
              </w:rPr>
            </w:pPr>
            <w:r w:rsidRPr="008A0F36">
              <w:rPr>
                <w:lang w:val="it-IT"/>
              </w:rPr>
              <w:t>Se il numero delle azioni ordinarie o potenziali azioni ordinarie in circolazione aumenta in seguito alla capitalizzazione, emissione gratuita di azioni o frazionamento azionario, o diminuisce a seguito del raggruppamento di azioni (anche se questi cambiamenti intervengono dopo la data di chiusura dell’esercizio, ma prima dell’autorizzazione alla pubblicazione del bilancio) e pertanto il calcolo dell’utile base e diluito per azione per tutti gli esercizi presentati deve essere rettificato retroattivamente, è stata data informativa del fatto che i calcoli per azione riflettono tali variazioni nel numero di azioni</w:t>
            </w:r>
            <w:r>
              <w:rPr>
                <w:lang w:val="it-IT"/>
              </w:rPr>
              <w:t>.</w:t>
            </w:r>
            <w:r w:rsidRPr="008A0F36">
              <w:rPr>
                <w:lang w:val="it-IT"/>
              </w:rPr>
              <w:t xml:space="preserve"> </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33.66</w:t>
            </w:r>
          </w:p>
        </w:tc>
        <w:tc>
          <w:tcPr>
            <w:tcW w:w="7079" w:type="dxa"/>
            <w:tcMar>
              <w:left w:w="108" w:type="dxa"/>
            </w:tcMar>
          </w:tcPr>
          <w:p w:rsidR="004300E2" w:rsidRPr="008A0F36" w:rsidRDefault="004300E2" w:rsidP="000A7581">
            <w:pPr>
              <w:spacing w:line="214" w:lineRule="exact"/>
              <w:rPr>
                <w:lang w:val="it-IT"/>
              </w:rPr>
            </w:pPr>
            <w:r w:rsidRPr="008A0F36">
              <w:rPr>
                <w:lang w:val="it-IT"/>
              </w:rPr>
              <w:t xml:space="preserve">L’entità ha esposto nel prospetto </w:t>
            </w:r>
            <w:r>
              <w:rPr>
                <w:lang w:val="it-IT"/>
              </w:rPr>
              <w:t xml:space="preserve">dell’utile/(perdita) d’esercizio e delle altre componenti di conto </w:t>
            </w:r>
            <w:r w:rsidRPr="008A0F36">
              <w:rPr>
                <w:lang w:val="it-IT"/>
              </w:rPr>
              <w:t>economico complessivo per ogni classe di azioni ordinarie che hanno un differente diritto di partecipazione all’utile del periodo, l’utile base e diluito per azione per:</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Default="0066483E" w:rsidP="004300E2">
            <w:pPr>
              <w:pStyle w:val="Rientroa"/>
              <w:numPr>
                <w:ilvl w:val="0"/>
                <w:numId w:val="0"/>
              </w:numPr>
              <w:ind w:left="316" w:hanging="283"/>
              <w:rPr>
                <w:b/>
                <w:caps/>
                <w:kern w:val="28"/>
                <w:sz w:val="22"/>
                <w:szCs w:val="22"/>
              </w:rPr>
            </w:pPr>
            <w:r w:rsidRPr="008A0F36">
              <w:t>a)</w:t>
            </w:r>
            <w:r>
              <w:tab/>
              <w:t xml:space="preserve">gli </w:t>
            </w:r>
            <w:r w:rsidRPr="008A0F36">
              <w:t xml:space="preserve">utili e </w:t>
            </w:r>
            <w:r>
              <w:t xml:space="preserve">le </w:t>
            </w:r>
            <w:r w:rsidRPr="008A0F36">
              <w:t xml:space="preserve">perdite </w:t>
            </w:r>
            <w:r>
              <w:t xml:space="preserve">derivanti </w:t>
            </w:r>
            <w:r w:rsidRPr="008A0F36">
              <w:t>dall</w:t>
            </w:r>
            <w:r>
              <w:t xml:space="preserve">e </w:t>
            </w:r>
            <w:r w:rsidRPr="008A0F36">
              <w:t xml:space="preserve">attività </w:t>
            </w:r>
            <w:r>
              <w:t>operative in esercizio</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Default="0066483E" w:rsidP="004300E2">
            <w:pPr>
              <w:pStyle w:val="Rientroa"/>
              <w:numPr>
                <w:ilvl w:val="0"/>
                <w:numId w:val="190"/>
              </w:numPr>
              <w:tabs>
                <w:tab w:val="clear" w:pos="392"/>
              </w:tabs>
              <w:ind w:left="316" w:hanging="284"/>
            </w:pPr>
            <w:r>
              <w:t xml:space="preserve">gli </w:t>
            </w:r>
            <w:r w:rsidRPr="008A0F36">
              <w:t xml:space="preserve">utili e </w:t>
            </w:r>
            <w:r>
              <w:t xml:space="preserve">le </w:t>
            </w:r>
            <w:r w:rsidRPr="008A0F36">
              <w:t xml:space="preserve">perdite </w:t>
            </w:r>
            <w:r>
              <w:t>complessive del</w:t>
            </w:r>
            <w:r w:rsidRPr="008A0F36">
              <w:t>l’esercizio.</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Pr="008A0F36" w:rsidRDefault="004300E2" w:rsidP="004300E2">
            <w:pPr>
              <w:ind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33.67</w:t>
            </w:r>
          </w:p>
        </w:tc>
        <w:tc>
          <w:tcPr>
            <w:tcW w:w="7079" w:type="dxa"/>
            <w:tcMar>
              <w:left w:w="108" w:type="dxa"/>
            </w:tcMar>
          </w:tcPr>
          <w:p w:rsidR="004300E2" w:rsidRPr="008A0F36" w:rsidRDefault="004300E2" w:rsidP="000A7581">
            <w:pPr>
              <w:pStyle w:val="Paragarfobordato"/>
            </w:pPr>
            <w:r w:rsidRPr="008A0F36">
              <w:t xml:space="preserve">Se l’utile base e diluito per azione sono uguali, la doppia esposizione può essere effettuata su una riga del prospetto </w:t>
            </w:r>
            <w:r>
              <w:t xml:space="preserve">dell’utile/(perdita) d’esercizio e delle altre componenti di conto </w:t>
            </w:r>
            <w:r w:rsidRPr="008A0F36">
              <w:t>economico complessivo.</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4300E2" w:rsidRPr="00A44ECD" w:rsidTr="00940A6F">
        <w:trPr>
          <w:cantSplit/>
          <w:trHeight w:val="20"/>
        </w:trPr>
        <w:tc>
          <w:tcPr>
            <w:tcW w:w="567" w:type="dxa"/>
          </w:tcPr>
          <w:p w:rsidR="004300E2" w:rsidRPr="008A0F36" w:rsidRDefault="004300E2" w:rsidP="004300E2">
            <w:pPr>
              <w:ind w:firstLine="57"/>
              <w:rPr>
                <w:lang w:val="it-IT"/>
              </w:rPr>
            </w:pPr>
          </w:p>
        </w:tc>
        <w:tc>
          <w:tcPr>
            <w:tcW w:w="851" w:type="dxa"/>
            <w:tcMar>
              <w:left w:w="108" w:type="dxa"/>
              <w:right w:w="0" w:type="dxa"/>
            </w:tcMar>
          </w:tcPr>
          <w:p w:rsidR="004300E2" w:rsidRPr="008A0F36" w:rsidRDefault="004300E2" w:rsidP="004300E2">
            <w:pPr>
              <w:pStyle w:val="IAS"/>
              <w:rPr>
                <w:lang w:val="it-IT"/>
              </w:rPr>
            </w:pPr>
            <w:r>
              <w:rPr>
                <w:lang w:val="it-IT"/>
              </w:rPr>
              <w:t>IAS 33.67A</w:t>
            </w:r>
          </w:p>
        </w:tc>
        <w:tc>
          <w:tcPr>
            <w:tcW w:w="7079" w:type="dxa"/>
            <w:tcMar>
              <w:left w:w="108" w:type="dxa"/>
            </w:tcMar>
          </w:tcPr>
          <w:p w:rsidR="004300E2" w:rsidRPr="008A0F36" w:rsidRDefault="004300E2" w:rsidP="000A7581">
            <w:pPr>
              <w:pStyle w:val="Paragarfobordato"/>
            </w:pPr>
            <w:r>
              <w:t xml:space="preserve">Se </w:t>
            </w:r>
            <w:r w:rsidRPr="00AB2C1C">
              <w:t>un'entità presenta le voci dell'</w:t>
            </w:r>
            <w:r>
              <w:t>utile/(perdita)</w:t>
            </w:r>
            <w:r w:rsidRPr="00AB2C1C">
              <w:t xml:space="preserve"> d'esercizio in un prospetto </w:t>
            </w:r>
            <w:r>
              <w:t>distinto</w:t>
            </w:r>
            <w:r w:rsidRPr="00AB2C1C">
              <w:t xml:space="preserve">, l'utile base e diluito per azione, </w:t>
            </w:r>
            <w:r>
              <w:t xml:space="preserve">come richiesto dallo IAS 33.66 e 67 deve essere presentato </w:t>
            </w:r>
            <w:r w:rsidRPr="00AB2C1C">
              <w:t xml:space="preserve">in tale prospetto. </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66483E" w:rsidRPr="008129DA" w:rsidTr="00940A6F">
        <w:trPr>
          <w:cantSplit/>
          <w:trHeight w:val="20"/>
        </w:trPr>
        <w:tc>
          <w:tcPr>
            <w:tcW w:w="567" w:type="dxa"/>
          </w:tcPr>
          <w:p w:rsidR="0066483E" w:rsidRPr="008A0F36" w:rsidRDefault="0066483E" w:rsidP="004300E2">
            <w:pPr>
              <w:pStyle w:val="Numeroelenco"/>
              <w:ind w:left="0" w:firstLine="57"/>
              <w:rPr>
                <w:lang w:val="it-IT"/>
              </w:rPr>
            </w:pPr>
          </w:p>
        </w:tc>
        <w:tc>
          <w:tcPr>
            <w:tcW w:w="851" w:type="dxa"/>
            <w:tcMar>
              <w:left w:w="108" w:type="dxa"/>
              <w:right w:w="0" w:type="dxa"/>
            </w:tcMar>
          </w:tcPr>
          <w:p w:rsidR="0066483E" w:rsidRPr="008A0F36" w:rsidRDefault="0066483E" w:rsidP="004300E2">
            <w:pPr>
              <w:pStyle w:val="IAS"/>
              <w:rPr>
                <w:lang w:val="it-IT"/>
              </w:rPr>
            </w:pPr>
            <w:r w:rsidRPr="008A0F36">
              <w:rPr>
                <w:lang w:val="it-IT"/>
              </w:rPr>
              <w:t>IAS 33.66</w:t>
            </w:r>
          </w:p>
        </w:tc>
        <w:tc>
          <w:tcPr>
            <w:tcW w:w="7079" w:type="dxa"/>
            <w:tcMar>
              <w:left w:w="108" w:type="dxa"/>
            </w:tcMar>
          </w:tcPr>
          <w:p w:rsidR="0066483E" w:rsidRPr="008A0F36" w:rsidRDefault="0066483E" w:rsidP="000A7581">
            <w:pPr>
              <w:spacing w:line="214" w:lineRule="exact"/>
              <w:rPr>
                <w:lang w:val="it-IT"/>
              </w:rPr>
            </w:pPr>
            <w:r w:rsidRPr="008A0F36">
              <w:rPr>
                <w:lang w:val="it-IT"/>
              </w:rPr>
              <w:t>L’entità ha esposto l’utile base e diluito per azione con eguale rilevanza per tutti gli esercizi presentati.</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pStyle w:val="Numeroelenco"/>
              <w:ind w:left="0" w:firstLine="57"/>
              <w:rPr>
                <w:lang w:val="it-IT"/>
              </w:rPr>
            </w:pPr>
          </w:p>
        </w:tc>
        <w:tc>
          <w:tcPr>
            <w:tcW w:w="851" w:type="dxa"/>
            <w:tcMar>
              <w:left w:w="108" w:type="dxa"/>
              <w:right w:w="0" w:type="dxa"/>
            </w:tcMar>
          </w:tcPr>
          <w:p w:rsidR="0066483E" w:rsidRPr="008A0F36" w:rsidRDefault="0066483E" w:rsidP="004300E2">
            <w:pPr>
              <w:pStyle w:val="IAS"/>
              <w:rPr>
                <w:lang w:val="it-IT"/>
              </w:rPr>
            </w:pPr>
            <w:r w:rsidRPr="008A0F36">
              <w:rPr>
                <w:lang w:val="it-IT"/>
              </w:rPr>
              <w:t>IAS 33.68</w:t>
            </w:r>
          </w:p>
        </w:tc>
        <w:tc>
          <w:tcPr>
            <w:tcW w:w="7079" w:type="dxa"/>
            <w:tcMar>
              <w:left w:w="108" w:type="dxa"/>
            </w:tcMar>
          </w:tcPr>
          <w:p w:rsidR="0066483E" w:rsidRPr="008A0F36" w:rsidRDefault="0066483E" w:rsidP="000A7581">
            <w:pPr>
              <w:spacing w:line="214" w:lineRule="exact"/>
              <w:rPr>
                <w:lang w:val="it-IT"/>
              </w:rPr>
            </w:pPr>
            <w:r w:rsidRPr="008A0F36">
              <w:rPr>
                <w:lang w:val="it-IT"/>
              </w:rPr>
              <w:t xml:space="preserve">Se l’entità espone un’attività </w:t>
            </w:r>
            <w:r>
              <w:rPr>
                <w:lang w:val="it-IT"/>
              </w:rPr>
              <w:t>operativa cessata</w:t>
            </w:r>
            <w:r w:rsidRPr="008A0F36">
              <w:rPr>
                <w:lang w:val="it-IT"/>
              </w:rPr>
              <w:t xml:space="preserve">, l’utile base e diluito per azione relativamente a tale voce è stato esposto o nel prospetto </w:t>
            </w:r>
            <w:r>
              <w:rPr>
                <w:lang w:val="it-IT"/>
              </w:rPr>
              <w:t xml:space="preserve">dell’utile/(perdita) d’esercizio e delle altre componenti di conto </w:t>
            </w:r>
            <w:r w:rsidRPr="008A0F36">
              <w:rPr>
                <w:lang w:val="it-IT"/>
              </w:rPr>
              <w:t>economico complessivo o nelle note del bilancio.</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Pr="008A0F36" w:rsidRDefault="004300E2" w:rsidP="004300E2">
            <w:pPr>
              <w:ind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33.68A</w:t>
            </w:r>
          </w:p>
        </w:tc>
        <w:tc>
          <w:tcPr>
            <w:tcW w:w="7079" w:type="dxa"/>
            <w:tcMar>
              <w:left w:w="108" w:type="dxa"/>
            </w:tcMar>
          </w:tcPr>
          <w:p w:rsidR="004300E2" w:rsidRPr="008A0F36" w:rsidRDefault="004300E2" w:rsidP="000A7581">
            <w:pPr>
              <w:pStyle w:val="Paragarfobordato"/>
            </w:pPr>
            <w:r w:rsidRPr="00AB2C1C">
              <w:t xml:space="preserve"> Se un'entità presenta le voci dell'</w:t>
            </w:r>
            <w:r>
              <w:t>utile/(perdita)</w:t>
            </w:r>
            <w:r w:rsidRPr="00AB2C1C">
              <w:t xml:space="preserve"> d'esercizio in un prospetto distinto</w:t>
            </w:r>
            <w:r>
              <w:t xml:space="preserve">, </w:t>
            </w:r>
            <w:r w:rsidRPr="00AB2C1C">
              <w:t xml:space="preserve">l'utile di base e diluito per azione relativo alle attività operative cessate, come richiesto dal paragrafo 68, </w:t>
            </w:r>
            <w:r>
              <w:t xml:space="preserve">deve essere presentato </w:t>
            </w:r>
            <w:r w:rsidRPr="00AB2C1C">
              <w:t>in tale prospetto o nelle note.</w:t>
            </w:r>
            <w:r w:rsidRPr="00AB2C1C">
              <w:rPr>
                <w:sz w:val="20"/>
                <w:szCs w:val="20"/>
              </w:rPr>
              <w:t xml:space="preserve"> </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66483E" w:rsidRPr="008129DA" w:rsidTr="00940A6F">
        <w:trPr>
          <w:cantSplit/>
          <w:trHeight w:val="20"/>
        </w:trPr>
        <w:tc>
          <w:tcPr>
            <w:tcW w:w="567" w:type="dxa"/>
          </w:tcPr>
          <w:p w:rsidR="0066483E" w:rsidRPr="008A0F36" w:rsidRDefault="0066483E" w:rsidP="004300E2">
            <w:pPr>
              <w:pStyle w:val="Numeroelenco"/>
              <w:ind w:left="0" w:firstLine="57"/>
              <w:rPr>
                <w:lang w:val="it-IT"/>
              </w:rPr>
            </w:pPr>
          </w:p>
        </w:tc>
        <w:tc>
          <w:tcPr>
            <w:tcW w:w="851" w:type="dxa"/>
            <w:tcMar>
              <w:left w:w="108" w:type="dxa"/>
              <w:right w:w="0" w:type="dxa"/>
            </w:tcMar>
          </w:tcPr>
          <w:p w:rsidR="0066483E" w:rsidRPr="008A0F36" w:rsidRDefault="0066483E" w:rsidP="004300E2">
            <w:pPr>
              <w:pStyle w:val="IAS"/>
              <w:rPr>
                <w:lang w:val="it-IT"/>
              </w:rPr>
            </w:pPr>
            <w:r w:rsidRPr="008A0F36">
              <w:rPr>
                <w:lang w:val="it-IT"/>
              </w:rPr>
              <w:t>IAS 33.69</w:t>
            </w:r>
          </w:p>
        </w:tc>
        <w:tc>
          <w:tcPr>
            <w:tcW w:w="7079" w:type="dxa"/>
            <w:tcMar>
              <w:left w:w="108" w:type="dxa"/>
            </w:tcMar>
          </w:tcPr>
          <w:p w:rsidR="0066483E" w:rsidRPr="008A0F36" w:rsidRDefault="0066483E" w:rsidP="004300E2">
            <w:pPr>
              <w:rPr>
                <w:lang w:val="it-IT"/>
              </w:rPr>
            </w:pPr>
            <w:r w:rsidRPr="008A0F36">
              <w:rPr>
                <w:lang w:val="it-IT"/>
              </w:rPr>
              <w:t>L’entità ha esposto l’utile base e diluito per azione anche se gli importi sono negativi (ossia una perdita per azione).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A0F36" w:rsidTr="00940A6F">
        <w:trPr>
          <w:cantSplit/>
          <w:trHeight w:val="20"/>
        </w:trPr>
        <w:tc>
          <w:tcPr>
            <w:tcW w:w="567" w:type="dxa"/>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33.70</w:t>
            </w:r>
          </w:p>
        </w:tc>
        <w:tc>
          <w:tcPr>
            <w:tcW w:w="7079" w:type="dxa"/>
            <w:tcMar>
              <w:left w:w="108" w:type="dxa"/>
            </w:tcMar>
          </w:tcPr>
          <w:p w:rsidR="004300E2" w:rsidRPr="008A0F36" w:rsidRDefault="004300E2" w:rsidP="004300E2">
            <w:pPr>
              <w:rPr>
                <w:lang w:val="it-IT"/>
              </w:rPr>
            </w:pPr>
            <w:r w:rsidRPr="008A0F36">
              <w:rPr>
                <w:lang w:val="it-IT"/>
              </w:rPr>
              <w:t>L’entità ha indicato:</w:t>
            </w:r>
          </w:p>
        </w:tc>
        <w:tc>
          <w:tcPr>
            <w:tcW w:w="575" w:type="dxa"/>
            <w:tcMar>
              <w:left w:w="85" w:type="dxa"/>
              <w:right w:w="85" w:type="dxa"/>
            </w:tcMar>
            <w:vAlign w:val="center"/>
          </w:tcPr>
          <w:p w:rsidR="004300E2" w:rsidRDefault="004300E2" w:rsidP="004300E2">
            <w:pPr>
              <w:jc w:val="center"/>
            </w:pPr>
          </w:p>
        </w:tc>
        <w:tc>
          <w:tcPr>
            <w:tcW w:w="567" w:type="dxa"/>
            <w:tcMar>
              <w:left w:w="108" w:type="dxa"/>
            </w:tcMar>
            <w:vAlign w:val="center"/>
          </w:tcPr>
          <w:p w:rsidR="004300E2" w:rsidRDefault="004300E2" w:rsidP="004300E2">
            <w:pPr>
              <w:jc w:val="center"/>
            </w:pPr>
          </w:p>
        </w:tc>
        <w:tc>
          <w:tcPr>
            <w:tcW w:w="567" w:type="dxa"/>
            <w:tcMar>
              <w:left w:w="108" w:type="dxa"/>
            </w:tcMar>
            <w:vAlign w:val="center"/>
          </w:tcPr>
          <w:p w:rsidR="004300E2" w:rsidRDefault="004300E2" w:rsidP="004300E2">
            <w:pPr>
              <w:jc w:val="center"/>
            </w:pP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ind w:firstLine="57"/>
              <w:rPr>
                <w:lang w:val="it-IT"/>
              </w:rPr>
            </w:pPr>
          </w:p>
        </w:tc>
        <w:tc>
          <w:tcPr>
            <w:tcW w:w="7079" w:type="dxa"/>
            <w:tcMar>
              <w:left w:w="108" w:type="dxa"/>
            </w:tcMar>
          </w:tcPr>
          <w:p w:rsidR="0066483E" w:rsidRPr="008A0F36" w:rsidRDefault="0066483E" w:rsidP="000A7581">
            <w:pPr>
              <w:pStyle w:val="Paragrafoelenco"/>
              <w:numPr>
                <w:ilvl w:val="0"/>
                <w:numId w:val="197"/>
              </w:numPr>
              <w:spacing w:line="210" w:lineRule="exact"/>
              <w:ind w:left="457" w:hanging="425"/>
              <w:contextualSpacing w:val="0"/>
              <w:rPr>
                <w:lang w:val="it-IT"/>
              </w:rPr>
            </w:pPr>
            <w:r w:rsidRPr="008A0F36">
              <w:rPr>
                <w:lang w:val="it-IT"/>
              </w:rPr>
              <w:t>i valori utilizzati come numeratori nel calcolo dell’utile base e diluito per azione e una riconciliazione di tali valori con l’utile o la perdita attribuibile all’entità capogruppo (la riconciliazione include l’effetto individuale di ogni classe di strumenti che influisce sull’utile per azione)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0A7581">
            <w:pPr>
              <w:pStyle w:val="Rientroa"/>
              <w:numPr>
                <w:ilvl w:val="0"/>
                <w:numId w:val="198"/>
              </w:numPr>
              <w:spacing w:line="210" w:lineRule="exact"/>
            </w:pPr>
            <w:r w:rsidRPr="008A0F36">
              <w:t>la media ponderata del numero di azioni ordinarie utilizzata al denominatore nel calcolo dell’utile base e diluito per azione e una riconciliazione di questi denominatori tra loro (la riconciliazione include l’effetto individuale di ogni classe di strumenti che influisce sull’utile per azione)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0A7581">
            <w:pPr>
              <w:pStyle w:val="Rientroa"/>
              <w:spacing w:line="210" w:lineRule="exact"/>
            </w:pPr>
            <w:r w:rsidRPr="008A0F36">
              <w:t>gli strumenti (incluse le azioni di potenziale emissione) che potrebbero potenzialmente diluire l’utile base per azione in futuro, ma che non erano inclusi nel calcolo dell’utile diluito per azione perché hanno effetti anti-diluizione per il (i) periodo (i) esposto (i); 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0A7581">
            <w:pPr>
              <w:pStyle w:val="Rientroa"/>
              <w:spacing w:line="210" w:lineRule="exact"/>
            </w:pPr>
            <w:r w:rsidRPr="008A0F36">
              <w:t xml:space="preserve">una descrizione delle operazioni riguardanti le azioni ordinarie o le potenziali azioni ordinarie, diverse da quelle risultanti da una capitalizzazione, emissione gratuita di azioni o frazionamento azionario o dal risultato di una diminuzione derivante dal raggruppamento di azioni, che siano intervenute dopo la data di chiusura dell’esercizio, ma prima che il bilancio fosse autorizzato alla pubblicazione e che avrebbero cambiato significativamente il numero delle azioni ordinarie o delle potenziali azioni ordinarie in circolazione a fine esercizio, qualora tali operazioni fossero intervenute prima della fine dell’esercizio. </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Pr="008A0F36" w:rsidRDefault="004300E2" w:rsidP="004300E2">
            <w:pPr>
              <w:ind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33.71</w:t>
            </w:r>
          </w:p>
        </w:tc>
        <w:tc>
          <w:tcPr>
            <w:tcW w:w="7079" w:type="dxa"/>
            <w:tcMar>
              <w:left w:w="108" w:type="dxa"/>
            </w:tcMar>
          </w:tcPr>
          <w:p w:rsidR="004300E2" w:rsidRPr="008A0F36" w:rsidRDefault="004300E2" w:rsidP="000A7581">
            <w:pPr>
              <w:pStyle w:val="Paragarfobordato"/>
              <w:spacing w:line="180" w:lineRule="exact"/>
            </w:pPr>
            <w:r w:rsidRPr="008A0F36">
              <w:t>Esempi di operazioni riferibili allo IAS 33.70 (d) includono:</w:t>
            </w:r>
          </w:p>
          <w:p w:rsidR="004300E2" w:rsidRPr="008A0F36" w:rsidRDefault="004300E2" w:rsidP="000A7581">
            <w:pPr>
              <w:pStyle w:val="Paragarfobordato"/>
              <w:spacing w:line="180" w:lineRule="exact"/>
              <w:ind w:left="205" w:hanging="205"/>
            </w:pPr>
            <w:r w:rsidRPr="008A0F36">
              <w:t>a)</w:t>
            </w:r>
            <w:r w:rsidRPr="008A0F36">
              <w:tab/>
              <w:t>emissione di azioni per contanti</w:t>
            </w:r>
          </w:p>
          <w:p w:rsidR="004300E2" w:rsidRPr="008A0F36" w:rsidRDefault="004300E2" w:rsidP="000A7581">
            <w:pPr>
              <w:pStyle w:val="Paragarfobordato"/>
              <w:spacing w:line="180" w:lineRule="exact"/>
              <w:ind w:left="205" w:hanging="205"/>
            </w:pPr>
            <w:r w:rsidRPr="008A0F36">
              <w:t>b)</w:t>
            </w:r>
            <w:r w:rsidRPr="008A0F36">
              <w:tab/>
              <w:t>emissione di azioni quando il corrispettivo è utilizzato per rimborsare debiti o azioni privilegiate in circolazione alla data di chiusura dell’esercizio</w:t>
            </w:r>
          </w:p>
          <w:p w:rsidR="004300E2" w:rsidRPr="008A0F36" w:rsidRDefault="004300E2" w:rsidP="000A7581">
            <w:pPr>
              <w:pStyle w:val="Paragarfobordato"/>
              <w:spacing w:line="180" w:lineRule="exact"/>
              <w:ind w:left="205" w:hanging="205"/>
            </w:pPr>
            <w:r w:rsidRPr="008A0F36">
              <w:t>c)</w:t>
            </w:r>
            <w:r w:rsidRPr="008A0F36">
              <w:tab/>
              <w:t>rimborso di azioni ordinarie in circolazione</w:t>
            </w:r>
          </w:p>
          <w:p w:rsidR="004300E2" w:rsidRPr="008A0F36" w:rsidRDefault="004300E2" w:rsidP="000A7581">
            <w:pPr>
              <w:pStyle w:val="Paragarfobordato"/>
              <w:spacing w:line="180" w:lineRule="exact"/>
              <w:ind w:left="205" w:hanging="205"/>
            </w:pPr>
            <w:r w:rsidRPr="008A0F36">
              <w:t>d)</w:t>
            </w:r>
            <w:r w:rsidRPr="008A0F36">
              <w:tab/>
              <w:t>la conversione o l’esercizio di potenziali azioni ordinarie in circolazione alla data di chiusura dell’esercizio, in azioni ordinarie</w:t>
            </w:r>
          </w:p>
          <w:p w:rsidR="004300E2" w:rsidRPr="008A0F36" w:rsidRDefault="004300E2" w:rsidP="000A7581">
            <w:pPr>
              <w:pStyle w:val="Paragarfobordato"/>
              <w:spacing w:line="180" w:lineRule="exact"/>
              <w:ind w:left="205" w:hanging="205"/>
            </w:pPr>
            <w:r w:rsidRPr="008A0F36">
              <w:t>e)</w:t>
            </w:r>
            <w:r w:rsidRPr="008A0F36">
              <w:tab/>
              <w:t>emissione di opzioni, warrant o strumenti convertibili; e</w:t>
            </w:r>
          </w:p>
          <w:p w:rsidR="004300E2" w:rsidRPr="008A0F36" w:rsidRDefault="004300E2" w:rsidP="000A7581">
            <w:pPr>
              <w:pStyle w:val="Paragarfobordato"/>
              <w:spacing w:line="180" w:lineRule="exact"/>
              <w:ind w:left="205" w:hanging="205"/>
            </w:pPr>
            <w:r w:rsidRPr="008A0F36">
              <w:t>f)</w:t>
            </w:r>
            <w:r w:rsidRPr="008A0F36">
              <w:tab/>
              <w:t>il verificarsi di condizioni che potrebbero comportare l’emissione di azioni potenziali.</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4300E2" w:rsidRPr="00A44ECD" w:rsidTr="00940A6F">
        <w:trPr>
          <w:cantSplit/>
          <w:trHeight w:val="20"/>
        </w:trPr>
        <w:tc>
          <w:tcPr>
            <w:tcW w:w="567" w:type="dxa"/>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33.72</w:t>
            </w:r>
          </w:p>
        </w:tc>
        <w:tc>
          <w:tcPr>
            <w:tcW w:w="7079" w:type="dxa"/>
            <w:tcMar>
              <w:left w:w="108" w:type="dxa"/>
            </w:tcMar>
          </w:tcPr>
          <w:p w:rsidR="004300E2" w:rsidRPr="008A0F36" w:rsidRDefault="004300E2" w:rsidP="00923DEA">
            <w:pPr>
              <w:spacing w:line="224" w:lineRule="exact"/>
              <w:rPr>
                <w:lang w:val="it-IT"/>
              </w:rPr>
            </w:pPr>
            <w:r w:rsidRPr="008A0F36">
              <w:rPr>
                <w:lang w:val="it-IT"/>
              </w:rPr>
              <w:t>L’entità ha fornito informativa sui termini e condizioni degli strumenti finanziari e degli altri contratti che possono generare potenziali azioni ordinarie che influenzano la determinazione dell’utile base e diluito per azione, se tale informativa non è già diversamente richiesta (per esempio IFRS 7).</w:t>
            </w:r>
          </w:p>
        </w:tc>
        <w:tc>
          <w:tcPr>
            <w:tcW w:w="575" w:type="dxa"/>
            <w:tcMar>
              <w:left w:w="85" w:type="dxa"/>
              <w:right w:w="85"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r>
      <w:tr w:rsidR="004300E2" w:rsidRPr="00A44ECD" w:rsidTr="00940A6F">
        <w:trPr>
          <w:cantSplit/>
          <w:trHeight w:val="20"/>
        </w:trPr>
        <w:tc>
          <w:tcPr>
            <w:tcW w:w="567" w:type="dxa"/>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33.73</w:t>
            </w:r>
          </w:p>
        </w:tc>
        <w:tc>
          <w:tcPr>
            <w:tcW w:w="7079" w:type="dxa"/>
            <w:tcMar>
              <w:left w:w="108" w:type="dxa"/>
            </w:tcMar>
          </w:tcPr>
          <w:p w:rsidR="004300E2" w:rsidRPr="008A0F36" w:rsidRDefault="004300E2" w:rsidP="00923DEA">
            <w:pPr>
              <w:spacing w:line="224" w:lineRule="exact"/>
              <w:rPr>
                <w:lang w:val="it-IT"/>
              </w:rPr>
            </w:pPr>
            <w:r w:rsidRPr="008A0F36">
              <w:rPr>
                <w:lang w:val="it-IT"/>
              </w:rPr>
              <w:t xml:space="preserve">Se l’entità indica, in aggiunta all’utile base e diluito per azione, i valori per azione utilizzando un componente </w:t>
            </w:r>
            <w:r>
              <w:rPr>
                <w:lang w:val="it-IT"/>
              </w:rPr>
              <w:t xml:space="preserve">del prospetto dell’utile/(perdita) d’esercizio e delle altre componenti di conto </w:t>
            </w:r>
            <w:r w:rsidRPr="008A0F36">
              <w:rPr>
                <w:lang w:val="it-IT"/>
              </w:rPr>
              <w:t>economico complessivo diverso da quello richiesto dallo IAS 33:</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ind w:firstLine="57"/>
              <w:rPr>
                <w:lang w:val="it-IT"/>
              </w:rPr>
            </w:pPr>
          </w:p>
        </w:tc>
        <w:tc>
          <w:tcPr>
            <w:tcW w:w="7079" w:type="dxa"/>
            <w:tcMar>
              <w:left w:w="108" w:type="dxa"/>
            </w:tcMar>
          </w:tcPr>
          <w:p w:rsidR="0066483E" w:rsidRPr="008A0F36" w:rsidRDefault="0066483E" w:rsidP="00923DEA">
            <w:pPr>
              <w:pStyle w:val="Paragrafoelenco"/>
              <w:numPr>
                <w:ilvl w:val="0"/>
                <w:numId w:val="204"/>
              </w:numPr>
              <w:spacing w:line="224" w:lineRule="exact"/>
              <w:ind w:left="457" w:hanging="425"/>
              <w:contextualSpacing w:val="0"/>
              <w:rPr>
                <w:lang w:val="it-IT"/>
              </w:rPr>
            </w:pPr>
            <w:r w:rsidRPr="008A0F36">
              <w:rPr>
                <w:lang w:val="it-IT"/>
              </w:rPr>
              <w:t>l’importo base e diluito per azione relativo a tale componente, sono stati indicati con lo stesso rilievo e presentati nelle note al bilancio</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ind w:firstLine="57"/>
              <w:rPr>
                <w:lang w:val="it-IT"/>
              </w:rPr>
            </w:pPr>
          </w:p>
        </w:tc>
        <w:tc>
          <w:tcPr>
            <w:tcW w:w="851" w:type="dxa"/>
            <w:tcMar>
              <w:left w:w="108" w:type="dxa"/>
              <w:right w:w="0" w:type="dxa"/>
            </w:tcMar>
          </w:tcPr>
          <w:p w:rsidR="0066483E" w:rsidRPr="008A0F36" w:rsidRDefault="0066483E" w:rsidP="004300E2">
            <w:pPr>
              <w:pStyle w:val="IAS"/>
              <w:rPr>
                <w:lang w:val="it-IT"/>
              </w:rPr>
            </w:pPr>
          </w:p>
        </w:tc>
        <w:tc>
          <w:tcPr>
            <w:tcW w:w="7079" w:type="dxa"/>
            <w:tcMar>
              <w:left w:w="108" w:type="dxa"/>
            </w:tcMar>
          </w:tcPr>
          <w:p w:rsidR="0066483E" w:rsidRPr="008A0F36" w:rsidRDefault="0066483E" w:rsidP="00923DEA">
            <w:pPr>
              <w:pStyle w:val="Rientroa"/>
              <w:numPr>
                <w:ilvl w:val="0"/>
                <w:numId w:val="205"/>
              </w:numPr>
              <w:spacing w:line="224" w:lineRule="exact"/>
            </w:pPr>
            <w:r w:rsidRPr="008A0F36">
              <w:t>la base su cui il (i) numeratore (i) è (sono) determinato (i), inclusa l’informativa se i valori per azione sono al netto o al lordo delle imposte.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pStyle w:val="Numeroelenco"/>
              <w:ind w:left="0" w:firstLine="57"/>
              <w:rPr>
                <w:lang w:val="it-IT"/>
              </w:rPr>
            </w:pPr>
          </w:p>
        </w:tc>
        <w:tc>
          <w:tcPr>
            <w:tcW w:w="851" w:type="dxa"/>
            <w:tcMar>
              <w:left w:w="108" w:type="dxa"/>
              <w:right w:w="0" w:type="dxa"/>
            </w:tcMar>
          </w:tcPr>
          <w:p w:rsidR="0066483E" w:rsidRPr="008A0F36" w:rsidRDefault="0066483E" w:rsidP="004300E2">
            <w:pPr>
              <w:pStyle w:val="IAS"/>
              <w:rPr>
                <w:lang w:val="it-IT"/>
              </w:rPr>
            </w:pPr>
            <w:r w:rsidRPr="008A0F36">
              <w:rPr>
                <w:lang w:val="it-IT"/>
              </w:rPr>
              <w:t>IAS 33.73</w:t>
            </w:r>
          </w:p>
        </w:tc>
        <w:tc>
          <w:tcPr>
            <w:tcW w:w="7079" w:type="dxa"/>
            <w:tcMar>
              <w:left w:w="108" w:type="dxa"/>
            </w:tcMar>
          </w:tcPr>
          <w:p w:rsidR="0066483E" w:rsidRPr="008A0F36" w:rsidRDefault="0066483E" w:rsidP="00923DEA">
            <w:pPr>
              <w:spacing w:line="224" w:lineRule="exact"/>
              <w:rPr>
                <w:lang w:val="it-IT"/>
              </w:rPr>
            </w:pPr>
            <w:r w:rsidRPr="008A0F36">
              <w:rPr>
                <w:lang w:val="it-IT"/>
              </w:rPr>
              <w:t xml:space="preserve">Se l’entità indica, in aggiunta all’utile base e diluito per azione, l’ammontare per azione utilizzando un componente che non è riportato come un elemento distinto nel </w:t>
            </w:r>
            <w:r>
              <w:rPr>
                <w:lang w:val="it-IT"/>
              </w:rPr>
              <w:t xml:space="preserve">prospetto dell’utile/(perdita) d’esercizio e delle altre componenti di conto </w:t>
            </w:r>
            <w:r w:rsidRPr="008A0F36">
              <w:rPr>
                <w:lang w:val="it-IT"/>
              </w:rPr>
              <w:t xml:space="preserve">economico complessivo, ha fornito una riconciliazione fra il componente usato e l’elemento distinto che è riportato </w:t>
            </w:r>
            <w:r>
              <w:rPr>
                <w:lang w:val="it-IT"/>
              </w:rPr>
              <w:t xml:space="preserve">nel prospetto dell’utile/(perdita) d’esercizio e delle altre componenti di conto </w:t>
            </w:r>
            <w:r w:rsidRPr="008A0F36">
              <w:rPr>
                <w:lang w:val="it-IT"/>
              </w:rPr>
              <w:t>economico complessivo.</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Default="004300E2" w:rsidP="004300E2">
            <w:pPr>
              <w:pStyle w:val="Numeroelenco"/>
              <w:numPr>
                <w:ilvl w:val="0"/>
                <w:numId w:val="0"/>
              </w:numPr>
              <w:ind w:left="57"/>
              <w:rPr>
                <w:lang w:val="it-IT"/>
              </w:rPr>
            </w:pPr>
          </w:p>
        </w:tc>
        <w:tc>
          <w:tcPr>
            <w:tcW w:w="851" w:type="dxa"/>
            <w:tcMar>
              <w:left w:w="108" w:type="dxa"/>
              <w:right w:w="0" w:type="dxa"/>
            </w:tcMar>
          </w:tcPr>
          <w:p w:rsidR="004300E2" w:rsidRPr="008A0F36" w:rsidRDefault="004300E2" w:rsidP="004300E2">
            <w:pPr>
              <w:pStyle w:val="IAS"/>
              <w:rPr>
                <w:lang w:val="it-IT"/>
              </w:rPr>
            </w:pPr>
            <w:r>
              <w:rPr>
                <w:lang w:val="it-IT"/>
              </w:rPr>
              <w:t>IAS 33.73A</w:t>
            </w:r>
          </w:p>
        </w:tc>
        <w:tc>
          <w:tcPr>
            <w:tcW w:w="7079" w:type="dxa"/>
            <w:tcMar>
              <w:left w:w="108" w:type="dxa"/>
            </w:tcMar>
          </w:tcPr>
          <w:p w:rsidR="004300E2" w:rsidRDefault="004300E2" w:rsidP="00766FFF">
            <w:pPr>
              <w:pStyle w:val="Paragarfobordato"/>
            </w:pPr>
            <w:r w:rsidRPr="00AB2C1C">
              <w:t>Il paragrafo 73 si applica anche a un'entità che indica, in aggiunta all'utile di base e diluito per azione, valori per azione utilizzando una voce dell'</w:t>
            </w:r>
            <w:r>
              <w:t>utile/(perdita)</w:t>
            </w:r>
            <w:r w:rsidRPr="00AB2C1C">
              <w:t xml:space="preserve"> d'esercizio diversa da quella richiesta </w:t>
            </w:r>
            <w:r>
              <w:t>dallo IAS 33</w:t>
            </w:r>
            <w:r w:rsidRPr="00AB2C1C">
              <w:t>.</w:t>
            </w:r>
          </w:p>
        </w:tc>
        <w:tc>
          <w:tcPr>
            <w:tcW w:w="575" w:type="dxa"/>
            <w:tcMar>
              <w:left w:w="85" w:type="dxa"/>
              <w:right w:w="85"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r>
      <w:tr w:rsidR="004300E2" w:rsidRPr="008A0F36" w:rsidTr="00940A6F">
        <w:trPr>
          <w:cantSplit/>
          <w:trHeight w:val="20"/>
        </w:trPr>
        <w:tc>
          <w:tcPr>
            <w:tcW w:w="567" w:type="dxa"/>
            <w:vAlign w:val="center"/>
          </w:tcPr>
          <w:p w:rsidR="004300E2" w:rsidRPr="008A0F36" w:rsidRDefault="004300E2" w:rsidP="00923B08">
            <w:pPr>
              <w:spacing w:line="226" w:lineRule="exact"/>
              <w:ind w:firstLine="57"/>
              <w:jc w:val="left"/>
              <w:rPr>
                <w:lang w:val="it-IT"/>
              </w:rPr>
            </w:pPr>
          </w:p>
        </w:tc>
        <w:tc>
          <w:tcPr>
            <w:tcW w:w="851" w:type="dxa"/>
            <w:tcMar>
              <w:left w:w="108" w:type="dxa"/>
              <w:right w:w="0" w:type="dxa"/>
            </w:tcMar>
            <w:vAlign w:val="center"/>
          </w:tcPr>
          <w:p w:rsidR="004300E2" w:rsidRPr="008A0F36" w:rsidRDefault="004300E2" w:rsidP="00923B08">
            <w:pPr>
              <w:pStyle w:val="IAS"/>
              <w:spacing w:line="226" w:lineRule="exact"/>
              <w:jc w:val="left"/>
              <w:rPr>
                <w:lang w:val="it-IT"/>
              </w:rPr>
            </w:pPr>
          </w:p>
        </w:tc>
        <w:tc>
          <w:tcPr>
            <w:tcW w:w="7079" w:type="dxa"/>
            <w:tcMar>
              <w:left w:w="108" w:type="dxa"/>
            </w:tcMar>
            <w:vAlign w:val="center"/>
          </w:tcPr>
          <w:p w:rsidR="004300E2" w:rsidRPr="008A0F36" w:rsidRDefault="004300E2" w:rsidP="00923B08">
            <w:pPr>
              <w:pStyle w:val="Titolo1"/>
              <w:keepNext w:val="0"/>
              <w:spacing w:line="226" w:lineRule="exact"/>
            </w:pPr>
            <w:r w:rsidRPr="008A0F36">
              <w:t>RENDICONTO FINANZIARIO</w:t>
            </w:r>
          </w:p>
        </w:tc>
        <w:tc>
          <w:tcPr>
            <w:tcW w:w="575" w:type="dxa"/>
            <w:tcMar>
              <w:left w:w="85" w:type="dxa"/>
              <w:right w:w="85" w:type="dxa"/>
            </w:tcMar>
            <w:vAlign w:val="center"/>
          </w:tcPr>
          <w:p w:rsidR="004300E2" w:rsidRDefault="004300E2" w:rsidP="00923B08">
            <w:pPr>
              <w:spacing w:line="226" w:lineRule="exact"/>
              <w:jc w:val="left"/>
            </w:pPr>
          </w:p>
        </w:tc>
        <w:tc>
          <w:tcPr>
            <w:tcW w:w="567" w:type="dxa"/>
            <w:tcMar>
              <w:left w:w="108" w:type="dxa"/>
            </w:tcMar>
            <w:vAlign w:val="center"/>
          </w:tcPr>
          <w:p w:rsidR="004300E2" w:rsidRDefault="004300E2" w:rsidP="00923B08">
            <w:pPr>
              <w:spacing w:line="226" w:lineRule="exact"/>
              <w:jc w:val="left"/>
            </w:pPr>
          </w:p>
        </w:tc>
        <w:tc>
          <w:tcPr>
            <w:tcW w:w="567" w:type="dxa"/>
            <w:tcMar>
              <w:left w:w="108" w:type="dxa"/>
            </w:tcMar>
            <w:vAlign w:val="center"/>
          </w:tcPr>
          <w:p w:rsidR="004300E2" w:rsidRDefault="004300E2" w:rsidP="00923B08">
            <w:pPr>
              <w:spacing w:line="226" w:lineRule="exact"/>
              <w:jc w:val="left"/>
            </w:pPr>
          </w:p>
        </w:tc>
      </w:tr>
      <w:tr w:rsidR="0066483E" w:rsidRPr="008129DA" w:rsidTr="00940A6F">
        <w:trPr>
          <w:cantSplit/>
          <w:trHeight w:val="20"/>
        </w:trPr>
        <w:tc>
          <w:tcPr>
            <w:tcW w:w="567" w:type="dxa"/>
          </w:tcPr>
          <w:p w:rsidR="0066483E" w:rsidRPr="008A0F36" w:rsidRDefault="0066483E" w:rsidP="004300E2">
            <w:pPr>
              <w:pStyle w:val="Numeroelenco"/>
              <w:spacing w:line="226" w:lineRule="exact"/>
              <w:ind w:left="0" w:firstLine="57"/>
              <w:rPr>
                <w:lang w:val="it-IT"/>
              </w:rPr>
            </w:pPr>
          </w:p>
        </w:tc>
        <w:tc>
          <w:tcPr>
            <w:tcW w:w="851" w:type="dxa"/>
            <w:tcMar>
              <w:left w:w="108" w:type="dxa"/>
              <w:right w:w="0" w:type="dxa"/>
            </w:tcMar>
          </w:tcPr>
          <w:p w:rsidR="0066483E" w:rsidRPr="008A0F36" w:rsidRDefault="0066483E" w:rsidP="004300E2">
            <w:pPr>
              <w:pStyle w:val="IAS"/>
              <w:spacing w:line="226" w:lineRule="exact"/>
              <w:rPr>
                <w:lang w:val="it-IT"/>
              </w:rPr>
            </w:pPr>
            <w:r w:rsidRPr="008A0F36">
              <w:rPr>
                <w:lang w:val="it-IT"/>
              </w:rPr>
              <w:t>IAS 1.29</w:t>
            </w:r>
          </w:p>
        </w:tc>
        <w:tc>
          <w:tcPr>
            <w:tcW w:w="7079" w:type="dxa"/>
            <w:tcMar>
              <w:left w:w="108" w:type="dxa"/>
            </w:tcMar>
          </w:tcPr>
          <w:p w:rsidR="0066483E" w:rsidRPr="008A0F36" w:rsidRDefault="0066483E" w:rsidP="004300E2">
            <w:pPr>
              <w:spacing w:line="226" w:lineRule="exact"/>
              <w:rPr>
                <w:lang w:val="it-IT"/>
              </w:rPr>
            </w:pPr>
            <w:r w:rsidRPr="008A0F36">
              <w:rPr>
                <w:lang w:val="it-IT"/>
              </w:rPr>
              <w:t>Ogni classe rilevante di voci simili è stata esposta separatamente nel rendiconto finanziario.</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A0F36" w:rsidTr="00940A6F">
        <w:trPr>
          <w:cantSplit/>
          <w:trHeight w:val="20"/>
        </w:trPr>
        <w:tc>
          <w:tcPr>
            <w:tcW w:w="567" w:type="dxa"/>
          </w:tcPr>
          <w:p w:rsidR="004300E2" w:rsidRDefault="004300E2" w:rsidP="00CA5B4F">
            <w:pPr>
              <w:spacing w:line="226" w:lineRule="exact"/>
              <w:ind w:firstLine="57"/>
              <w:rPr>
                <w:b/>
                <w:bCs/>
                <w:i/>
                <w:lang w:val="it-IT"/>
              </w:rPr>
            </w:pPr>
          </w:p>
        </w:tc>
        <w:tc>
          <w:tcPr>
            <w:tcW w:w="851" w:type="dxa"/>
            <w:tcMar>
              <w:left w:w="108" w:type="dxa"/>
              <w:right w:w="0" w:type="dxa"/>
            </w:tcMar>
          </w:tcPr>
          <w:p w:rsidR="004300E2" w:rsidRDefault="004300E2" w:rsidP="00CA5B4F">
            <w:pPr>
              <w:pStyle w:val="IAS"/>
              <w:spacing w:line="226" w:lineRule="exact"/>
              <w:rPr>
                <w:b/>
                <w:bCs/>
                <w:i/>
                <w:lang w:val="it-IT"/>
              </w:rPr>
            </w:pPr>
          </w:p>
        </w:tc>
        <w:tc>
          <w:tcPr>
            <w:tcW w:w="7079" w:type="dxa"/>
            <w:tcMar>
              <w:left w:w="108" w:type="dxa"/>
            </w:tcMar>
          </w:tcPr>
          <w:p w:rsidR="004300E2" w:rsidRDefault="004300E2" w:rsidP="00CA5B4F">
            <w:pPr>
              <w:pStyle w:val="Titolo2"/>
              <w:keepNext w:val="0"/>
              <w:spacing w:line="226" w:lineRule="exact"/>
              <w:rPr>
                <w:lang w:val="it-IT"/>
              </w:rPr>
            </w:pPr>
            <w:r w:rsidRPr="008A0F36">
              <w:rPr>
                <w:lang w:val="it-IT"/>
              </w:rPr>
              <w:t>Presentazione</w:t>
            </w:r>
          </w:p>
        </w:tc>
        <w:tc>
          <w:tcPr>
            <w:tcW w:w="575" w:type="dxa"/>
            <w:tcMar>
              <w:left w:w="85" w:type="dxa"/>
              <w:right w:w="85" w:type="dxa"/>
            </w:tcMar>
            <w:vAlign w:val="center"/>
          </w:tcPr>
          <w:p w:rsidR="004300E2" w:rsidRDefault="004300E2" w:rsidP="00CA5B4F">
            <w:pPr>
              <w:spacing w:line="226" w:lineRule="exact"/>
              <w:jc w:val="center"/>
            </w:pPr>
          </w:p>
        </w:tc>
        <w:tc>
          <w:tcPr>
            <w:tcW w:w="567" w:type="dxa"/>
            <w:tcMar>
              <w:left w:w="108" w:type="dxa"/>
            </w:tcMar>
            <w:vAlign w:val="center"/>
          </w:tcPr>
          <w:p w:rsidR="004300E2" w:rsidRDefault="004300E2" w:rsidP="00CA5B4F">
            <w:pPr>
              <w:spacing w:line="226" w:lineRule="exact"/>
              <w:jc w:val="center"/>
            </w:pPr>
          </w:p>
        </w:tc>
        <w:tc>
          <w:tcPr>
            <w:tcW w:w="567" w:type="dxa"/>
            <w:tcMar>
              <w:left w:w="108" w:type="dxa"/>
            </w:tcMar>
            <w:vAlign w:val="center"/>
          </w:tcPr>
          <w:p w:rsidR="004300E2" w:rsidRDefault="004300E2" w:rsidP="00CA5B4F">
            <w:pPr>
              <w:spacing w:line="226" w:lineRule="exact"/>
              <w:jc w:val="center"/>
            </w:pPr>
          </w:p>
        </w:tc>
      </w:tr>
      <w:tr w:rsidR="0066483E" w:rsidRPr="008129DA" w:rsidTr="00940A6F">
        <w:trPr>
          <w:cantSplit/>
          <w:trHeight w:val="20"/>
        </w:trPr>
        <w:tc>
          <w:tcPr>
            <w:tcW w:w="567" w:type="dxa"/>
          </w:tcPr>
          <w:p w:rsidR="0066483E" w:rsidRPr="008A0F36" w:rsidRDefault="0066483E" w:rsidP="004300E2">
            <w:pPr>
              <w:pStyle w:val="Numeroelenco"/>
              <w:spacing w:line="226" w:lineRule="exact"/>
              <w:ind w:left="0" w:firstLine="57"/>
              <w:rPr>
                <w:lang w:val="it-IT"/>
              </w:rPr>
            </w:pPr>
          </w:p>
        </w:tc>
        <w:tc>
          <w:tcPr>
            <w:tcW w:w="851" w:type="dxa"/>
            <w:tcMar>
              <w:left w:w="108" w:type="dxa"/>
              <w:right w:w="0" w:type="dxa"/>
            </w:tcMar>
          </w:tcPr>
          <w:p w:rsidR="0066483E" w:rsidRPr="008A0F36" w:rsidRDefault="0066483E" w:rsidP="0026089C">
            <w:pPr>
              <w:pStyle w:val="IAS"/>
              <w:spacing w:line="226" w:lineRule="exact"/>
              <w:rPr>
                <w:lang w:val="it-IT"/>
              </w:rPr>
            </w:pPr>
            <w:r w:rsidRPr="008A0F36">
              <w:rPr>
                <w:lang w:val="it-IT"/>
              </w:rPr>
              <w:t>IAS 7.10</w:t>
            </w:r>
          </w:p>
        </w:tc>
        <w:tc>
          <w:tcPr>
            <w:tcW w:w="7079" w:type="dxa"/>
            <w:tcMar>
              <w:left w:w="108" w:type="dxa"/>
            </w:tcMar>
          </w:tcPr>
          <w:p w:rsidR="0066483E" w:rsidRPr="008A0F36" w:rsidRDefault="0066483E" w:rsidP="004300E2">
            <w:pPr>
              <w:spacing w:line="226" w:lineRule="exact"/>
              <w:rPr>
                <w:lang w:val="it-IT"/>
              </w:rPr>
            </w:pPr>
            <w:r w:rsidRPr="008A0F36">
              <w:rPr>
                <w:lang w:val="it-IT"/>
              </w:rPr>
              <w:t xml:space="preserve">Il rendiconto finanziario presenta i flussi finanziari avvenuti nell’esercizio classificandoli tra attività operativa, di investimento e </w:t>
            </w:r>
            <w:r>
              <w:rPr>
                <w:lang w:val="it-IT"/>
              </w:rPr>
              <w:t>di finanziamento</w:t>
            </w:r>
            <w:r w:rsidRPr="008A0F36">
              <w:rPr>
                <w:lang w:val="it-IT"/>
              </w:rPr>
              <w:t>.</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0A7581">
        <w:trPr>
          <w:cantSplit/>
          <w:trHeight w:val="20"/>
        </w:trPr>
        <w:tc>
          <w:tcPr>
            <w:tcW w:w="567" w:type="dxa"/>
          </w:tcPr>
          <w:p w:rsidR="004300E2" w:rsidRPr="008A0F36" w:rsidRDefault="004300E2" w:rsidP="004300E2">
            <w:pPr>
              <w:pStyle w:val="Numeroelenco"/>
              <w:numPr>
                <w:ilvl w:val="0"/>
                <w:numId w:val="0"/>
              </w:numPr>
              <w:spacing w:line="226" w:lineRule="exact"/>
              <w:ind w:left="57"/>
              <w:rPr>
                <w:lang w:val="it-IT"/>
              </w:rPr>
            </w:pPr>
          </w:p>
        </w:tc>
        <w:tc>
          <w:tcPr>
            <w:tcW w:w="851" w:type="dxa"/>
            <w:tcMar>
              <w:left w:w="108" w:type="dxa"/>
              <w:right w:w="0" w:type="dxa"/>
            </w:tcMar>
          </w:tcPr>
          <w:p w:rsidR="004300E2" w:rsidRPr="008A0F36" w:rsidRDefault="004300E2" w:rsidP="004300E2">
            <w:pPr>
              <w:pStyle w:val="IAS"/>
              <w:spacing w:line="226" w:lineRule="exact"/>
              <w:rPr>
                <w:lang w:val="it-IT"/>
              </w:rPr>
            </w:pPr>
            <w:r w:rsidRPr="008A0F36">
              <w:rPr>
                <w:lang w:val="it-IT"/>
              </w:rPr>
              <w:t>IAS 7.6</w:t>
            </w:r>
          </w:p>
          <w:p w:rsidR="004300E2" w:rsidRPr="008A0F36" w:rsidRDefault="004300E2" w:rsidP="004300E2">
            <w:pPr>
              <w:pStyle w:val="IAS"/>
              <w:spacing w:line="226" w:lineRule="exact"/>
              <w:rPr>
                <w:lang w:val="it-IT"/>
              </w:rPr>
            </w:pPr>
            <w:r w:rsidRPr="008A0F36">
              <w:rPr>
                <w:lang w:val="it-IT"/>
              </w:rPr>
              <w:t>IAS 7.14-17</w:t>
            </w:r>
          </w:p>
        </w:tc>
        <w:tc>
          <w:tcPr>
            <w:tcW w:w="7079" w:type="dxa"/>
            <w:tcMar>
              <w:left w:w="108" w:type="dxa"/>
            </w:tcMar>
            <w:vAlign w:val="center"/>
          </w:tcPr>
          <w:p w:rsidR="004300E2" w:rsidRPr="008A0F36" w:rsidRDefault="004300E2" w:rsidP="000A7581">
            <w:pPr>
              <w:pStyle w:val="Paragarfobordato"/>
              <w:jc w:val="left"/>
            </w:pPr>
            <w:r w:rsidRPr="008A0F36">
              <w:t>Le definizioni delle diverse categorie di flussi finanziari sono presentati nello IAS 7.6; alcuni esempi, invece, sono presentati nello IAS 7.14-17.</w:t>
            </w:r>
          </w:p>
        </w:tc>
        <w:tc>
          <w:tcPr>
            <w:tcW w:w="575" w:type="dxa"/>
            <w:tcMar>
              <w:left w:w="85" w:type="dxa"/>
              <w:right w:w="85" w:type="dxa"/>
            </w:tcMar>
            <w:vAlign w:val="center"/>
          </w:tcPr>
          <w:p w:rsidR="004300E2" w:rsidRPr="00FF19F7" w:rsidRDefault="004300E2" w:rsidP="004300E2">
            <w:pPr>
              <w:spacing w:line="226" w:lineRule="exact"/>
              <w:jc w:val="center"/>
              <w:rPr>
                <w:lang w:val="it-IT"/>
              </w:rPr>
            </w:pPr>
          </w:p>
        </w:tc>
        <w:tc>
          <w:tcPr>
            <w:tcW w:w="567" w:type="dxa"/>
            <w:tcMar>
              <w:left w:w="108" w:type="dxa"/>
            </w:tcMar>
            <w:vAlign w:val="center"/>
          </w:tcPr>
          <w:p w:rsidR="004300E2" w:rsidRPr="00FF19F7" w:rsidRDefault="004300E2" w:rsidP="004300E2">
            <w:pPr>
              <w:spacing w:line="226" w:lineRule="exact"/>
              <w:jc w:val="center"/>
              <w:rPr>
                <w:lang w:val="it-IT"/>
              </w:rPr>
            </w:pPr>
          </w:p>
        </w:tc>
        <w:tc>
          <w:tcPr>
            <w:tcW w:w="567" w:type="dxa"/>
            <w:tcMar>
              <w:left w:w="108" w:type="dxa"/>
            </w:tcMar>
            <w:vAlign w:val="center"/>
          </w:tcPr>
          <w:p w:rsidR="004300E2" w:rsidRPr="00FF19F7" w:rsidRDefault="004300E2" w:rsidP="004300E2">
            <w:pPr>
              <w:spacing w:line="226" w:lineRule="exact"/>
              <w:jc w:val="center"/>
              <w:rPr>
                <w:lang w:val="it-IT"/>
              </w:rPr>
            </w:pPr>
          </w:p>
        </w:tc>
      </w:tr>
      <w:tr w:rsidR="004300E2" w:rsidRPr="00A44ECD" w:rsidTr="00940A6F">
        <w:trPr>
          <w:cantSplit/>
          <w:trHeight w:val="20"/>
        </w:trPr>
        <w:tc>
          <w:tcPr>
            <w:tcW w:w="567" w:type="dxa"/>
          </w:tcPr>
          <w:p w:rsidR="004300E2" w:rsidRPr="008A0F36" w:rsidRDefault="004300E2" w:rsidP="004300E2">
            <w:pPr>
              <w:pStyle w:val="Numeroelenco"/>
              <w:spacing w:line="226" w:lineRule="exact"/>
              <w:ind w:left="0" w:firstLine="57"/>
              <w:rPr>
                <w:lang w:val="it-IT"/>
              </w:rPr>
            </w:pPr>
          </w:p>
        </w:tc>
        <w:tc>
          <w:tcPr>
            <w:tcW w:w="851" w:type="dxa"/>
            <w:tcMar>
              <w:left w:w="108" w:type="dxa"/>
              <w:right w:w="0" w:type="dxa"/>
            </w:tcMar>
          </w:tcPr>
          <w:p w:rsidR="004300E2" w:rsidRPr="008A0F36" w:rsidRDefault="004300E2" w:rsidP="004300E2">
            <w:pPr>
              <w:pStyle w:val="IAS"/>
              <w:spacing w:line="226" w:lineRule="exact"/>
              <w:rPr>
                <w:lang w:val="it-IT"/>
              </w:rPr>
            </w:pPr>
            <w:r w:rsidRPr="008A0F36">
              <w:rPr>
                <w:lang w:val="it-IT"/>
              </w:rPr>
              <w:t>IAS 7.18</w:t>
            </w:r>
          </w:p>
        </w:tc>
        <w:tc>
          <w:tcPr>
            <w:tcW w:w="7079" w:type="dxa"/>
            <w:tcMar>
              <w:left w:w="108" w:type="dxa"/>
            </w:tcMar>
          </w:tcPr>
          <w:p w:rsidR="004300E2" w:rsidRPr="008A0F36" w:rsidRDefault="004300E2" w:rsidP="00923DEA">
            <w:pPr>
              <w:spacing w:line="224" w:lineRule="exact"/>
              <w:rPr>
                <w:lang w:val="it-IT"/>
              </w:rPr>
            </w:pPr>
            <w:r w:rsidRPr="008A0F36">
              <w:rPr>
                <w:rFonts w:eastAsia="Arial Unicode MS"/>
                <w:lang w:val="it-IT"/>
              </w:rPr>
              <w:t>L’entità ha presentato i flussi finanziari derivanti dall</w:t>
            </w:r>
            <w:r>
              <w:rPr>
                <w:rFonts w:eastAsia="Arial Unicode MS"/>
                <w:lang w:val="it-IT"/>
              </w:rPr>
              <w:t>’</w:t>
            </w:r>
            <w:r w:rsidRPr="008A0F36">
              <w:rPr>
                <w:rFonts w:eastAsia="Arial Unicode MS"/>
                <w:lang w:val="it-IT"/>
              </w:rPr>
              <w:t>attività operativ</w:t>
            </w:r>
            <w:r>
              <w:rPr>
                <w:rFonts w:eastAsia="Arial Unicode MS"/>
                <w:lang w:val="it-IT"/>
              </w:rPr>
              <w:t>a</w:t>
            </w:r>
            <w:r w:rsidRPr="008A0F36">
              <w:rPr>
                <w:rFonts w:eastAsia="Arial Unicode MS"/>
                <w:lang w:val="it-IT"/>
              </w:rPr>
              <w:t xml:space="preserve"> utilizzando, alternativamente:</w:t>
            </w:r>
          </w:p>
        </w:tc>
        <w:tc>
          <w:tcPr>
            <w:tcW w:w="575" w:type="dxa"/>
            <w:tcMar>
              <w:left w:w="85" w:type="dxa"/>
              <w:right w:w="85" w:type="dxa"/>
            </w:tcMar>
            <w:vAlign w:val="center"/>
          </w:tcPr>
          <w:p w:rsidR="004300E2" w:rsidRPr="00FF19F7" w:rsidRDefault="004300E2" w:rsidP="004300E2">
            <w:pPr>
              <w:spacing w:line="226" w:lineRule="exact"/>
              <w:jc w:val="center"/>
              <w:rPr>
                <w:lang w:val="it-IT"/>
              </w:rPr>
            </w:pPr>
          </w:p>
        </w:tc>
        <w:tc>
          <w:tcPr>
            <w:tcW w:w="567" w:type="dxa"/>
            <w:tcMar>
              <w:left w:w="108" w:type="dxa"/>
            </w:tcMar>
            <w:vAlign w:val="center"/>
          </w:tcPr>
          <w:p w:rsidR="004300E2" w:rsidRPr="00FF19F7" w:rsidRDefault="004300E2" w:rsidP="004300E2">
            <w:pPr>
              <w:spacing w:line="226" w:lineRule="exact"/>
              <w:jc w:val="center"/>
              <w:rPr>
                <w:lang w:val="it-IT"/>
              </w:rPr>
            </w:pPr>
          </w:p>
        </w:tc>
        <w:tc>
          <w:tcPr>
            <w:tcW w:w="567" w:type="dxa"/>
            <w:tcMar>
              <w:left w:w="108" w:type="dxa"/>
            </w:tcMar>
            <w:vAlign w:val="center"/>
          </w:tcPr>
          <w:p w:rsidR="004300E2" w:rsidRPr="00FF19F7" w:rsidRDefault="004300E2" w:rsidP="004300E2">
            <w:pPr>
              <w:spacing w:line="226" w:lineRule="exact"/>
              <w:jc w:val="center"/>
              <w:rPr>
                <w:lang w:val="it-IT"/>
              </w:rPr>
            </w:pPr>
          </w:p>
        </w:tc>
      </w:tr>
      <w:tr w:rsidR="0066483E" w:rsidRPr="008129DA" w:rsidTr="00940A6F">
        <w:trPr>
          <w:cantSplit/>
          <w:trHeight w:val="20"/>
        </w:trPr>
        <w:tc>
          <w:tcPr>
            <w:tcW w:w="567" w:type="dxa"/>
          </w:tcPr>
          <w:p w:rsidR="0066483E" w:rsidRPr="008A0F36" w:rsidRDefault="0066483E" w:rsidP="004300E2">
            <w:pPr>
              <w:spacing w:line="226" w:lineRule="exact"/>
              <w:ind w:firstLine="57"/>
              <w:rPr>
                <w:lang w:val="it-IT"/>
              </w:rPr>
            </w:pPr>
          </w:p>
        </w:tc>
        <w:tc>
          <w:tcPr>
            <w:tcW w:w="851" w:type="dxa"/>
            <w:tcMar>
              <w:left w:w="108" w:type="dxa"/>
              <w:right w:w="0" w:type="dxa"/>
            </w:tcMar>
          </w:tcPr>
          <w:p w:rsidR="0066483E" w:rsidRPr="008A0F36" w:rsidRDefault="0066483E" w:rsidP="004300E2">
            <w:pPr>
              <w:pStyle w:val="IAS"/>
              <w:spacing w:line="226" w:lineRule="exact"/>
              <w:rPr>
                <w:lang w:val="it-IT"/>
              </w:rPr>
            </w:pPr>
          </w:p>
        </w:tc>
        <w:tc>
          <w:tcPr>
            <w:tcW w:w="7079" w:type="dxa"/>
            <w:tcMar>
              <w:left w:w="108" w:type="dxa"/>
            </w:tcMar>
          </w:tcPr>
          <w:p w:rsidR="0066483E" w:rsidRDefault="0066483E" w:rsidP="00923DEA">
            <w:pPr>
              <w:pStyle w:val="Rientroisottoa"/>
              <w:spacing w:line="224" w:lineRule="exact"/>
              <w:ind w:left="457" w:hanging="425"/>
            </w:pPr>
            <w:r w:rsidRPr="008A0F36">
              <w:t>i)</w:t>
            </w:r>
            <w:r w:rsidRPr="008A0F36">
              <w:tab/>
              <w:t xml:space="preserve">il metodo diretto, per mezzo del quale sono indicate le principali categorie di incassi e di pagamenti lordi (questo metodo è incoraggiato); o </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spacing w:line="226" w:lineRule="exact"/>
              <w:ind w:firstLine="57"/>
              <w:rPr>
                <w:lang w:val="it-IT"/>
              </w:rPr>
            </w:pPr>
          </w:p>
        </w:tc>
        <w:tc>
          <w:tcPr>
            <w:tcW w:w="851" w:type="dxa"/>
            <w:tcMar>
              <w:left w:w="108" w:type="dxa"/>
              <w:right w:w="0" w:type="dxa"/>
            </w:tcMar>
          </w:tcPr>
          <w:p w:rsidR="0066483E" w:rsidRPr="008A0F36" w:rsidRDefault="0066483E" w:rsidP="004300E2">
            <w:pPr>
              <w:pStyle w:val="IAS"/>
              <w:spacing w:line="226" w:lineRule="exact"/>
              <w:rPr>
                <w:lang w:val="it-IT"/>
              </w:rPr>
            </w:pPr>
          </w:p>
        </w:tc>
        <w:tc>
          <w:tcPr>
            <w:tcW w:w="7079" w:type="dxa"/>
            <w:tcMar>
              <w:left w:w="108" w:type="dxa"/>
            </w:tcMar>
          </w:tcPr>
          <w:p w:rsidR="0066483E" w:rsidRDefault="0066483E" w:rsidP="00923DEA">
            <w:pPr>
              <w:pStyle w:val="Rientroisottoa"/>
              <w:spacing w:line="224" w:lineRule="exact"/>
              <w:ind w:left="457" w:hanging="425"/>
            </w:pPr>
            <w:r w:rsidRPr="008A0F36">
              <w:t>ii)</w:t>
            </w:r>
            <w:r w:rsidRPr="008A0F36">
              <w:tab/>
              <w:t xml:space="preserve">il metodo indiretto, per mezzo del quale l’utile o la perdita d’esercizio sono rettificati dagli effetti delle operazioni di natura non monetaria, da qualsiasi differimento o accantonamento di precedenti o futuri incassi o pagamenti operativi, e da elementi di ricavi o costi connessi con i flussi finanziari derivanti dall’attività di investimento o </w:t>
            </w:r>
            <w:r>
              <w:t>di finanziamento</w:t>
            </w:r>
            <w:r w:rsidRPr="008A0F36">
              <w:t>.</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pStyle w:val="Numeroelenco"/>
              <w:spacing w:line="226" w:lineRule="exact"/>
              <w:ind w:left="0" w:firstLine="57"/>
              <w:rPr>
                <w:lang w:val="it-IT"/>
              </w:rPr>
            </w:pPr>
          </w:p>
        </w:tc>
        <w:tc>
          <w:tcPr>
            <w:tcW w:w="851" w:type="dxa"/>
            <w:tcMar>
              <w:left w:w="108" w:type="dxa"/>
              <w:right w:w="0" w:type="dxa"/>
            </w:tcMar>
          </w:tcPr>
          <w:p w:rsidR="0066483E" w:rsidRPr="008A0F36" w:rsidRDefault="0066483E" w:rsidP="004300E2">
            <w:pPr>
              <w:pStyle w:val="IAS"/>
              <w:spacing w:line="226" w:lineRule="exact"/>
              <w:rPr>
                <w:lang w:val="it-IT"/>
              </w:rPr>
            </w:pPr>
            <w:r w:rsidRPr="008A0F36">
              <w:rPr>
                <w:lang w:val="it-IT"/>
              </w:rPr>
              <w:t>IAS 7.21</w:t>
            </w:r>
          </w:p>
        </w:tc>
        <w:tc>
          <w:tcPr>
            <w:tcW w:w="7079" w:type="dxa"/>
            <w:tcMar>
              <w:left w:w="108" w:type="dxa"/>
            </w:tcMar>
          </w:tcPr>
          <w:p w:rsidR="0066483E" w:rsidRPr="008A0F36" w:rsidRDefault="0066483E" w:rsidP="00923DEA">
            <w:pPr>
              <w:spacing w:line="224" w:lineRule="exact"/>
              <w:rPr>
                <w:lang w:val="it-IT"/>
              </w:rPr>
            </w:pPr>
            <w:r w:rsidRPr="008A0F36">
              <w:rPr>
                <w:lang w:val="it-IT"/>
              </w:rPr>
              <w:t xml:space="preserve">L’entità ha presentato distintamente le principali categorie di incassi e pagamenti lordi derivanti dall’attività di investimento e </w:t>
            </w:r>
            <w:r>
              <w:rPr>
                <w:lang w:val="it-IT"/>
              </w:rPr>
              <w:t xml:space="preserve">di finanziamento </w:t>
            </w:r>
            <w:r w:rsidRPr="008A0F36">
              <w:rPr>
                <w:lang w:val="it-IT"/>
              </w:rPr>
              <w:t>eccetto quanto descritto qui sotto</w:t>
            </w:r>
            <w:r>
              <w:rPr>
                <w:lang w:val="it-IT"/>
              </w:rPr>
              <w:t>.</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Pr="008A0F36" w:rsidRDefault="004300E2" w:rsidP="004300E2">
            <w:pPr>
              <w:pStyle w:val="Numeroelenco"/>
              <w:numPr>
                <w:ilvl w:val="0"/>
                <w:numId w:val="0"/>
              </w:numPr>
              <w:spacing w:line="226" w:lineRule="exact"/>
              <w:ind w:left="57"/>
              <w:rPr>
                <w:lang w:val="it-IT"/>
              </w:rPr>
            </w:pPr>
          </w:p>
        </w:tc>
        <w:tc>
          <w:tcPr>
            <w:tcW w:w="851" w:type="dxa"/>
            <w:tcMar>
              <w:right w:w="0" w:type="dxa"/>
            </w:tcMar>
          </w:tcPr>
          <w:p w:rsidR="004300E2" w:rsidRPr="008A0F36" w:rsidRDefault="004300E2" w:rsidP="004300E2">
            <w:pPr>
              <w:pStyle w:val="IAS"/>
              <w:spacing w:line="226" w:lineRule="exact"/>
              <w:rPr>
                <w:lang w:val="it-IT"/>
              </w:rPr>
            </w:pPr>
            <w:r w:rsidRPr="008A0F36">
              <w:rPr>
                <w:lang w:val="it-IT"/>
              </w:rPr>
              <w:t>IAS 7.22</w:t>
            </w:r>
          </w:p>
        </w:tc>
        <w:tc>
          <w:tcPr>
            <w:tcW w:w="7079" w:type="dxa"/>
          </w:tcPr>
          <w:p w:rsidR="004300E2" w:rsidRPr="008A0F36" w:rsidRDefault="004300E2" w:rsidP="00766FFF">
            <w:pPr>
              <w:pStyle w:val="Paragarfobordato"/>
              <w:rPr>
                <w:rFonts w:eastAsia="Arial Unicode MS"/>
              </w:rPr>
            </w:pPr>
            <w:r w:rsidRPr="008A0F36">
              <w:rPr>
                <w:rFonts w:eastAsia="Arial Unicode MS"/>
              </w:rPr>
              <w:t>Tutti i flussi finanziari devono essere indicati al lordo, ad eccezione dei seguenti che possono essere presentati su base netta:</w:t>
            </w:r>
          </w:p>
          <w:p w:rsidR="004300E2" w:rsidRPr="008A0F36" w:rsidRDefault="004300E2" w:rsidP="00766FFF">
            <w:pPr>
              <w:pStyle w:val="Paragarfobordato"/>
              <w:rPr>
                <w:rFonts w:eastAsia="Arial Unicode MS"/>
              </w:rPr>
            </w:pPr>
            <w:r w:rsidRPr="008A0F36">
              <w:rPr>
                <w:rFonts w:eastAsia="Arial Unicode MS"/>
              </w:rPr>
              <w:t>a)</w:t>
            </w:r>
            <w:r w:rsidRPr="008A0F36">
              <w:rPr>
                <w:rFonts w:eastAsia="Arial Unicode MS"/>
              </w:rPr>
              <w:tab/>
              <w:t>incassi e pagamenti per conto di clienti quando riflettono le attività del cliente piuttosto che dell’entità; e</w:t>
            </w:r>
          </w:p>
          <w:p w:rsidR="004300E2" w:rsidRPr="008A0F36" w:rsidRDefault="004300E2" w:rsidP="00766FFF">
            <w:pPr>
              <w:pStyle w:val="Paragarfobordato"/>
              <w:rPr>
                <w:rFonts w:eastAsia="Arial Unicode MS"/>
              </w:rPr>
            </w:pPr>
            <w:r w:rsidRPr="008A0F36">
              <w:rPr>
                <w:rFonts w:eastAsia="Arial Unicode MS"/>
              </w:rPr>
              <w:t>b)</w:t>
            </w:r>
            <w:r w:rsidRPr="008A0F36">
              <w:rPr>
                <w:rFonts w:eastAsia="Arial Unicode MS"/>
              </w:rPr>
              <w:tab/>
              <w:t>incassi e pagamenti relativi a elementi la cui rotazione è rapida, gli importi sono elevati e la scadenza è a breve.</w:t>
            </w:r>
          </w:p>
        </w:tc>
        <w:tc>
          <w:tcPr>
            <w:tcW w:w="575" w:type="dxa"/>
            <w:vAlign w:val="center"/>
          </w:tcPr>
          <w:p w:rsidR="004300E2" w:rsidRPr="00FF19F7" w:rsidRDefault="004300E2" w:rsidP="004300E2">
            <w:pPr>
              <w:spacing w:line="226" w:lineRule="exact"/>
              <w:jc w:val="center"/>
              <w:rPr>
                <w:lang w:val="it-IT"/>
              </w:rPr>
            </w:pPr>
          </w:p>
        </w:tc>
        <w:tc>
          <w:tcPr>
            <w:tcW w:w="567" w:type="dxa"/>
            <w:vAlign w:val="center"/>
          </w:tcPr>
          <w:p w:rsidR="004300E2" w:rsidRPr="00FF19F7" w:rsidRDefault="004300E2" w:rsidP="004300E2">
            <w:pPr>
              <w:spacing w:line="226" w:lineRule="exact"/>
              <w:jc w:val="center"/>
              <w:rPr>
                <w:lang w:val="it-IT"/>
              </w:rPr>
            </w:pPr>
          </w:p>
        </w:tc>
        <w:tc>
          <w:tcPr>
            <w:tcW w:w="567" w:type="dxa"/>
            <w:vAlign w:val="center"/>
          </w:tcPr>
          <w:p w:rsidR="004300E2" w:rsidRPr="00FF19F7" w:rsidRDefault="004300E2" w:rsidP="004300E2">
            <w:pPr>
              <w:spacing w:line="226" w:lineRule="exact"/>
              <w:jc w:val="center"/>
              <w:rPr>
                <w:lang w:val="it-IT"/>
              </w:rPr>
            </w:pPr>
          </w:p>
        </w:tc>
      </w:tr>
      <w:tr w:rsidR="004300E2" w:rsidRPr="00A44ECD" w:rsidTr="00940A6F">
        <w:trPr>
          <w:cantSplit/>
          <w:trHeight w:val="20"/>
        </w:trPr>
        <w:tc>
          <w:tcPr>
            <w:tcW w:w="567" w:type="dxa"/>
          </w:tcPr>
          <w:p w:rsidR="004300E2" w:rsidRPr="008A0F36" w:rsidRDefault="004300E2" w:rsidP="004300E2">
            <w:pPr>
              <w:spacing w:line="226" w:lineRule="exact"/>
              <w:ind w:firstLine="57"/>
              <w:rPr>
                <w:lang w:val="it-IT"/>
              </w:rPr>
            </w:pPr>
          </w:p>
        </w:tc>
        <w:tc>
          <w:tcPr>
            <w:tcW w:w="851" w:type="dxa"/>
            <w:tcMar>
              <w:left w:w="108" w:type="dxa"/>
              <w:right w:w="0" w:type="dxa"/>
            </w:tcMar>
          </w:tcPr>
          <w:p w:rsidR="004300E2" w:rsidRPr="008A0F36" w:rsidRDefault="004300E2" w:rsidP="004300E2">
            <w:pPr>
              <w:pStyle w:val="IAS"/>
              <w:spacing w:line="226" w:lineRule="exact"/>
              <w:rPr>
                <w:lang w:val="it-IT"/>
              </w:rPr>
            </w:pPr>
            <w:r w:rsidRPr="008A0F36">
              <w:rPr>
                <w:lang w:val="it-IT"/>
              </w:rPr>
              <w:t>IAS 7.24</w:t>
            </w:r>
          </w:p>
        </w:tc>
        <w:tc>
          <w:tcPr>
            <w:tcW w:w="7079" w:type="dxa"/>
            <w:tcMar>
              <w:left w:w="108" w:type="dxa"/>
            </w:tcMar>
          </w:tcPr>
          <w:p w:rsidR="004300E2" w:rsidRPr="008A0F36" w:rsidRDefault="004300E2" w:rsidP="00766FFF">
            <w:pPr>
              <w:pStyle w:val="Paragarfobordato"/>
              <w:rPr>
                <w:rFonts w:eastAsia="Arial Unicode MS"/>
              </w:rPr>
            </w:pPr>
            <w:r w:rsidRPr="008A0F36">
              <w:rPr>
                <w:rFonts w:eastAsia="Arial Unicode MS"/>
              </w:rPr>
              <w:t>I flussi finanziari derivanti da ciascuna delle seguenti attività degli istituti finanziari possono essere presentati su base netta:</w:t>
            </w:r>
          </w:p>
          <w:p w:rsidR="004300E2" w:rsidRPr="008A0F36" w:rsidRDefault="004300E2" w:rsidP="00766FFF">
            <w:pPr>
              <w:pStyle w:val="Paragarfobordato"/>
              <w:rPr>
                <w:rFonts w:eastAsia="Arial Unicode MS"/>
              </w:rPr>
            </w:pPr>
            <w:r w:rsidRPr="008A0F36">
              <w:rPr>
                <w:rFonts w:eastAsia="Arial Unicode MS"/>
              </w:rPr>
              <w:t>a)</w:t>
            </w:r>
            <w:r w:rsidRPr="008A0F36">
              <w:rPr>
                <w:rFonts w:eastAsia="Arial Unicode MS"/>
              </w:rPr>
              <w:tab/>
              <w:t>incassi e pagamenti per l’accettazione e il rimborso di depositi con una data di scadenza determinata</w:t>
            </w:r>
          </w:p>
          <w:p w:rsidR="004300E2" w:rsidRPr="008A0F36" w:rsidRDefault="004300E2" w:rsidP="00766FFF">
            <w:pPr>
              <w:pStyle w:val="Paragarfobordato"/>
              <w:rPr>
                <w:rFonts w:eastAsia="Arial Unicode MS"/>
              </w:rPr>
            </w:pPr>
            <w:r w:rsidRPr="008A0F36">
              <w:rPr>
                <w:rFonts w:eastAsia="Arial Unicode MS"/>
              </w:rPr>
              <w:t>b)</w:t>
            </w:r>
            <w:r w:rsidRPr="008A0F36">
              <w:rPr>
                <w:rFonts w:eastAsia="Arial Unicode MS"/>
              </w:rPr>
              <w:tab/>
              <w:t>il collocamento e il ritiro di depositi presso altri enti finanziari; e</w:t>
            </w:r>
          </w:p>
          <w:p w:rsidR="004300E2" w:rsidRPr="008A0F36" w:rsidRDefault="004300E2" w:rsidP="00766FFF">
            <w:pPr>
              <w:pStyle w:val="Paragarfobordato"/>
            </w:pPr>
            <w:r w:rsidRPr="008A0F36">
              <w:rPr>
                <w:rFonts w:eastAsia="Arial Unicode MS"/>
              </w:rPr>
              <w:t>c)</w:t>
            </w:r>
            <w:r w:rsidRPr="008A0F36">
              <w:rPr>
                <w:rFonts w:eastAsia="Arial Unicode MS"/>
              </w:rPr>
              <w:tab/>
              <w:t xml:space="preserve">anticipi e prestiti a clienti e il rispettivo rimborso di tali anticipi e prestiti. </w:t>
            </w:r>
          </w:p>
        </w:tc>
        <w:tc>
          <w:tcPr>
            <w:tcW w:w="575" w:type="dxa"/>
            <w:tcMar>
              <w:left w:w="85" w:type="dxa"/>
              <w:right w:w="85" w:type="dxa"/>
            </w:tcMar>
            <w:vAlign w:val="center"/>
          </w:tcPr>
          <w:p w:rsidR="004300E2" w:rsidRPr="00FF19F7" w:rsidRDefault="004300E2" w:rsidP="004300E2">
            <w:pPr>
              <w:spacing w:line="226" w:lineRule="exact"/>
              <w:jc w:val="center"/>
              <w:rPr>
                <w:lang w:val="it-IT"/>
              </w:rPr>
            </w:pPr>
          </w:p>
        </w:tc>
        <w:tc>
          <w:tcPr>
            <w:tcW w:w="567" w:type="dxa"/>
            <w:tcMar>
              <w:left w:w="108" w:type="dxa"/>
            </w:tcMar>
            <w:vAlign w:val="center"/>
          </w:tcPr>
          <w:p w:rsidR="004300E2" w:rsidRPr="00FF19F7" w:rsidRDefault="004300E2" w:rsidP="004300E2">
            <w:pPr>
              <w:spacing w:line="226" w:lineRule="exact"/>
              <w:jc w:val="center"/>
              <w:rPr>
                <w:lang w:val="it-IT"/>
              </w:rPr>
            </w:pPr>
          </w:p>
        </w:tc>
        <w:tc>
          <w:tcPr>
            <w:tcW w:w="567" w:type="dxa"/>
            <w:tcMar>
              <w:left w:w="108" w:type="dxa"/>
            </w:tcMar>
            <w:vAlign w:val="center"/>
          </w:tcPr>
          <w:p w:rsidR="004300E2" w:rsidRPr="00FF19F7" w:rsidRDefault="004300E2" w:rsidP="004300E2">
            <w:pPr>
              <w:spacing w:line="226" w:lineRule="exact"/>
              <w:jc w:val="center"/>
              <w:rPr>
                <w:lang w:val="it-IT"/>
              </w:rPr>
            </w:pPr>
          </w:p>
        </w:tc>
      </w:tr>
      <w:tr w:rsidR="004300E2" w:rsidRPr="00A44ECD" w:rsidTr="00940A6F">
        <w:trPr>
          <w:cantSplit/>
          <w:trHeight w:val="20"/>
        </w:trPr>
        <w:tc>
          <w:tcPr>
            <w:tcW w:w="567" w:type="dxa"/>
          </w:tcPr>
          <w:p w:rsidR="004300E2" w:rsidRPr="008A0F36" w:rsidRDefault="004300E2" w:rsidP="004300E2">
            <w:pPr>
              <w:spacing w:line="226" w:lineRule="exact"/>
              <w:ind w:firstLine="57"/>
              <w:rPr>
                <w:lang w:val="it-IT"/>
              </w:rPr>
            </w:pPr>
          </w:p>
        </w:tc>
        <w:tc>
          <w:tcPr>
            <w:tcW w:w="851" w:type="dxa"/>
            <w:tcMar>
              <w:left w:w="108" w:type="dxa"/>
              <w:right w:w="0" w:type="dxa"/>
            </w:tcMar>
          </w:tcPr>
          <w:p w:rsidR="004300E2" w:rsidRPr="008A0F36" w:rsidRDefault="004300E2" w:rsidP="004300E2">
            <w:pPr>
              <w:pStyle w:val="IAS"/>
              <w:spacing w:line="226" w:lineRule="exact"/>
              <w:rPr>
                <w:lang w:val="it-IT"/>
              </w:rPr>
            </w:pPr>
            <w:r w:rsidRPr="008A0F36">
              <w:rPr>
                <w:lang w:val="it-IT"/>
              </w:rPr>
              <w:t>IAS 7.25</w:t>
            </w:r>
          </w:p>
        </w:tc>
        <w:tc>
          <w:tcPr>
            <w:tcW w:w="7079" w:type="dxa"/>
            <w:tcMar>
              <w:left w:w="108" w:type="dxa"/>
            </w:tcMar>
          </w:tcPr>
          <w:p w:rsidR="004300E2" w:rsidRPr="008A0F36" w:rsidRDefault="004300E2" w:rsidP="00766FFF">
            <w:pPr>
              <w:pStyle w:val="Paragarfobordato"/>
            </w:pPr>
            <w:r w:rsidRPr="008A0F36">
              <w:t>I flussi finanziari derivanti da operazioni in valuta estera devono essere iscritti nella valuta funzionale dell’entità, applicando all’ammontare in valuta estera il tasso di cambio tra la valuta funzionale e la valuta estera del giorno in cui avviene il flusso finanziario.</w:t>
            </w:r>
          </w:p>
        </w:tc>
        <w:tc>
          <w:tcPr>
            <w:tcW w:w="575" w:type="dxa"/>
            <w:tcMar>
              <w:left w:w="85" w:type="dxa"/>
              <w:right w:w="85" w:type="dxa"/>
            </w:tcMar>
            <w:vAlign w:val="center"/>
          </w:tcPr>
          <w:p w:rsidR="004300E2" w:rsidRPr="00FF19F7" w:rsidRDefault="004300E2" w:rsidP="004300E2">
            <w:pPr>
              <w:spacing w:line="226" w:lineRule="exact"/>
              <w:jc w:val="center"/>
              <w:rPr>
                <w:lang w:val="it-IT"/>
              </w:rPr>
            </w:pPr>
          </w:p>
        </w:tc>
        <w:tc>
          <w:tcPr>
            <w:tcW w:w="567" w:type="dxa"/>
            <w:tcMar>
              <w:left w:w="108" w:type="dxa"/>
            </w:tcMar>
            <w:vAlign w:val="center"/>
          </w:tcPr>
          <w:p w:rsidR="004300E2" w:rsidRPr="00FF19F7" w:rsidRDefault="004300E2" w:rsidP="004300E2">
            <w:pPr>
              <w:spacing w:line="226" w:lineRule="exact"/>
              <w:jc w:val="center"/>
              <w:rPr>
                <w:lang w:val="it-IT"/>
              </w:rPr>
            </w:pPr>
          </w:p>
        </w:tc>
        <w:tc>
          <w:tcPr>
            <w:tcW w:w="567" w:type="dxa"/>
            <w:tcMar>
              <w:left w:w="108" w:type="dxa"/>
            </w:tcMar>
            <w:vAlign w:val="center"/>
          </w:tcPr>
          <w:p w:rsidR="004300E2" w:rsidRPr="00FF19F7" w:rsidRDefault="004300E2" w:rsidP="004300E2">
            <w:pPr>
              <w:spacing w:line="226" w:lineRule="exact"/>
              <w:jc w:val="center"/>
              <w:rPr>
                <w:lang w:val="it-IT"/>
              </w:rPr>
            </w:pPr>
          </w:p>
        </w:tc>
      </w:tr>
      <w:tr w:rsidR="004300E2" w:rsidRPr="00A44ECD" w:rsidTr="00940A6F">
        <w:trPr>
          <w:cantSplit/>
          <w:trHeight w:val="20"/>
        </w:trPr>
        <w:tc>
          <w:tcPr>
            <w:tcW w:w="567" w:type="dxa"/>
          </w:tcPr>
          <w:p w:rsidR="004300E2" w:rsidRPr="008A0F36" w:rsidRDefault="004300E2" w:rsidP="004300E2">
            <w:pPr>
              <w:spacing w:line="226" w:lineRule="exact"/>
              <w:ind w:firstLine="57"/>
              <w:rPr>
                <w:lang w:val="it-IT"/>
              </w:rPr>
            </w:pPr>
          </w:p>
        </w:tc>
        <w:tc>
          <w:tcPr>
            <w:tcW w:w="851" w:type="dxa"/>
            <w:tcMar>
              <w:left w:w="108" w:type="dxa"/>
              <w:right w:w="0" w:type="dxa"/>
            </w:tcMar>
          </w:tcPr>
          <w:p w:rsidR="004300E2" w:rsidRPr="008A0F36" w:rsidRDefault="004300E2" w:rsidP="004300E2">
            <w:pPr>
              <w:pStyle w:val="IAS"/>
              <w:spacing w:line="226" w:lineRule="exact"/>
              <w:rPr>
                <w:lang w:val="it-IT"/>
              </w:rPr>
            </w:pPr>
            <w:r w:rsidRPr="008A0F36">
              <w:rPr>
                <w:lang w:val="it-IT"/>
              </w:rPr>
              <w:t>IAS 7.26</w:t>
            </w:r>
          </w:p>
        </w:tc>
        <w:tc>
          <w:tcPr>
            <w:tcW w:w="7079" w:type="dxa"/>
            <w:tcMar>
              <w:left w:w="108" w:type="dxa"/>
            </w:tcMar>
          </w:tcPr>
          <w:p w:rsidR="004300E2" w:rsidRPr="008A0F36" w:rsidRDefault="004300E2" w:rsidP="00766FFF">
            <w:pPr>
              <w:pStyle w:val="Paragarfobordato"/>
            </w:pPr>
            <w:r w:rsidRPr="008A0F36">
              <w:t>I flussi finanziari di una controllata estera devono essere convertiti al tasso di cambio tra la valuta funzionale e la valuta estera dei giorni in cui avvengono i flussi finanziari.</w:t>
            </w:r>
            <w:r w:rsidRPr="008A0F36">
              <w:rPr>
                <w:rFonts w:eastAsia="Arial Unicode MS"/>
              </w:rPr>
              <w:t xml:space="preserve"> </w:t>
            </w:r>
          </w:p>
        </w:tc>
        <w:tc>
          <w:tcPr>
            <w:tcW w:w="575" w:type="dxa"/>
            <w:tcMar>
              <w:left w:w="85" w:type="dxa"/>
              <w:right w:w="85" w:type="dxa"/>
            </w:tcMar>
            <w:vAlign w:val="center"/>
          </w:tcPr>
          <w:p w:rsidR="004300E2" w:rsidRPr="00FF19F7" w:rsidRDefault="004300E2" w:rsidP="004300E2">
            <w:pPr>
              <w:spacing w:line="226" w:lineRule="exact"/>
              <w:jc w:val="center"/>
              <w:rPr>
                <w:lang w:val="it-IT"/>
              </w:rPr>
            </w:pPr>
          </w:p>
        </w:tc>
        <w:tc>
          <w:tcPr>
            <w:tcW w:w="567" w:type="dxa"/>
            <w:tcMar>
              <w:left w:w="108" w:type="dxa"/>
            </w:tcMar>
            <w:vAlign w:val="center"/>
          </w:tcPr>
          <w:p w:rsidR="004300E2" w:rsidRPr="00FF19F7" w:rsidRDefault="004300E2" w:rsidP="004300E2">
            <w:pPr>
              <w:spacing w:line="226" w:lineRule="exact"/>
              <w:jc w:val="center"/>
              <w:rPr>
                <w:lang w:val="it-IT"/>
              </w:rPr>
            </w:pPr>
          </w:p>
        </w:tc>
        <w:tc>
          <w:tcPr>
            <w:tcW w:w="567" w:type="dxa"/>
            <w:tcMar>
              <w:left w:w="108" w:type="dxa"/>
            </w:tcMar>
            <w:vAlign w:val="center"/>
          </w:tcPr>
          <w:p w:rsidR="004300E2" w:rsidRPr="00FF19F7" w:rsidRDefault="004300E2" w:rsidP="004300E2">
            <w:pPr>
              <w:spacing w:line="226" w:lineRule="exact"/>
              <w:jc w:val="center"/>
              <w:rPr>
                <w:lang w:val="it-IT"/>
              </w:rPr>
            </w:pPr>
          </w:p>
        </w:tc>
      </w:tr>
      <w:tr w:rsidR="004300E2" w:rsidRPr="00A44ECD" w:rsidTr="00940A6F">
        <w:trPr>
          <w:cantSplit/>
          <w:trHeight w:val="20"/>
        </w:trPr>
        <w:tc>
          <w:tcPr>
            <w:tcW w:w="567" w:type="dxa"/>
          </w:tcPr>
          <w:p w:rsidR="004300E2" w:rsidRPr="008A0F36" w:rsidRDefault="004300E2" w:rsidP="004300E2">
            <w:pPr>
              <w:spacing w:line="226" w:lineRule="exact"/>
              <w:ind w:firstLine="57"/>
              <w:rPr>
                <w:lang w:val="it-IT"/>
              </w:rPr>
            </w:pPr>
          </w:p>
        </w:tc>
        <w:tc>
          <w:tcPr>
            <w:tcW w:w="851" w:type="dxa"/>
            <w:tcMar>
              <w:left w:w="108" w:type="dxa"/>
              <w:right w:w="0" w:type="dxa"/>
            </w:tcMar>
          </w:tcPr>
          <w:p w:rsidR="004300E2" w:rsidRPr="008A0F36" w:rsidRDefault="004300E2" w:rsidP="004300E2">
            <w:pPr>
              <w:pStyle w:val="IAS"/>
              <w:spacing w:line="226" w:lineRule="exact"/>
              <w:rPr>
                <w:lang w:val="it-IT"/>
              </w:rPr>
            </w:pPr>
            <w:r w:rsidRPr="008A0F36">
              <w:rPr>
                <w:lang w:val="it-IT"/>
              </w:rPr>
              <w:t>IAS 7.28</w:t>
            </w:r>
          </w:p>
        </w:tc>
        <w:tc>
          <w:tcPr>
            <w:tcW w:w="7079" w:type="dxa"/>
            <w:tcMar>
              <w:left w:w="108" w:type="dxa"/>
            </w:tcMar>
          </w:tcPr>
          <w:p w:rsidR="004300E2" w:rsidRPr="008A0F36" w:rsidRDefault="004300E2" w:rsidP="00766FFF">
            <w:pPr>
              <w:pStyle w:val="Paragarfobordato"/>
            </w:pPr>
            <w:r w:rsidRPr="008A0F36">
              <w:t>Utili e perdite derivanti da variazioni nei cambi in valuta estera non realizzati non rappresentano flussi finanziari. Tuttavia, l’effetto delle variazioni nei cambi sulle disponibilità liquide e mezzi equivalenti posseduti, o dovuti, in valuta estera è presentato nel rendiconto finanziario allo scopo di riconciliare il valore delle disponibilità liquide e mezzi equivalenti all’inizio e alla fine dell’esercizio. Questo importo è esposto separatamente dai flussi finanziari dell’attività operativa, di investimento e di finanziamento e comprende le eventuali differenze qualora tali flussi finanziari fossero stati esposti utilizzando i cambi alla data di chiusura dell’esercizio.</w:t>
            </w:r>
          </w:p>
        </w:tc>
        <w:tc>
          <w:tcPr>
            <w:tcW w:w="575" w:type="dxa"/>
            <w:tcMar>
              <w:left w:w="85" w:type="dxa"/>
              <w:right w:w="85" w:type="dxa"/>
            </w:tcMar>
            <w:vAlign w:val="center"/>
          </w:tcPr>
          <w:p w:rsidR="004300E2" w:rsidRPr="00FF19F7" w:rsidRDefault="004300E2" w:rsidP="004300E2">
            <w:pPr>
              <w:spacing w:line="226" w:lineRule="exact"/>
              <w:jc w:val="center"/>
              <w:rPr>
                <w:lang w:val="it-IT"/>
              </w:rPr>
            </w:pPr>
          </w:p>
        </w:tc>
        <w:tc>
          <w:tcPr>
            <w:tcW w:w="567" w:type="dxa"/>
            <w:tcMar>
              <w:left w:w="108" w:type="dxa"/>
            </w:tcMar>
            <w:vAlign w:val="center"/>
          </w:tcPr>
          <w:p w:rsidR="004300E2" w:rsidRPr="00FF19F7" w:rsidRDefault="004300E2" w:rsidP="004300E2">
            <w:pPr>
              <w:spacing w:line="226" w:lineRule="exact"/>
              <w:jc w:val="center"/>
              <w:rPr>
                <w:lang w:val="it-IT"/>
              </w:rPr>
            </w:pPr>
          </w:p>
        </w:tc>
        <w:tc>
          <w:tcPr>
            <w:tcW w:w="567" w:type="dxa"/>
            <w:tcMar>
              <w:left w:w="108" w:type="dxa"/>
            </w:tcMar>
            <w:vAlign w:val="center"/>
          </w:tcPr>
          <w:p w:rsidR="004300E2" w:rsidRPr="00FF19F7" w:rsidRDefault="004300E2" w:rsidP="004300E2">
            <w:pPr>
              <w:spacing w:line="226" w:lineRule="exact"/>
              <w:jc w:val="center"/>
              <w:rPr>
                <w:lang w:val="it-IT"/>
              </w:rPr>
            </w:pPr>
          </w:p>
        </w:tc>
      </w:tr>
      <w:tr w:rsidR="004300E2" w:rsidRPr="00A44ECD" w:rsidTr="00940A6F">
        <w:trPr>
          <w:cantSplit/>
          <w:trHeight w:val="20"/>
        </w:trPr>
        <w:tc>
          <w:tcPr>
            <w:tcW w:w="567" w:type="dxa"/>
            <w:vAlign w:val="center"/>
          </w:tcPr>
          <w:p w:rsidR="004300E2" w:rsidRPr="008A0F36" w:rsidRDefault="004300E2" w:rsidP="00923DEA">
            <w:pPr>
              <w:pageBreakBefore/>
              <w:spacing w:line="226" w:lineRule="exact"/>
              <w:ind w:firstLine="57"/>
              <w:jc w:val="left"/>
              <w:rPr>
                <w:lang w:val="it-IT"/>
              </w:rPr>
            </w:pPr>
          </w:p>
        </w:tc>
        <w:tc>
          <w:tcPr>
            <w:tcW w:w="851" w:type="dxa"/>
            <w:tcMar>
              <w:left w:w="108" w:type="dxa"/>
              <w:right w:w="0" w:type="dxa"/>
            </w:tcMar>
            <w:vAlign w:val="center"/>
          </w:tcPr>
          <w:p w:rsidR="004300E2" w:rsidRPr="008A0F36" w:rsidRDefault="004300E2" w:rsidP="00923DEA">
            <w:pPr>
              <w:pStyle w:val="IAS"/>
              <w:pageBreakBefore/>
              <w:spacing w:line="226" w:lineRule="exact"/>
              <w:jc w:val="left"/>
              <w:rPr>
                <w:lang w:val="it-IT"/>
              </w:rPr>
            </w:pPr>
          </w:p>
        </w:tc>
        <w:tc>
          <w:tcPr>
            <w:tcW w:w="7079" w:type="dxa"/>
            <w:tcMar>
              <w:left w:w="108" w:type="dxa"/>
            </w:tcMar>
            <w:vAlign w:val="center"/>
          </w:tcPr>
          <w:p w:rsidR="004300E2" w:rsidRPr="008A0F36" w:rsidRDefault="004300E2" w:rsidP="00923DEA">
            <w:pPr>
              <w:pStyle w:val="Titolo2"/>
              <w:keepNext w:val="0"/>
              <w:pageBreakBefore/>
              <w:spacing w:line="226" w:lineRule="exact"/>
              <w:rPr>
                <w:lang w:val="it-IT"/>
              </w:rPr>
            </w:pPr>
            <w:bookmarkStart w:id="2" w:name="_Ref519493622"/>
            <w:r w:rsidRPr="008A0F36">
              <w:rPr>
                <w:lang w:val="it-IT"/>
              </w:rPr>
              <w:t xml:space="preserve">Componenti delle disponibilità liquide e mezzi equivalenti </w:t>
            </w:r>
            <w:bookmarkEnd w:id="2"/>
          </w:p>
        </w:tc>
        <w:tc>
          <w:tcPr>
            <w:tcW w:w="575" w:type="dxa"/>
            <w:tcMar>
              <w:left w:w="85" w:type="dxa"/>
              <w:right w:w="85" w:type="dxa"/>
            </w:tcMar>
            <w:vAlign w:val="center"/>
          </w:tcPr>
          <w:p w:rsidR="004300E2" w:rsidRPr="006F1EF4" w:rsidRDefault="004300E2" w:rsidP="00923DEA">
            <w:pPr>
              <w:pageBreakBefore/>
              <w:spacing w:line="226" w:lineRule="exact"/>
              <w:jc w:val="left"/>
              <w:rPr>
                <w:lang w:val="it-IT"/>
              </w:rPr>
            </w:pPr>
          </w:p>
        </w:tc>
        <w:tc>
          <w:tcPr>
            <w:tcW w:w="567" w:type="dxa"/>
            <w:tcMar>
              <w:left w:w="108" w:type="dxa"/>
            </w:tcMar>
            <w:vAlign w:val="center"/>
          </w:tcPr>
          <w:p w:rsidR="004300E2" w:rsidRPr="006F1EF4" w:rsidRDefault="004300E2" w:rsidP="00923DEA">
            <w:pPr>
              <w:pageBreakBefore/>
              <w:spacing w:line="226" w:lineRule="exact"/>
              <w:jc w:val="left"/>
              <w:rPr>
                <w:lang w:val="it-IT"/>
              </w:rPr>
            </w:pPr>
          </w:p>
        </w:tc>
        <w:tc>
          <w:tcPr>
            <w:tcW w:w="567" w:type="dxa"/>
            <w:tcMar>
              <w:left w:w="108" w:type="dxa"/>
            </w:tcMar>
            <w:vAlign w:val="center"/>
          </w:tcPr>
          <w:p w:rsidR="004300E2" w:rsidRPr="006F1EF4" w:rsidRDefault="004300E2" w:rsidP="00923DEA">
            <w:pPr>
              <w:pageBreakBefore/>
              <w:spacing w:line="226" w:lineRule="exact"/>
              <w:jc w:val="left"/>
              <w:rPr>
                <w:lang w:val="it-IT"/>
              </w:rPr>
            </w:pPr>
          </w:p>
        </w:tc>
      </w:tr>
      <w:tr w:rsidR="004300E2" w:rsidRPr="00A44ECD" w:rsidTr="00940A6F">
        <w:trPr>
          <w:cantSplit/>
          <w:trHeight w:val="20"/>
        </w:trPr>
        <w:tc>
          <w:tcPr>
            <w:tcW w:w="567" w:type="dxa"/>
          </w:tcPr>
          <w:p w:rsidR="004300E2" w:rsidRPr="008A0F36" w:rsidRDefault="004300E2" w:rsidP="004300E2">
            <w:pPr>
              <w:spacing w:line="226" w:lineRule="exact"/>
              <w:ind w:firstLine="57"/>
              <w:rPr>
                <w:lang w:val="it-IT"/>
              </w:rPr>
            </w:pPr>
          </w:p>
        </w:tc>
        <w:tc>
          <w:tcPr>
            <w:tcW w:w="851" w:type="dxa"/>
            <w:tcMar>
              <w:left w:w="108" w:type="dxa"/>
              <w:right w:w="0" w:type="dxa"/>
            </w:tcMar>
          </w:tcPr>
          <w:p w:rsidR="004300E2" w:rsidRPr="008A0F36" w:rsidRDefault="004300E2" w:rsidP="004300E2">
            <w:pPr>
              <w:pStyle w:val="IAS"/>
              <w:spacing w:line="226" w:lineRule="exact"/>
              <w:rPr>
                <w:lang w:val="it-IT"/>
              </w:rPr>
            </w:pPr>
            <w:r w:rsidRPr="008A0F36">
              <w:rPr>
                <w:lang w:val="it-IT"/>
              </w:rPr>
              <w:t>IAS 7.8</w:t>
            </w:r>
          </w:p>
        </w:tc>
        <w:tc>
          <w:tcPr>
            <w:tcW w:w="7079" w:type="dxa"/>
            <w:tcMar>
              <w:left w:w="108" w:type="dxa"/>
            </w:tcMar>
          </w:tcPr>
          <w:p w:rsidR="004300E2" w:rsidRPr="008A0F36" w:rsidRDefault="004300E2" w:rsidP="00205B18">
            <w:pPr>
              <w:pStyle w:val="Paragarfobordato"/>
            </w:pPr>
            <w:r w:rsidRPr="008A0F36">
              <w:rPr>
                <w:rFonts w:eastAsia="Arial Unicode MS"/>
              </w:rPr>
              <w:t xml:space="preserve">I prestiti bancari sono considerati, generalmente, attività finanziarie. In alcuni </w:t>
            </w:r>
            <w:r>
              <w:rPr>
                <w:rFonts w:eastAsia="Arial Unicode MS"/>
              </w:rPr>
              <w:t>p</w:t>
            </w:r>
            <w:r w:rsidRPr="008A0F36">
              <w:rPr>
                <w:rFonts w:eastAsia="Arial Unicode MS"/>
              </w:rPr>
              <w:t>aesi, tuttavia, gli scoperti bancari che sono rimborsabili a vista formano parte integrante della gestione delle disponibilità liquide di un’entità. In questi casi, gli scoperti bancari devono essere inclusi come componenti di disponibilità liquide o mezzi equivalenti. Una caratteristica di tali accordi bancari è che il saldo del conto spesso oscilla tra l’essere positivo e negativo.</w:t>
            </w:r>
          </w:p>
        </w:tc>
        <w:tc>
          <w:tcPr>
            <w:tcW w:w="575" w:type="dxa"/>
            <w:tcMar>
              <w:left w:w="85" w:type="dxa"/>
              <w:right w:w="85" w:type="dxa"/>
            </w:tcMar>
            <w:vAlign w:val="center"/>
          </w:tcPr>
          <w:p w:rsidR="004300E2" w:rsidRPr="00FF19F7" w:rsidRDefault="004300E2" w:rsidP="004300E2">
            <w:pPr>
              <w:spacing w:line="226" w:lineRule="exact"/>
              <w:jc w:val="center"/>
              <w:rPr>
                <w:lang w:val="it-IT"/>
              </w:rPr>
            </w:pPr>
          </w:p>
        </w:tc>
        <w:tc>
          <w:tcPr>
            <w:tcW w:w="567" w:type="dxa"/>
            <w:tcMar>
              <w:left w:w="108" w:type="dxa"/>
            </w:tcMar>
            <w:vAlign w:val="center"/>
          </w:tcPr>
          <w:p w:rsidR="004300E2" w:rsidRPr="00FF19F7" w:rsidRDefault="004300E2" w:rsidP="004300E2">
            <w:pPr>
              <w:spacing w:line="226" w:lineRule="exact"/>
              <w:jc w:val="center"/>
              <w:rPr>
                <w:lang w:val="it-IT"/>
              </w:rPr>
            </w:pPr>
          </w:p>
        </w:tc>
        <w:tc>
          <w:tcPr>
            <w:tcW w:w="567" w:type="dxa"/>
            <w:tcMar>
              <w:left w:w="108" w:type="dxa"/>
            </w:tcMar>
            <w:vAlign w:val="center"/>
          </w:tcPr>
          <w:p w:rsidR="004300E2" w:rsidRPr="00FF19F7" w:rsidRDefault="004300E2" w:rsidP="004300E2">
            <w:pPr>
              <w:spacing w:line="226" w:lineRule="exact"/>
              <w:jc w:val="center"/>
              <w:rPr>
                <w:lang w:val="it-IT"/>
              </w:rPr>
            </w:pPr>
          </w:p>
        </w:tc>
      </w:tr>
      <w:tr w:rsidR="0066483E" w:rsidRPr="008129DA" w:rsidTr="00940A6F">
        <w:trPr>
          <w:cantSplit/>
          <w:trHeight w:val="20"/>
        </w:trPr>
        <w:tc>
          <w:tcPr>
            <w:tcW w:w="567" w:type="dxa"/>
          </w:tcPr>
          <w:p w:rsidR="0066483E" w:rsidRPr="008A0F36" w:rsidRDefault="0066483E" w:rsidP="004300E2">
            <w:pPr>
              <w:pStyle w:val="Numeroelenco"/>
              <w:spacing w:line="226" w:lineRule="exact"/>
              <w:ind w:left="0" w:firstLine="57"/>
              <w:rPr>
                <w:lang w:val="it-IT"/>
              </w:rPr>
            </w:pPr>
          </w:p>
        </w:tc>
        <w:tc>
          <w:tcPr>
            <w:tcW w:w="851" w:type="dxa"/>
            <w:tcMar>
              <w:left w:w="108" w:type="dxa"/>
              <w:right w:w="0" w:type="dxa"/>
            </w:tcMar>
          </w:tcPr>
          <w:p w:rsidR="0066483E" w:rsidRPr="008A0F36" w:rsidRDefault="0066483E" w:rsidP="004300E2">
            <w:pPr>
              <w:pStyle w:val="IAS"/>
              <w:spacing w:line="226" w:lineRule="exact"/>
              <w:rPr>
                <w:lang w:val="it-IT"/>
              </w:rPr>
            </w:pPr>
            <w:r w:rsidRPr="008A0F36">
              <w:rPr>
                <w:lang w:val="it-IT"/>
              </w:rPr>
              <w:t>IAS 7.45</w:t>
            </w:r>
          </w:p>
        </w:tc>
        <w:tc>
          <w:tcPr>
            <w:tcW w:w="7079" w:type="dxa"/>
            <w:tcMar>
              <w:left w:w="108" w:type="dxa"/>
            </w:tcMar>
          </w:tcPr>
          <w:p w:rsidR="0066483E" w:rsidRPr="008A0F36" w:rsidRDefault="0066483E" w:rsidP="00FD41D8">
            <w:pPr>
              <w:spacing w:line="226" w:lineRule="exact"/>
              <w:rPr>
                <w:lang w:val="it-IT"/>
              </w:rPr>
            </w:pPr>
            <w:r w:rsidRPr="008A0F36">
              <w:rPr>
                <w:rFonts w:eastAsia="Arial Unicode MS"/>
                <w:lang w:val="it-IT"/>
              </w:rPr>
              <w:t>L’entità ha indicato le componenti delle disponibilità liquide e dei mezzi equivalenti.</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Borders>
              <w:bottom w:val="single" w:sz="2" w:space="0" w:color="auto"/>
            </w:tcBorders>
          </w:tcPr>
          <w:p w:rsidR="0066483E" w:rsidRPr="008A0F36" w:rsidRDefault="0066483E" w:rsidP="004300E2">
            <w:pPr>
              <w:pStyle w:val="Numeroelenco"/>
              <w:spacing w:line="226" w:lineRule="exact"/>
              <w:ind w:left="0" w:firstLine="57"/>
              <w:rPr>
                <w:lang w:val="it-IT"/>
              </w:rPr>
            </w:pPr>
          </w:p>
        </w:tc>
        <w:tc>
          <w:tcPr>
            <w:tcW w:w="851" w:type="dxa"/>
            <w:tcBorders>
              <w:bottom w:val="single" w:sz="2" w:space="0" w:color="auto"/>
            </w:tcBorders>
            <w:tcMar>
              <w:left w:w="108" w:type="dxa"/>
              <w:right w:w="0" w:type="dxa"/>
            </w:tcMar>
          </w:tcPr>
          <w:p w:rsidR="0066483E" w:rsidRPr="008A0F36" w:rsidRDefault="0066483E" w:rsidP="004300E2">
            <w:pPr>
              <w:pStyle w:val="IAS"/>
              <w:spacing w:line="226" w:lineRule="exact"/>
              <w:rPr>
                <w:lang w:val="it-IT"/>
              </w:rPr>
            </w:pPr>
            <w:r w:rsidRPr="008A0F36">
              <w:rPr>
                <w:lang w:val="it-IT"/>
              </w:rPr>
              <w:t>IAS 7.46</w:t>
            </w:r>
          </w:p>
        </w:tc>
        <w:tc>
          <w:tcPr>
            <w:tcW w:w="7079" w:type="dxa"/>
            <w:tcBorders>
              <w:bottom w:val="single" w:sz="2" w:space="0" w:color="auto"/>
            </w:tcBorders>
            <w:tcMar>
              <w:left w:w="108" w:type="dxa"/>
            </w:tcMar>
          </w:tcPr>
          <w:p w:rsidR="0066483E" w:rsidRPr="008A0F36" w:rsidRDefault="0066483E" w:rsidP="00923DEA">
            <w:pPr>
              <w:spacing w:line="224" w:lineRule="exact"/>
              <w:rPr>
                <w:lang w:val="it-IT"/>
              </w:rPr>
            </w:pPr>
            <w:r w:rsidRPr="008A0F36">
              <w:rPr>
                <w:rFonts w:eastAsia="Arial Unicode MS"/>
                <w:lang w:val="it-IT"/>
              </w:rPr>
              <w:t>L’entità ha indicato i criteri utilizzati nel determinare la composizione delle disponibilità liquide e dei mezzi equivalenti.</w:t>
            </w:r>
          </w:p>
        </w:tc>
        <w:tc>
          <w:tcPr>
            <w:tcW w:w="575" w:type="dxa"/>
            <w:tcBorders>
              <w:bottom w:val="single" w:sz="2" w:space="0" w:color="auto"/>
            </w:tcBorders>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Borders>
              <w:bottom w:val="single" w:sz="2" w:space="0" w:color="auto"/>
            </w:tcBorders>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Borders>
              <w:bottom w:val="single" w:sz="2" w:space="0" w:color="auto"/>
            </w:tcBorders>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Borders>
              <w:bottom w:val="nil"/>
            </w:tcBorders>
          </w:tcPr>
          <w:p w:rsidR="0066483E" w:rsidRPr="008A0F36" w:rsidRDefault="0066483E" w:rsidP="004300E2">
            <w:pPr>
              <w:pStyle w:val="Numeroelenco"/>
              <w:spacing w:line="226" w:lineRule="exact"/>
              <w:ind w:left="0" w:firstLine="57"/>
              <w:rPr>
                <w:lang w:val="it-IT"/>
              </w:rPr>
            </w:pPr>
          </w:p>
        </w:tc>
        <w:tc>
          <w:tcPr>
            <w:tcW w:w="851" w:type="dxa"/>
            <w:tcBorders>
              <w:bottom w:val="nil"/>
            </w:tcBorders>
            <w:tcMar>
              <w:left w:w="108" w:type="dxa"/>
              <w:right w:w="0" w:type="dxa"/>
            </w:tcMar>
          </w:tcPr>
          <w:p w:rsidR="0066483E" w:rsidRPr="008A0F36" w:rsidRDefault="0066483E" w:rsidP="004300E2">
            <w:pPr>
              <w:pStyle w:val="IAS"/>
              <w:spacing w:line="226" w:lineRule="exact"/>
              <w:rPr>
                <w:lang w:val="it-IT"/>
              </w:rPr>
            </w:pPr>
            <w:r w:rsidRPr="008A0F36">
              <w:rPr>
                <w:lang w:val="it-IT"/>
              </w:rPr>
              <w:t>IAS 7.45</w:t>
            </w:r>
          </w:p>
        </w:tc>
        <w:tc>
          <w:tcPr>
            <w:tcW w:w="7079" w:type="dxa"/>
            <w:tcBorders>
              <w:bottom w:val="nil"/>
            </w:tcBorders>
            <w:tcMar>
              <w:left w:w="108" w:type="dxa"/>
            </w:tcMar>
          </w:tcPr>
          <w:p w:rsidR="0066483E" w:rsidRPr="008A0F36" w:rsidRDefault="0066483E" w:rsidP="00923DEA">
            <w:pPr>
              <w:spacing w:line="224" w:lineRule="exact"/>
              <w:rPr>
                <w:lang w:val="it-IT"/>
              </w:rPr>
            </w:pPr>
            <w:r w:rsidRPr="008A0F36">
              <w:rPr>
                <w:rFonts w:eastAsia="Arial Unicode MS"/>
                <w:lang w:val="it-IT"/>
              </w:rPr>
              <w:t xml:space="preserve">L’entità ha fornito </w:t>
            </w:r>
            <w:r w:rsidRPr="008A0F36">
              <w:rPr>
                <w:lang w:val="it-IT"/>
              </w:rPr>
              <w:t xml:space="preserve">una riconciliazione dei valori delle </w:t>
            </w:r>
            <w:r w:rsidRPr="008A0F36">
              <w:rPr>
                <w:rFonts w:eastAsia="Arial Unicode MS"/>
                <w:lang w:val="it-IT"/>
              </w:rPr>
              <w:t>disponibilità liquide e dei mezzi equivalenti</w:t>
            </w:r>
            <w:r w:rsidRPr="008A0F36">
              <w:rPr>
                <w:lang w:val="it-IT"/>
              </w:rPr>
              <w:t xml:space="preserve"> nel rendiconto finanziario con le voci equivalenti esposte nel prospetto della situazione patrimoniale-finanziaria</w:t>
            </w:r>
            <w:r>
              <w:rPr>
                <w:lang w:val="it-IT"/>
              </w:rPr>
              <w:t>.</w:t>
            </w:r>
          </w:p>
        </w:tc>
        <w:tc>
          <w:tcPr>
            <w:tcW w:w="575" w:type="dxa"/>
            <w:tcBorders>
              <w:bottom w:val="nil"/>
            </w:tcBorders>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Borders>
              <w:bottom w:val="nil"/>
            </w:tcBorders>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Borders>
              <w:bottom w:val="nil"/>
            </w:tcBorders>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vAlign w:val="center"/>
          </w:tcPr>
          <w:p w:rsidR="004300E2" w:rsidRPr="008A0F36" w:rsidRDefault="004300E2" w:rsidP="004300E2">
            <w:pPr>
              <w:spacing w:line="226" w:lineRule="exact"/>
              <w:ind w:firstLine="57"/>
              <w:jc w:val="left"/>
              <w:rPr>
                <w:lang w:val="it-IT"/>
              </w:rPr>
            </w:pPr>
          </w:p>
        </w:tc>
        <w:tc>
          <w:tcPr>
            <w:tcW w:w="851" w:type="dxa"/>
            <w:tcMar>
              <w:left w:w="108" w:type="dxa"/>
              <w:right w:w="0" w:type="dxa"/>
            </w:tcMar>
            <w:vAlign w:val="center"/>
          </w:tcPr>
          <w:p w:rsidR="004300E2" w:rsidRPr="008A0F36" w:rsidRDefault="004300E2" w:rsidP="004300E2">
            <w:pPr>
              <w:pStyle w:val="IAS"/>
              <w:spacing w:line="226" w:lineRule="exact"/>
              <w:jc w:val="left"/>
              <w:rPr>
                <w:lang w:val="it-IT"/>
              </w:rPr>
            </w:pPr>
          </w:p>
        </w:tc>
        <w:tc>
          <w:tcPr>
            <w:tcW w:w="7079" w:type="dxa"/>
            <w:tcMar>
              <w:left w:w="108" w:type="dxa"/>
            </w:tcMar>
            <w:vAlign w:val="center"/>
          </w:tcPr>
          <w:p w:rsidR="004300E2" w:rsidRPr="008A0F36" w:rsidRDefault="004300E2" w:rsidP="00FD41D8">
            <w:pPr>
              <w:pStyle w:val="Titolo2"/>
              <w:spacing w:line="226" w:lineRule="exact"/>
              <w:rPr>
                <w:lang w:val="it-IT"/>
              </w:rPr>
            </w:pPr>
            <w:r w:rsidRPr="008A0F36">
              <w:rPr>
                <w:lang w:val="it-IT"/>
              </w:rPr>
              <w:t>Acquisizioni/cessioni di controllate e rami/divisioni aziendali</w:t>
            </w:r>
          </w:p>
        </w:tc>
        <w:tc>
          <w:tcPr>
            <w:tcW w:w="575" w:type="dxa"/>
            <w:tcMar>
              <w:left w:w="85" w:type="dxa"/>
              <w:right w:w="85" w:type="dxa"/>
            </w:tcMar>
            <w:vAlign w:val="center"/>
          </w:tcPr>
          <w:p w:rsidR="004300E2" w:rsidRPr="008A0F36" w:rsidRDefault="004300E2" w:rsidP="004300E2">
            <w:pPr>
              <w:spacing w:line="226" w:lineRule="exact"/>
              <w:jc w:val="left"/>
              <w:rPr>
                <w:lang w:val="it-IT"/>
              </w:rPr>
            </w:pPr>
          </w:p>
        </w:tc>
        <w:tc>
          <w:tcPr>
            <w:tcW w:w="567" w:type="dxa"/>
            <w:tcMar>
              <w:left w:w="108" w:type="dxa"/>
            </w:tcMar>
            <w:vAlign w:val="center"/>
          </w:tcPr>
          <w:p w:rsidR="004300E2" w:rsidRPr="008A0F36" w:rsidRDefault="004300E2" w:rsidP="004300E2">
            <w:pPr>
              <w:spacing w:line="226" w:lineRule="exact"/>
              <w:jc w:val="left"/>
              <w:rPr>
                <w:lang w:val="it-IT"/>
              </w:rPr>
            </w:pPr>
          </w:p>
        </w:tc>
        <w:tc>
          <w:tcPr>
            <w:tcW w:w="567" w:type="dxa"/>
            <w:tcMar>
              <w:left w:w="108" w:type="dxa"/>
            </w:tcMar>
            <w:vAlign w:val="center"/>
          </w:tcPr>
          <w:p w:rsidR="004300E2" w:rsidRPr="008A0F36" w:rsidRDefault="004300E2" w:rsidP="004300E2">
            <w:pPr>
              <w:spacing w:line="226" w:lineRule="exact"/>
              <w:jc w:val="left"/>
              <w:rPr>
                <w:lang w:val="it-IT"/>
              </w:rPr>
            </w:pPr>
          </w:p>
        </w:tc>
      </w:tr>
      <w:tr w:rsidR="0066483E" w:rsidRPr="008129DA" w:rsidTr="00940A6F">
        <w:trPr>
          <w:cantSplit/>
          <w:trHeight w:val="20"/>
        </w:trPr>
        <w:tc>
          <w:tcPr>
            <w:tcW w:w="567" w:type="dxa"/>
          </w:tcPr>
          <w:p w:rsidR="0066483E" w:rsidRPr="008A0F36" w:rsidRDefault="0066483E" w:rsidP="004300E2">
            <w:pPr>
              <w:pStyle w:val="Numeroelenco"/>
              <w:spacing w:line="226" w:lineRule="exact"/>
              <w:ind w:left="0" w:firstLine="57"/>
              <w:rPr>
                <w:lang w:val="it-IT"/>
              </w:rPr>
            </w:pPr>
          </w:p>
        </w:tc>
        <w:tc>
          <w:tcPr>
            <w:tcW w:w="851" w:type="dxa"/>
            <w:tcMar>
              <w:left w:w="108" w:type="dxa"/>
              <w:right w:w="0" w:type="dxa"/>
            </w:tcMar>
          </w:tcPr>
          <w:p w:rsidR="0066483E" w:rsidRPr="008A0F36" w:rsidRDefault="0066483E" w:rsidP="004300E2">
            <w:pPr>
              <w:pStyle w:val="IAS"/>
              <w:spacing w:line="226" w:lineRule="exact"/>
              <w:rPr>
                <w:lang w:val="it-IT"/>
              </w:rPr>
            </w:pPr>
            <w:r w:rsidRPr="008A0F36">
              <w:rPr>
                <w:lang w:val="it-IT"/>
              </w:rPr>
              <w:t>IAS 7.39</w:t>
            </w:r>
          </w:p>
        </w:tc>
        <w:tc>
          <w:tcPr>
            <w:tcW w:w="7079" w:type="dxa"/>
            <w:tcMar>
              <w:left w:w="108" w:type="dxa"/>
            </w:tcMar>
          </w:tcPr>
          <w:p w:rsidR="0066483E" w:rsidRPr="008A0F36" w:rsidRDefault="0066483E" w:rsidP="00923DEA">
            <w:pPr>
              <w:spacing w:line="226" w:lineRule="exact"/>
              <w:rPr>
                <w:rFonts w:eastAsia="Arial Unicode MS"/>
                <w:lang w:val="it-IT"/>
              </w:rPr>
            </w:pPr>
            <w:r w:rsidRPr="008A0F36">
              <w:rPr>
                <w:rFonts w:eastAsia="Arial Unicode MS"/>
                <w:lang w:val="it-IT"/>
              </w:rPr>
              <w:t>I flussi finanziari complessivi derivanti dall’acquisizione/cessione di controllate o di rami/divisioni aziendali sono stati presentati distintamente e classificati come attività di investimento nel rendiconto finanziario</w:t>
            </w:r>
            <w:r>
              <w:rPr>
                <w:rFonts w:eastAsia="Arial Unicode MS"/>
                <w:lang w:val="it-IT"/>
              </w:rPr>
              <w:t>.</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Pr="008A0F36" w:rsidRDefault="004300E2" w:rsidP="009E34AB">
            <w:pPr>
              <w:pStyle w:val="Numeroelenco"/>
              <w:spacing w:line="226" w:lineRule="exact"/>
              <w:ind w:left="0" w:firstLine="57"/>
              <w:rPr>
                <w:lang w:val="it-IT"/>
              </w:rPr>
            </w:pPr>
          </w:p>
        </w:tc>
        <w:tc>
          <w:tcPr>
            <w:tcW w:w="851" w:type="dxa"/>
            <w:tcMar>
              <w:left w:w="108" w:type="dxa"/>
              <w:right w:w="0" w:type="dxa"/>
            </w:tcMar>
          </w:tcPr>
          <w:p w:rsidR="004300E2" w:rsidRPr="008A0F36" w:rsidRDefault="004300E2" w:rsidP="009E34AB">
            <w:pPr>
              <w:pStyle w:val="IAS"/>
              <w:spacing w:line="226" w:lineRule="exact"/>
              <w:rPr>
                <w:lang w:val="it-IT"/>
              </w:rPr>
            </w:pPr>
            <w:r w:rsidRPr="008A0F36">
              <w:rPr>
                <w:lang w:val="it-IT"/>
              </w:rPr>
              <w:t>IAS 7.40</w:t>
            </w:r>
          </w:p>
        </w:tc>
        <w:tc>
          <w:tcPr>
            <w:tcW w:w="7079" w:type="dxa"/>
            <w:tcMar>
              <w:left w:w="108" w:type="dxa"/>
            </w:tcMar>
          </w:tcPr>
          <w:p w:rsidR="004300E2" w:rsidRPr="008A0F36" w:rsidRDefault="004300E2" w:rsidP="00923DEA">
            <w:pPr>
              <w:spacing w:line="226" w:lineRule="exact"/>
              <w:rPr>
                <w:lang w:val="it-IT"/>
              </w:rPr>
            </w:pPr>
            <w:r w:rsidRPr="008A0F36">
              <w:rPr>
                <w:rFonts w:eastAsia="Arial Unicode MS"/>
                <w:lang w:val="it-IT"/>
              </w:rPr>
              <w:t>Con riferimento alle acquisizioni/cessioni di controllate o di altri rami/divisioni aziendali avvenute nel corso dell’esercizio, sono state indicate le seguenti informazioni:</w:t>
            </w:r>
          </w:p>
        </w:tc>
        <w:tc>
          <w:tcPr>
            <w:tcW w:w="575" w:type="dxa"/>
            <w:tcMar>
              <w:left w:w="85" w:type="dxa"/>
              <w:right w:w="85" w:type="dxa"/>
            </w:tcMar>
            <w:vAlign w:val="center"/>
          </w:tcPr>
          <w:p w:rsidR="004300E2" w:rsidRPr="00FF19F7" w:rsidRDefault="004300E2" w:rsidP="009E34AB">
            <w:pPr>
              <w:spacing w:line="226" w:lineRule="exact"/>
              <w:jc w:val="center"/>
              <w:rPr>
                <w:lang w:val="it-IT"/>
              </w:rPr>
            </w:pPr>
          </w:p>
        </w:tc>
        <w:tc>
          <w:tcPr>
            <w:tcW w:w="567" w:type="dxa"/>
            <w:tcMar>
              <w:left w:w="108" w:type="dxa"/>
            </w:tcMar>
            <w:vAlign w:val="center"/>
          </w:tcPr>
          <w:p w:rsidR="004300E2" w:rsidRPr="00FF19F7" w:rsidRDefault="004300E2" w:rsidP="009E34AB">
            <w:pPr>
              <w:spacing w:line="226" w:lineRule="exact"/>
              <w:jc w:val="center"/>
              <w:rPr>
                <w:lang w:val="it-IT"/>
              </w:rPr>
            </w:pPr>
          </w:p>
        </w:tc>
        <w:tc>
          <w:tcPr>
            <w:tcW w:w="567" w:type="dxa"/>
            <w:tcMar>
              <w:left w:w="108" w:type="dxa"/>
            </w:tcMar>
            <w:vAlign w:val="center"/>
          </w:tcPr>
          <w:p w:rsidR="004300E2" w:rsidRPr="00FF19F7" w:rsidRDefault="004300E2" w:rsidP="009E34AB">
            <w:pPr>
              <w:spacing w:line="226" w:lineRule="exact"/>
              <w:jc w:val="center"/>
              <w:rPr>
                <w:lang w:val="it-IT"/>
              </w:rPr>
            </w:pPr>
          </w:p>
        </w:tc>
      </w:tr>
      <w:tr w:rsidR="0066483E" w:rsidRPr="008129DA" w:rsidTr="00940A6F">
        <w:trPr>
          <w:cantSplit/>
          <w:trHeight w:val="20"/>
        </w:trPr>
        <w:tc>
          <w:tcPr>
            <w:tcW w:w="567" w:type="dxa"/>
          </w:tcPr>
          <w:p w:rsidR="0066483E" w:rsidRPr="008A0F36" w:rsidRDefault="0066483E" w:rsidP="004300E2">
            <w:pPr>
              <w:spacing w:line="224" w:lineRule="exact"/>
              <w:ind w:firstLine="57"/>
              <w:rPr>
                <w:lang w:val="it-IT"/>
              </w:rPr>
            </w:pPr>
          </w:p>
        </w:tc>
        <w:tc>
          <w:tcPr>
            <w:tcW w:w="851" w:type="dxa"/>
            <w:tcMar>
              <w:left w:w="108" w:type="dxa"/>
              <w:right w:w="0" w:type="dxa"/>
            </w:tcMar>
          </w:tcPr>
          <w:p w:rsidR="0066483E" w:rsidRPr="008A0F36" w:rsidRDefault="0066483E" w:rsidP="004300E2">
            <w:pPr>
              <w:pStyle w:val="IAS"/>
              <w:spacing w:before="20" w:line="224" w:lineRule="exact"/>
              <w:rPr>
                <w:lang w:val="it-IT"/>
              </w:rPr>
            </w:pPr>
          </w:p>
        </w:tc>
        <w:tc>
          <w:tcPr>
            <w:tcW w:w="7079" w:type="dxa"/>
            <w:tcMar>
              <w:left w:w="108" w:type="dxa"/>
            </w:tcMar>
          </w:tcPr>
          <w:p w:rsidR="0066483E" w:rsidRPr="008A0F36" w:rsidRDefault="0066483E" w:rsidP="00923DEA">
            <w:pPr>
              <w:pStyle w:val="Rientroa"/>
              <w:numPr>
                <w:ilvl w:val="0"/>
                <w:numId w:val="27"/>
              </w:numPr>
              <w:spacing w:line="226" w:lineRule="exact"/>
              <w:rPr>
                <w:iCs/>
              </w:rPr>
            </w:pPr>
            <w:r w:rsidRPr="008A0F36">
              <w:rPr>
                <w:rFonts w:eastAsia="Arial Unicode MS"/>
              </w:rPr>
              <w:t>il corrispettivo totale di acquisto/dismissione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spacing w:line="224" w:lineRule="exact"/>
              <w:ind w:firstLine="57"/>
              <w:rPr>
                <w:lang w:val="it-IT"/>
              </w:rPr>
            </w:pPr>
          </w:p>
        </w:tc>
        <w:tc>
          <w:tcPr>
            <w:tcW w:w="851" w:type="dxa"/>
            <w:tcMar>
              <w:left w:w="108" w:type="dxa"/>
              <w:right w:w="0" w:type="dxa"/>
            </w:tcMar>
          </w:tcPr>
          <w:p w:rsidR="0066483E" w:rsidRPr="008A0F36" w:rsidRDefault="0066483E" w:rsidP="004300E2">
            <w:pPr>
              <w:pStyle w:val="IAS"/>
              <w:spacing w:before="20" w:line="224" w:lineRule="exact"/>
              <w:rPr>
                <w:lang w:val="it-IT"/>
              </w:rPr>
            </w:pPr>
          </w:p>
        </w:tc>
        <w:tc>
          <w:tcPr>
            <w:tcW w:w="7079" w:type="dxa"/>
            <w:tcMar>
              <w:left w:w="108" w:type="dxa"/>
            </w:tcMar>
          </w:tcPr>
          <w:p w:rsidR="0066483E" w:rsidRPr="008A0F36" w:rsidRDefault="0066483E" w:rsidP="00923DEA">
            <w:pPr>
              <w:pStyle w:val="Rientroa"/>
              <w:spacing w:line="226" w:lineRule="exact"/>
            </w:pPr>
            <w:r w:rsidRPr="008A0F36">
              <w:rPr>
                <w:rFonts w:eastAsia="Arial Unicode MS"/>
              </w:rPr>
              <w:t>la parte dei corrispettivi di acquisto/dismissione saldata con disponibilità liquide o mezzi equivalenti</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spacing w:line="224" w:lineRule="exact"/>
              <w:ind w:firstLine="57"/>
              <w:rPr>
                <w:lang w:val="it-IT"/>
              </w:rPr>
            </w:pPr>
          </w:p>
        </w:tc>
        <w:tc>
          <w:tcPr>
            <w:tcW w:w="851" w:type="dxa"/>
            <w:tcMar>
              <w:left w:w="108" w:type="dxa"/>
              <w:right w:w="0" w:type="dxa"/>
            </w:tcMar>
          </w:tcPr>
          <w:p w:rsidR="0066483E" w:rsidRPr="008A0F36" w:rsidRDefault="0066483E" w:rsidP="004300E2">
            <w:pPr>
              <w:pStyle w:val="IAS"/>
              <w:spacing w:before="20" w:line="224" w:lineRule="exact"/>
              <w:rPr>
                <w:lang w:val="it-IT"/>
              </w:rPr>
            </w:pPr>
          </w:p>
        </w:tc>
        <w:tc>
          <w:tcPr>
            <w:tcW w:w="7079" w:type="dxa"/>
            <w:tcMar>
              <w:left w:w="108" w:type="dxa"/>
            </w:tcMar>
          </w:tcPr>
          <w:p w:rsidR="0066483E" w:rsidRPr="008A0F36" w:rsidRDefault="0066483E" w:rsidP="00923DEA">
            <w:pPr>
              <w:pStyle w:val="Rientroa"/>
              <w:spacing w:line="226" w:lineRule="exact"/>
            </w:pPr>
            <w:r w:rsidRPr="008A0F36">
              <w:rPr>
                <w:rFonts w:eastAsia="Arial Unicode MS"/>
              </w:rPr>
              <w:t>il valore delle disponibilità liquide e dei mezzi equivalenti della controllata o della divisione aziendale acquistata/ceduta; e</w:t>
            </w:r>
            <w:r w:rsidRPr="008A0F36">
              <w:t xml:space="preserve"> </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Pr="008A0F36" w:rsidRDefault="004300E2" w:rsidP="004300E2">
            <w:pPr>
              <w:spacing w:line="224" w:lineRule="exact"/>
              <w:ind w:firstLine="57"/>
              <w:rPr>
                <w:lang w:val="it-IT"/>
              </w:rPr>
            </w:pPr>
          </w:p>
        </w:tc>
        <w:tc>
          <w:tcPr>
            <w:tcW w:w="851" w:type="dxa"/>
            <w:tcMar>
              <w:left w:w="108" w:type="dxa"/>
              <w:right w:w="0" w:type="dxa"/>
            </w:tcMar>
          </w:tcPr>
          <w:p w:rsidR="004300E2" w:rsidRPr="008A0F36" w:rsidRDefault="004300E2" w:rsidP="004300E2">
            <w:pPr>
              <w:pStyle w:val="IAS"/>
              <w:spacing w:before="20" w:line="224" w:lineRule="exact"/>
              <w:rPr>
                <w:lang w:val="it-IT"/>
              </w:rPr>
            </w:pPr>
          </w:p>
        </w:tc>
        <w:tc>
          <w:tcPr>
            <w:tcW w:w="7079" w:type="dxa"/>
            <w:tcMar>
              <w:left w:w="108" w:type="dxa"/>
            </w:tcMar>
          </w:tcPr>
          <w:p w:rsidR="004300E2" w:rsidRPr="0012469E" w:rsidRDefault="004300E2" w:rsidP="00923DEA">
            <w:pPr>
              <w:pStyle w:val="Rientroa"/>
              <w:spacing w:line="226" w:lineRule="exact"/>
            </w:pPr>
            <w:r w:rsidRPr="002B6200">
              <w:rPr>
                <w:rFonts w:eastAsia="Arial Unicode MS"/>
              </w:rPr>
              <w:t>l’ammontare complessivo delle attività e delle passività diverse dalle disponibilità liquide o equivalenti della controllata o della divisione operativa acquistata/ceduta, per ognuna delle principali categorie.</w:t>
            </w:r>
            <w:r w:rsidRPr="00497D32">
              <w:t xml:space="preserve"> </w:t>
            </w:r>
          </w:p>
        </w:tc>
        <w:tc>
          <w:tcPr>
            <w:tcW w:w="575" w:type="dxa"/>
            <w:tcMar>
              <w:left w:w="85" w:type="dxa"/>
              <w:right w:w="85"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r>
      <w:tr w:rsidR="004300E2" w:rsidRPr="00A44ECD" w:rsidTr="00940A6F">
        <w:trPr>
          <w:cantSplit/>
          <w:trHeight w:val="20"/>
        </w:trPr>
        <w:tc>
          <w:tcPr>
            <w:tcW w:w="567" w:type="dxa"/>
          </w:tcPr>
          <w:p w:rsidR="004300E2" w:rsidRPr="008A0F36" w:rsidRDefault="004300E2" w:rsidP="004300E2">
            <w:pPr>
              <w:spacing w:line="224" w:lineRule="exact"/>
              <w:ind w:firstLine="57"/>
              <w:rPr>
                <w:lang w:val="it-IT"/>
              </w:rPr>
            </w:pPr>
          </w:p>
        </w:tc>
        <w:tc>
          <w:tcPr>
            <w:tcW w:w="851" w:type="dxa"/>
            <w:tcMar>
              <w:left w:w="108" w:type="dxa"/>
              <w:right w:w="0" w:type="dxa"/>
            </w:tcMar>
          </w:tcPr>
          <w:p w:rsidR="004300E2" w:rsidRPr="008A0F36" w:rsidRDefault="004300E2" w:rsidP="004300E2">
            <w:pPr>
              <w:pStyle w:val="IAS"/>
              <w:spacing w:before="20" w:line="224" w:lineRule="exact"/>
              <w:rPr>
                <w:lang w:val="it-IT"/>
              </w:rPr>
            </w:pPr>
            <w:r>
              <w:rPr>
                <w:lang w:val="it-IT"/>
              </w:rPr>
              <w:t>IAS 7.40A</w:t>
            </w:r>
          </w:p>
        </w:tc>
        <w:tc>
          <w:tcPr>
            <w:tcW w:w="7079" w:type="dxa"/>
            <w:shd w:val="pct10" w:color="auto" w:fill="auto"/>
            <w:tcMar>
              <w:left w:w="108" w:type="dxa"/>
            </w:tcMar>
          </w:tcPr>
          <w:p w:rsidR="004300E2" w:rsidRPr="00923DEA" w:rsidRDefault="004300E2" w:rsidP="00923DEA">
            <w:pPr>
              <w:pStyle w:val="Paragarfobordato"/>
            </w:pPr>
            <w:r w:rsidRPr="00923DEA">
              <w:rPr>
                <w:rStyle w:val="Enfasicorsivo"/>
                <w:i w:val="0"/>
                <w:iCs/>
              </w:rPr>
              <w:t>Se l’entità rientra nella qualifica di “entità di investimento” (vedi punti 1</w:t>
            </w:r>
            <w:r w:rsidR="00390734" w:rsidRPr="00923DEA">
              <w:rPr>
                <w:rStyle w:val="Enfasicorsivo"/>
                <w:i w:val="0"/>
                <w:iCs/>
              </w:rPr>
              <w:t>79</w:t>
            </w:r>
            <w:r w:rsidRPr="00923DEA">
              <w:rPr>
                <w:rStyle w:val="Enfasicorsivo"/>
                <w:i w:val="0"/>
                <w:iCs/>
              </w:rPr>
              <w:t>-19</w:t>
            </w:r>
            <w:r w:rsidR="00390734" w:rsidRPr="00923DEA">
              <w:rPr>
                <w:rStyle w:val="Enfasicorsivo"/>
                <w:i w:val="0"/>
                <w:iCs/>
              </w:rPr>
              <w:t>1</w:t>
            </w:r>
            <w:r w:rsidRPr="00923DEA">
              <w:rPr>
                <w:rStyle w:val="Enfasicorsivo"/>
                <w:i w:val="0"/>
                <w:iCs/>
              </w:rPr>
              <w:t>) non deve fornire le informazioni integrative richieste dai paragrafi 40(c)–40(d) dello IAS 7 indicate al punto precedente.</w:t>
            </w:r>
          </w:p>
        </w:tc>
        <w:tc>
          <w:tcPr>
            <w:tcW w:w="575" w:type="dxa"/>
            <w:tcMar>
              <w:left w:w="85" w:type="dxa"/>
              <w:right w:w="85" w:type="dxa"/>
            </w:tcMar>
            <w:vAlign w:val="center"/>
          </w:tcPr>
          <w:p w:rsidR="004300E2" w:rsidRPr="00A32A16" w:rsidRDefault="004300E2" w:rsidP="004300E2">
            <w:pPr>
              <w:spacing w:line="224" w:lineRule="exact"/>
              <w:jc w:val="center"/>
              <w:rPr>
                <w:lang w:val="it-IT"/>
              </w:rPr>
            </w:pPr>
          </w:p>
        </w:tc>
        <w:tc>
          <w:tcPr>
            <w:tcW w:w="567" w:type="dxa"/>
            <w:tcMar>
              <w:left w:w="108" w:type="dxa"/>
            </w:tcMar>
            <w:vAlign w:val="center"/>
          </w:tcPr>
          <w:p w:rsidR="004300E2" w:rsidRPr="00A32A16" w:rsidRDefault="004300E2" w:rsidP="004300E2">
            <w:pPr>
              <w:spacing w:line="224" w:lineRule="exact"/>
              <w:jc w:val="center"/>
              <w:rPr>
                <w:lang w:val="it-IT"/>
              </w:rPr>
            </w:pPr>
          </w:p>
        </w:tc>
        <w:tc>
          <w:tcPr>
            <w:tcW w:w="567" w:type="dxa"/>
            <w:tcMar>
              <w:left w:w="108" w:type="dxa"/>
            </w:tcMar>
            <w:vAlign w:val="center"/>
          </w:tcPr>
          <w:p w:rsidR="004300E2" w:rsidRPr="00A32A16" w:rsidRDefault="004300E2" w:rsidP="004300E2">
            <w:pPr>
              <w:spacing w:line="224" w:lineRule="exact"/>
              <w:jc w:val="center"/>
              <w:rPr>
                <w:lang w:val="it-IT"/>
              </w:rPr>
            </w:pPr>
          </w:p>
        </w:tc>
      </w:tr>
      <w:tr w:rsidR="004300E2" w:rsidRPr="00A44ECD" w:rsidTr="00940A6F">
        <w:trPr>
          <w:cantSplit/>
          <w:trHeight w:val="20"/>
        </w:trPr>
        <w:tc>
          <w:tcPr>
            <w:tcW w:w="567" w:type="dxa"/>
            <w:vAlign w:val="center"/>
          </w:tcPr>
          <w:p w:rsidR="004300E2" w:rsidRPr="008A0F36" w:rsidRDefault="004300E2" w:rsidP="00923DEA">
            <w:pPr>
              <w:ind w:firstLine="57"/>
              <w:jc w:val="left"/>
              <w:rPr>
                <w:lang w:val="it-IT"/>
              </w:rPr>
            </w:pPr>
          </w:p>
        </w:tc>
        <w:tc>
          <w:tcPr>
            <w:tcW w:w="851" w:type="dxa"/>
            <w:tcMar>
              <w:left w:w="108" w:type="dxa"/>
              <w:right w:w="0" w:type="dxa"/>
            </w:tcMar>
            <w:vAlign w:val="center"/>
          </w:tcPr>
          <w:p w:rsidR="004300E2" w:rsidRPr="008A0F36" w:rsidRDefault="004300E2" w:rsidP="00923DEA">
            <w:pPr>
              <w:pStyle w:val="IAS"/>
              <w:spacing w:line="226" w:lineRule="exact"/>
              <w:jc w:val="left"/>
              <w:rPr>
                <w:lang w:val="it-IT"/>
              </w:rPr>
            </w:pPr>
          </w:p>
        </w:tc>
        <w:tc>
          <w:tcPr>
            <w:tcW w:w="7079" w:type="dxa"/>
            <w:tcMar>
              <w:left w:w="108" w:type="dxa"/>
            </w:tcMar>
            <w:vAlign w:val="center"/>
          </w:tcPr>
          <w:p w:rsidR="004300E2" w:rsidRPr="008A0F36" w:rsidRDefault="004300E2" w:rsidP="00923DEA">
            <w:pPr>
              <w:pStyle w:val="Titolo2"/>
              <w:keepNext w:val="0"/>
              <w:spacing w:line="226" w:lineRule="exact"/>
              <w:rPr>
                <w:lang w:val="it-IT"/>
              </w:rPr>
            </w:pPr>
            <w:r w:rsidRPr="008A0F36">
              <w:rPr>
                <w:lang w:val="it-IT"/>
              </w:rPr>
              <w:t>Cessioni di controllate e rami/divisioni aziendali</w:t>
            </w:r>
          </w:p>
        </w:tc>
        <w:tc>
          <w:tcPr>
            <w:tcW w:w="575" w:type="dxa"/>
            <w:tcMar>
              <w:left w:w="85" w:type="dxa"/>
              <w:right w:w="85" w:type="dxa"/>
            </w:tcMar>
            <w:vAlign w:val="center"/>
          </w:tcPr>
          <w:p w:rsidR="004300E2" w:rsidRPr="006F1EF4" w:rsidRDefault="004300E2" w:rsidP="00923DEA">
            <w:pPr>
              <w:spacing w:line="226" w:lineRule="exact"/>
              <w:jc w:val="left"/>
              <w:rPr>
                <w:lang w:val="it-IT"/>
              </w:rPr>
            </w:pPr>
          </w:p>
        </w:tc>
        <w:tc>
          <w:tcPr>
            <w:tcW w:w="567" w:type="dxa"/>
            <w:tcMar>
              <w:left w:w="108" w:type="dxa"/>
            </w:tcMar>
            <w:vAlign w:val="center"/>
          </w:tcPr>
          <w:p w:rsidR="004300E2" w:rsidRPr="006F1EF4" w:rsidRDefault="004300E2" w:rsidP="00923DEA">
            <w:pPr>
              <w:spacing w:line="226" w:lineRule="exact"/>
              <w:jc w:val="left"/>
              <w:rPr>
                <w:lang w:val="it-IT"/>
              </w:rPr>
            </w:pPr>
          </w:p>
        </w:tc>
        <w:tc>
          <w:tcPr>
            <w:tcW w:w="567" w:type="dxa"/>
            <w:tcMar>
              <w:left w:w="108" w:type="dxa"/>
            </w:tcMar>
            <w:vAlign w:val="center"/>
          </w:tcPr>
          <w:p w:rsidR="004300E2" w:rsidRPr="006F1EF4" w:rsidRDefault="004300E2" w:rsidP="00923DEA">
            <w:pPr>
              <w:spacing w:line="226" w:lineRule="exact"/>
              <w:jc w:val="left"/>
              <w:rPr>
                <w:lang w:val="it-IT"/>
              </w:rPr>
            </w:pPr>
          </w:p>
        </w:tc>
      </w:tr>
      <w:tr w:rsidR="0066483E" w:rsidRPr="008129DA" w:rsidTr="00940A6F">
        <w:trPr>
          <w:cantSplit/>
          <w:trHeight w:val="20"/>
        </w:trPr>
        <w:tc>
          <w:tcPr>
            <w:tcW w:w="567" w:type="dxa"/>
          </w:tcPr>
          <w:p w:rsidR="0066483E" w:rsidRPr="008A0F36" w:rsidRDefault="0066483E" w:rsidP="004300E2">
            <w:pPr>
              <w:pStyle w:val="Numeroelenco"/>
              <w:ind w:left="0" w:firstLine="57"/>
              <w:rPr>
                <w:lang w:val="it-IT"/>
              </w:rPr>
            </w:pPr>
          </w:p>
        </w:tc>
        <w:tc>
          <w:tcPr>
            <w:tcW w:w="851" w:type="dxa"/>
            <w:tcMar>
              <w:left w:w="108" w:type="dxa"/>
              <w:right w:w="0" w:type="dxa"/>
            </w:tcMar>
          </w:tcPr>
          <w:p w:rsidR="0066483E" w:rsidRPr="008A0F36" w:rsidRDefault="0066483E" w:rsidP="004300E2">
            <w:pPr>
              <w:pStyle w:val="IAS"/>
              <w:spacing w:line="226" w:lineRule="exact"/>
              <w:rPr>
                <w:lang w:val="it-IT"/>
              </w:rPr>
            </w:pPr>
            <w:r w:rsidRPr="008A0F36">
              <w:rPr>
                <w:lang w:val="it-IT"/>
              </w:rPr>
              <w:t>IAS 7.39</w:t>
            </w:r>
          </w:p>
        </w:tc>
        <w:tc>
          <w:tcPr>
            <w:tcW w:w="7079" w:type="dxa"/>
            <w:tcMar>
              <w:left w:w="108" w:type="dxa"/>
            </w:tcMar>
          </w:tcPr>
          <w:p w:rsidR="0066483E" w:rsidRPr="004F522B" w:rsidRDefault="0066483E" w:rsidP="00923DEA">
            <w:pPr>
              <w:spacing w:line="226" w:lineRule="exact"/>
              <w:rPr>
                <w:lang w:val="it-IT"/>
              </w:rPr>
            </w:pPr>
            <w:r w:rsidRPr="004F522B">
              <w:rPr>
                <w:rFonts w:eastAsia="Arial Unicode MS"/>
                <w:lang w:val="it-IT"/>
              </w:rPr>
              <w:t>I flussi finanziari complessivi derivanti dall’ottenimento o dalla perdita del controllo su società controllate o di rami/divisioni aziendali sono stati presentati distintamente e classificati come attività di investimento</w:t>
            </w:r>
            <w:r w:rsidRPr="004F522B">
              <w:rPr>
                <w:lang w:val="it-IT"/>
              </w:rPr>
              <w:t xml:space="preserve"> nel rendiconto finanziario. Le ulteriori informazioni da fornire sono quelle indicate nel precedente punto 9</w:t>
            </w:r>
            <w:r>
              <w:rPr>
                <w:lang w:val="it-IT"/>
              </w:rPr>
              <w:t>5</w:t>
            </w:r>
            <w:r w:rsidRPr="004F522B">
              <w:rPr>
                <w:lang w:val="it-IT"/>
              </w:rPr>
              <w:t>.</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Pr="008A0F36" w:rsidRDefault="0066483E" w:rsidP="004300E2">
            <w:pPr>
              <w:pStyle w:val="Numeroelenco"/>
              <w:ind w:left="0" w:firstLine="57"/>
              <w:rPr>
                <w:lang w:val="it-IT"/>
              </w:rPr>
            </w:pPr>
          </w:p>
        </w:tc>
        <w:tc>
          <w:tcPr>
            <w:tcW w:w="851" w:type="dxa"/>
            <w:tcMar>
              <w:left w:w="108" w:type="dxa"/>
              <w:right w:w="0" w:type="dxa"/>
            </w:tcMar>
          </w:tcPr>
          <w:p w:rsidR="0066483E" w:rsidRPr="008A0F36" w:rsidRDefault="0066483E" w:rsidP="004300E2">
            <w:pPr>
              <w:pStyle w:val="IAS"/>
              <w:spacing w:line="226" w:lineRule="exact"/>
              <w:rPr>
                <w:lang w:val="it-IT"/>
              </w:rPr>
            </w:pPr>
            <w:r w:rsidRPr="008A0F36">
              <w:rPr>
                <w:lang w:val="it-IT"/>
              </w:rPr>
              <w:t xml:space="preserve">IAS 7.42A </w:t>
            </w:r>
          </w:p>
        </w:tc>
        <w:tc>
          <w:tcPr>
            <w:tcW w:w="7079" w:type="dxa"/>
            <w:tcBorders>
              <w:bottom w:val="single" w:sz="2" w:space="0" w:color="auto"/>
            </w:tcBorders>
            <w:tcMar>
              <w:left w:w="108" w:type="dxa"/>
            </w:tcMar>
          </w:tcPr>
          <w:p w:rsidR="0066483E" w:rsidRPr="004F522B" w:rsidRDefault="0066483E" w:rsidP="00923DEA">
            <w:pPr>
              <w:spacing w:line="226" w:lineRule="exact"/>
              <w:rPr>
                <w:lang w:val="it-IT"/>
              </w:rPr>
            </w:pPr>
            <w:r w:rsidRPr="004F522B">
              <w:rPr>
                <w:rFonts w:eastAsia="Arial Unicode MS"/>
                <w:lang w:val="it-IT"/>
              </w:rPr>
              <w:t>I flussi finanziari associati a variazioni delle partecipazioni di controllo che non si sono tradotti nella perdita di controllo, sono stati classificati come attività di finanziamento nel rendiconto finanziario</w:t>
            </w:r>
            <w:r>
              <w:rPr>
                <w:rFonts w:eastAsia="Arial Unicode MS"/>
                <w:lang w:val="it-IT"/>
              </w:rPr>
              <w:t>.</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Del="004F6336" w:rsidTr="00940A6F">
        <w:trPr>
          <w:cantSplit/>
          <w:trHeight w:val="57"/>
        </w:trPr>
        <w:tc>
          <w:tcPr>
            <w:tcW w:w="567" w:type="dxa"/>
            <w:tcMar>
              <w:left w:w="108" w:type="dxa"/>
              <w:right w:w="0" w:type="dxa"/>
            </w:tcMar>
          </w:tcPr>
          <w:p w:rsidR="004300E2" w:rsidRPr="0073175B" w:rsidRDefault="004300E2" w:rsidP="004300E2">
            <w:pPr>
              <w:pStyle w:val="Numeroelenco"/>
              <w:numPr>
                <w:ilvl w:val="0"/>
                <w:numId w:val="0"/>
              </w:numPr>
              <w:ind w:left="284"/>
              <w:rPr>
                <w:lang w:val="it-IT"/>
              </w:rPr>
            </w:pPr>
          </w:p>
        </w:tc>
        <w:tc>
          <w:tcPr>
            <w:tcW w:w="851" w:type="dxa"/>
            <w:tcMar>
              <w:right w:w="0" w:type="dxa"/>
            </w:tcMar>
          </w:tcPr>
          <w:p w:rsidR="004300E2" w:rsidRDefault="004300E2" w:rsidP="004300E2">
            <w:pPr>
              <w:pStyle w:val="IAS"/>
              <w:spacing w:after="40"/>
              <w:rPr>
                <w:sz w:val="12"/>
                <w:szCs w:val="12"/>
                <w:lang w:val="it-IT"/>
              </w:rPr>
            </w:pPr>
            <w:r>
              <w:rPr>
                <w:sz w:val="12"/>
                <w:szCs w:val="12"/>
                <w:lang w:val="it-IT"/>
              </w:rPr>
              <w:t>IAS 7 42.A</w:t>
            </w:r>
          </w:p>
        </w:tc>
        <w:tc>
          <w:tcPr>
            <w:tcW w:w="7079" w:type="dxa"/>
            <w:shd w:val="pct10" w:color="auto" w:fill="auto"/>
          </w:tcPr>
          <w:p w:rsidR="004300E2" w:rsidRPr="00923DEA" w:rsidRDefault="004300E2" w:rsidP="00923DEA">
            <w:pPr>
              <w:pStyle w:val="Paragarfobordato"/>
              <w:rPr>
                <w:rStyle w:val="Enfasicorsivo"/>
                <w:i w:val="0"/>
                <w:iCs/>
              </w:rPr>
            </w:pPr>
            <w:r w:rsidRPr="00923DEA">
              <w:rPr>
                <w:rStyle w:val="Enfasicorsivo"/>
                <w:i w:val="0"/>
                <w:iCs/>
              </w:rPr>
              <w:t>Se l’entità rientra nella qualifica di “entità di investimento” (vedi punti 1</w:t>
            </w:r>
            <w:r w:rsidR="00390734" w:rsidRPr="00923DEA">
              <w:rPr>
                <w:rStyle w:val="Enfasicorsivo"/>
                <w:i w:val="0"/>
                <w:iCs/>
              </w:rPr>
              <w:t>79</w:t>
            </w:r>
            <w:r w:rsidRPr="00923DEA">
              <w:rPr>
                <w:rStyle w:val="Enfasicorsivo"/>
                <w:i w:val="0"/>
                <w:iCs/>
              </w:rPr>
              <w:t>-19</w:t>
            </w:r>
            <w:r w:rsidR="00390734" w:rsidRPr="00923DEA">
              <w:rPr>
                <w:rStyle w:val="Enfasicorsivo"/>
                <w:i w:val="0"/>
                <w:iCs/>
              </w:rPr>
              <w:t>1</w:t>
            </w:r>
            <w:r w:rsidRPr="00923DEA">
              <w:rPr>
                <w:rStyle w:val="Enfasicorsivo"/>
                <w:i w:val="0"/>
                <w:iCs/>
              </w:rPr>
              <w:t>), i flussi finanziari associati a variazioni delle interessenze partecipative in una controllata che non comportano la perdita di controllo non dovranno essere classificati come attività di finanziamento.</w:t>
            </w:r>
          </w:p>
        </w:tc>
        <w:tc>
          <w:tcPr>
            <w:tcW w:w="575" w:type="dxa"/>
            <w:vAlign w:val="center"/>
          </w:tcPr>
          <w:p w:rsidR="004300E2" w:rsidRPr="00090BE7" w:rsidDel="004F6336" w:rsidRDefault="004300E2" w:rsidP="004300E2">
            <w:pPr>
              <w:spacing w:before="40" w:after="40"/>
              <w:jc w:val="center"/>
              <w:rPr>
                <w:lang w:val="it-IT"/>
              </w:rPr>
            </w:pPr>
          </w:p>
        </w:tc>
        <w:tc>
          <w:tcPr>
            <w:tcW w:w="567" w:type="dxa"/>
            <w:vAlign w:val="center"/>
          </w:tcPr>
          <w:p w:rsidR="004300E2" w:rsidRPr="00090BE7" w:rsidDel="004F6336" w:rsidRDefault="004300E2" w:rsidP="004300E2">
            <w:pPr>
              <w:spacing w:before="40" w:after="40"/>
              <w:jc w:val="center"/>
              <w:rPr>
                <w:lang w:val="it-IT"/>
              </w:rPr>
            </w:pPr>
          </w:p>
        </w:tc>
        <w:tc>
          <w:tcPr>
            <w:tcW w:w="567" w:type="dxa"/>
            <w:vAlign w:val="center"/>
          </w:tcPr>
          <w:p w:rsidR="004300E2" w:rsidRPr="00090BE7" w:rsidDel="004F6336" w:rsidRDefault="004300E2" w:rsidP="004300E2">
            <w:pPr>
              <w:spacing w:before="40" w:after="40"/>
              <w:jc w:val="center"/>
              <w:rPr>
                <w:lang w:val="it-IT"/>
              </w:rPr>
            </w:pPr>
          </w:p>
        </w:tc>
      </w:tr>
      <w:tr w:rsidR="004300E2" w:rsidRPr="00A44ECD" w:rsidTr="00940A6F">
        <w:trPr>
          <w:cantSplit/>
          <w:trHeight w:val="20"/>
        </w:trPr>
        <w:tc>
          <w:tcPr>
            <w:tcW w:w="567" w:type="dxa"/>
          </w:tcPr>
          <w:p w:rsidR="004300E2" w:rsidRDefault="004300E2" w:rsidP="004300E2">
            <w:pPr>
              <w:widowControl w:val="0"/>
              <w:rPr>
                <w:lang w:val="it-IT"/>
              </w:rPr>
            </w:pPr>
          </w:p>
        </w:tc>
        <w:tc>
          <w:tcPr>
            <w:tcW w:w="851" w:type="dxa"/>
            <w:tcMar>
              <w:left w:w="108" w:type="dxa"/>
              <w:right w:w="0" w:type="dxa"/>
            </w:tcMar>
          </w:tcPr>
          <w:p w:rsidR="004300E2" w:rsidRDefault="004300E2" w:rsidP="004300E2">
            <w:pPr>
              <w:pStyle w:val="IAS"/>
              <w:widowControl w:val="0"/>
              <w:spacing w:line="226" w:lineRule="exact"/>
              <w:rPr>
                <w:lang w:val="it-IT"/>
              </w:rPr>
            </w:pPr>
          </w:p>
        </w:tc>
        <w:tc>
          <w:tcPr>
            <w:tcW w:w="7079" w:type="dxa"/>
            <w:tcMar>
              <w:left w:w="108" w:type="dxa"/>
            </w:tcMar>
          </w:tcPr>
          <w:p w:rsidR="004300E2" w:rsidRDefault="004300E2" w:rsidP="004300E2">
            <w:pPr>
              <w:pStyle w:val="Titolo2"/>
              <w:keepNext w:val="0"/>
              <w:widowControl w:val="0"/>
              <w:spacing w:line="226" w:lineRule="exact"/>
              <w:rPr>
                <w:lang w:val="it-IT"/>
              </w:rPr>
            </w:pPr>
            <w:r w:rsidRPr="008A0F36">
              <w:rPr>
                <w:lang w:val="it-IT"/>
              </w:rPr>
              <w:t>Altre informazioni sui flussi finanziari</w:t>
            </w:r>
          </w:p>
        </w:tc>
        <w:tc>
          <w:tcPr>
            <w:tcW w:w="575" w:type="dxa"/>
            <w:tcMar>
              <w:left w:w="85" w:type="dxa"/>
              <w:right w:w="85" w:type="dxa"/>
            </w:tcMar>
            <w:vAlign w:val="center"/>
          </w:tcPr>
          <w:p w:rsidR="004300E2" w:rsidRDefault="004300E2" w:rsidP="004300E2">
            <w:pPr>
              <w:widowControl w:val="0"/>
              <w:spacing w:line="226" w:lineRule="exact"/>
              <w:jc w:val="center"/>
              <w:rPr>
                <w:lang w:val="it-IT"/>
              </w:rPr>
            </w:pPr>
          </w:p>
        </w:tc>
        <w:tc>
          <w:tcPr>
            <w:tcW w:w="567" w:type="dxa"/>
            <w:tcMar>
              <w:left w:w="108" w:type="dxa"/>
            </w:tcMar>
            <w:vAlign w:val="center"/>
          </w:tcPr>
          <w:p w:rsidR="004300E2" w:rsidRDefault="004300E2" w:rsidP="004300E2">
            <w:pPr>
              <w:widowControl w:val="0"/>
              <w:spacing w:line="226" w:lineRule="exact"/>
              <w:jc w:val="center"/>
              <w:rPr>
                <w:lang w:val="it-IT"/>
              </w:rPr>
            </w:pPr>
          </w:p>
        </w:tc>
        <w:tc>
          <w:tcPr>
            <w:tcW w:w="567" w:type="dxa"/>
            <w:tcMar>
              <w:left w:w="108" w:type="dxa"/>
            </w:tcMar>
            <w:vAlign w:val="center"/>
          </w:tcPr>
          <w:p w:rsidR="004300E2" w:rsidRDefault="004300E2" w:rsidP="004300E2">
            <w:pPr>
              <w:widowControl w:val="0"/>
              <w:spacing w:line="226" w:lineRule="exact"/>
              <w:jc w:val="center"/>
              <w:rPr>
                <w:lang w:val="it-IT"/>
              </w:rPr>
            </w:pPr>
          </w:p>
        </w:tc>
      </w:tr>
      <w:tr w:rsidR="004300E2" w:rsidRPr="00A44ECD" w:rsidTr="00940A6F">
        <w:trPr>
          <w:cantSplit/>
          <w:trHeight w:val="20"/>
        </w:trPr>
        <w:tc>
          <w:tcPr>
            <w:tcW w:w="567" w:type="dxa"/>
          </w:tcPr>
          <w:p w:rsidR="004300E2" w:rsidRDefault="004300E2" w:rsidP="004300E2">
            <w:pPr>
              <w:widowControl w:val="0"/>
              <w:ind w:firstLine="57"/>
              <w:rPr>
                <w:lang w:val="it-IT"/>
              </w:rPr>
            </w:pPr>
          </w:p>
        </w:tc>
        <w:tc>
          <w:tcPr>
            <w:tcW w:w="851" w:type="dxa"/>
            <w:tcMar>
              <w:left w:w="108" w:type="dxa"/>
              <w:right w:w="0" w:type="dxa"/>
            </w:tcMar>
          </w:tcPr>
          <w:p w:rsidR="004300E2" w:rsidRDefault="004300E2" w:rsidP="004300E2">
            <w:pPr>
              <w:pStyle w:val="IAS"/>
              <w:widowControl w:val="0"/>
              <w:spacing w:line="226" w:lineRule="exact"/>
              <w:rPr>
                <w:lang w:val="it-IT"/>
              </w:rPr>
            </w:pPr>
            <w:r w:rsidRPr="008A0F36">
              <w:rPr>
                <w:lang w:val="it-IT"/>
              </w:rPr>
              <w:t>IFRS 5.33 c)</w:t>
            </w:r>
          </w:p>
        </w:tc>
        <w:tc>
          <w:tcPr>
            <w:tcW w:w="7079" w:type="dxa"/>
            <w:tcMar>
              <w:left w:w="108" w:type="dxa"/>
            </w:tcMar>
          </w:tcPr>
          <w:p w:rsidR="004300E2" w:rsidRDefault="004300E2" w:rsidP="00923DEA">
            <w:pPr>
              <w:pStyle w:val="Paragarfobordato"/>
            </w:pPr>
            <w:r w:rsidRPr="008A0F36">
              <w:t xml:space="preserve">Un’entità deve indicare i flussi netti attribuibili </w:t>
            </w:r>
            <w:r>
              <w:t xml:space="preserve">all’attività </w:t>
            </w:r>
            <w:r w:rsidRPr="008A0F36">
              <w:t xml:space="preserve">operativa, </w:t>
            </w:r>
            <w:r>
              <w:t xml:space="preserve">all’attività di investimento e di finanziarmento </w:t>
            </w:r>
            <w:r w:rsidRPr="008A0F36">
              <w:t xml:space="preserve">dell’attività operativa cessata. L’informativa può essere inclusa nelle note o nei prospetti di bilancio. Tali informazioni non sono richieste nel caso di gruppi in dismissione rappresentati da controllate di recente acquisizione che al momento dell’acquisizione hanno i requisiti per essere classificate come posseduti per la vendita. </w:t>
            </w:r>
          </w:p>
        </w:tc>
        <w:tc>
          <w:tcPr>
            <w:tcW w:w="575" w:type="dxa"/>
            <w:tcMar>
              <w:left w:w="85" w:type="dxa"/>
              <w:right w:w="85" w:type="dxa"/>
            </w:tcMar>
            <w:vAlign w:val="center"/>
          </w:tcPr>
          <w:p w:rsidR="004300E2" w:rsidRDefault="004300E2" w:rsidP="004300E2">
            <w:pPr>
              <w:widowControl w:val="0"/>
              <w:spacing w:line="226" w:lineRule="exact"/>
              <w:jc w:val="center"/>
              <w:rPr>
                <w:lang w:val="it-IT"/>
              </w:rPr>
            </w:pPr>
          </w:p>
        </w:tc>
        <w:tc>
          <w:tcPr>
            <w:tcW w:w="567" w:type="dxa"/>
            <w:tcMar>
              <w:left w:w="108" w:type="dxa"/>
            </w:tcMar>
            <w:vAlign w:val="center"/>
          </w:tcPr>
          <w:p w:rsidR="004300E2" w:rsidRDefault="004300E2" w:rsidP="004300E2">
            <w:pPr>
              <w:widowControl w:val="0"/>
              <w:spacing w:line="226" w:lineRule="exact"/>
              <w:jc w:val="center"/>
              <w:rPr>
                <w:lang w:val="it-IT"/>
              </w:rPr>
            </w:pPr>
          </w:p>
        </w:tc>
        <w:tc>
          <w:tcPr>
            <w:tcW w:w="567" w:type="dxa"/>
            <w:tcMar>
              <w:left w:w="108" w:type="dxa"/>
            </w:tcMar>
            <w:vAlign w:val="center"/>
          </w:tcPr>
          <w:p w:rsidR="004300E2" w:rsidRDefault="004300E2" w:rsidP="004300E2">
            <w:pPr>
              <w:widowControl w:val="0"/>
              <w:spacing w:line="226" w:lineRule="exact"/>
              <w:jc w:val="center"/>
              <w:rPr>
                <w:lang w:val="it-IT"/>
              </w:rPr>
            </w:pPr>
          </w:p>
        </w:tc>
      </w:tr>
      <w:tr w:rsidR="004300E2" w:rsidRPr="00A44ECD" w:rsidTr="00940A6F">
        <w:trPr>
          <w:cantSplit/>
          <w:trHeight w:val="20"/>
        </w:trPr>
        <w:tc>
          <w:tcPr>
            <w:tcW w:w="567" w:type="dxa"/>
          </w:tcPr>
          <w:p w:rsidR="004300E2" w:rsidRDefault="004300E2" w:rsidP="004300E2">
            <w:pPr>
              <w:pStyle w:val="Numeroelenco"/>
              <w:widowControl w:val="0"/>
              <w:ind w:left="0" w:firstLine="57"/>
              <w:rPr>
                <w:lang w:val="it-IT"/>
              </w:rPr>
            </w:pPr>
          </w:p>
        </w:tc>
        <w:tc>
          <w:tcPr>
            <w:tcW w:w="851" w:type="dxa"/>
            <w:tcMar>
              <w:left w:w="108" w:type="dxa"/>
              <w:right w:w="0" w:type="dxa"/>
            </w:tcMar>
          </w:tcPr>
          <w:p w:rsidR="004300E2" w:rsidRDefault="004300E2" w:rsidP="004300E2">
            <w:pPr>
              <w:pStyle w:val="IAS"/>
              <w:widowControl w:val="0"/>
              <w:spacing w:line="226" w:lineRule="exact"/>
              <w:rPr>
                <w:lang w:val="it-IT"/>
              </w:rPr>
            </w:pPr>
            <w:r w:rsidRPr="008A0F36">
              <w:rPr>
                <w:lang w:val="it-IT"/>
              </w:rPr>
              <w:t>IAS 7.31</w:t>
            </w:r>
          </w:p>
        </w:tc>
        <w:tc>
          <w:tcPr>
            <w:tcW w:w="7079" w:type="dxa"/>
            <w:tcMar>
              <w:left w:w="108" w:type="dxa"/>
            </w:tcMar>
          </w:tcPr>
          <w:p w:rsidR="004300E2" w:rsidRDefault="004300E2" w:rsidP="00923DEA">
            <w:pPr>
              <w:widowControl w:val="0"/>
              <w:spacing w:line="226" w:lineRule="exact"/>
              <w:rPr>
                <w:lang w:val="it-IT"/>
              </w:rPr>
            </w:pPr>
            <w:r w:rsidRPr="008A0F36">
              <w:rPr>
                <w:lang w:val="it-IT"/>
              </w:rPr>
              <w:t>I seguenti flussi finanziari sono stati indicati separatamente:</w:t>
            </w:r>
          </w:p>
        </w:tc>
        <w:tc>
          <w:tcPr>
            <w:tcW w:w="575" w:type="dxa"/>
            <w:tcMar>
              <w:left w:w="85" w:type="dxa"/>
              <w:right w:w="85" w:type="dxa"/>
            </w:tcMar>
            <w:vAlign w:val="center"/>
          </w:tcPr>
          <w:p w:rsidR="004300E2" w:rsidRDefault="004300E2" w:rsidP="004300E2">
            <w:pPr>
              <w:widowControl w:val="0"/>
              <w:spacing w:line="226" w:lineRule="exact"/>
              <w:jc w:val="center"/>
              <w:rPr>
                <w:lang w:val="it-IT"/>
              </w:rPr>
            </w:pPr>
          </w:p>
        </w:tc>
        <w:tc>
          <w:tcPr>
            <w:tcW w:w="567" w:type="dxa"/>
            <w:tcMar>
              <w:left w:w="108" w:type="dxa"/>
            </w:tcMar>
            <w:vAlign w:val="center"/>
          </w:tcPr>
          <w:p w:rsidR="004300E2" w:rsidRDefault="004300E2" w:rsidP="004300E2">
            <w:pPr>
              <w:widowControl w:val="0"/>
              <w:spacing w:line="226" w:lineRule="exact"/>
              <w:jc w:val="center"/>
              <w:rPr>
                <w:lang w:val="it-IT"/>
              </w:rPr>
            </w:pPr>
          </w:p>
        </w:tc>
        <w:tc>
          <w:tcPr>
            <w:tcW w:w="567" w:type="dxa"/>
            <w:tcMar>
              <w:left w:w="108" w:type="dxa"/>
            </w:tcMar>
            <w:vAlign w:val="center"/>
          </w:tcPr>
          <w:p w:rsidR="004300E2" w:rsidRDefault="004300E2" w:rsidP="004300E2">
            <w:pPr>
              <w:widowControl w:val="0"/>
              <w:spacing w:line="226" w:lineRule="exact"/>
              <w:jc w:val="center"/>
              <w:rPr>
                <w:lang w:val="it-IT"/>
              </w:rPr>
            </w:pPr>
          </w:p>
        </w:tc>
      </w:tr>
      <w:tr w:rsidR="0066483E" w:rsidRPr="008129DA" w:rsidTr="00940A6F">
        <w:trPr>
          <w:cantSplit/>
          <w:trHeight w:val="20"/>
        </w:trPr>
        <w:tc>
          <w:tcPr>
            <w:tcW w:w="567" w:type="dxa"/>
          </w:tcPr>
          <w:p w:rsidR="0066483E" w:rsidRDefault="0066483E" w:rsidP="004300E2">
            <w:pPr>
              <w:widowControl w:val="0"/>
              <w:ind w:firstLine="57"/>
              <w:rPr>
                <w:lang w:val="it-IT"/>
              </w:rPr>
            </w:pPr>
          </w:p>
        </w:tc>
        <w:tc>
          <w:tcPr>
            <w:tcW w:w="851" w:type="dxa"/>
            <w:tcMar>
              <w:left w:w="108" w:type="dxa"/>
              <w:right w:w="0" w:type="dxa"/>
            </w:tcMar>
          </w:tcPr>
          <w:p w:rsidR="0066483E" w:rsidRDefault="0066483E" w:rsidP="004300E2">
            <w:pPr>
              <w:pStyle w:val="IAS"/>
              <w:widowControl w:val="0"/>
              <w:spacing w:line="226" w:lineRule="exact"/>
              <w:rPr>
                <w:lang w:val="it-IT"/>
              </w:rPr>
            </w:pPr>
          </w:p>
        </w:tc>
        <w:tc>
          <w:tcPr>
            <w:tcW w:w="7079" w:type="dxa"/>
            <w:tcMar>
              <w:left w:w="108" w:type="dxa"/>
            </w:tcMar>
          </w:tcPr>
          <w:p w:rsidR="0066483E" w:rsidRDefault="0066483E" w:rsidP="00923DEA">
            <w:pPr>
              <w:pStyle w:val="Rientroa"/>
              <w:widowControl w:val="0"/>
              <w:numPr>
                <w:ilvl w:val="0"/>
                <w:numId w:val="28"/>
              </w:numPr>
              <w:spacing w:line="226" w:lineRule="exact"/>
              <w:rPr>
                <w:iCs/>
              </w:rPr>
            </w:pPr>
            <w:r w:rsidRPr="008A0F36">
              <w:t>flussi finanziari derivanti dall’incasso di interessi</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Default="0066483E" w:rsidP="004300E2">
            <w:pPr>
              <w:widowControl w:val="0"/>
              <w:ind w:firstLine="57"/>
              <w:rPr>
                <w:lang w:val="it-IT"/>
              </w:rPr>
            </w:pPr>
          </w:p>
        </w:tc>
        <w:tc>
          <w:tcPr>
            <w:tcW w:w="851" w:type="dxa"/>
            <w:tcMar>
              <w:left w:w="108" w:type="dxa"/>
              <w:right w:w="0" w:type="dxa"/>
            </w:tcMar>
          </w:tcPr>
          <w:p w:rsidR="0066483E" w:rsidRDefault="0066483E" w:rsidP="004300E2">
            <w:pPr>
              <w:pStyle w:val="IAS"/>
              <w:widowControl w:val="0"/>
              <w:spacing w:line="226" w:lineRule="exact"/>
              <w:rPr>
                <w:lang w:val="it-IT"/>
              </w:rPr>
            </w:pPr>
          </w:p>
        </w:tc>
        <w:tc>
          <w:tcPr>
            <w:tcW w:w="7079" w:type="dxa"/>
            <w:tcMar>
              <w:left w:w="108" w:type="dxa"/>
            </w:tcMar>
          </w:tcPr>
          <w:p w:rsidR="0066483E" w:rsidRDefault="0066483E" w:rsidP="00923DEA">
            <w:pPr>
              <w:pStyle w:val="Rientroa"/>
              <w:widowControl w:val="0"/>
              <w:spacing w:line="226" w:lineRule="exact"/>
            </w:pPr>
            <w:r w:rsidRPr="008A0F36">
              <w:t>flussi finanziari derivanti dal pagamento di interessi</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Default="0066483E" w:rsidP="004300E2">
            <w:pPr>
              <w:widowControl w:val="0"/>
              <w:ind w:firstLine="57"/>
              <w:rPr>
                <w:lang w:val="it-IT"/>
              </w:rPr>
            </w:pPr>
          </w:p>
        </w:tc>
        <w:tc>
          <w:tcPr>
            <w:tcW w:w="851" w:type="dxa"/>
            <w:tcMar>
              <w:left w:w="108" w:type="dxa"/>
              <w:right w:w="0" w:type="dxa"/>
            </w:tcMar>
          </w:tcPr>
          <w:p w:rsidR="0066483E" w:rsidRDefault="0066483E" w:rsidP="004300E2">
            <w:pPr>
              <w:pStyle w:val="IAS"/>
              <w:widowControl w:val="0"/>
              <w:spacing w:line="226" w:lineRule="exact"/>
              <w:rPr>
                <w:lang w:val="it-IT"/>
              </w:rPr>
            </w:pPr>
          </w:p>
        </w:tc>
        <w:tc>
          <w:tcPr>
            <w:tcW w:w="7079" w:type="dxa"/>
            <w:tcMar>
              <w:left w:w="108" w:type="dxa"/>
            </w:tcMar>
          </w:tcPr>
          <w:p w:rsidR="0066483E" w:rsidRDefault="0066483E" w:rsidP="00923DEA">
            <w:pPr>
              <w:pStyle w:val="Rientroa"/>
              <w:widowControl w:val="0"/>
              <w:spacing w:line="226" w:lineRule="exact"/>
            </w:pPr>
            <w:r w:rsidRPr="008A0F36">
              <w:t>flussi finanziari derivanti dall’incasso di dividendi</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Default="0066483E" w:rsidP="004300E2">
            <w:pPr>
              <w:widowControl w:val="0"/>
              <w:ind w:firstLine="57"/>
              <w:rPr>
                <w:lang w:val="it-IT"/>
              </w:rPr>
            </w:pPr>
          </w:p>
        </w:tc>
        <w:tc>
          <w:tcPr>
            <w:tcW w:w="851" w:type="dxa"/>
            <w:tcMar>
              <w:left w:w="108" w:type="dxa"/>
              <w:right w:w="0" w:type="dxa"/>
            </w:tcMar>
          </w:tcPr>
          <w:p w:rsidR="0066483E" w:rsidRDefault="0066483E" w:rsidP="004300E2">
            <w:pPr>
              <w:pStyle w:val="IAS"/>
              <w:widowControl w:val="0"/>
              <w:spacing w:line="226" w:lineRule="exact"/>
              <w:rPr>
                <w:lang w:val="it-IT"/>
              </w:rPr>
            </w:pPr>
          </w:p>
        </w:tc>
        <w:tc>
          <w:tcPr>
            <w:tcW w:w="7079" w:type="dxa"/>
            <w:tcMar>
              <w:left w:w="108" w:type="dxa"/>
            </w:tcMar>
          </w:tcPr>
          <w:p w:rsidR="0066483E" w:rsidRDefault="0066483E" w:rsidP="00923DEA">
            <w:pPr>
              <w:pStyle w:val="Rientroa"/>
              <w:widowControl w:val="0"/>
              <w:spacing w:line="226" w:lineRule="exact"/>
            </w:pPr>
            <w:r w:rsidRPr="008A0F36">
              <w:t>flussi finanziari derivanti dal pagamento di dividendi.</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66483E">
        <w:trPr>
          <w:cantSplit/>
          <w:trHeight w:val="20"/>
        </w:trPr>
        <w:tc>
          <w:tcPr>
            <w:tcW w:w="567" w:type="dxa"/>
          </w:tcPr>
          <w:p w:rsidR="0066483E" w:rsidRDefault="0066483E" w:rsidP="004300E2">
            <w:pPr>
              <w:pStyle w:val="Numeroelenco"/>
              <w:widowControl w:val="0"/>
              <w:ind w:left="0" w:firstLine="57"/>
              <w:rPr>
                <w:lang w:val="it-IT"/>
              </w:rPr>
            </w:pPr>
          </w:p>
        </w:tc>
        <w:tc>
          <w:tcPr>
            <w:tcW w:w="851" w:type="dxa"/>
            <w:tcMar>
              <w:left w:w="108" w:type="dxa"/>
              <w:right w:w="0" w:type="dxa"/>
            </w:tcMar>
          </w:tcPr>
          <w:p w:rsidR="0066483E" w:rsidRDefault="0066483E" w:rsidP="004300E2">
            <w:pPr>
              <w:pStyle w:val="IAS"/>
              <w:widowControl w:val="0"/>
              <w:spacing w:line="226" w:lineRule="exact"/>
              <w:rPr>
                <w:lang w:val="it-IT"/>
              </w:rPr>
            </w:pPr>
            <w:r w:rsidRPr="008A0F36">
              <w:rPr>
                <w:lang w:val="it-IT"/>
              </w:rPr>
              <w:t>IAS 7.35</w:t>
            </w:r>
          </w:p>
          <w:p w:rsidR="0066483E" w:rsidRDefault="0066483E" w:rsidP="004300E2">
            <w:pPr>
              <w:pStyle w:val="IAS"/>
              <w:widowControl w:val="0"/>
              <w:spacing w:line="226" w:lineRule="exact"/>
              <w:rPr>
                <w:lang w:val="it-IT"/>
              </w:rPr>
            </w:pPr>
            <w:r w:rsidRPr="008A0F36">
              <w:rPr>
                <w:lang w:val="it-IT"/>
              </w:rPr>
              <w:t>IAS 7.36</w:t>
            </w:r>
          </w:p>
        </w:tc>
        <w:tc>
          <w:tcPr>
            <w:tcW w:w="7079" w:type="dxa"/>
            <w:tcMar>
              <w:left w:w="108" w:type="dxa"/>
            </w:tcMar>
          </w:tcPr>
          <w:p w:rsidR="0066483E" w:rsidRDefault="0066483E" w:rsidP="00CA5B4F">
            <w:pPr>
              <w:widowControl w:val="0"/>
              <w:spacing w:after="60"/>
              <w:rPr>
                <w:lang w:val="it-IT"/>
              </w:rPr>
            </w:pPr>
            <w:r>
              <w:rPr>
                <w:lang w:val="it-IT"/>
              </w:rPr>
              <w:t xml:space="preserve">Se </w:t>
            </w:r>
            <w:r w:rsidRPr="008A0F36">
              <w:rPr>
                <w:lang w:val="it-IT"/>
              </w:rPr>
              <w:t>i flussi finanziari derivanti dalle imposte sono attribuiti a più di una classe di attività</w:t>
            </w:r>
            <w:r>
              <w:rPr>
                <w:lang w:val="it-IT"/>
              </w:rPr>
              <w:t xml:space="preserve"> deve essere </w:t>
            </w:r>
            <w:r w:rsidRPr="008A0F36">
              <w:rPr>
                <w:lang w:val="it-IT"/>
              </w:rPr>
              <w:t>indicato l’importo complessivo delle imposte pagate.</w:t>
            </w:r>
          </w:p>
          <w:p w:rsidR="0066483E" w:rsidRDefault="0066483E" w:rsidP="00923DEA">
            <w:pPr>
              <w:widowControl w:val="0"/>
              <w:pBdr>
                <w:top w:val="single" w:sz="2" w:space="1" w:color="auto"/>
                <w:left w:val="single" w:sz="2" w:space="4" w:color="auto"/>
                <w:bottom w:val="single" w:sz="2" w:space="1" w:color="auto"/>
                <w:right w:val="single" w:sz="2" w:space="4" w:color="auto"/>
              </w:pBdr>
              <w:spacing w:line="200" w:lineRule="exact"/>
              <w:ind w:left="115" w:right="88"/>
              <w:rPr>
                <w:sz w:val="16"/>
                <w:szCs w:val="16"/>
                <w:lang w:val="it-IT"/>
              </w:rPr>
            </w:pPr>
            <w:r w:rsidRPr="007E567E">
              <w:rPr>
                <w:sz w:val="16"/>
                <w:szCs w:val="16"/>
                <w:lang w:val="it-IT"/>
              </w:rPr>
              <w:t xml:space="preserve">I flussi finanziari correlati alle imposte sul reddito devono essere indicati distintamente e devono essere classificati come flussi finanziari dell’attività operativa a meno che essi possano essere specificatamente identificati con l’attività </w:t>
            </w:r>
            <w:r>
              <w:rPr>
                <w:sz w:val="16"/>
                <w:szCs w:val="16"/>
                <w:lang w:val="it-IT"/>
              </w:rPr>
              <w:t xml:space="preserve">di finanziamento </w:t>
            </w:r>
            <w:r w:rsidRPr="007E567E">
              <w:rPr>
                <w:sz w:val="16"/>
                <w:szCs w:val="16"/>
                <w:lang w:val="it-IT"/>
              </w:rPr>
              <w:t>e di investimento.</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Default="004300E2" w:rsidP="004300E2">
            <w:pPr>
              <w:pStyle w:val="Numeroelenco"/>
              <w:widowControl w:val="0"/>
              <w:ind w:left="0" w:firstLine="57"/>
              <w:rPr>
                <w:lang w:val="it-IT"/>
              </w:rPr>
            </w:pPr>
          </w:p>
        </w:tc>
        <w:tc>
          <w:tcPr>
            <w:tcW w:w="851" w:type="dxa"/>
            <w:tcMar>
              <w:left w:w="108" w:type="dxa"/>
              <w:right w:w="0" w:type="dxa"/>
            </w:tcMar>
          </w:tcPr>
          <w:p w:rsidR="004300E2" w:rsidRDefault="004300E2" w:rsidP="004300E2">
            <w:pPr>
              <w:pStyle w:val="IAS"/>
              <w:widowControl w:val="0"/>
              <w:spacing w:line="226" w:lineRule="exact"/>
              <w:rPr>
                <w:lang w:val="it-IT"/>
              </w:rPr>
            </w:pPr>
            <w:r w:rsidRPr="008A0F36">
              <w:rPr>
                <w:lang w:val="it-IT"/>
              </w:rPr>
              <w:t>IAS 7.43</w:t>
            </w:r>
          </w:p>
        </w:tc>
        <w:tc>
          <w:tcPr>
            <w:tcW w:w="7079" w:type="dxa"/>
            <w:tcMar>
              <w:left w:w="108" w:type="dxa"/>
            </w:tcMar>
          </w:tcPr>
          <w:p w:rsidR="004300E2" w:rsidRDefault="004300E2" w:rsidP="00923DEA">
            <w:pPr>
              <w:widowControl w:val="0"/>
              <w:spacing w:line="226" w:lineRule="exact"/>
              <w:rPr>
                <w:lang w:val="it-IT"/>
              </w:rPr>
            </w:pPr>
            <w:r w:rsidRPr="008A0F36">
              <w:rPr>
                <w:rFonts w:eastAsia="Arial Unicode MS"/>
                <w:lang w:val="it-IT"/>
              </w:rPr>
              <w:t>Le operazioni di investimento e le operazioni finanziarie che non richiedono l’impiego di disponibilità liquide o mezzi equivalenti sono:</w:t>
            </w:r>
          </w:p>
        </w:tc>
        <w:tc>
          <w:tcPr>
            <w:tcW w:w="575" w:type="dxa"/>
            <w:tcMar>
              <w:left w:w="85" w:type="dxa"/>
              <w:right w:w="85" w:type="dxa"/>
            </w:tcMar>
            <w:vAlign w:val="center"/>
          </w:tcPr>
          <w:p w:rsidR="004300E2" w:rsidRDefault="004300E2" w:rsidP="004300E2">
            <w:pPr>
              <w:widowControl w:val="0"/>
              <w:spacing w:line="226" w:lineRule="exact"/>
              <w:jc w:val="center"/>
              <w:rPr>
                <w:lang w:val="it-IT"/>
              </w:rPr>
            </w:pPr>
          </w:p>
        </w:tc>
        <w:tc>
          <w:tcPr>
            <w:tcW w:w="567" w:type="dxa"/>
            <w:tcMar>
              <w:left w:w="108" w:type="dxa"/>
            </w:tcMar>
            <w:vAlign w:val="center"/>
          </w:tcPr>
          <w:p w:rsidR="004300E2" w:rsidRDefault="004300E2" w:rsidP="004300E2">
            <w:pPr>
              <w:widowControl w:val="0"/>
              <w:spacing w:line="226" w:lineRule="exact"/>
              <w:jc w:val="center"/>
              <w:rPr>
                <w:lang w:val="it-IT"/>
              </w:rPr>
            </w:pPr>
          </w:p>
        </w:tc>
        <w:tc>
          <w:tcPr>
            <w:tcW w:w="567" w:type="dxa"/>
            <w:tcMar>
              <w:left w:w="108" w:type="dxa"/>
            </w:tcMar>
            <w:vAlign w:val="center"/>
          </w:tcPr>
          <w:p w:rsidR="004300E2" w:rsidRDefault="004300E2" w:rsidP="004300E2">
            <w:pPr>
              <w:widowControl w:val="0"/>
              <w:spacing w:line="226" w:lineRule="exact"/>
              <w:jc w:val="center"/>
              <w:rPr>
                <w:lang w:val="it-IT"/>
              </w:rPr>
            </w:pPr>
          </w:p>
        </w:tc>
      </w:tr>
      <w:tr w:rsidR="0066483E" w:rsidRPr="008129DA" w:rsidTr="00940A6F">
        <w:trPr>
          <w:cantSplit/>
          <w:trHeight w:val="20"/>
        </w:trPr>
        <w:tc>
          <w:tcPr>
            <w:tcW w:w="567" w:type="dxa"/>
          </w:tcPr>
          <w:p w:rsidR="0066483E" w:rsidRDefault="0066483E" w:rsidP="004300E2">
            <w:pPr>
              <w:widowControl w:val="0"/>
              <w:ind w:firstLine="57"/>
              <w:rPr>
                <w:lang w:val="it-IT"/>
              </w:rPr>
            </w:pPr>
          </w:p>
        </w:tc>
        <w:tc>
          <w:tcPr>
            <w:tcW w:w="851" w:type="dxa"/>
            <w:tcMar>
              <w:left w:w="108" w:type="dxa"/>
              <w:right w:w="0" w:type="dxa"/>
            </w:tcMar>
          </w:tcPr>
          <w:p w:rsidR="0066483E" w:rsidRDefault="0066483E" w:rsidP="004300E2">
            <w:pPr>
              <w:pStyle w:val="IAS"/>
              <w:widowControl w:val="0"/>
              <w:spacing w:line="226" w:lineRule="exact"/>
              <w:rPr>
                <w:lang w:val="it-IT"/>
              </w:rPr>
            </w:pPr>
          </w:p>
        </w:tc>
        <w:tc>
          <w:tcPr>
            <w:tcW w:w="7079" w:type="dxa"/>
            <w:tcMar>
              <w:left w:w="108" w:type="dxa"/>
            </w:tcMar>
          </w:tcPr>
          <w:p w:rsidR="0066483E" w:rsidRDefault="0066483E" w:rsidP="00923DEA">
            <w:pPr>
              <w:pStyle w:val="Rientroa"/>
              <w:widowControl w:val="0"/>
              <w:numPr>
                <w:ilvl w:val="0"/>
                <w:numId w:val="29"/>
              </w:numPr>
              <w:spacing w:line="226" w:lineRule="exact"/>
              <w:rPr>
                <w:iCs/>
              </w:rPr>
            </w:pPr>
            <w:r w:rsidRPr="008A0F36">
              <w:rPr>
                <w:rFonts w:eastAsia="Arial Unicode MS"/>
              </w:rPr>
              <w:t>escluse dal rendiconto finanziario</w:t>
            </w:r>
            <w:r w:rsidRPr="008A0F36">
              <w:t>; 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Default="0066483E" w:rsidP="004300E2">
            <w:pPr>
              <w:widowControl w:val="0"/>
              <w:ind w:firstLine="57"/>
              <w:rPr>
                <w:lang w:val="it-IT"/>
              </w:rPr>
            </w:pPr>
          </w:p>
        </w:tc>
        <w:tc>
          <w:tcPr>
            <w:tcW w:w="851" w:type="dxa"/>
            <w:tcMar>
              <w:left w:w="108" w:type="dxa"/>
              <w:right w:w="0" w:type="dxa"/>
            </w:tcMar>
          </w:tcPr>
          <w:p w:rsidR="0066483E" w:rsidRDefault="0066483E" w:rsidP="004300E2">
            <w:pPr>
              <w:pStyle w:val="IAS"/>
              <w:widowControl w:val="0"/>
              <w:spacing w:line="226" w:lineRule="exact"/>
              <w:rPr>
                <w:lang w:val="it-IT"/>
              </w:rPr>
            </w:pPr>
          </w:p>
        </w:tc>
        <w:tc>
          <w:tcPr>
            <w:tcW w:w="7079" w:type="dxa"/>
            <w:tcMar>
              <w:left w:w="108" w:type="dxa"/>
            </w:tcMar>
          </w:tcPr>
          <w:p w:rsidR="0066483E" w:rsidRDefault="0066483E" w:rsidP="00923DEA">
            <w:pPr>
              <w:pStyle w:val="Rientroa"/>
              <w:widowControl w:val="0"/>
              <w:spacing w:line="226" w:lineRule="exact"/>
            </w:pPr>
            <w:r w:rsidRPr="008A0F36">
              <w:rPr>
                <w:rFonts w:eastAsia="Arial Unicode MS"/>
              </w:rPr>
              <w:t xml:space="preserve">indicate altrove nel bilancio in modo da poter fornire tutte le informazioni significative su queste attività </w:t>
            </w:r>
            <w:r>
              <w:rPr>
                <w:rFonts w:eastAsia="Arial Unicode MS"/>
              </w:rPr>
              <w:t xml:space="preserve">di finanziamento </w:t>
            </w:r>
            <w:r w:rsidRPr="008A0F36">
              <w:rPr>
                <w:rFonts w:eastAsia="Arial Unicode MS"/>
              </w:rPr>
              <w:t>e di investimento.</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Default="004300E2" w:rsidP="004300E2">
            <w:pPr>
              <w:pStyle w:val="Numeroelenco"/>
              <w:widowControl w:val="0"/>
              <w:ind w:left="0" w:firstLine="57"/>
              <w:rPr>
                <w:lang w:val="it-IT"/>
              </w:rPr>
            </w:pPr>
          </w:p>
        </w:tc>
        <w:tc>
          <w:tcPr>
            <w:tcW w:w="851" w:type="dxa"/>
            <w:tcMar>
              <w:left w:w="108" w:type="dxa"/>
              <w:right w:w="0" w:type="dxa"/>
            </w:tcMar>
          </w:tcPr>
          <w:p w:rsidR="004300E2" w:rsidRDefault="004300E2" w:rsidP="004300E2">
            <w:pPr>
              <w:pStyle w:val="IAS"/>
              <w:widowControl w:val="0"/>
              <w:spacing w:line="226" w:lineRule="exact"/>
              <w:rPr>
                <w:lang w:val="it-IT"/>
              </w:rPr>
            </w:pPr>
            <w:r w:rsidRPr="008A0F36">
              <w:rPr>
                <w:lang w:val="it-IT"/>
              </w:rPr>
              <w:t>IAS 7.48</w:t>
            </w:r>
          </w:p>
        </w:tc>
        <w:tc>
          <w:tcPr>
            <w:tcW w:w="7079" w:type="dxa"/>
            <w:tcMar>
              <w:left w:w="108" w:type="dxa"/>
            </w:tcMar>
          </w:tcPr>
          <w:p w:rsidR="004300E2" w:rsidRDefault="004300E2" w:rsidP="00923DEA">
            <w:pPr>
              <w:widowControl w:val="0"/>
              <w:spacing w:line="226" w:lineRule="exact"/>
              <w:rPr>
                <w:rFonts w:eastAsia="Arial Unicode MS"/>
                <w:lang w:val="it-IT"/>
              </w:rPr>
            </w:pPr>
            <w:r w:rsidRPr="008A0F36">
              <w:rPr>
                <w:rFonts w:eastAsia="Arial Unicode MS"/>
                <w:lang w:val="it-IT"/>
              </w:rPr>
              <w:t>L’entità ha indicato le seguenti informazioni relativamente alle disponibilità liquide e mezzi equivalenti posseduti ma non utilizzabili liberamente dal gruppo</w:t>
            </w:r>
            <w:r>
              <w:rPr>
                <w:rFonts w:eastAsia="Arial Unicode MS"/>
                <w:lang w:val="it-IT"/>
              </w:rPr>
              <w:t>:</w:t>
            </w:r>
          </w:p>
        </w:tc>
        <w:tc>
          <w:tcPr>
            <w:tcW w:w="575" w:type="dxa"/>
            <w:tcMar>
              <w:left w:w="85" w:type="dxa"/>
              <w:right w:w="85" w:type="dxa"/>
            </w:tcMar>
            <w:vAlign w:val="center"/>
          </w:tcPr>
          <w:p w:rsidR="004300E2" w:rsidRDefault="004300E2" w:rsidP="004300E2">
            <w:pPr>
              <w:widowControl w:val="0"/>
              <w:spacing w:line="226" w:lineRule="exact"/>
              <w:jc w:val="center"/>
              <w:rPr>
                <w:lang w:val="it-IT"/>
              </w:rPr>
            </w:pPr>
          </w:p>
        </w:tc>
        <w:tc>
          <w:tcPr>
            <w:tcW w:w="567" w:type="dxa"/>
            <w:tcMar>
              <w:left w:w="108" w:type="dxa"/>
            </w:tcMar>
            <w:vAlign w:val="center"/>
          </w:tcPr>
          <w:p w:rsidR="004300E2" w:rsidRDefault="004300E2" w:rsidP="004300E2">
            <w:pPr>
              <w:widowControl w:val="0"/>
              <w:spacing w:line="226" w:lineRule="exact"/>
              <w:jc w:val="center"/>
              <w:rPr>
                <w:lang w:val="it-IT"/>
              </w:rPr>
            </w:pPr>
          </w:p>
        </w:tc>
        <w:tc>
          <w:tcPr>
            <w:tcW w:w="567" w:type="dxa"/>
            <w:tcMar>
              <w:left w:w="108" w:type="dxa"/>
            </w:tcMar>
            <w:vAlign w:val="center"/>
          </w:tcPr>
          <w:p w:rsidR="004300E2" w:rsidRDefault="004300E2" w:rsidP="004300E2">
            <w:pPr>
              <w:widowControl w:val="0"/>
              <w:spacing w:line="226" w:lineRule="exact"/>
              <w:jc w:val="center"/>
              <w:rPr>
                <w:lang w:val="it-IT"/>
              </w:rPr>
            </w:pPr>
          </w:p>
        </w:tc>
      </w:tr>
      <w:tr w:rsidR="0066483E" w:rsidRPr="008A0F36" w:rsidTr="00940A6F">
        <w:trPr>
          <w:cantSplit/>
          <w:trHeight w:val="20"/>
        </w:trPr>
        <w:tc>
          <w:tcPr>
            <w:tcW w:w="567" w:type="dxa"/>
          </w:tcPr>
          <w:p w:rsidR="0066483E" w:rsidRDefault="0066483E" w:rsidP="004300E2">
            <w:pPr>
              <w:widowControl w:val="0"/>
              <w:ind w:firstLine="57"/>
              <w:rPr>
                <w:lang w:val="it-IT"/>
              </w:rPr>
            </w:pPr>
          </w:p>
        </w:tc>
        <w:tc>
          <w:tcPr>
            <w:tcW w:w="851" w:type="dxa"/>
            <w:tcMar>
              <w:left w:w="108" w:type="dxa"/>
              <w:right w:w="0" w:type="dxa"/>
            </w:tcMar>
          </w:tcPr>
          <w:p w:rsidR="0066483E" w:rsidRDefault="0066483E" w:rsidP="004300E2">
            <w:pPr>
              <w:pStyle w:val="IAS"/>
              <w:widowControl w:val="0"/>
              <w:spacing w:line="226" w:lineRule="exact"/>
              <w:rPr>
                <w:lang w:val="it-IT"/>
              </w:rPr>
            </w:pPr>
          </w:p>
        </w:tc>
        <w:tc>
          <w:tcPr>
            <w:tcW w:w="7079" w:type="dxa"/>
            <w:tcMar>
              <w:left w:w="108" w:type="dxa"/>
            </w:tcMar>
          </w:tcPr>
          <w:p w:rsidR="0066483E" w:rsidRDefault="0066483E" w:rsidP="00923DEA">
            <w:pPr>
              <w:pStyle w:val="Rientroa"/>
              <w:widowControl w:val="0"/>
              <w:numPr>
                <w:ilvl w:val="0"/>
                <w:numId w:val="30"/>
              </w:numPr>
              <w:spacing w:line="226" w:lineRule="exact"/>
              <w:rPr>
                <w:iCs/>
              </w:rPr>
            </w:pPr>
            <w:r w:rsidRPr="008A0F36">
              <w:t>ammontare; 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Default="0066483E" w:rsidP="004300E2">
            <w:pPr>
              <w:widowControl w:val="0"/>
              <w:ind w:firstLine="57"/>
              <w:rPr>
                <w:lang w:val="it-IT"/>
              </w:rPr>
            </w:pPr>
          </w:p>
        </w:tc>
        <w:tc>
          <w:tcPr>
            <w:tcW w:w="851" w:type="dxa"/>
            <w:tcMar>
              <w:left w:w="108" w:type="dxa"/>
              <w:right w:w="0" w:type="dxa"/>
            </w:tcMar>
          </w:tcPr>
          <w:p w:rsidR="0066483E" w:rsidRDefault="0066483E" w:rsidP="004300E2">
            <w:pPr>
              <w:pStyle w:val="IAS"/>
              <w:widowControl w:val="0"/>
              <w:spacing w:line="226" w:lineRule="exact"/>
              <w:rPr>
                <w:lang w:val="it-IT"/>
              </w:rPr>
            </w:pPr>
          </w:p>
        </w:tc>
        <w:tc>
          <w:tcPr>
            <w:tcW w:w="7079" w:type="dxa"/>
            <w:tcMar>
              <w:left w:w="108" w:type="dxa"/>
            </w:tcMar>
          </w:tcPr>
          <w:p w:rsidR="0066483E" w:rsidRDefault="0066483E" w:rsidP="00923DEA">
            <w:pPr>
              <w:pStyle w:val="Rientroa"/>
              <w:widowControl w:val="0"/>
              <w:spacing w:line="226" w:lineRule="exact"/>
            </w:pPr>
            <w:r w:rsidRPr="008A0F36">
              <w:t>un commento della Direzione aziendale.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Default="004300E2" w:rsidP="00923DEA">
            <w:pPr>
              <w:pStyle w:val="Numeroelenco"/>
              <w:widowControl w:val="0"/>
              <w:ind w:left="0" w:firstLine="57"/>
              <w:rPr>
                <w:lang w:val="it-IT"/>
              </w:rPr>
            </w:pPr>
          </w:p>
        </w:tc>
        <w:tc>
          <w:tcPr>
            <w:tcW w:w="851" w:type="dxa"/>
            <w:tcMar>
              <w:left w:w="108" w:type="dxa"/>
              <w:right w:w="0" w:type="dxa"/>
            </w:tcMar>
          </w:tcPr>
          <w:p w:rsidR="004300E2" w:rsidRDefault="004300E2" w:rsidP="00923DEA">
            <w:pPr>
              <w:pStyle w:val="IAS"/>
              <w:widowControl w:val="0"/>
              <w:spacing w:line="226" w:lineRule="exact"/>
              <w:rPr>
                <w:lang w:val="it-IT"/>
              </w:rPr>
            </w:pPr>
            <w:r w:rsidRPr="008A0F36">
              <w:rPr>
                <w:lang w:val="it-IT"/>
              </w:rPr>
              <w:t>IAS 7.50</w:t>
            </w:r>
          </w:p>
        </w:tc>
        <w:tc>
          <w:tcPr>
            <w:tcW w:w="7079" w:type="dxa"/>
            <w:tcMar>
              <w:left w:w="108" w:type="dxa"/>
            </w:tcMar>
          </w:tcPr>
          <w:p w:rsidR="004300E2" w:rsidRPr="00BF03D1" w:rsidRDefault="004300E2" w:rsidP="00923DEA">
            <w:pPr>
              <w:widowControl w:val="0"/>
              <w:rPr>
                <w:lang w:val="it-IT"/>
              </w:rPr>
            </w:pPr>
            <w:r w:rsidRPr="00BF03D1">
              <w:rPr>
                <w:rFonts w:eastAsia="Arial Unicode MS"/>
                <w:lang w:val="it-IT"/>
              </w:rPr>
              <w:t>L’entità ha indicato le seguenti informazioni (facoltative, ma comunque incoraggiate)</w:t>
            </w:r>
            <w:r w:rsidRPr="00BF03D1">
              <w:rPr>
                <w:lang w:val="it-IT"/>
              </w:rPr>
              <w:t>:</w:t>
            </w:r>
          </w:p>
        </w:tc>
        <w:tc>
          <w:tcPr>
            <w:tcW w:w="575" w:type="dxa"/>
            <w:tcMar>
              <w:left w:w="85" w:type="dxa"/>
              <w:right w:w="85" w:type="dxa"/>
            </w:tcMar>
            <w:vAlign w:val="center"/>
          </w:tcPr>
          <w:p w:rsidR="004300E2" w:rsidRDefault="004300E2" w:rsidP="00923DEA">
            <w:pPr>
              <w:widowControl w:val="0"/>
              <w:spacing w:line="226" w:lineRule="exact"/>
              <w:jc w:val="center"/>
              <w:rPr>
                <w:lang w:val="it-IT"/>
              </w:rPr>
            </w:pPr>
          </w:p>
        </w:tc>
        <w:tc>
          <w:tcPr>
            <w:tcW w:w="567" w:type="dxa"/>
            <w:tcMar>
              <w:left w:w="108" w:type="dxa"/>
            </w:tcMar>
            <w:vAlign w:val="center"/>
          </w:tcPr>
          <w:p w:rsidR="004300E2" w:rsidRDefault="004300E2" w:rsidP="00923DEA">
            <w:pPr>
              <w:widowControl w:val="0"/>
              <w:spacing w:line="226" w:lineRule="exact"/>
              <w:jc w:val="center"/>
              <w:rPr>
                <w:lang w:val="it-IT"/>
              </w:rPr>
            </w:pPr>
          </w:p>
        </w:tc>
        <w:tc>
          <w:tcPr>
            <w:tcW w:w="567" w:type="dxa"/>
            <w:tcMar>
              <w:left w:w="108" w:type="dxa"/>
            </w:tcMar>
            <w:vAlign w:val="center"/>
          </w:tcPr>
          <w:p w:rsidR="004300E2" w:rsidRDefault="004300E2" w:rsidP="00923DEA">
            <w:pPr>
              <w:widowControl w:val="0"/>
              <w:spacing w:line="226" w:lineRule="exact"/>
              <w:jc w:val="center"/>
              <w:rPr>
                <w:lang w:val="it-IT"/>
              </w:rPr>
            </w:pPr>
          </w:p>
        </w:tc>
      </w:tr>
      <w:tr w:rsidR="0066483E" w:rsidRPr="008129DA" w:rsidTr="00940A6F">
        <w:trPr>
          <w:cantSplit/>
          <w:trHeight w:val="20"/>
        </w:trPr>
        <w:tc>
          <w:tcPr>
            <w:tcW w:w="567" w:type="dxa"/>
          </w:tcPr>
          <w:p w:rsidR="0066483E" w:rsidRDefault="0066483E" w:rsidP="004300E2">
            <w:pPr>
              <w:widowControl w:val="0"/>
              <w:ind w:firstLine="57"/>
              <w:rPr>
                <w:lang w:val="it-IT"/>
              </w:rPr>
            </w:pPr>
          </w:p>
        </w:tc>
        <w:tc>
          <w:tcPr>
            <w:tcW w:w="851" w:type="dxa"/>
            <w:tcMar>
              <w:left w:w="108" w:type="dxa"/>
              <w:right w:w="0" w:type="dxa"/>
            </w:tcMar>
          </w:tcPr>
          <w:p w:rsidR="0066483E" w:rsidRDefault="0066483E" w:rsidP="004300E2">
            <w:pPr>
              <w:pStyle w:val="IAS"/>
              <w:widowControl w:val="0"/>
              <w:spacing w:line="226" w:lineRule="exact"/>
              <w:rPr>
                <w:lang w:val="it-IT"/>
              </w:rPr>
            </w:pPr>
          </w:p>
        </w:tc>
        <w:tc>
          <w:tcPr>
            <w:tcW w:w="7079" w:type="dxa"/>
            <w:tcMar>
              <w:left w:w="108" w:type="dxa"/>
            </w:tcMar>
          </w:tcPr>
          <w:p w:rsidR="0066483E" w:rsidRPr="00BF03D1" w:rsidRDefault="0066483E" w:rsidP="00923DEA">
            <w:pPr>
              <w:pStyle w:val="Rientroa"/>
              <w:widowControl w:val="0"/>
              <w:numPr>
                <w:ilvl w:val="0"/>
                <w:numId w:val="31"/>
              </w:numPr>
            </w:pPr>
            <w:r w:rsidRPr="00BF03D1">
              <w:t>l’importo delle aperture di credito che possono essere disponibili per future attività operative e per estinguere impegni di capitale, indicando qualsiasi restrizione all’utilizzo di tali aperture di credito</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66483E" w:rsidRPr="008129DA" w:rsidTr="00940A6F">
        <w:trPr>
          <w:cantSplit/>
          <w:trHeight w:val="20"/>
        </w:trPr>
        <w:tc>
          <w:tcPr>
            <w:tcW w:w="567" w:type="dxa"/>
          </w:tcPr>
          <w:p w:rsidR="0066483E" w:rsidRDefault="0066483E" w:rsidP="004300E2">
            <w:pPr>
              <w:widowControl w:val="0"/>
              <w:ind w:firstLine="57"/>
              <w:rPr>
                <w:lang w:val="it-IT"/>
              </w:rPr>
            </w:pPr>
          </w:p>
        </w:tc>
        <w:tc>
          <w:tcPr>
            <w:tcW w:w="851" w:type="dxa"/>
            <w:tcMar>
              <w:left w:w="108" w:type="dxa"/>
              <w:right w:w="0" w:type="dxa"/>
            </w:tcMar>
          </w:tcPr>
          <w:p w:rsidR="0066483E" w:rsidRDefault="0066483E" w:rsidP="004300E2">
            <w:pPr>
              <w:pStyle w:val="IAS"/>
              <w:widowControl w:val="0"/>
              <w:spacing w:line="226" w:lineRule="exact"/>
              <w:rPr>
                <w:lang w:val="it-IT"/>
              </w:rPr>
            </w:pPr>
          </w:p>
        </w:tc>
        <w:tc>
          <w:tcPr>
            <w:tcW w:w="7079" w:type="dxa"/>
            <w:tcMar>
              <w:left w:w="108" w:type="dxa"/>
            </w:tcMar>
          </w:tcPr>
          <w:p w:rsidR="0066483E" w:rsidRPr="00BF03D1" w:rsidRDefault="0066483E" w:rsidP="00923DEA">
            <w:pPr>
              <w:pStyle w:val="Rientroa"/>
              <w:widowControl w:val="0"/>
            </w:pPr>
            <w:r w:rsidRPr="00BF03D1">
              <w:t>l’importo complessivo dei flussi finanziari che rappresentano incrementi della capacità operativa separatamente dai flussi finanziari richiesti per mantenere la capacità operativa stessa; e</w:t>
            </w:r>
          </w:p>
        </w:tc>
        <w:tc>
          <w:tcPr>
            <w:tcW w:w="575" w:type="dxa"/>
            <w:tcMar>
              <w:left w:w="85" w:type="dxa"/>
              <w:right w:w="85"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66483E" w:rsidRPr="00A32A16" w:rsidRDefault="0066483E"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Height w:val="20"/>
        </w:trPr>
        <w:tc>
          <w:tcPr>
            <w:tcW w:w="567" w:type="dxa"/>
          </w:tcPr>
          <w:p w:rsidR="00D26424" w:rsidRDefault="00D26424" w:rsidP="004300E2">
            <w:pPr>
              <w:widowControl w:val="0"/>
              <w:ind w:firstLine="57"/>
              <w:rPr>
                <w:lang w:val="it-IT"/>
              </w:rPr>
            </w:pPr>
          </w:p>
        </w:tc>
        <w:tc>
          <w:tcPr>
            <w:tcW w:w="851" w:type="dxa"/>
            <w:tcMar>
              <w:left w:w="108" w:type="dxa"/>
              <w:right w:w="0" w:type="dxa"/>
            </w:tcMar>
          </w:tcPr>
          <w:p w:rsidR="00D26424" w:rsidRDefault="00D26424" w:rsidP="004300E2">
            <w:pPr>
              <w:pStyle w:val="IAS"/>
              <w:widowControl w:val="0"/>
              <w:spacing w:line="226" w:lineRule="exact"/>
              <w:rPr>
                <w:lang w:val="it-IT"/>
              </w:rPr>
            </w:pPr>
          </w:p>
        </w:tc>
        <w:tc>
          <w:tcPr>
            <w:tcW w:w="7079" w:type="dxa"/>
            <w:tcMar>
              <w:left w:w="108" w:type="dxa"/>
            </w:tcMar>
          </w:tcPr>
          <w:p w:rsidR="00D26424" w:rsidRPr="00BF03D1" w:rsidRDefault="00D26424" w:rsidP="00923DEA">
            <w:pPr>
              <w:pStyle w:val="Rientroa"/>
              <w:widowControl w:val="0"/>
            </w:pPr>
            <w:r w:rsidRPr="00BF03D1">
              <w:t>i flussi finanziari per ciascun settore operativo derivanti da:</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A0F36" w:rsidTr="00940A6F">
        <w:trPr>
          <w:cantSplit/>
          <w:trHeight w:val="20"/>
        </w:trPr>
        <w:tc>
          <w:tcPr>
            <w:tcW w:w="567" w:type="dxa"/>
          </w:tcPr>
          <w:p w:rsidR="00D26424" w:rsidRDefault="00D26424" w:rsidP="004300E2">
            <w:pPr>
              <w:widowControl w:val="0"/>
              <w:ind w:firstLine="57"/>
              <w:rPr>
                <w:lang w:val="it-IT"/>
              </w:rPr>
            </w:pPr>
          </w:p>
        </w:tc>
        <w:tc>
          <w:tcPr>
            <w:tcW w:w="851" w:type="dxa"/>
            <w:tcMar>
              <w:left w:w="108" w:type="dxa"/>
              <w:right w:w="0" w:type="dxa"/>
            </w:tcMar>
          </w:tcPr>
          <w:p w:rsidR="00D26424" w:rsidRDefault="00D26424" w:rsidP="004300E2">
            <w:pPr>
              <w:pStyle w:val="IAS"/>
              <w:widowControl w:val="0"/>
              <w:spacing w:line="226" w:lineRule="exact"/>
              <w:rPr>
                <w:lang w:val="it-IT"/>
              </w:rPr>
            </w:pPr>
          </w:p>
        </w:tc>
        <w:tc>
          <w:tcPr>
            <w:tcW w:w="7079" w:type="dxa"/>
            <w:tcMar>
              <w:left w:w="108" w:type="dxa"/>
            </w:tcMar>
          </w:tcPr>
          <w:p w:rsidR="00D26424" w:rsidRPr="00BF03D1" w:rsidRDefault="00D26424" w:rsidP="00923DEA">
            <w:pPr>
              <w:pStyle w:val="Puntoelenco"/>
              <w:widowControl w:val="0"/>
              <w:ind w:left="782" w:hanging="323"/>
              <w:contextualSpacing w:val="0"/>
            </w:pPr>
            <w:r w:rsidRPr="00BF03D1">
              <w:t>attività operative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A0F36" w:rsidTr="00940A6F">
        <w:trPr>
          <w:cantSplit/>
          <w:trHeight w:val="20"/>
        </w:trPr>
        <w:tc>
          <w:tcPr>
            <w:tcW w:w="567" w:type="dxa"/>
          </w:tcPr>
          <w:p w:rsidR="00D26424" w:rsidRDefault="00D26424" w:rsidP="004300E2">
            <w:pPr>
              <w:widowControl w:val="0"/>
              <w:ind w:firstLine="57"/>
              <w:rPr>
                <w:lang w:val="it-IT"/>
              </w:rPr>
            </w:pPr>
          </w:p>
        </w:tc>
        <w:tc>
          <w:tcPr>
            <w:tcW w:w="851" w:type="dxa"/>
            <w:tcMar>
              <w:left w:w="108" w:type="dxa"/>
              <w:right w:w="0" w:type="dxa"/>
            </w:tcMar>
          </w:tcPr>
          <w:p w:rsidR="00D26424" w:rsidRDefault="00D26424" w:rsidP="004300E2">
            <w:pPr>
              <w:pStyle w:val="IAS"/>
              <w:widowControl w:val="0"/>
              <w:spacing w:line="226" w:lineRule="exact"/>
              <w:rPr>
                <w:lang w:val="it-IT"/>
              </w:rPr>
            </w:pPr>
          </w:p>
        </w:tc>
        <w:tc>
          <w:tcPr>
            <w:tcW w:w="7079" w:type="dxa"/>
            <w:tcMar>
              <w:left w:w="108" w:type="dxa"/>
            </w:tcMar>
          </w:tcPr>
          <w:p w:rsidR="00D26424" w:rsidRPr="00BF03D1" w:rsidRDefault="00D26424" w:rsidP="00923DEA">
            <w:pPr>
              <w:pStyle w:val="Puntoelenco"/>
              <w:widowControl w:val="0"/>
              <w:ind w:hanging="322"/>
              <w:contextualSpacing w:val="0"/>
            </w:pPr>
            <w:r w:rsidRPr="00BF03D1">
              <w:t>attività di investimento; 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A0F36" w:rsidTr="00940A6F">
        <w:trPr>
          <w:cantSplit/>
          <w:trHeight w:val="20"/>
        </w:trPr>
        <w:tc>
          <w:tcPr>
            <w:tcW w:w="567" w:type="dxa"/>
          </w:tcPr>
          <w:p w:rsidR="00D26424" w:rsidRDefault="00D26424" w:rsidP="004300E2">
            <w:pPr>
              <w:widowControl w:val="0"/>
              <w:ind w:firstLine="57"/>
              <w:rPr>
                <w:lang w:val="it-IT"/>
              </w:rPr>
            </w:pPr>
          </w:p>
        </w:tc>
        <w:tc>
          <w:tcPr>
            <w:tcW w:w="851" w:type="dxa"/>
            <w:tcMar>
              <w:left w:w="108" w:type="dxa"/>
              <w:right w:w="0" w:type="dxa"/>
            </w:tcMar>
          </w:tcPr>
          <w:p w:rsidR="00D26424" w:rsidRDefault="00D26424" w:rsidP="004300E2">
            <w:pPr>
              <w:pStyle w:val="IAS"/>
              <w:widowControl w:val="0"/>
              <w:spacing w:line="226" w:lineRule="exact"/>
              <w:rPr>
                <w:lang w:val="it-IT"/>
              </w:rPr>
            </w:pPr>
          </w:p>
        </w:tc>
        <w:tc>
          <w:tcPr>
            <w:tcW w:w="7079" w:type="dxa"/>
            <w:tcMar>
              <w:left w:w="108" w:type="dxa"/>
            </w:tcMar>
          </w:tcPr>
          <w:p w:rsidR="00D26424" w:rsidRPr="00BF03D1" w:rsidRDefault="00D26424" w:rsidP="00923DEA">
            <w:pPr>
              <w:pStyle w:val="Puntoelenco"/>
              <w:widowControl w:val="0"/>
              <w:ind w:hanging="322"/>
              <w:contextualSpacing w:val="0"/>
            </w:pPr>
            <w:r w:rsidRPr="00BF03D1">
              <w:t>attività di finanziamento.</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vAlign w:val="center"/>
          </w:tcPr>
          <w:p w:rsidR="004300E2" w:rsidRDefault="004300E2" w:rsidP="00923B08">
            <w:pPr>
              <w:widowControl w:val="0"/>
              <w:spacing w:before="40" w:after="40"/>
              <w:ind w:firstLine="57"/>
              <w:jc w:val="left"/>
              <w:rPr>
                <w:lang w:val="it-IT"/>
              </w:rPr>
            </w:pPr>
          </w:p>
        </w:tc>
        <w:tc>
          <w:tcPr>
            <w:tcW w:w="851" w:type="dxa"/>
            <w:tcMar>
              <w:left w:w="108" w:type="dxa"/>
              <w:right w:w="0" w:type="dxa"/>
            </w:tcMar>
            <w:vAlign w:val="center"/>
          </w:tcPr>
          <w:p w:rsidR="004300E2" w:rsidRDefault="004300E2" w:rsidP="00923B08">
            <w:pPr>
              <w:pStyle w:val="IAS"/>
              <w:widowControl w:val="0"/>
              <w:spacing w:after="40" w:line="220" w:lineRule="exact"/>
              <w:jc w:val="left"/>
              <w:rPr>
                <w:lang w:val="it-IT"/>
              </w:rPr>
            </w:pPr>
          </w:p>
        </w:tc>
        <w:tc>
          <w:tcPr>
            <w:tcW w:w="7079" w:type="dxa"/>
            <w:tcMar>
              <w:left w:w="108" w:type="dxa"/>
            </w:tcMar>
            <w:vAlign w:val="center"/>
          </w:tcPr>
          <w:p w:rsidR="004300E2" w:rsidRDefault="004300E2" w:rsidP="00923B08">
            <w:pPr>
              <w:pStyle w:val="Titolo1"/>
              <w:keepNext w:val="0"/>
              <w:widowControl w:val="0"/>
              <w:spacing w:before="40" w:after="40" w:line="220" w:lineRule="exact"/>
            </w:pPr>
            <w:r w:rsidRPr="008A0F36">
              <w:t>PROSPETTO DELLE VARIAZIONI DI PATRIMONIO NETTO</w:t>
            </w:r>
          </w:p>
        </w:tc>
        <w:tc>
          <w:tcPr>
            <w:tcW w:w="575" w:type="dxa"/>
            <w:tcMar>
              <w:left w:w="85" w:type="dxa"/>
              <w:right w:w="85" w:type="dxa"/>
            </w:tcMar>
            <w:vAlign w:val="center"/>
          </w:tcPr>
          <w:p w:rsidR="004300E2" w:rsidRDefault="004300E2" w:rsidP="00923B08">
            <w:pPr>
              <w:widowControl w:val="0"/>
              <w:spacing w:before="40" w:after="40"/>
              <w:jc w:val="left"/>
              <w:rPr>
                <w:lang w:val="it-IT"/>
              </w:rPr>
            </w:pPr>
          </w:p>
        </w:tc>
        <w:tc>
          <w:tcPr>
            <w:tcW w:w="567" w:type="dxa"/>
            <w:tcMar>
              <w:left w:w="108" w:type="dxa"/>
            </w:tcMar>
            <w:vAlign w:val="center"/>
          </w:tcPr>
          <w:p w:rsidR="004300E2" w:rsidRDefault="004300E2" w:rsidP="00923B08">
            <w:pPr>
              <w:widowControl w:val="0"/>
              <w:spacing w:before="40" w:after="40"/>
              <w:jc w:val="left"/>
              <w:rPr>
                <w:lang w:val="it-IT"/>
              </w:rPr>
            </w:pPr>
          </w:p>
        </w:tc>
        <w:tc>
          <w:tcPr>
            <w:tcW w:w="567" w:type="dxa"/>
            <w:tcMar>
              <w:left w:w="108" w:type="dxa"/>
            </w:tcMar>
            <w:vAlign w:val="center"/>
          </w:tcPr>
          <w:p w:rsidR="004300E2" w:rsidRDefault="004300E2" w:rsidP="00923B08">
            <w:pPr>
              <w:widowControl w:val="0"/>
              <w:spacing w:before="40" w:after="40"/>
              <w:jc w:val="left"/>
              <w:rPr>
                <w:lang w:val="it-IT"/>
              </w:rPr>
            </w:pPr>
          </w:p>
        </w:tc>
      </w:tr>
      <w:tr w:rsidR="00D26424" w:rsidRPr="008129DA" w:rsidTr="00940A6F">
        <w:trPr>
          <w:cantSplit/>
          <w:trHeight w:val="20"/>
        </w:trPr>
        <w:tc>
          <w:tcPr>
            <w:tcW w:w="567" w:type="dxa"/>
          </w:tcPr>
          <w:p w:rsidR="00D26424" w:rsidRDefault="00D26424" w:rsidP="004300E2">
            <w:pPr>
              <w:pStyle w:val="Numeroelenco"/>
              <w:widowControl w:val="0"/>
              <w:spacing w:before="0" w:after="0" w:line="216" w:lineRule="exact"/>
              <w:ind w:left="0" w:firstLine="57"/>
              <w:rPr>
                <w:lang w:val="it-IT"/>
              </w:rPr>
            </w:pPr>
          </w:p>
        </w:tc>
        <w:tc>
          <w:tcPr>
            <w:tcW w:w="851" w:type="dxa"/>
            <w:tcMar>
              <w:left w:w="108" w:type="dxa"/>
              <w:right w:w="0" w:type="dxa"/>
            </w:tcMar>
          </w:tcPr>
          <w:p w:rsidR="00D26424" w:rsidRDefault="00D26424" w:rsidP="004300E2">
            <w:pPr>
              <w:pStyle w:val="IAS"/>
              <w:widowControl w:val="0"/>
              <w:spacing w:before="0" w:after="0" w:line="216" w:lineRule="exact"/>
              <w:rPr>
                <w:lang w:val="it-IT"/>
              </w:rPr>
            </w:pPr>
            <w:r w:rsidRPr="008A0F36">
              <w:rPr>
                <w:lang w:val="it-IT"/>
              </w:rPr>
              <w:t>IAS 1.29</w:t>
            </w:r>
          </w:p>
          <w:p w:rsidR="00D26424" w:rsidRDefault="00D26424" w:rsidP="004300E2">
            <w:pPr>
              <w:pStyle w:val="IAS"/>
              <w:widowControl w:val="0"/>
              <w:spacing w:before="0" w:after="0" w:line="216" w:lineRule="exact"/>
              <w:rPr>
                <w:lang w:val="it-IT"/>
              </w:rPr>
            </w:pPr>
          </w:p>
        </w:tc>
        <w:tc>
          <w:tcPr>
            <w:tcW w:w="7079" w:type="dxa"/>
            <w:tcMar>
              <w:left w:w="108" w:type="dxa"/>
            </w:tcMar>
          </w:tcPr>
          <w:p w:rsidR="00D26424" w:rsidRDefault="00D26424" w:rsidP="00FD41D8">
            <w:pPr>
              <w:widowControl w:val="0"/>
              <w:spacing w:before="0" w:after="0" w:line="226" w:lineRule="exact"/>
              <w:rPr>
                <w:lang w:val="it-IT"/>
              </w:rPr>
            </w:pPr>
            <w:r w:rsidRPr="008A0F36">
              <w:rPr>
                <w:lang w:val="it-IT"/>
              </w:rPr>
              <w:t>Ogni classe rilevante di elementi simili è stata presentata separatamente nel prospetto delle variazioni di patrimonio netto.</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Default="004300E2" w:rsidP="004300E2">
            <w:pPr>
              <w:pStyle w:val="Numeroelenco"/>
              <w:widowControl w:val="0"/>
              <w:spacing w:before="0" w:after="0" w:line="216" w:lineRule="exact"/>
              <w:ind w:left="0" w:firstLine="57"/>
              <w:rPr>
                <w:lang w:val="it-IT"/>
              </w:rPr>
            </w:pPr>
          </w:p>
        </w:tc>
        <w:tc>
          <w:tcPr>
            <w:tcW w:w="851" w:type="dxa"/>
            <w:tcMar>
              <w:left w:w="108" w:type="dxa"/>
              <w:right w:w="0" w:type="dxa"/>
            </w:tcMar>
          </w:tcPr>
          <w:p w:rsidR="004300E2" w:rsidRDefault="004300E2" w:rsidP="004300E2">
            <w:pPr>
              <w:pStyle w:val="IAS"/>
              <w:widowControl w:val="0"/>
              <w:spacing w:before="0" w:after="0" w:line="216" w:lineRule="exact"/>
              <w:rPr>
                <w:lang w:val="it-IT"/>
              </w:rPr>
            </w:pPr>
            <w:r w:rsidRPr="008A0F36">
              <w:rPr>
                <w:lang w:val="it-IT"/>
              </w:rPr>
              <w:t>IAS 1.106</w:t>
            </w:r>
          </w:p>
        </w:tc>
        <w:tc>
          <w:tcPr>
            <w:tcW w:w="7079" w:type="dxa"/>
            <w:tcMar>
              <w:left w:w="108" w:type="dxa"/>
            </w:tcMar>
          </w:tcPr>
          <w:p w:rsidR="004300E2" w:rsidRDefault="004300E2" w:rsidP="00FD41D8">
            <w:pPr>
              <w:widowControl w:val="0"/>
              <w:spacing w:before="0" w:after="0" w:line="226" w:lineRule="exact"/>
              <w:rPr>
                <w:lang w:val="it-IT"/>
              </w:rPr>
            </w:pPr>
            <w:r w:rsidRPr="008A0F36">
              <w:rPr>
                <w:lang w:val="it-IT"/>
              </w:rPr>
              <w:t>Il prospetto delle variazioni di patrimonio netto deve contenere le seguenti informazioni:</w:t>
            </w:r>
          </w:p>
        </w:tc>
        <w:tc>
          <w:tcPr>
            <w:tcW w:w="575" w:type="dxa"/>
            <w:tcMar>
              <w:left w:w="85" w:type="dxa"/>
              <w:right w:w="85" w:type="dxa"/>
            </w:tcMar>
            <w:vAlign w:val="center"/>
          </w:tcPr>
          <w:p w:rsidR="004300E2" w:rsidRDefault="004300E2" w:rsidP="004300E2">
            <w:pPr>
              <w:widowControl w:val="0"/>
              <w:spacing w:before="0" w:after="0" w:line="216" w:lineRule="exact"/>
              <w:jc w:val="center"/>
              <w:rPr>
                <w:lang w:val="it-IT"/>
              </w:rPr>
            </w:pPr>
          </w:p>
        </w:tc>
        <w:tc>
          <w:tcPr>
            <w:tcW w:w="567" w:type="dxa"/>
            <w:tcMar>
              <w:left w:w="108" w:type="dxa"/>
            </w:tcMar>
            <w:vAlign w:val="center"/>
          </w:tcPr>
          <w:p w:rsidR="004300E2" w:rsidRDefault="004300E2" w:rsidP="004300E2">
            <w:pPr>
              <w:widowControl w:val="0"/>
              <w:spacing w:before="0" w:after="0" w:line="216" w:lineRule="exact"/>
              <w:jc w:val="center"/>
              <w:rPr>
                <w:lang w:val="it-IT"/>
              </w:rPr>
            </w:pPr>
          </w:p>
        </w:tc>
        <w:tc>
          <w:tcPr>
            <w:tcW w:w="567" w:type="dxa"/>
            <w:tcMar>
              <w:left w:w="108" w:type="dxa"/>
            </w:tcMar>
            <w:vAlign w:val="center"/>
          </w:tcPr>
          <w:p w:rsidR="004300E2" w:rsidRDefault="004300E2" w:rsidP="004300E2">
            <w:pPr>
              <w:widowControl w:val="0"/>
              <w:spacing w:before="0" w:after="0" w:line="216" w:lineRule="exact"/>
              <w:jc w:val="center"/>
              <w:rPr>
                <w:lang w:val="it-IT"/>
              </w:rPr>
            </w:pPr>
          </w:p>
        </w:tc>
      </w:tr>
      <w:tr w:rsidR="00D26424" w:rsidRPr="008129DA" w:rsidTr="00940A6F">
        <w:trPr>
          <w:cantSplit/>
          <w:trHeight w:val="20"/>
        </w:trPr>
        <w:tc>
          <w:tcPr>
            <w:tcW w:w="567" w:type="dxa"/>
          </w:tcPr>
          <w:p w:rsidR="00D26424" w:rsidRDefault="00D26424" w:rsidP="004300E2">
            <w:pPr>
              <w:widowControl w:val="0"/>
              <w:spacing w:before="0" w:after="0" w:line="216" w:lineRule="exact"/>
              <w:rPr>
                <w:lang w:val="it-IT"/>
              </w:rPr>
            </w:pPr>
          </w:p>
        </w:tc>
        <w:tc>
          <w:tcPr>
            <w:tcW w:w="851" w:type="dxa"/>
            <w:tcMar>
              <w:left w:w="108" w:type="dxa"/>
              <w:right w:w="0" w:type="dxa"/>
            </w:tcMar>
          </w:tcPr>
          <w:p w:rsidR="00D26424" w:rsidRDefault="00D26424" w:rsidP="004300E2">
            <w:pPr>
              <w:widowControl w:val="0"/>
              <w:spacing w:before="0" w:after="0" w:line="216" w:lineRule="exact"/>
              <w:rPr>
                <w:lang w:val="it-IT"/>
              </w:rPr>
            </w:pPr>
          </w:p>
        </w:tc>
        <w:tc>
          <w:tcPr>
            <w:tcW w:w="7079" w:type="dxa"/>
            <w:tcMar>
              <w:left w:w="108" w:type="dxa"/>
            </w:tcMar>
          </w:tcPr>
          <w:p w:rsidR="00D26424" w:rsidRDefault="00D26424" w:rsidP="00FD41D8">
            <w:pPr>
              <w:pStyle w:val="Rientroa"/>
              <w:widowControl w:val="0"/>
              <w:numPr>
                <w:ilvl w:val="0"/>
                <w:numId w:val="34"/>
              </w:numPr>
              <w:spacing w:before="0" w:after="0" w:line="226" w:lineRule="exact"/>
              <w:rPr>
                <w:iCs/>
              </w:rPr>
            </w:pPr>
            <w:r w:rsidRPr="008A0F36">
              <w:t xml:space="preserve">totale conto economico complessivo del periodo, con separata esposizione della quota attribuibile ai soci della controllante e della quota attribuibile alle </w:t>
            </w:r>
            <w:r>
              <w:t>partecipazioni di minoranza</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Height w:val="20"/>
        </w:trPr>
        <w:tc>
          <w:tcPr>
            <w:tcW w:w="567" w:type="dxa"/>
          </w:tcPr>
          <w:p w:rsidR="00D26424" w:rsidRDefault="00D26424" w:rsidP="004300E2">
            <w:pPr>
              <w:widowControl w:val="0"/>
              <w:spacing w:before="0" w:after="0" w:line="216" w:lineRule="exact"/>
              <w:rPr>
                <w:lang w:val="it-IT"/>
              </w:rPr>
            </w:pPr>
          </w:p>
        </w:tc>
        <w:tc>
          <w:tcPr>
            <w:tcW w:w="851" w:type="dxa"/>
            <w:tcMar>
              <w:left w:w="108" w:type="dxa"/>
              <w:right w:w="0" w:type="dxa"/>
            </w:tcMar>
          </w:tcPr>
          <w:p w:rsidR="00D26424" w:rsidRDefault="00D26424" w:rsidP="004300E2">
            <w:pPr>
              <w:widowControl w:val="0"/>
              <w:spacing w:before="0" w:after="0" w:line="216" w:lineRule="exact"/>
              <w:jc w:val="center"/>
              <w:rPr>
                <w:sz w:val="13"/>
                <w:szCs w:val="13"/>
                <w:lang w:val="it-IT"/>
              </w:rPr>
            </w:pPr>
            <w:r w:rsidRPr="008A0F36">
              <w:rPr>
                <w:sz w:val="13"/>
                <w:szCs w:val="13"/>
                <w:lang w:val="it-IT"/>
              </w:rPr>
              <w:t>IAS 8.22</w:t>
            </w:r>
          </w:p>
        </w:tc>
        <w:tc>
          <w:tcPr>
            <w:tcW w:w="7079" w:type="dxa"/>
            <w:tcMar>
              <w:left w:w="108" w:type="dxa"/>
            </w:tcMar>
          </w:tcPr>
          <w:p w:rsidR="00D26424" w:rsidRDefault="00D26424" w:rsidP="00FD41D8">
            <w:pPr>
              <w:pStyle w:val="Rientroa"/>
              <w:widowControl w:val="0"/>
              <w:spacing w:before="0" w:after="0" w:line="226" w:lineRule="exact"/>
            </w:pPr>
            <w:r w:rsidRPr="008A0F36">
              <w:t>per ogni componente del patrimonio netto, gli effetti conseguenti ad un’applicazione o rideterminazione retroattiva rilevati in accordo con lo IAS 8</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Height w:val="20"/>
        </w:trPr>
        <w:tc>
          <w:tcPr>
            <w:tcW w:w="567" w:type="dxa"/>
          </w:tcPr>
          <w:p w:rsidR="00D26424" w:rsidRDefault="00D26424" w:rsidP="00923DEA">
            <w:pPr>
              <w:widowControl w:val="0"/>
              <w:spacing w:before="0" w:after="0" w:line="216" w:lineRule="exact"/>
              <w:rPr>
                <w:lang w:val="it-IT"/>
              </w:rPr>
            </w:pPr>
          </w:p>
        </w:tc>
        <w:tc>
          <w:tcPr>
            <w:tcW w:w="851" w:type="dxa"/>
            <w:tcMar>
              <w:left w:w="108" w:type="dxa"/>
              <w:right w:w="0" w:type="dxa"/>
            </w:tcMar>
          </w:tcPr>
          <w:p w:rsidR="00D26424" w:rsidRDefault="00D26424" w:rsidP="00923DEA">
            <w:pPr>
              <w:widowControl w:val="0"/>
              <w:spacing w:before="0" w:after="0" w:line="216" w:lineRule="exact"/>
              <w:rPr>
                <w:lang w:val="it-IT"/>
              </w:rPr>
            </w:pPr>
          </w:p>
        </w:tc>
        <w:tc>
          <w:tcPr>
            <w:tcW w:w="7079" w:type="dxa"/>
            <w:tcMar>
              <w:left w:w="108" w:type="dxa"/>
            </w:tcMar>
          </w:tcPr>
          <w:p w:rsidR="00D26424" w:rsidRDefault="00D26424" w:rsidP="00923DEA">
            <w:pPr>
              <w:pStyle w:val="Rientroa"/>
              <w:widowControl w:val="0"/>
              <w:spacing w:before="0" w:after="0" w:line="226" w:lineRule="exact"/>
            </w:pPr>
            <w:r w:rsidRPr="008A0F36">
              <w:t>per ogni componente del patrimonio netto, una riconciliazione tra il valore contabile all’inizio ed alla fine del periodo, con evidenza separata delle variazioni derivanti da:</w:t>
            </w:r>
          </w:p>
        </w:tc>
        <w:tc>
          <w:tcPr>
            <w:tcW w:w="575" w:type="dxa"/>
            <w:tcMar>
              <w:left w:w="85" w:type="dxa"/>
              <w:right w:w="85" w:type="dxa"/>
            </w:tcMar>
            <w:vAlign w:val="center"/>
          </w:tcPr>
          <w:p w:rsidR="00D26424" w:rsidRDefault="00D26424" w:rsidP="00923DEA">
            <w:pPr>
              <w:widowControl w:val="0"/>
              <w:spacing w:before="0" w:after="0" w:line="216" w:lineRule="exact"/>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Default="00D26424" w:rsidP="00923DEA">
            <w:pPr>
              <w:widowControl w:val="0"/>
              <w:spacing w:before="0" w:after="0" w:line="216" w:lineRule="exact"/>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Default="00D26424" w:rsidP="00923DEA">
            <w:pPr>
              <w:widowControl w:val="0"/>
              <w:spacing w:before="0" w:after="0" w:line="216" w:lineRule="exact"/>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A0F36" w:rsidTr="00940A6F">
        <w:trPr>
          <w:cantSplit/>
          <w:trHeight w:val="20"/>
        </w:trPr>
        <w:tc>
          <w:tcPr>
            <w:tcW w:w="567" w:type="dxa"/>
          </w:tcPr>
          <w:p w:rsidR="00D26424" w:rsidRDefault="00D26424" w:rsidP="004300E2">
            <w:pPr>
              <w:widowControl w:val="0"/>
              <w:spacing w:before="0" w:after="0" w:line="216" w:lineRule="exact"/>
              <w:rPr>
                <w:lang w:val="it-IT"/>
              </w:rPr>
            </w:pPr>
          </w:p>
        </w:tc>
        <w:tc>
          <w:tcPr>
            <w:tcW w:w="851" w:type="dxa"/>
            <w:tcMar>
              <w:left w:w="108" w:type="dxa"/>
              <w:right w:w="0" w:type="dxa"/>
            </w:tcMar>
          </w:tcPr>
          <w:p w:rsidR="00D26424" w:rsidRDefault="00D26424" w:rsidP="004300E2">
            <w:pPr>
              <w:widowControl w:val="0"/>
              <w:spacing w:before="0" w:after="0" w:line="216" w:lineRule="exact"/>
              <w:rPr>
                <w:lang w:val="it-IT"/>
              </w:rPr>
            </w:pPr>
          </w:p>
        </w:tc>
        <w:tc>
          <w:tcPr>
            <w:tcW w:w="7079" w:type="dxa"/>
            <w:tcMar>
              <w:left w:w="108" w:type="dxa"/>
            </w:tcMar>
          </w:tcPr>
          <w:p w:rsidR="00D26424" w:rsidRDefault="00D26424" w:rsidP="004300E2">
            <w:pPr>
              <w:pStyle w:val="Puntoelenco"/>
              <w:widowControl w:val="0"/>
              <w:spacing w:before="0" w:after="0"/>
              <w:ind w:hanging="322"/>
            </w:pPr>
            <w:r w:rsidRPr="008A0F36">
              <w:t>utile/(perdita)</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Height w:val="20"/>
        </w:trPr>
        <w:tc>
          <w:tcPr>
            <w:tcW w:w="567" w:type="dxa"/>
          </w:tcPr>
          <w:p w:rsidR="00D26424" w:rsidRDefault="00D26424" w:rsidP="004300E2">
            <w:pPr>
              <w:widowControl w:val="0"/>
              <w:spacing w:before="0" w:after="0" w:line="216" w:lineRule="exact"/>
              <w:rPr>
                <w:lang w:val="it-IT"/>
              </w:rPr>
            </w:pPr>
          </w:p>
        </w:tc>
        <w:tc>
          <w:tcPr>
            <w:tcW w:w="851" w:type="dxa"/>
            <w:tcMar>
              <w:left w:w="108" w:type="dxa"/>
              <w:right w:w="0" w:type="dxa"/>
            </w:tcMar>
          </w:tcPr>
          <w:p w:rsidR="00D26424" w:rsidRDefault="00D26424" w:rsidP="004300E2">
            <w:pPr>
              <w:widowControl w:val="0"/>
              <w:spacing w:before="0" w:after="0" w:line="216" w:lineRule="exact"/>
              <w:rPr>
                <w:lang w:val="it-IT"/>
              </w:rPr>
            </w:pPr>
          </w:p>
        </w:tc>
        <w:tc>
          <w:tcPr>
            <w:tcW w:w="7079" w:type="dxa"/>
            <w:tcMar>
              <w:left w:w="108" w:type="dxa"/>
            </w:tcMar>
          </w:tcPr>
          <w:p w:rsidR="00D26424" w:rsidRDefault="00D26424" w:rsidP="004300E2">
            <w:pPr>
              <w:pStyle w:val="Puntoelenco"/>
              <w:widowControl w:val="0"/>
              <w:spacing w:before="0" w:after="0"/>
              <w:ind w:hanging="322"/>
            </w:pPr>
            <w:r w:rsidRPr="008A0F36">
              <w:t xml:space="preserve">altre componenti </w:t>
            </w:r>
            <w:r>
              <w:t xml:space="preserve">di </w:t>
            </w:r>
            <w:r w:rsidRPr="008A0F36">
              <w:t>conto economico complessivo</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Height w:val="20"/>
        </w:trPr>
        <w:tc>
          <w:tcPr>
            <w:tcW w:w="567" w:type="dxa"/>
          </w:tcPr>
          <w:p w:rsidR="00D26424" w:rsidRDefault="00D26424" w:rsidP="004300E2">
            <w:pPr>
              <w:widowControl w:val="0"/>
              <w:spacing w:before="0" w:after="0" w:line="216" w:lineRule="exact"/>
              <w:rPr>
                <w:lang w:val="it-IT"/>
              </w:rPr>
            </w:pPr>
          </w:p>
        </w:tc>
        <w:tc>
          <w:tcPr>
            <w:tcW w:w="851" w:type="dxa"/>
            <w:tcMar>
              <w:left w:w="108" w:type="dxa"/>
              <w:right w:w="0" w:type="dxa"/>
            </w:tcMar>
          </w:tcPr>
          <w:p w:rsidR="00D26424" w:rsidRDefault="00D26424" w:rsidP="004300E2">
            <w:pPr>
              <w:widowControl w:val="0"/>
              <w:spacing w:before="0" w:after="0" w:line="216" w:lineRule="exact"/>
              <w:rPr>
                <w:lang w:val="it-IT"/>
              </w:rPr>
            </w:pPr>
          </w:p>
        </w:tc>
        <w:tc>
          <w:tcPr>
            <w:tcW w:w="7079" w:type="dxa"/>
            <w:tcMar>
              <w:left w:w="108" w:type="dxa"/>
            </w:tcMar>
          </w:tcPr>
          <w:p w:rsidR="00D26424" w:rsidRDefault="00D26424" w:rsidP="004300E2">
            <w:pPr>
              <w:pStyle w:val="Puntoelenco"/>
              <w:widowControl w:val="0"/>
              <w:spacing w:before="0" w:after="0"/>
              <w:ind w:hanging="322"/>
            </w:pPr>
            <w:r w:rsidRPr="008A0F36">
              <w:t>operazioni con i soci nella loro qualità di soci, con evidenza separata di contribuzioni da soci e distribuzione agli stessi nonché le modifiche delle quote di partecipazione in società controllate che non hanno comportato la perdita del controllo.</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Default="004300E2" w:rsidP="004300E2">
            <w:pPr>
              <w:pStyle w:val="Numeroelenco"/>
              <w:widowControl w:val="0"/>
              <w:numPr>
                <w:ilvl w:val="0"/>
                <w:numId w:val="0"/>
              </w:numPr>
              <w:spacing w:before="40" w:after="40" w:line="216" w:lineRule="exact"/>
              <w:ind w:left="57"/>
              <w:rPr>
                <w:lang w:val="it-IT"/>
              </w:rPr>
            </w:pPr>
          </w:p>
        </w:tc>
        <w:tc>
          <w:tcPr>
            <w:tcW w:w="851" w:type="dxa"/>
            <w:tcMar>
              <w:left w:w="108" w:type="dxa"/>
              <w:right w:w="0" w:type="dxa"/>
            </w:tcMar>
          </w:tcPr>
          <w:p w:rsidR="004300E2" w:rsidRDefault="004300E2" w:rsidP="004300E2">
            <w:pPr>
              <w:pStyle w:val="IAS"/>
              <w:widowControl w:val="0"/>
              <w:spacing w:after="40" w:line="216" w:lineRule="exact"/>
              <w:rPr>
                <w:lang w:val="it-IT"/>
              </w:rPr>
            </w:pPr>
            <w:r>
              <w:rPr>
                <w:lang w:val="it-IT"/>
              </w:rPr>
              <w:t>IAS 1.108</w:t>
            </w:r>
          </w:p>
        </w:tc>
        <w:tc>
          <w:tcPr>
            <w:tcW w:w="7079" w:type="dxa"/>
            <w:tcMar>
              <w:left w:w="108" w:type="dxa"/>
            </w:tcMar>
          </w:tcPr>
          <w:p w:rsidR="004300E2" w:rsidRDefault="004300E2" w:rsidP="00923DEA">
            <w:pPr>
              <w:pStyle w:val="Paragarfobordato"/>
            </w:pPr>
            <w:r w:rsidRPr="008A0F36">
              <w:t>Per esempio, le componenti di patrimonio netto includono ogni classe di capitale versato, il saldo progressivo di ciascuna classe delle altre componenti di conto economico complessivo e degli utili a nuovo.</w:t>
            </w:r>
          </w:p>
        </w:tc>
        <w:tc>
          <w:tcPr>
            <w:tcW w:w="575" w:type="dxa"/>
            <w:tcMar>
              <w:left w:w="85" w:type="dxa"/>
              <w:right w:w="85" w:type="dxa"/>
            </w:tcMar>
            <w:vAlign w:val="center"/>
          </w:tcPr>
          <w:p w:rsidR="004300E2" w:rsidRDefault="004300E2" w:rsidP="004300E2">
            <w:pPr>
              <w:widowControl w:val="0"/>
              <w:spacing w:before="40" w:after="40" w:line="216" w:lineRule="exact"/>
              <w:jc w:val="center"/>
              <w:rPr>
                <w:lang w:val="it-IT"/>
              </w:rPr>
            </w:pPr>
          </w:p>
        </w:tc>
        <w:tc>
          <w:tcPr>
            <w:tcW w:w="567" w:type="dxa"/>
            <w:tcMar>
              <w:left w:w="108" w:type="dxa"/>
            </w:tcMar>
            <w:vAlign w:val="center"/>
          </w:tcPr>
          <w:p w:rsidR="004300E2" w:rsidRDefault="004300E2" w:rsidP="004300E2">
            <w:pPr>
              <w:widowControl w:val="0"/>
              <w:spacing w:before="40" w:after="40" w:line="216" w:lineRule="exact"/>
              <w:jc w:val="center"/>
              <w:rPr>
                <w:lang w:val="it-IT"/>
              </w:rPr>
            </w:pPr>
          </w:p>
        </w:tc>
        <w:tc>
          <w:tcPr>
            <w:tcW w:w="567" w:type="dxa"/>
            <w:tcMar>
              <w:left w:w="108" w:type="dxa"/>
            </w:tcMar>
            <w:vAlign w:val="center"/>
          </w:tcPr>
          <w:p w:rsidR="004300E2" w:rsidRDefault="004300E2" w:rsidP="004300E2">
            <w:pPr>
              <w:widowControl w:val="0"/>
              <w:spacing w:before="40" w:after="40" w:line="216" w:lineRule="exact"/>
              <w:jc w:val="center"/>
              <w:rPr>
                <w:lang w:val="it-IT"/>
              </w:rPr>
            </w:pPr>
          </w:p>
        </w:tc>
      </w:tr>
      <w:tr w:rsidR="00D26424" w:rsidRPr="008129DA" w:rsidTr="00940A6F">
        <w:trPr>
          <w:cantSplit/>
          <w:trHeight w:val="20"/>
        </w:trPr>
        <w:tc>
          <w:tcPr>
            <w:tcW w:w="567" w:type="dxa"/>
          </w:tcPr>
          <w:p w:rsidR="00D26424" w:rsidRDefault="00D26424" w:rsidP="004300E2">
            <w:pPr>
              <w:pStyle w:val="Numeroelenco"/>
              <w:widowControl w:val="0"/>
              <w:spacing w:before="0" w:after="0" w:line="216" w:lineRule="exact"/>
              <w:ind w:left="0" w:firstLine="57"/>
              <w:rPr>
                <w:lang w:val="it-IT"/>
              </w:rPr>
            </w:pPr>
          </w:p>
        </w:tc>
        <w:tc>
          <w:tcPr>
            <w:tcW w:w="851" w:type="dxa"/>
            <w:tcMar>
              <w:left w:w="108" w:type="dxa"/>
              <w:right w:w="0" w:type="dxa"/>
            </w:tcMar>
          </w:tcPr>
          <w:p w:rsidR="00D26424" w:rsidRDefault="00D26424" w:rsidP="004300E2">
            <w:pPr>
              <w:pStyle w:val="IAS"/>
              <w:widowControl w:val="0"/>
              <w:spacing w:before="0" w:after="0" w:line="216" w:lineRule="exact"/>
              <w:rPr>
                <w:lang w:val="it-IT"/>
              </w:rPr>
            </w:pPr>
            <w:r w:rsidRPr="008A0F36">
              <w:rPr>
                <w:lang w:val="it-IT"/>
              </w:rPr>
              <w:t>IAS 1.106A</w:t>
            </w:r>
          </w:p>
          <w:p w:rsidR="00D26424" w:rsidRDefault="00D26424" w:rsidP="004300E2">
            <w:pPr>
              <w:pStyle w:val="IAS"/>
              <w:widowControl w:val="0"/>
              <w:spacing w:before="0" w:after="0" w:line="216" w:lineRule="exact"/>
              <w:rPr>
                <w:lang w:val="it-IT"/>
              </w:rPr>
            </w:pPr>
          </w:p>
        </w:tc>
        <w:tc>
          <w:tcPr>
            <w:tcW w:w="7079" w:type="dxa"/>
            <w:tcMar>
              <w:left w:w="108" w:type="dxa"/>
            </w:tcMar>
          </w:tcPr>
          <w:p w:rsidR="00D26424" w:rsidRDefault="00D26424" w:rsidP="003A5BB7">
            <w:pPr>
              <w:widowControl w:val="0"/>
              <w:spacing w:before="0" w:after="0"/>
              <w:rPr>
                <w:lang w:val="it-IT"/>
              </w:rPr>
            </w:pPr>
            <w:r w:rsidRPr="008A0F36">
              <w:rPr>
                <w:lang w:val="it-IT"/>
              </w:rPr>
              <w:t xml:space="preserve">L’entità espone per ogni componente del patrimonio netto un’analisi delle </w:t>
            </w:r>
            <w:r>
              <w:rPr>
                <w:lang w:val="it-IT"/>
              </w:rPr>
              <w:t>altre componenti di conto economico complessivo</w:t>
            </w:r>
            <w:r w:rsidRPr="008A0F36">
              <w:rPr>
                <w:lang w:val="it-IT"/>
              </w:rPr>
              <w:t>, o nel prospetto delle variazioni di patrimonio netto o nelle note</w:t>
            </w:r>
            <w:r>
              <w:rPr>
                <w:lang w:val="it-IT"/>
              </w:rPr>
              <w:t>.</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Default="004300E2" w:rsidP="004300E2">
            <w:pPr>
              <w:pStyle w:val="Numeroelenco"/>
              <w:widowControl w:val="0"/>
              <w:spacing w:before="0" w:after="0" w:line="216" w:lineRule="exact"/>
              <w:ind w:left="0" w:firstLine="57"/>
              <w:rPr>
                <w:lang w:val="it-IT"/>
              </w:rPr>
            </w:pPr>
          </w:p>
        </w:tc>
        <w:tc>
          <w:tcPr>
            <w:tcW w:w="851" w:type="dxa"/>
            <w:tcMar>
              <w:left w:w="108" w:type="dxa"/>
              <w:right w:w="0" w:type="dxa"/>
            </w:tcMar>
          </w:tcPr>
          <w:p w:rsidR="004300E2" w:rsidRDefault="004300E2" w:rsidP="004300E2">
            <w:pPr>
              <w:pStyle w:val="IAS"/>
              <w:widowControl w:val="0"/>
              <w:spacing w:before="0" w:after="0" w:line="216" w:lineRule="exact"/>
              <w:rPr>
                <w:lang w:val="it-IT"/>
              </w:rPr>
            </w:pPr>
            <w:r w:rsidRPr="008A0F36">
              <w:rPr>
                <w:lang w:val="it-IT"/>
              </w:rPr>
              <w:t>IAS 1.107</w:t>
            </w:r>
          </w:p>
        </w:tc>
        <w:tc>
          <w:tcPr>
            <w:tcW w:w="7079" w:type="dxa"/>
            <w:tcMar>
              <w:left w:w="108" w:type="dxa"/>
            </w:tcMar>
          </w:tcPr>
          <w:p w:rsidR="004300E2" w:rsidRDefault="004300E2" w:rsidP="003A5BB7">
            <w:pPr>
              <w:widowControl w:val="0"/>
              <w:spacing w:before="0" w:after="0"/>
              <w:rPr>
                <w:lang w:val="it-IT"/>
              </w:rPr>
            </w:pPr>
            <w:r w:rsidRPr="008A0F36">
              <w:rPr>
                <w:lang w:val="it-IT"/>
              </w:rPr>
              <w:t>L’entità espone nel prospetto delle variazioni di patrimonio netto o nelle note:</w:t>
            </w:r>
          </w:p>
        </w:tc>
        <w:tc>
          <w:tcPr>
            <w:tcW w:w="575" w:type="dxa"/>
            <w:tcMar>
              <w:left w:w="85" w:type="dxa"/>
              <w:right w:w="85" w:type="dxa"/>
            </w:tcMar>
            <w:vAlign w:val="center"/>
          </w:tcPr>
          <w:p w:rsidR="004300E2" w:rsidRDefault="004300E2" w:rsidP="004300E2">
            <w:pPr>
              <w:widowControl w:val="0"/>
              <w:spacing w:before="0" w:after="0" w:line="216" w:lineRule="exact"/>
              <w:jc w:val="center"/>
              <w:rPr>
                <w:lang w:val="it-IT"/>
              </w:rPr>
            </w:pPr>
          </w:p>
        </w:tc>
        <w:tc>
          <w:tcPr>
            <w:tcW w:w="567" w:type="dxa"/>
            <w:tcMar>
              <w:left w:w="108" w:type="dxa"/>
            </w:tcMar>
            <w:vAlign w:val="center"/>
          </w:tcPr>
          <w:p w:rsidR="004300E2" w:rsidRDefault="004300E2" w:rsidP="004300E2">
            <w:pPr>
              <w:widowControl w:val="0"/>
              <w:spacing w:before="0" w:after="0" w:line="216" w:lineRule="exact"/>
              <w:jc w:val="center"/>
              <w:rPr>
                <w:lang w:val="it-IT"/>
              </w:rPr>
            </w:pPr>
          </w:p>
        </w:tc>
        <w:tc>
          <w:tcPr>
            <w:tcW w:w="567" w:type="dxa"/>
            <w:tcMar>
              <w:left w:w="108" w:type="dxa"/>
            </w:tcMar>
            <w:vAlign w:val="center"/>
          </w:tcPr>
          <w:p w:rsidR="004300E2" w:rsidRDefault="004300E2" w:rsidP="004300E2">
            <w:pPr>
              <w:widowControl w:val="0"/>
              <w:spacing w:before="0" w:after="0" w:line="216" w:lineRule="exact"/>
              <w:jc w:val="center"/>
              <w:rPr>
                <w:lang w:val="it-IT"/>
              </w:rPr>
            </w:pPr>
          </w:p>
        </w:tc>
      </w:tr>
      <w:tr w:rsidR="00D26424" w:rsidRPr="008129DA" w:rsidTr="00940A6F">
        <w:trPr>
          <w:cantSplit/>
          <w:trHeight w:val="20"/>
        </w:trPr>
        <w:tc>
          <w:tcPr>
            <w:tcW w:w="567" w:type="dxa"/>
          </w:tcPr>
          <w:p w:rsidR="00D26424" w:rsidRDefault="00D26424" w:rsidP="004300E2">
            <w:pPr>
              <w:widowControl w:val="0"/>
              <w:spacing w:before="0" w:after="0" w:line="216" w:lineRule="exact"/>
              <w:rPr>
                <w:lang w:val="it-IT"/>
              </w:rPr>
            </w:pPr>
          </w:p>
        </w:tc>
        <w:tc>
          <w:tcPr>
            <w:tcW w:w="851" w:type="dxa"/>
            <w:tcMar>
              <w:left w:w="108" w:type="dxa"/>
              <w:right w:w="0" w:type="dxa"/>
            </w:tcMar>
          </w:tcPr>
          <w:p w:rsidR="00D26424" w:rsidRDefault="00D26424" w:rsidP="004300E2">
            <w:pPr>
              <w:widowControl w:val="0"/>
              <w:spacing w:before="0" w:after="0" w:line="216" w:lineRule="exact"/>
              <w:rPr>
                <w:lang w:val="it-IT"/>
              </w:rPr>
            </w:pPr>
          </w:p>
        </w:tc>
        <w:tc>
          <w:tcPr>
            <w:tcW w:w="7079" w:type="dxa"/>
            <w:tcMar>
              <w:left w:w="108" w:type="dxa"/>
            </w:tcMar>
          </w:tcPr>
          <w:p w:rsidR="00D26424" w:rsidRDefault="00D26424" w:rsidP="003A5BB7">
            <w:pPr>
              <w:pStyle w:val="Rientroa"/>
              <w:widowControl w:val="0"/>
              <w:numPr>
                <w:ilvl w:val="0"/>
                <w:numId w:val="32"/>
              </w:numPr>
              <w:spacing w:before="0" w:after="0"/>
              <w:rPr>
                <w:iCs/>
              </w:rPr>
            </w:pPr>
            <w:r w:rsidRPr="008A0F36">
              <w:t>l’importo dei dividendi rilevati nel periodo come distribuzioni ai soci, 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Height w:val="20"/>
        </w:trPr>
        <w:tc>
          <w:tcPr>
            <w:tcW w:w="567" w:type="dxa"/>
          </w:tcPr>
          <w:p w:rsidR="00D26424" w:rsidRDefault="00D26424" w:rsidP="004300E2">
            <w:pPr>
              <w:widowControl w:val="0"/>
              <w:spacing w:before="0" w:after="0" w:line="216" w:lineRule="exact"/>
              <w:rPr>
                <w:lang w:val="it-IT"/>
              </w:rPr>
            </w:pPr>
          </w:p>
        </w:tc>
        <w:tc>
          <w:tcPr>
            <w:tcW w:w="851" w:type="dxa"/>
            <w:tcMar>
              <w:left w:w="108" w:type="dxa"/>
              <w:right w:w="0" w:type="dxa"/>
            </w:tcMar>
          </w:tcPr>
          <w:p w:rsidR="00D26424" w:rsidRDefault="00D26424" w:rsidP="004300E2">
            <w:pPr>
              <w:widowControl w:val="0"/>
              <w:spacing w:before="0" w:after="0" w:line="216" w:lineRule="exact"/>
              <w:rPr>
                <w:lang w:val="it-IT"/>
              </w:rPr>
            </w:pPr>
          </w:p>
        </w:tc>
        <w:tc>
          <w:tcPr>
            <w:tcW w:w="7079" w:type="dxa"/>
            <w:tcMar>
              <w:left w:w="108" w:type="dxa"/>
            </w:tcMar>
          </w:tcPr>
          <w:p w:rsidR="00D26424" w:rsidRDefault="00D26424" w:rsidP="003A5BB7">
            <w:pPr>
              <w:pStyle w:val="Rientroa"/>
              <w:widowControl w:val="0"/>
              <w:spacing w:before="0" w:after="0"/>
            </w:pPr>
            <w:r w:rsidRPr="008A0F36">
              <w:t>l’importo del relativo dividendo per azione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Default="004300E2" w:rsidP="004300E2">
            <w:pPr>
              <w:pStyle w:val="Numeroelenco"/>
              <w:widowControl w:val="0"/>
              <w:numPr>
                <w:ilvl w:val="0"/>
                <w:numId w:val="0"/>
              </w:numPr>
              <w:spacing w:before="0" w:after="0" w:line="216" w:lineRule="exact"/>
              <w:ind w:left="57"/>
              <w:rPr>
                <w:lang w:val="it-IT"/>
              </w:rPr>
            </w:pPr>
          </w:p>
        </w:tc>
        <w:tc>
          <w:tcPr>
            <w:tcW w:w="851" w:type="dxa"/>
            <w:tcMar>
              <w:left w:w="108" w:type="dxa"/>
              <w:right w:w="0" w:type="dxa"/>
            </w:tcMar>
          </w:tcPr>
          <w:p w:rsidR="004300E2" w:rsidRDefault="004300E2" w:rsidP="004300E2">
            <w:pPr>
              <w:pStyle w:val="IAS"/>
              <w:widowControl w:val="0"/>
              <w:spacing w:before="0" w:after="0" w:line="216" w:lineRule="exact"/>
              <w:rPr>
                <w:lang w:val="it-IT"/>
              </w:rPr>
            </w:pPr>
            <w:r w:rsidRPr="008A0F36">
              <w:rPr>
                <w:lang w:val="it-IT"/>
              </w:rPr>
              <w:t>IAS 32.35</w:t>
            </w:r>
          </w:p>
        </w:tc>
        <w:tc>
          <w:tcPr>
            <w:tcW w:w="7079" w:type="dxa"/>
            <w:tcMar>
              <w:left w:w="108" w:type="dxa"/>
            </w:tcMar>
          </w:tcPr>
          <w:p w:rsidR="004300E2" w:rsidRDefault="004300E2" w:rsidP="00923DEA">
            <w:pPr>
              <w:pStyle w:val="Paragarfobordato"/>
            </w:pPr>
            <w:r>
              <w:t xml:space="preserve">L’entità </w:t>
            </w:r>
            <w:r w:rsidRPr="008A0F36">
              <w:t>contabilizza l</w:t>
            </w:r>
            <w:r>
              <w:t>e</w:t>
            </w:r>
            <w:r w:rsidRPr="008A0F36">
              <w:t xml:space="preserve"> distribuzion</w:t>
            </w:r>
            <w:r>
              <w:t xml:space="preserve">i ai possessori di </w:t>
            </w:r>
            <w:r w:rsidRPr="008A0F36">
              <w:t xml:space="preserve">uno strumento </w:t>
            </w:r>
            <w:r>
              <w:t xml:space="preserve">rappresentativo di capitale direttamente nel </w:t>
            </w:r>
            <w:r w:rsidRPr="008A0F36">
              <w:t>patrimonio netto</w:t>
            </w:r>
            <w:r>
              <w:t>.</w:t>
            </w:r>
            <w:r w:rsidRPr="008A0F36">
              <w:t xml:space="preserve"> L’entità contabilizza i costi di transazione legati </w:t>
            </w:r>
            <w:r>
              <w:t xml:space="preserve">ad </w:t>
            </w:r>
            <w:r w:rsidRPr="008A0F36">
              <w:t>un’operazione sul capitale in deduzione del patrimonio netto</w:t>
            </w:r>
            <w:r>
              <w:t>. Le imposte sul reddito relative alle distribuzioni e ai costi di transazione sono contabilizzate in conformità allo IAS 12.</w:t>
            </w:r>
          </w:p>
        </w:tc>
        <w:tc>
          <w:tcPr>
            <w:tcW w:w="575" w:type="dxa"/>
            <w:tcMar>
              <w:left w:w="85" w:type="dxa"/>
              <w:right w:w="85" w:type="dxa"/>
            </w:tcMar>
            <w:vAlign w:val="center"/>
          </w:tcPr>
          <w:p w:rsidR="004300E2" w:rsidRDefault="004300E2" w:rsidP="004300E2">
            <w:pPr>
              <w:widowControl w:val="0"/>
              <w:spacing w:before="0" w:after="0" w:line="216" w:lineRule="exact"/>
              <w:jc w:val="center"/>
              <w:rPr>
                <w:lang w:val="it-IT"/>
              </w:rPr>
            </w:pPr>
          </w:p>
        </w:tc>
        <w:tc>
          <w:tcPr>
            <w:tcW w:w="567" w:type="dxa"/>
            <w:tcMar>
              <w:left w:w="108" w:type="dxa"/>
            </w:tcMar>
            <w:vAlign w:val="center"/>
          </w:tcPr>
          <w:p w:rsidR="004300E2" w:rsidRDefault="004300E2" w:rsidP="004300E2">
            <w:pPr>
              <w:widowControl w:val="0"/>
              <w:spacing w:before="0" w:after="0" w:line="216" w:lineRule="exact"/>
              <w:jc w:val="center"/>
              <w:rPr>
                <w:lang w:val="it-IT"/>
              </w:rPr>
            </w:pPr>
          </w:p>
        </w:tc>
        <w:tc>
          <w:tcPr>
            <w:tcW w:w="567" w:type="dxa"/>
            <w:tcMar>
              <w:left w:w="108" w:type="dxa"/>
            </w:tcMar>
            <w:vAlign w:val="center"/>
          </w:tcPr>
          <w:p w:rsidR="004300E2" w:rsidRDefault="004300E2" w:rsidP="004300E2">
            <w:pPr>
              <w:widowControl w:val="0"/>
              <w:spacing w:before="0" w:after="0" w:line="216" w:lineRule="exact"/>
              <w:jc w:val="center"/>
              <w:rPr>
                <w:lang w:val="it-IT"/>
              </w:rPr>
            </w:pPr>
          </w:p>
        </w:tc>
      </w:tr>
      <w:tr w:rsidR="00D26424" w:rsidRPr="008129DA" w:rsidTr="00940A6F">
        <w:trPr>
          <w:cantSplit/>
          <w:trHeight w:val="20"/>
        </w:trPr>
        <w:tc>
          <w:tcPr>
            <w:tcW w:w="567" w:type="dxa"/>
          </w:tcPr>
          <w:p w:rsidR="00D26424" w:rsidRDefault="00D26424" w:rsidP="004300E2">
            <w:pPr>
              <w:pStyle w:val="Numeroelenco"/>
              <w:widowControl w:val="0"/>
              <w:spacing w:before="0" w:after="0" w:line="216" w:lineRule="exact"/>
              <w:ind w:left="0" w:firstLine="57"/>
              <w:rPr>
                <w:lang w:val="it-IT"/>
              </w:rPr>
            </w:pPr>
          </w:p>
        </w:tc>
        <w:tc>
          <w:tcPr>
            <w:tcW w:w="851" w:type="dxa"/>
            <w:tcMar>
              <w:left w:w="108" w:type="dxa"/>
              <w:right w:w="0" w:type="dxa"/>
            </w:tcMar>
          </w:tcPr>
          <w:p w:rsidR="00D26424" w:rsidRDefault="00D26424" w:rsidP="004300E2">
            <w:pPr>
              <w:pStyle w:val="IAS"/>
              <w:widowControl w:val="0"/>
              <w:spacing w:before="0" w:after="0" w:line="216" w:lineRule="exact"/>
              <w:rPr>
                <w:lang w:val="it-IT"/>
              </w:rPr>
            </w:pPr>
            <w:r w:rsidRPr="008A0F36">
              <w:rPr>
                <w:lang w:val="it-IT"/>
              </w:rPr>
              <w:t>IAS 32.39</w:t>
            </w:r>
          </w:p>
          <w:p w:rsidR="00D26424" w:rsidRDefault="00D26424" w:rsidP="004300E2">
            <w:pPr>
              <w:pStyle w:val="IAS"/>
              <w:widowControl w:val="0"/>
              <w:spacing w:before="0" w:after="0" w:line="216" w:lineRule="exact"/>
              <w:rPr>
                <w:lang w:val="it-IT"/>
              </w:rPr>
            </w:pPr>
            <w:r w:rsidRPr="008A0F36">
              <w:rPr>
                <w:lang w:val="it-IT"/>
              </w:rPr>
              <w:t>IAS 1.109</w:t>
            </w:r>
          </w:p>
        </w:tc>
        <w:tc>
          <w:tcPr>
            <w:tcW w:w="7079" w:type="dxa"/>
            <w:tcMar>
              <w:left w:w="108" w:type="dxa"/>
            </w:tcMar>
          </w:tcPr>
          <w:p w:rsidR="00D26424" w:rsidRDefault="00D26424" w:rsidP="004300E2">
            <w:pPr>
              <w:widowControl w:val="0"/>
              <w:spacing w:before="0" w:after="0" w:line="224" w:lineRule="exact"/>
              <w:rPr>
                <w:lang w:val="it-IT"/>
              </w:rPr>
            </w:pPr>
            <w:r w:rsidRPr="008A0F36">
              <w:rPr>
                <w:lang w:val="it-IT"/>
              </w:rPr>
              <w:t>Sono stati esposti separatamente nel prospetto delle variazioni del patrimonio netto i costi di transazione contabilizzati direttamente a riduzione del patrimonio netto.</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A0F36" w:rsidTr="00940A6F">
        <w:trPr>
          <w:cantSplit/>
          <w:trHeight w:val="20"/>
        </w:trPr>
        <w:tc>
          <w:tcPr>
            <w:tcW w:w="567" w:type="dxa"/>
            <w:vAlign w:val="center"/>
          </w:tcPr>
          <w:p w:rsidR="004300E2" w:rsidRDefault="004300E2" w:rsidP="004300E2">
            <w:pPr>
              <w:widowControl w:val="0"/>
              <w:spacing w:before="40" w:after="40"/>
              <w:ind w:firstLine="57"/>
              <w:jc w:val="center"/>
              <w:rPr>
                <w:lang w:val="it-IT"/>
              </w:rPr>
            </w:pPr>
          </w:p>
        </w:tc>
        <w:tc>
          <w:tcPr>
            <w:tcW w:w="851" w:type="dxa"/>
            <w:tcMar>
              <w:left w:w="108" w:type="dxa"/>
              <w:right w:w="0" w:type="dxa"/>
            </w:tcMar>
            <w:vAlign w:val="center"/>
          </w:tcPr>
          <w:p w:rsidR="004300E2" w:rsidRDefault="004300E2" w:rsidP="004300E2">
            <w:pPr>
              <w:pStyle w:val="IAS"/>
              <w:widowControl w:val="0"/>
              <w:spacing w:after="40" w:line="220" w:lineRule="exact"/>
              <w:rPr>
                <w:lang w:val="it-IT"/>
              </w:rPr>
            </w:pPr>
          </w:p>
        </w:tc>
        <w:tc>
          <w:tcPr>
            <w:tcW w:w="7079" w:type="dxa"/>
            <w:tcMar>
              <w:left w:w="108" w:type="dxa"/>
            </w:tcMar>
            <w:vAlign w:val="center"/>
          </w:tcPr>
          <w:p w:rsidR="004300E2" w:rsidRDefault="004300E2" w:rsidP="004300E2">
            <w:pPr>
              <w:pStyle w:val="Titolo1"/>
              <w:keepNext w:val="0"/>
              <w:widowControl w:val="0"/>
              <w:spacing w:before="40" w:after="40" w:line="220" w:lineRule="exact"/>
            </w:pPr>
            <w:r w:rsidRPr="002B6200">
              <w:t>NOTE AL BILANCIO</w:t>
            </w:r>
          </w:p>
        </w:tc>
        <w:tc>
          <w:tcPr>
            <w:tcW w:w="575" w:type="dxa"/>
            <w:tcMar>
              <w:left w:w="85" w:type="dxa"/>
              <w:right w:w="85" w:type="dxa"/>
            </w:tcMar>
            <w:vAlign w:val="center"/>
          </w:tcPr>
          <w:p w:rsidR="004300E2" w:rsidRDefault="004300E2" w:rsidP="004300E2">
            <w:pPr>
              <w:widowControl w:val="0"/>
              <w:spacing w:before="40" w:after="40"/>
              <w:jc w:val="center"/>
            </w:pPr>
          </w:p>
        </w:tc>
        <w:tc>
          <w:tcPr>
            <w:tcW w:w="567" w:type="dxa"/>
            <w:tcMar>
              <w:left w:w="108" w:type="dxa"/>
            </w:tcMar>
            <w:vAlign w:val="center"/>
          </w:tcPr>
          <w:p w:rsidR="004300E2" w:rsidRDefault="004300E2" w:rsidP="004300E2">
            <w:pPr>
              <w:widowControl w:val="0"/>
              <w:spacing w:before="40" w:after="40"/>
              <w:jc w:val="center"/>
            </w:pPr>
          </w:p>
        </w:tc>
        <w:tc>
          <w:tcPr>
            <w:tcW w:w="567" w:type="dxa"/>
            <w:tcMar>
              <w:left w:w="108" w:type="dxa"/>
            </w:tcMar>
            <w:vAlign w:val="center"/>
          </w:tcPr>
          <w:p w:rsidR="004300E2" w:rsidRDefault="004300E2" w:rsidP="004300E2">
            <w:pPr>
              <w:widowControl w:val="0"/>
              <w:spacing w:before="40" w:after="40"/>
              <w:jc w:val="center"/>
            </w:pPr>
          </w:p>
        </w:tc>
      </w:tr>
      <w:tr w:rsidR="004300E2" w:rsidRPr="008A0F36" w:rsidTr="00940A6F">
        <w:trPr>
          <w:cantSplit/>
          <w:trHeight w:val="20"/>
        </w:trPr>
        <w:tc>
          <w:tcPr>
            <w:tcW w:w="567" w:type="dxa"/>
          </w:tcPr>
          <w:p w:rsidR="004300E2" w:rsidRDefault="004300E2" w:rsidP="004300E2">
            <w:pPr>
              <w:pStyle w:val="Numeroelenco"/>
              <w:widowControl w:val="0"/>
              <w:spacing w:before="0" w:after="0" w:line="216" w:lineRule="exact"/>
              <w:ind w:left="0" w:firstLine="57"/>
              <w:rPr>
                <w:lang w:val="it-IT"/>
              </w:rPr>
            </w:pPr>
          </w:p>
        </w:tc>
        <w:tc>
          <w:tcPr>
            <w:tcW w:w="851" w:type="dxa"/>
            <w:tcMar>
              <w:left w:w="108" w:type="dxa"/>
              <w:right w:w="0" w:type="dxa"/>
            </w:tcMar>
          </w:tcPr>
          <w:p w:rsidR="004300E2" w:rsidRDefault="004300E2" w:rsidP="004300E2">
            <w:pPr>
              <w:pStyle w:val="IAS"/>
              <w:widowControl w:val="0"/>
              <w:spacing w:before="0" w:after="0" w:line="216" w:lineRule="exact"/>
              <w:rPr>
                <w:lang w:val="it-IT"/>
              </w:rPr>
            </w:pPr>
            <w:r w:rsidRPr="008A0F36">
              <w:rPr>
                <w:lang w:val="it-IT"/>
              </w:rPr>
              <w:t>IAS 1.112</w:t>
            </w:r>
          </w:p>
        </w:tc>
        <w:tc>
          <w:tcPr>
            <w:tcW w:w="7079" w:type="dxa"/>
            <w:tcMar>
              <w:left w:w="108" w:type="dxa"/>
            </w:tcMar>
          </w:tcPr>
          <w:p w:rsidR="004300E2" w:rsidRDefault="004300E2" w:rsidP="003A5BB7">
            <w:pPr>
              <w:widowControl w:val="0"/>
              <w:rPr>
                <w:lang w:val="it-IT"/>
              </w:rPr>
            </w:pPr>
            <w:r w:rsidRPr="008A0F36">
              <w:rPr>
                <w:lang w:val="it-IT"/>
              </w:rPr>
              <w:t>Le note al bilancio:</w:t>
            </w:r>
          </w:p>
        </w:tc>
        <w:tc>
          <w:tcPr>
            <w:tcW w:w="575" w:type="dxa"/>
            <w:tcMar>
              <w:left w:w="85" w:type="dxa"/>
              <w:right w:w="85" w:type="dxa"/>
            </w:tcMar>
            <w:vAlign w:val="center"/>
          </w:tcPr>
          <w:p w:rsidR="004300E2" w:rsidRDefault="004300E2" w:rsidP="004300E2">
            <w:pPr>
              <w:widowControl w:val="0"/>
              <w:spacing w:before="0" w:after="0" w:line="216" w:lineRule="exact"/>
              <w:jc w:val="center"/>
            </w:pPr>
          </w:p>
        </w:tc>
        <w:tc>
          <w:tcPr>
            <w:tcW w:w="567" w:type="dxa"/>
            <w:tcMar>
              <w:left w:w="108" w:type="dxa"/>
            </w:tcMar>
            <w:vAlign w:val="center"/>
          </w:tcPr>
          <w:p w:rsidR="004300E2" w:rsidRDefault="004300E2" w:rsidP="004300E2">
            <w:pPr>
              <w:widowControl w:val="0"/>
              <w:spacing w:before="0" w:after="0" w:line="216" w:lineRule="exact"/>
              <w:jc w:val="center"/>
            </w:pPr>
          </w:p>
        </w:tc>
        <w:tc>
          <w:tcPr>
            <w:tcW w:w="567" w:type="dxa"/>
            <w:tcMar>
              <w:left w:w="108" w:type="dxa"/>
            </w:tcMar>
            <w:vAlign w:val="center"/>
          </w:tcPr>
          <w:p w:rsidR="004300E2" w:rsidRDefault="004300E2" w:rsidP="004300E2">
            <w:pPr>
              <w:widowControl w:val="0"/>
              <w:spacing w:before="0" w:after="0" w:line="216" w:lineRule="exact"/>
              <w:jc w:val="center"/>
            </w:pPr>
          </w:p>
        </w:tc>
      </w:tr>
      <w:tr w:rsidR="00D26424" w:rsidRPr="008129DA" w:rsidTr="00940A6F">
        <w:trPr>
          <w:cantSplit/>
          <w:trHeight w:val="20"/>
        </w:trPr>
        <w:tc>
          <w:tcPr>
            <w:tcW w:w="567" w:type="dxa"/>
          </w:tcPr>
          <w:p w:rsidR="00D26424" w:rsidRDefault="00D26424" w:rsidP="004300E2">
            <w:pPr>
              <w:widowControl w:val="0"/>
              <w:spacing w:before="0" w:after="0" w:line="216" w:lineRule="exact"/>
              <w:ind w:firstLine="57"/>
              <w:rPr>
                <w:lang w:val="it-IT"/>
              </w:rPr>
            </w:pPr>
          </w:p>
        </w:tc>
        <w:tc>
          <w:tcPr>
            <w:tcW w:w="851" w:type="dxa"/>
            <w:tcMar>
              <w:left w:w="108" w:type="dxa"/>
              <w:right w:w="0" w:type="dxa"/>
            </w:tcMar>
          </w:tcPr>
          <w:p w:rsidR="00D26424" w:rsidRDefault="00D26424" w:rsidP="004300E2">
            <w:pPr>
              <w:pStyle w:val="IAS"/>
              <w:widowControl w:val="0"/>
              <w:spacing w:before="0" w:after="0" w:line="216" w:lineRule="exact"/>
              <w:rPr>
                <w:lang w:val="it-IT"/>
              </w:rPr>
            </w:pPr>
          </w:p>
        </w:tc>
        <w:tc>
          <w:tcPr>
            <w:tcW w:w="7079" w:type="dxa"/>
            <w:tcMar>
              <w:left w:w="108" w:type="dxa"/>
            </w:tcMar>
          </w:tcPr>
          <w:p w:rsidR="00D26424" w:rsidRDefault="00D26424" w:rsidP="003A5BB7">
            <w:pPr>
              <w:pStyle w:val="Rientroa"/>
              <w:widowControl w:val="0"/>
              <w:numPr>
                <w:ilvl w:val="0"/>
                <w:numId w:val="33"/>
              </w:numPr>
              <w:rPr>
                <w:iCs/>
              </w:rPr>
            </w:pPr>
            <w:r w:rsidRPr="008A0F36">
              <w:t xml:space="preserve">presentano le informazioni sui criteri di </w:t>
            </w:r>
            <w:r>
              <w:t xml:space="preserve">redazione </w:t>
            </w:r>
            <w:r w:rsidRPr="008A0F36">
              <w:t>del bilancio</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Height w:val="20"/>
        </w:trPr>
        <w:tc>
          <w:tcPr>
            <w:tcW w:w="567" w:type="dxa"/>
          </w:tcPr>
          <w:p w:rsidR="00D26424" w:rsidRDefault="00D26424" w:rsidP="004300E2">
            <w:pPr>
              <w:widowControl w:val="0"/>
              <w:spacing w:before="0" w:after="0" w:line="216" w:lineRule="exact"/>
              <w:ind w:firstLine="57"/>
              <w:rPr>
                <w:lang w:val="it-IT"/>
              </w:rPr>
            </w:pPr>
          </w:p>
        </w:tc>
        <w:tc>
          <w:tcPr>
            <w:tcW w:w="851" w:type="dxa"/>
            <w:tcMar>
              <w:left w:w="108" w:type="dxa"/>
              <w:right w:w="0" w:type="dxa"/>
            </w:tcMar>
          </w:tcPr>
          <w:p w:rsidR="00D26424" w:rsidRDefault="00D26424" w:rsidP="004300E2">
            <w:pPr>
              <w:pStyle w:val="IAS"/>
              <w:widowControl w:val="0"/>
              <w:spacing w:before="0" w:after="0" w:line="216" w:lineRule="exact"/>
              <w:rPr>
                <w:lang w:val="it-IT"/>
              </w:rPr>
            </w:pPr>
          </w:p>
        </w:tc>
        <w:tc>
          <w:tcPr>
            <w:tcW w:w="7079" w:type="dxa"/>
            <w:tcMar>
              <w:left w:w="108" w:type="dxa"/>
            </w:tcMar>
          </w:tcPr>
          <w:p w:rsidR="00D26424" w:rsidRDefault="00D26424" w:rsidP="003A5BB7">
            <w:pPr>
              <w:pStyle w:val="Rientroa"/>
              <w:widowControl w:val="0"/>
            </w:pPr>
            <w:r w:rsidRPr="008A0F36">
              <w:t>presentano i principi contabili specifici applicati</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Height w:val="20"/>
        </w:trPr>
        <w:tc>
          <w:tcPr>
            <w:tcW w:w="567" w:type="dxa"/>
          </w:tcPr>
          <w:p w:rsidR="00D26424" w:rsidRDefault="00D26424" w:rsidP="004300E2">
            <w:pPr>
              <w:widowControl w:val="0"/>
              <w:spacing w:before="0" w:after="0" w:line="216" w:lineRule="exact"/>
              <w:ind w:firstLine="57"/>
              <w:rPr>
                <w:lang w:val="it-IT"/>
              </w:rPr>
            </w:pPr>
          </w:p>
        </w:tc>
        <w:tc>
          <w:tcPr>
            <w:tcW w:w="851" w:type="dxa"/>
            <w:tcMar>
              <w:left w:w="108" w:type="dxa"/>
              <w:right w:w="0" w:type="dxa"/>
            </w:tcMar>
          </w:tcPr>
          <w:p w:rsidR="00D26424" w:rsidRDefault="00D26424" w:rsidP="004300E2">
            <w:pPr>
              <w:pStyle w:val="IAS"/>
              <w:widowControl w:val="0"/>
              <w:spacing w:before="0" w:after="0" w:line="216" w:lineRule="exact"/>
              <w:rPr>
                <w:lang w:val="it-IT"/>
              </w:rPr>
            </w:pPr>
          </w:p>
        </w:tc>
        <w:tc>
          <w:tcPr>
            <w:tcW w:w="7079" w:type="dxa"/>
            <w:tcMar>
              <w:left w:w="108" w:type="dxa"/>
            </w:tcMar>
          </w:tcPr>
          <w:p w:rsidR="00D26424" w:rsidRDefault="00D26424" w:rsidP="003A5BB7">
            <w:pPr>
              <w:pStyle w:val="Rientroa"/>
              <w:widowControl w:val="0"/>
            </w:pPr>
            <w:r>
              <w:rPr>
                <w:b/>
                <w:bCs/>
                <w:sz w:val="19"/>
                <w:szCs w:val="19"/>
              </w:rPr>
              <w:t xml:space="preserve"> </w:t>
            </w:r>
            <w:r w:rsidRPr="004300E2">
              <w:rPr>
                <w:bCs/>
                <w:sz w:val="19"/>
                <w:szCs w:val="19"/>
              </w:rPr>
              <w:t>indicano le informazioni richieste dagli IFRS che non sono presentate altrove nel bilancio; 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Height w:val="20"/>
        </w:trPr>
        <w:tc>
          <w:tcPr>
            <w:tcW w:w="567" w:type="dxa"/>
          </w:tcPr>
          <w:p w:rsidR="00D26424" w:rsidRDefault="00D26424" w:rsidP="004300E2">
            <w:pPr>
              <w:widowControl w:val="0"/>
              <w:spacing w:before="0" w:after="0" w:line="216" w:lineRule="exact"/>
              <w:ind w:firstLine="57"/>
              <w:rPr>
                <w:lang w:val="it-IT"/>
              </w:rPr>
            </w:pPr>
          </w:p>
        </w:tc>
        <w:tc>
          <w:tcPr>
            <w:tcW w:w="851" w:type="dxa"/>
            <w:tcMar>
              <w:left w:w="108" w:type="dxa"/>
              <w:right w:w="0" w:type="dxa"/>
            </w:tcMar>
          </w:tcPr>
          <w:p w:rsidR="00D26424" w:rsidRDefault="00D26424" w:rsidP="004300E2">
            <w:pPr>
              <w:pStyle w:val="IAS"/>
              <w:widowControl w:val="0"/>
              <w:spacing w:before="0" w:after="0" w:line="216" w:lineRule="exact"/>
              <w:rPr>
                <w:lang w:val="it-IT"/>
              </w:rPr>
            </w:pPr>
          </w:p>
        </w:tc>
        <w:tc>
          <w:tcPr>
            <w:tcW w:w="7079" w:type="dxa"/>
            <w:tcMar>
              <w:left w:w="108" w:type="dxa"/>
            </w:tcMar>
          </w:tcPr>
          <w:p w:rsidR="00D26424" w:rsidRDefault="00D26424" w:rsidP="003A5BB7">
            <w:pPr>
              <w:pStyle w:val="Rientroa"/>
              <w:widowControl w:val="0"/>
            </w:pPr>
            <w:r w:rsidRPr="008A0F36">
              <w:t xml:space="preserve">forniscono </w:t>
            </w:r>
            <w:r w:rsidRPr="004300E2">
              <w:rPr>
                <w:bCs/>
                <w:sz w:val="19"/>
                <w:szCs w:val="19"/>
              </w:rPr>
              <w:t>informazioni che non sono presentate altrove nel bilancio, ma sono rilevanti per la sua comprensione</w:t>
            </w:r>
            <w:r>
              <w:rPr>
                <w:b/>
                <w:bCs/>
                <w:sz w:val="19"/>
                <w:szCs w:val="19"/>
              </w:rPr>
              <w:t xml:space="preserve">.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Height w:val="20"/>
        </w:trPr>
        <w:tc>
          <w:tcPr>
            <w:tcW w:w="567" w:type="dxa"/>
          </w:tcPr>
          <w:p w:rsidR="00D26424" w:rsidRDefault="00D26424" w:rsidP="004300E2">
            <w:pPr>
              <w:pStyle w:val="Numeroelenco"/>
              <w:widowControl w:val="0"/>
              <w:spacing w:line="216" w:lineRule="exact"/>
              <w:ind w:left="0" w:firstLine="57"/>
              <w:rPr>
                <w:lang w:val="it-IT"/>
              </w:rPr>
            </w:pPr>
          </w:p>
        </w:tc>
        <w:tc>
          <w:tcPr>
            <w:tcW w:w="851" w:type="dxa"/>
            <w:tcMar>
              <w:left w:w="108" w:type="dxa"/>
              <w:right w:w="0" w:type="dxa"/>
            </w:tcMar>
          </w:tcPr>
          <w:p w:rsidR="00D26424" w:rsidRDefault="00D26424" w:rsidP="004300E2">
            <w:pPr>
              <w:pStyle w:val="IAS"/>
              <w:widowControl w:val="0"/>
              <w:spacing w:before="20" w:line="216" w:lineRule="exact"/>
              <w:rPr>
                <w:lang w:val="it-IT"/>
              </w:rPr>
            </w:pPr>
            <w:r w:rsidRPr="008A0F36">
              <w:rPr>
                <w:lang w:val="it-IT"/>
              </w:rPr>
              <w:t>IAS 1.113</w:t>
            </w:r>
          </w:p>
        </w:tc>
        <w:tc>
          <w:tcPr>
            <w:tcW w:w="7079" w:type="dxa"/>
            <w:tcMar>
              <w:left w:w="108" w:type="dxa"/>
            </w:tcMar>
          </w:tcPr>
          <w:p w:rsidR="00D26424" w:rsidRDefault="00D26424" w:rsidP="003A5BB7">
            <w:pPr>
              <w:widowControl w:val="0"/>
              <w:rPr>
                <w:lang w:val="it-IT"/>
              </w:rPr>
            </w:pPr>
            <w:r w:rsidRPr="008A0F36">
              <w:rPr>
                <w:lang w:val="it-IT"/>
              </w:rPr>
              <w:t xml:space="preserve">Le note al bilancio sono presentate in maniera sistematica, </w:t>
            </w:r>
            <w:r>
              <w:rPr>
                <w:lang w:val="it-IT"/>
              </w:rPr>
              <w:t>nei limiti del</w:t>
            </w:r>
            <w:r w:rsidRPr="008A0F36">
              <w:rPr>
                <w:lang w:val="it-IT"/>
              </w:rPr>
              <w:t xml:space="preserve"> possibile</w:t>
            </w:r>
            <w:r>
              <w:rPr>
                <w:lang w:val="it-IT"/>
              </w:rPr>
              <w:t>, considerando l’effetto sulla comprensibilità e comparabilità del bilancio.</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Height w:val="20"/>
        </w:trPr>
        <w:tc>
          <w:tcPr>
            <w:tcW w:w="567" w:type="dxa"/>
          </w:tcPr>
          <w:p w:rsidR="00D26424" w:rsidRDefault="00D26424" w:rsidP="004300E2">
            <w:pPr>
              <w:pStyle w:val="Numeroelenco"/>
              <w:widowControl w:val="0"/>
              <w:ind w:left="0" w:firstLine="57"/>
              <w:rPr>
                <w:lang w:val="it-IT"/>
              </w:rPr>
            </w:pPr>
          </w:p>
        </w:tc>
        <w:tc>
          <w:tcPr>
            <w:tcW w:w="851" w:type="dxa"/>
            <w:tcMar>
              <w:left w:w="108" w:type="dxa"/>
              <w:right w:w="0" w:type="dxa"/>
            </w:tcMar>
          </w:tcPr>
          <w:p w:rsidR="00D26424" w:rsidRDefault="00D26424" w:rsidP="004300E2">
            <w:pPr>
              <w:pStyle w:val="IAS"/>
              <w:widowControl w:val="0"/>
              <w:rPr>
                <w:lang w:val="it-IT"/>
              </w:rPr>
            </w:pPr>
            <w:r w:rsidRPr="008A0F36">
              <w:rPr>
                <w:lang w:val="it-IT"/>
              </w:rPr>
              <w:t>IAS 1.113</w:t>
            </w:r>
          </w:p>
        </w:tc>
        <w:tc>
          <w:tcPr>
            <w:tcW w:w="7079" w:type="dxa"/>
            <w:tcMar>
              <w:left w:w="108" w:type="dxa"/>
            </w:tcMar>
          </w:tcPr>
          <w:p w:rsidR="00D26424" w:rsidRDefault="00D26424" w:rsidP="003A5BB7">
            <w:pPr>
              <w:widowControl w:val="0"/>
              <w:rPr>
                <w:lang w:val="it-IT"/>
              </w:rPr>
            </w:pPr>
            <w:r w:rsidRPr="008A0F36">
              <w:rPr>
                <w:lang w:val="it-IT"/>
              </w:rPr>
              <w:t xml:space="preserve">Per ogni voce del prospetto della situazione patrimoniale-finanziaria, del prospetto </w:t>
            </w:r>
            <w:r>
              <w:rPr>
                <w:lang w:val="it-IT"/>
              </w:rPr>
              <w:t xml:space="preserve">(dei prospetti) dell’utile/(perdita) d’esercizio e delle altre componenti di conto </w:t>
            </w:r>
            <w:r w:rsidRPr="008A0F36">
              <w:rPr>
                <w:lang w:val="it-IT"/>
              </w:rPr>
              <w:t>economico complessivo, del prospetto delle variazioni di patrimonio netto e del rendiconto finanziario è stato fatto rinvio alla relativa informativa presente nelle note.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3C6AAF" w:rsidRPr="00A44ECD" w:rsidTr="00ED180E">
        <w:trPr>
          <w:cantSplit/>
          <w:trHeight w:val="20"/>
        </w:trPr>
        <w:tc>
          <w:tcPr>
            <w:tcW w:w="567" w:type="dxa"/>
          </w:tcPr>
          <w:p w:rsidR="003C6AAF" w:rsidRPr="00300D13" w:rsidRDefault="003C6AAF" w:rsidP="00ED180E">
            <w:pPr>
              <w:widowControl w:val="0"/>
              <w:spacing w:line="200" w:lineRule="exact"/>
              <w:ind w:firstLine="57"/>
              <w:rPr>
                <w:lang w:val="it-IT"/>
              </w:rPr>
            </w:pPr>
          </w:p>
        </w:tc>
        <w:tc>
          <w:tcPr>
            <w:tcW w:w="851" w:type="dxa"/>
            <w:tcMar>
              <w:left w:w="108" w:type="dxa"/>
              <w:right w:w="0" w:type="dxa"/>
            </w:tcMar>
          </w:tcPr>
          <w:p w:rsidR="003D7991" w:rsidRDefault="003C6AAF" w:rsidP="00ED180E">
            <w:pPr>
              <w:pStyle w:val="IAS"/>
              <w:widowControl w:val="0"/>
              <w:spacing w:before="20" w:line="200" w:lineRule="exact"/>
              <w:rPr>
                <w:lang w:val="it-IT"/>
              </w:rPr>
            </w:pPr>
            <w:r w:rsidRPr="00300D13">
              <w:rPr>
                <w:lang w:val="it-IT"/>
              </w:rPr>
              <w:t xml:space="preserve">IAS 1.114 </w:t>
            </w:r>
          </w:p>
          <w:p w:rsidR="003C6AAF" w:rsidRPr="00300D13" w:rsidRDefault="003D7991" w:rsidP="00ED180E">
            <w:pPr>
              <w:pStyle w:val="IAS"/>
              <w:widowControl w:val="0"/>
              <w:spacing w:before="20" w:line="200" w:lineRule="exact"/>
              <w:rPr>
                <w:lang w:val="it-IT"/>
              </w:rPr>
            </w:pPr>
            <w:r>
              <w:rPr>
                <w:lang w:val="it-IT"/>
              </w:rPr>
              <w:t>IAS 1.116</w:t>
            </w:r>
            <w:r w:rsidR="003C6AAF" w:rsidRPr="00300D13">
              <w:rPr>
                <w:lang w:val="it-IT"/>
              </w:rPr>
              <w:br/>
              <w:t>IAS 1.16</w:t>
            </w:r>
          </w:p>
          <w:p w:rsidR="003C6AAF" w:rsidRPr="00300D13" w:rsidRDefault="003C6AAF" w:rsidP="00ED180E">
            <w:pPr>
              <w:pStyle w:val="IAS"/>
              <w:widowControl w:val="0"/>
              <w:spacing w:before="20" w:line="200" w:lineRule="exact"/>
              <w:rPr>
                <w:lang w:val="it-IT"/>
              </w:rPr>
            </w:pPr>
            <w:r w:rsidRPr="00300D13">
              <w:rPr>
                <w:lang w:val="it-IT"/>
              </w:rPr>
              <w:t>IAS 1.117</w:t>
            </w:r>
          </w:p>
          <w:p w:rsidR="003C6AAF" w:rsidRPr="00300D13" w:rsidRDefault="003C6AAF" w:rsidP="00ED180E">
            <w:pPr>
              <w:pStyle w:val="IAS"/>
              <w:widowControl w:val="0"/>
              <w:spacing w:before="20" w:line="200" w:lineRule="exact"/>
              <w:rPr>
                <w:lang w:val="it-IT"/>
              </w:rPr>
            </w:pPr>
          </w:p>
        </w:tc>
        <w:tc>
          <w:tcPr>
            <w:tcW w:w="7079" w:type="dxa"/>
            <w:tcMar>
              <w:left w:w="108" w:type="dxa"/>
            </w:tcMar>
          </w:tcPr>
          <w:p w:rsidR="003C6AAF" w:rsidRPr="00300D13" w:rsidRDefault="003C6AAF" w:rsidP="00197581">
            <w:pPr>
              <w:pStyle w:val="Paragarfobordato"/>
            </w:pPr>
            <w:r w:rsidRPr="00300D13">
              <w:t>Di seguito alcuni esempi per l’ordinamento o il raggruppamento sistematico delle note al bilancio:</w:t>
            </w:r>
          </w:p>
          <w:p w:rsidR="003C6AAF" w:rsidRPr="00300D13" w:rsidRDefault="00197581" w:rsidP="00197581">
            <w:pPr>
              <w:pStyle w:val="Paragarfobordato"/>
              <w:ind w:left="205" w:hanging="205"/>
            </w:pPr>
            <w:r>
              <w:t>a)</w:t>
            </w:r>
            <w:r>
              <w:tab/>
            </w:r>
            <w:r w:rsidR="003C6AAF" w:rsidRPr="00300D13">
              <w:t>dare rilievo ai settori di attività che l’entità ritiene essere più rilevanti per la comprensione del risultato economico e della situazione patrimoniale-finanziaria, ad esempio raggruppando informazioni su determinate attività operative</w:t>
            </w:r>
            <w:r w:rsidR="003C6AAF">
              <w:t>;</w:t>
            </w:r>
          </w:p>
          <w:p w:rsidR="003C6AAF" w:rsidRPr="00300D13" w:rsidRDefault="00197581" w:rsidP="00197581">
            <w:pPr>
              <w:pStyle w:val="Paragarfobordato"/>
              <w:ind w:left="205" w:hanging="205"/>
            </w:pPr>
            <w:r>
              <w:t>b)</w:t>
            </w:r>
            <w:r>
              <w:tab/>
            </w:r>
            <w:r w:rsidR="003C6AAF" w:rsidRPr="00300D13">
              <w:t xml:space="preserve">raggruppare le informazioni sulle voci valutate nello stesso modo, come le attività valutate al </w:t>
            </w:r>
            <w:r w:rsidR="003C6AAF" w:rsidRPr="00197581">
              <w:t xml:space="preserve">fair value, </w:t>
            </w:r>
            <w:r w:rsidR="003C6AAF" w:rsidRPr="00300D13">
              <w:t>oppure</w:t>
            </w:r>
          </w:p>
          <w:p w:rsidR="003C6AAF" w:rsidRPr="00300D13" w:rsidRDefault="00197581" w:rsidP="00197581">
            <w:pPr>
              <w:pStyle w:val="Paragarfobordato"/>
              <w:ind w:left="205" w:hanging="205"/>
            </w:pPr>
            <w:r>
              <w:t>c)</w:t>
            </w:r>
            <w:r>
              <w:tab/>
            </w:r>
            <w:r w:rsidR="003C6AAF" w:rsidRPr="00300D13">
              <w:t>seguire l’ordine delle voci figuranti nel prospetto (nei prospetti) dell’utile (perdita) d’esercizio e delle altre componenti di conto economico complessivo e del prospetto della situazione patrimoniale-finanziaria, quali:</w:t>
            </w:r>
          </w:p>
          <w:p w:rsidR="003C6AAF" w:rsidRPr="00300D13" w:rsidRDefault="003C6AAF" w:rsidP="00D44A38">
            <w:pPr>
              <w:pStyle w:val="Paragarfobordato"/>
              <w:tabs>
                <w:tab w:val="left" w:pos="210"/>
                <w:tab w:val="left" w:pos="475"/>
              </w:tabs>
            </w:pPr>
            <w:r w:rsidRPr="00300D13">
              <w:tab/>
              <w:t xml:space="preserve">i) </w:t>
            </w:r>
            <w:r w:rsidRPr="00300D13">
              <w:tab/>
              <w:t>una dichiarazione di conformità agli IFRS (vedi IAS 1.16)</w:t>
            </w:r>
            <w:r>
              <w:t>;</w:t>
            </w:r>
          </w:p>
          <w:p w:rsidR="003C6AAF" w:rsidRPr="00300D13" w:rsidRDefault="003C6AAF" w:rsidP="00D44A38">
            <w:pPr>
              <w:pStyle w:val="Paragarfobordato"/>
              <w:tabs>
                <w:tab w:val="left" w:pos="210"/>
                <w:tab w:val="left" w:pos="475"/>
              </w:tabs>
            </w:pPr>
            <w:r w:rsidRPr="00300D13">
              <w:tab/>
              <w:t>ii)</w:t>
            </w:r>
            <w:r w:rsidRPr="00300D13">
              <w:tab/>
              <w:t>i principi contabili rilevanti applicati (vedi IAS 1.117)</w:t>
            </w:r>
            <w:r>
              <w:t>;</w:t>
            </w:r>
          </w:p>
          <w:p w:rsidR="003C6AAF" w:rsidRPr="00300D13" w:rsidRDefault="003C6AAF" w:rsidP="00D44A38">
            <w:pPr>
              <w:pStyle w:val="Paragarfobordato"/>
              <w:tabs>
                <w:tab w:val="left" w:pos="210"/>
                <w:tab w:val="left" w:pos="475"/>
              </w:tabs>
            </w:pPr>
            <w:r w:rsidRPr="00300D13">
              <w:tab/>
              <w:t xml:space="preserve">iii) </w:t>
            </w:r>
            <w:r w:rsidRPr="00300D13">
              <w:tab/>
              <w:t>le informazioni di supporto per le voci esposte nel prospetto della situazione patrimoniale-</w:t>
            </w:r>
            <w:r w:rsidRPr="00300D13">
              <w:tab/>
              <w:t xml:space="preserve">finanziaria, nel </w:t>
            </w:r>
            <w:r w:rsidR="00197581">
              <w:tab/>
            </w:r>
            <w:r w:rsidR="00D44A38">
              <w:tab/>
            </w:r>
            <w:r w:rsidR="00D44A38">
              <w:tab/>
            </w:r>
            <w:r w:rsidR="00D44A38">
              <w:tab/>
            </w:r>
            <w:r w:rsidRPr="00300D13">
              <w:t xml:space="preserve">prospetto (nei prospetti) dell’utile/(perdita) d’esercizio e delle altre componenti di conto economico </w:t>
            </w:r>
            <w:r w:rsidR="00197581">
              <w:tab/>
            </w:r>
            <w:r w:rsidR="00D44A38">
              <w:tab/>
            </w:r>
            <w:r w:rsidR="00D44A38">
              <w:tab/>
            </w:r>
            <w:r w:rsidR="00D44A38">
              <w:tab/>
            </w:r>
            <w:r w:rsidR="00D44A38">
              <w:tab/>
            </w:r>
            <w:r w:rsidRPr="00300D13">
              <w:t xml:space="preserve">complessivo, nel prospetto delle variazioni del patrimonio netto e nel </w:t>
            </w:r>
            <w:r w:rsidRPr="00300D13">
              <w:tab/>
              <w:t xml:space="preserve">rendiconto finanziario, </w:t>
            </w:r>
            <w:r>
              <w:tab/>
            </w:r>
            <w:r w:rsidRPr="00300D13">
              <w:t xml:space="preserve">nell’ordine in cui </w:t>
            </w:r>
            <w:r w:rsidR="00197581">
              <w:tab/>
            </w:r>
            <w:r w:rsidR="00D44A38">
              <w:tab/>
            </w:r>
            <w:r w:rsidRPr="00300D13">
              <w:t>ogni prospetto ed ogni voce sono presentati; e</w:t>
            </w:r>
          </w:p>
          <w:p w:rsidR="003C6AAF" w:rsidRPr="00300D13" w:rsidRDefault="003C6AAF" w:rsidP="00197581">
            <w:pPr>
              <w:pStyle w:val="Paragarfobordato"/>
              <w:ind w:left="205" w:hanging="205"/>
            </w:pPr>
            <w:r w:rsidRPr="00300D13">
              <w:t>d)</w:t>
            </w:r>
            <w:r w:rsidRPr="00300D13">
              <w:tab/>
              <w:t>altre informazioni, quali:</w:t>
            </w:r>
          </w:p>
          <w:p w:rsidR="003C6AAF" w:rsidRPr="00300D13" w:rsidRDefault="003C6AAF" w:rsidP="00D44A38">
            <w:pPr>
              <w:pStyle w:val="Paragarfobordato"/>
              <w:tabs>
                <w:tab w:val="left" w:pos="233"/>
                <w:tab w:val="left" w:pos="385"/>
              </w:tabs>
            </w:pPr>
            <w:r w:rsidRPr="00300D13">
              <w:tab/>
              <w:t>-</w:t>
            </w:r>
            <w:r w:rsidRPr="00300D13">
              <w:tab/>
              <w:t>passività potenziali (IAS 37) e impegni contrattuali non rilevati; e</w:t>
            </w:r>
          </w:p>
          <w:p w:rsidR="003D7991" w:rsidRDefault="003C6AAF" w:rsidP="00D44A38">
            <w:pPr>
              <w:pStyle w:val="Paragarfobordato"/>
              <w:tabs>
                <w:tab w:val="left" w:pos="233"/>
                <w:tab w:val="left" w:pos="385"/>
              </w:tabs>
            </w:pPr>
            <w:r w:rsidRPr="00300D13">
              <w:tab/>
              <w:t>-</w:t>
            </w:r>
            <w:r w:rsidRPr="00300D13">
              <w:tab/>
              <w:t>informativa non finanziaria: per esempio le finalità e le strate</w:t>
            </w:r>
            <w:r w:rsidR="00D44A38">
              <w:t xml:space="preserve">gie della gestione del rischio </w:t>
            </w:r>
            <w:r w:rsidRPr="00300D13">
              <w:t xml:space="preserve">finanziario </w:t>
            </w:r>
            <w:r w:rsidR="008527A3">
              <w:tab/>
            </w:r>
            <w:r w:rsidR="00D44A38">
              <w:tab/>
            </w:r>
            <w:r w:rsidR="00D44A38">
              <w:tab/>
            </w:r>
            <w:r w:rsidR="00D44A38">
              <w:tab/>
            </w:r>
            <w:r w:rsidR="00D44A38">
              <w:tab/>
            </w:r>
            <w:r w:rsidRPr="00300D13">
              <w:t>dell’entità (IFRS 7).</w:t>
            </w:r>
          </w:p>
          <w:p w:rsidR="003D7991" w:rsidRPr="008527A3" w:rsidRDefault="003D7991" w:rsidP="00D44A38">
            <w:pPr>
              <w:pStyle w:val="Commentiariquadro"/>
              <w:widowControl w:val="0"/>
              <w:ind w:left="115" w:right="88" w:firstLine="1"/>
            </w:pPr>
            <w:r w:rsidRPr="00FB4B6E">
              <w:t>Un'entità può presentare note che forniscono informazioni sui criteri generali di preparazione del bilancio e sugli specifici principi contabili in una sezione distinta del bilancio.</w:t>
            </w:r>
          </w:p>
        </w:tc>
        <w:tc>
          <w:tcPr>
            <w:tcW w:w="575" w:type="dxa"/>
            <w:tcMar>
              <w:left w:w="85" w:type="dxa"/>
              <w:right w:w="85" w:type="dxa"/>
            </w:tcMar>
            <w:vAlign w:val="center"/>
          </w:tcPr>
          <w:p w:rsidR="003C6AAF" w:rsidRPr="00300D13" w:rsidRDefault="003C6AAF" w:rsidP="00ED180E">
            <w:pPr>
              <w:widowControl w:val="0"/>
              <w:spacing w:line="200" w:lineRule="exact"/>
              <w:jc w:val="center"/>
              <w:rPr>
                <w:lang w:val="it-IT"/>
              </w:rPr>
            </w:pPr>
          </w:p>
        </w:tc>
        <w:tc>
          <w:tcPr>
            <w:tcW w:w="567" w:type="dxa"/>
            <w:tcMar>
              <w:left w:w="108" w:type="dxa"/>
            </w:tcMar>
            <w:vAlign w:val="center"/>
          </w:tcPr>
          <w:p w:rsidR="003C6AAF" w:rsidRPr="00300D13" w:rsidRDefault="003C6AAF" w:rsidP="00ED180E">
            <w:pPr>
              <w:widowControl w:val="0"/>
              <w:spacing w:line="200" w:lineRule="exact"/>
              <w:jc w:val="center"/>
              <w:rPr>
                <w:lang w:val="it-IT"/>
              </w:rPr>
            </w:pPr>
          </w:p>
        </w:tc>
        <w:tc>
          <w:tcPr>
            <w:tcW w:w="567" w:type="dxa"/>
            <w:tcMar>
              <w:left w:w="108" w:type="dxa"/>
            </w:tcMar>
            <w:vAlign w:val="center"/>
          </w:tcPr>
          <w:p w:rsidR="003C6AAF" w:rsidRPr="00300D13" w:rsidRDefault="003C6AAF" w:rsidP="00ED180E">
            <w:pPr>
              <w:widowControl w:val="0"/>
              <w:spacing w:line="200" w:lineRule="exact"/>
              <w:jc w:val="center"/>
              <w:rPr>
                <w:lang w:val="it-IT"/>
              </w:rPr>
            </w:pPr>
          </w:p>
        </w:tc>
      </w:tr>
      <w:tr w:rsidR="004300E2" w:rsidRPr="00A44ECD" w:rsidTr="00940A6F">
        <w:trPr>
          <w:cantSplit/>
        </w:trPr>
        <w:tc>
          <w:tcPr>
            <w:tcW w:w="567" w:type="dxa"/>
            <w:tcMar>
              <w:left w:w="108" w:type="dxa"/>
            </w:tcMar>
          </w:tcPr>
          <w:p w:rsidR="004300E2" w:rsidRDefault="004300E2" w:rsidP="004300E2">
            <w:pPr>
              <w:widowControl w:val="0"/>
              <w:ind w:firstLine="57"/>
              <w:rPr>
                <w:lang w:val="it-IT"/>
              </w:rPr>
            </w:pPr>
          </w:p>
        </w:tc>
        <w:tc>
          <w:tcPr>
            <w:tcW w:w="851" w:type="dxa"/>
            <w:tcMar>
              <w:left w:w="108" w:type="dxa"/>
              <w:right w:w="0" w:type="dxa"/>
            </w:tcMar>
          </w:tcPr>
          <w:p w:rsidR="004300E2" w:rsidRDefault="004300E2" w:rsidP="004300E2">
            <w:pPr>
              <w:pStyle w:val="IAS"/>
              <w:widowControl w:val="0"/>
              <w:rPr>
                <w:lang w:val="it-IT"/>
              </w:rPr>
            </w:pPr>
          </w:p>
        </w:tc>
        <w:tc>
          <w:tcPr>
            <w:tcW w:w="7079" w:type="dxa"/>
            <w:tcMar>
              <w:left w:w="108" w:type="dxa"/>
            </w:tcMar>
          </w:tcPr>
          <w:p w:rsidR="004300E2" w:rsidRDefault="004300E2" w:rsidP="004300E2">
            <w:pPr>
              <w:pStyle w:val="Titolo1"/>
              <w:keepNext w:val="0"/>
              <w:widowControl w:val="0"/>
            </w:pPr>
            <w:r w:rsidRPr="008A0F36">
              <w:t>PRINCIPI CONTABILI E PRINCIPALI ASSUNZIONI NELLE VALUTAZIONI</w:t>
            </w:r>
          </w:p>
        </w:tc>
        <w:tc>
          <w:tcPr>
            <w:tcW w:w="575" w:type="dxa"/>
            <w:tcMar>
              <w:left w:w="85" w:type="dxa"/>
              <w:right w:w="85" w:type="dxa"/>
            </w:tcMar>
          </w:tcPr>
          <w:p w:rsidR="004300E2" w:rsidRDefault="004300E2" w:rsidP="004300E2">
            <w:pPr>
              <w:pStyle w:val="Titolo1"/>
              <w:keepNext w:val="0"/>
              <w:widowControl w:val="0"/>
            </w:pPr>
          </w:p>
        </w:tc>
        <w:tc>
          <w:tcPr>
            <w:tcW w:w="567" w:type="dxa"/>
            <w:tcMar>
              <w:left w:w="108" w:type="dxa"/>
            </w:tcMar>
          </w:tcPr>
          <w:p w:rsidR="004300E2" w:rsidRDefault="004300E2" w:rsidP="004300E2">
            <w:pPr>
              <w:pStyle w:val="Titolo1"/>
              <w:keepNext w:val="0"/>
              <w:widowControl w:val="0"/>
            </w:pPr>
          </w:p>
        </w:tc>
        <w:tc>
          <w:tcPr>
            <w:tcW w:w="567" w:type="dxa"/>
            <w:tcMar>
              <w:left w:w="108" w:type="dxa"/>
            </w:tcMar>
          </w:tcPr>
          <w:p w:rsidR="004300E2" w:rsidRDefault="004300E2" w:rsidP="004300E2">
            <w:pPr>
              <w:pStyle w:val="Titolo1"/>
              <w:keepNext w:val="0"/>
              <w:widowControl w:val="0"/>
            </w:pPr>
          </w:p>
        </w:tc>
      </w:tr>
      <w:tr w:rsidR="004300E2" w:rsidRPr="007B3B0B" w:rsidTr="00940A6F">
        <w:trPr>
          <w:cantSplit/>
        </w:trPr>
        <w:tc>
          <w:tcPr>
            <w:tcW w:w="567" w:type="dxa"/>
            <w:tcMar>
              <w:left w:w="108" w:type="dxa"/>
            </w:tcMar>
          </w:tcPr>
          <w:p w:rsidR="004300E2" w:rsidRDefault="004300E2" w:rsidP="004300E2">
            <w:pPr>
              <w:widowControl w:val="0"/>
              <w:ind w:firstLine="57"/>
              <w:rPr>
                <w:lang w:val="it-IT"/>
              </w:rPr>
            </w:pPr>
          </w:p>
        </w:tc>
        <w:tc>
          <w:tcPr>
            <w:tcW w:w="851" w:type="dxa"/>
            <w:tcMar>
              <w:left w:w="108" w:type="dxa"/>
              <w:right w:w="0" w:type="dxa"/>
            </w:tcMar>
          </w:tcPr>
          <w:p w:rsidR="004300E2" w:rsidRDefault="004300E2" w:rsidP="004300E2">
            <w:pPr>
              <w:pStyle w:val="IAS"/>
              <w:widowControl w:val="0"/>
              <w:rPr>
                <w:lang w:val="it-IT"/>
              </w:rPr>
            </w:pPr>
          </w:p>
        </w:tc>
        <w:tc>
          <w:tcPr>
            <w:tcW w:w="7079" w:type="dxa"/>
            <w:tcMar>
              <w:left w:w="108" w:type="dxa"/>
            </w:tcMar>
          </w:tcPr>
          <w:p w:rsidR="004300E2" w:rsidRDefault="007B3B0B" w:rsidP="007B3B0B">
            <w:pPr>
              <w:pStyle w:val="Titolo2"/>
              <w:keepNext w:val="0"/>
              <w:widowControl w:val="0"/>
              <w:rPr>
                <w:lang w:val="it-IT"/>
              </w:rPr>
            </w:pPr>
            <w:r>
              <w:rPr>
                <w:lang w:val="it-IT"/>
              </w:rPr>
              <w:t xml:space="preserve">Illustrazione </w:t>
            </w:r>
            <w:r w:rsidR="004300E2" w:rsidRPr="008A0F36">
              <w:rPr>
                <w:lang w:val="it-IT"/>
              </w:rPr>
              <w:t>dei principi contabili</w:t>
            </w:r>
          </w:p>
        </w:tc>
        <w:tc>
          <w:tcPr>
            <w:tcW w:w="575" w:type="dxa"/>
            <w:tcMar>
              <w:left w:w="85" w:type="dxa"/>
              <w:right w:w="85" w:type="dxa"/>
            </w:tcMar>
          </w:tcPr>
          <w:p w:rsidR="004300E2" w:rsidRDefault="004300E2" w:rsidP="004300E2">
            <w:pPr>
              <w:widowControl w:val="0"/>
              <w:rPr>
                <w:lang w:val="it-IT"/>
              </w:rPr>
            </w:pPr>
          </w:p>
        </w:tc>
        <w:tc>
          <w:tcPr>
            <w:tcW w:w="567" w:type="dxa"/>
            <w:tcMar>
              <w:left w:w="108" w:type="dxa"/>
            </w:tcMar>
          </w:tcPr>
          <w:p w:rsidR="004300E2" w:rsidRDefault="004300E2" w:rsidP="004300E2">
            <w:pPr>
              <w:widowControl w:val="0"/>
              <w:rPr>
                <w:lang w:val="it-IT"/>
              </w:rPr>
            </w:pPr>
          </w:p>
        </w:tc>
        <w:tc>
          <w:tcPr>
            <w:tcW w:w="567" w:type="dxa"/>
            <w:tcMar>
              <w:left w:w="108" w:type="dxa"/>
            </w:tcMar>
          </w:tcPr>
          <w:p w:rsidR="004300E2" w:rsidRDefault="004300E2" w:rsidP="004300E2">
            <w:pPr>
              <w:widowControl w:val="0"/>
              <w:rPr>
                <w:lang w:val="it-IT"/>
              </w:rPr>
            </w:pPr>
          </w:p>
        </w:tc>
      </w:tr>
      <w:tr w:rsidR="004300E2" w:rsidRPr="00A44ECD" w:rsidTr="00940A6F">
        <w:trPr>
          <w:cantSplit/>
        </w:trPr>
        <w:tc>
          <w:tcPr>
            <w:tcW w:w="567" w:type="dxa"/>
            <w:tcMar>
              <w:left w:w="108" w:type="dxa"/>
            </w:tcMar>
          </w:tcPr>
          <w:p w:rsidR="004300E2" w:rsidRDefault="004300E2" w:rsidP="004300E2">
            <w:pPr>
              <w:pStyle w:val="Numeroelenco"/>
              <w:widowControl w:val="0"/>
              <w:ind w:left="0" w:firstLine="57"/>
              <w:rPr>
                <w:lang w:val="it-IT"/>
              </w:rPr>
            </w:pPr>
          </w:p>
        </w:tc>
        <w:tc>
          <w:tcPr>
            <w:tcW w:w="851" w:type="dxa"/>
            <w:tcMar>
              <w:left w:w="108" w:type="dxa"/>
              <w:right w:w="0" w:type="dxa"/>
            </w:tcMar>
          </w:tcPr>
          <w:p w:rsidR="004300E2" w:rsidRDefault="004300E2" w:rsidP="004300E2">
            <w:pPr>
              <w:pStyle w:val="IAS"/>
              <w:widowControl w:val="0"/>
              <w:rPr>
                <w:lang w:val="it-IT"/>
              </w:rPr>
            </w:pPr>
            <w:r w:rsidRPr="008A0F36">
              <w:rPr>
                <w:lang w:val="it-IT"/>
              </w:rPr>
              <w:t>IAS 1.117</w:t>
            </w:r>
          </w:p>
        </w:tc>
        <w:tc>
          <w:tcPr>
            <w:tcW w:w="7079" w:type="dxa"/>
            <w:tcMar>
              <w:left w:w="108" w:type="dxa"/>
            </w:tcMar>
          </w:tcPr>
          <w:p w:rsidR="004300E2" w:rsidRDefault="004300E2" w:rsidP="00D44A38">
            <w:pPr>
              <w:widowControl w:val="0"/>
              <w:spacing w:line="226" w:lineRule="exact"/>
              <w:rPr>
                <w:lang w:val="it-IT"/>
              </w:rPr>
            </w:pPr>
            <w:r w:rsidRPr="008A0F36">
              <w:rPr>
                <w:lang w:val="it-IT"/>
              </w:rPr>
              <w:t>L’entità</w:t>
            </w:r>
            <w:r w:rsidR="007B3B0B">
              <w:rPr>
                <w:lang w:val="it-IT"/>
              </w:rPr>
              <w:t xml:space="preserve"> nell’illustrare i </w:t>
            </w:r>
            <w:r w:rsidRPr="008A0F36">
              <w:rPr>
                <w:lang w:val="it-IT"/>
              </w:rPr>
              <w:t>principi contabili rilevanti ha fornito le seguenti informazioni.</w:t>
            </w:r>
          </w:p>
        </w:tc>
        <w:tc>
          <w:tcPr>
            <w:tcW w:w="575" w:type="dxa"/>
            <w:tcMar>
              <w:left w:w="85" w:type="dxa"/>
              <w:right w:w="85"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r>
      <w:tr w:rsidR="00D26424" w:rsidRPr="008129DA" w:rsidTr="00940A6F">
        <w:trPr>
          <w:cantSplit/>
        </w:trPr>
        <w:tc>
          <w:tcPr>
            <w:tcW w:w="567" w:type="dxa"/>
            <w:tcMar>
              <w:left w:w="108" w:type="dxa"/>
            </w:tcMar>
          </w:tcPr>
          <w:p w:rsidR="00D26424" w:rsidRDefault="00D26424" w:rsidP="004300E2">
            <w:pPr>
              <w:widowControl w:val="0"/>
              <w:ind w:firstLine="57"/>
              <w:rPr>
                <w:rFonts w:ascii="Times New Roman" w:hAnsi="Times New Roman"/>
                <w:b/>
                <w:bCs/>
                <w:iCs/>
                <w:lang w:val="it-IT"/>
              </w:rPr>
            </w:pPr>
          </w:p>
        </w:tc>
        <w:tc>
          <w:tcPr>
            <w:tcW w:w="851" w:type="dxa"/>
            <w:tcMar>
              <w:left w:w="108" w:type="dxa"/>
              <w:right w:w="0" w:type="dxa"/>
            </w:tcMar>
          </w:tcPr>
          <w:p w:rsidR="00D26424" w:rsidRDefault="00D26424" w:rsidP="004300E2">
            <w:pPr>
              <w:pStyle w:val="IAS"/>
              <w:widowControl w:val="0"/>
              <w:rPr>
                <w:lang w:val="it-IT"/>
              </w:rPr>
            </w:pPr>
          </w:p>
        </w:tc>
        <w:tc>
          <w:tcPr>
            <w:tcW w:w="7079" w:type="dxa"/>
            <w:tcMar>
              <w:left w:w="108" w:type="dxa"/>
            </w:tcMar>
          </w:tcPr>
          <w:p w:rsidR="00D26424" w:rsidRDefault="00D26424" w:rsidP="00D44A38">
            <w:pPr>
              <w:pStyle w:val="Rientroa"/>
              <w:widowControl w:val="0"/>
              <w:numPr>
                <w:ilvl w:val="0"/>
                <w:numId w:val="36"/>
              </w:numPr>
              <w:spacing w:line="226" w:lineRule="exact"/>
              <w:rPr>
                <w:iCs/>
              </w:rPr>
            </w:pPr>
            <w:r w:rsidRPr="008A0F36">
              <w:t xml:space="preserve">il criterio </w:t>
            </w:r>
            <w:r>
              <w:t>(</w:t>
            </w:r>
            <w:r w:rsidRPr="008A0F36">
              <w:t>criteri</w:t>
            </w:r>
            <w:r>
              <w:t>)</w:t>
            </w:r>
            <w:r w:rsidRPr="008A0F36">
              <w:t xml:space="preserve"> base di valutazione </w:t>
            </w:r>
            <w:r>
              <w:t>adottato (adottati)</w:t>
            </w:r>
            <w:r w:rsidRPr="008A0F36">
              <w:t xml:space="preserve"> nella preparazione del bilancio (costo storico, costo corrente, valore netto di realizzo, </w:t>
            </w:r>
            <w:r w:rsidRPr="008A0F36">
              <w:rPr>
                <w:i/>
              </w:rPr>
              <w:t>fair value</w:t>
            </w:r>
            <w:r w:rsidRPr="008A0F36">
              <w:t xml:space="preserve"> o valore recuperabile)</w:t>
            </w:r>
            <w:r>
              <w:t>, 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Default="00D26424" w:rsidP="004300E2">
            <w:pPr>
              <w:widowControl w:val="0"/>
              <w:ind w:firstLine="57"/>
              <w:rPr>
                <w:rFonts w:ascii="Times New Roman" w:hAnsi="Times New Roman"/>
                <w:b/>
                <w:bCs/>
                <w:iCs/>
                <w:lang w:val="it-IT"/>
              </w:rPr>
            </w:pPr>
          </w:p>
        </w:tc>
        <w:tc>
          <w:tcPr>
            <w:tcW w:w="851" w:type="dxa"/>
            <w:tcMar>
              <w:left w:w="108" w:type="dxa"/>
              <w:right w:w="0" w:type="dxa"/>
            </w:tcMar>
          </w:tcPr>
          <w:p w:rsidR="00D26424" w:rsidRDefault="00D26424" w:rsidP="004300E2">
            <w:pPr>
              <w:pStyle w:val="IAS"/>
              <w:widowControl w:val="0"/>
              <w:rPr>
                <w:lang w:val="it-IT"/>
              </w:rPr>
            </w:pPr>
          </w:p>
        </w:tc>
        <w:tc>
          <w:tcPr>
            <w:tcW w:w="7079" w:type="dxa"/>
            <w:tcMar>
              <w:left w:w="108" w:type="dxa"/>
            </w:tcMar>
          </w:tcPr>
          <w:p w:rsidR="00D26424" w:rsidRDefault="00D26424" w:rsidP="00D44A38">
            <w:pPr>
              <w:pStyle w:val="Rientroa"/>
              <w:widowControl w:val="0"/>
              <w:spacing w:line="226" w:lineRule="exact"/>
            </w:pPr>
            <w:r w:rsidRPr="008A0F36">
              <w:t xml:space="preserve">gli altri principi contabili </w:t>
            </w:r>
            <w:r>
              <w:t>utilizzati</w:t>
            </w:r>
            <w:r w:rsidRPr="008A0F36">
              <w:t xml:space="preserve"> che s</w:t>
            </w:r>
            <w:r>
              <w:t>o</w:t>
            </w:r>
            <w:r w:rsidRPr="008A0F36">
              <w:t>no rilevanti per la comprensione del bilancio.</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Default="004300E2" w:rsidP="004300E2">
            <w:pPr>
              <w:widowControl w:val="0"/>
              <w:ind w:firstLine="57"/>
              <w:rPr>
                <w:rFonts w:ascii="Times New Roman" w:hAnsi="Times New Roman"/>
                <w:b/>
                <w:bCs/>
                <w:iCs/>
                <w:lang w:val="it-IT"/>
              </w:rPr>
            </w:pPr>
          </w:p>
        </w:tc>
        <w:tc>
          <w:tcPr>
            <w:tcW w:w="851" w:type="dxa"/>
            <w:tcMar>
              <w:left w:w="108" w:type="dxa"/>
              <w:right w:w="0" w:type="dxa"/>
            </w:tcMar>
          </w:tcPr>
          <w:p w:rsidR="004300E2" w:rsidRDefault="004300E2" w:rsidP="004300E2">
            <w:pPr>
              <w:pStyle w:val="IAS"/>
              <w:widowControl w:val="0"/>
              <w:rPr>
                <w:lang w:val="it-IT"/>
              </w:rPr>
            </w:pPr>
            <w:r w:rsidRPr="008A0F36">
              <w:rPr>
                <w:lang w:val="it-IT"/>
              </w:rPr>
              <w:t>IAS 1.118</w:t>
            </w:r>
          </w:p>
        </w:tc>
        <w:tc>
          <w:tcPr>
            <w:tcW w:w="7079" w:type="dxa"/>
            <w:tcMar>
              <w:left w:w="108" w:type="dxa"/>
            </w:tcMar>
          </w:tcPr>
          <w:p w:rsidR="004300E2" w:rsidRDefault="004300E2" w:rsidP="00197581">
            <w:pPr>
              <w:pStyle w:val="Paragarfobordato"/>
            </w:pPr>
            <w:r w:rsidRPr="008A0F36">
              <w:t>Quando sono utilizzati diversi criteri di valutazione nel bilancio, per esempio nel caso in cui determinate classi di attività sono rideterminate, è sufficiente fornire un’indicazione delle categorie di attività e passività alle quali sono applicati i diversi criteri.</w:t>
            </w:r>
          </w:p>
        </w:tc>
        <w:tc>
          <w:tcPr>
            <w:tcW w:w="575" w:type="dxa"/>
            <w:tcMar>
              <w:left w:w="85" w:type="dxa"/>
              <w:right w:w="85" w:type="dxa"/>
            </w:tcMar>
            <w:vAlign w:val="center"/>
          </w:tcPr>
          <w:p w:rsidR="004300E2" w:rsidRDefault="004300E2" w:rsidP="004300E2">
            <w:pPr>
              <w:widowControl w:val="0"/>
              <w:jc w:val="center"/>
              <w:rPr>
                <w:lang w:val="it-IT"/>
              </w:rPr>
            </w:pPr>
          </w:p>
        </w:tc>
        <w:tc>
          <w:tcPr>
            <w:tcW w:w="567" w:type="dxa"/>
            <w:tcMar>
              <w:left w:w="108" w:type="dxa"/>
            </w:tcMar>
            <w:vAlign w:val="center"/>
          </w:tcPr>
          <w:p w:rsidR="004300E2" w:rsidRDefault="004300E2" w:rsidP="004300E2">
            <w:pPr>
              <w:widowControl w:val="0"/>
              <w:jc w:val="center"/>
              <w:rPr>
                <w:lang w:val="it-IT"/>
              </w:rPr>
            </w:pPr>
          </w:p>
        </w:tc>
        <w:tc>
          <w:tcPr>
            <w:tcW w:w="567" w:type="dxa"/>
            <w:tcMar>
              <w:left w:w="108" w:type="dxa"/>
            </w:tcMar>
            <w:vAlign w:val="center"/>
          </w:tcPr>
          <w:p w:rsidR="004300E2" w:rsidRDefault="004300E2" w:rsidP="004300E2">
            <w:pPr>
              <w:widowControl w:val="0"/>
              <w:jc w:val="center"/>
              <w:rPr>
                <w:lang w:val="it-IT"/>
              </w:rPr>
            </w:pPr>
          </w:p>
        </w:tc>
      </w:tr>
      <w:tr w:rsidR="00D26424" w:rsidRPr="008129DA" w:rsidTr="00940A6F">
        <w:trPr>
          <w:cantSplit/>
        </w:trPr>
        <w:tc>
          <w:tcPr>
            <w:tcW w:w="567" w:type="dxa"/>
            <w:tcMar>
              <w:left w:w="108" w:type="dxa"/>
            </w:tcMar>
          </w:tcPr>
          <w:p w:rsidR="00D26424" w:rsidRDefault="00D26424" w:rsidP="004300E2">
            <w:pPr>
              <w:pStyle w:val="Numeroelenco"/>
              <w:widowControl w:val="0"/>
              <w:ind w:left="0" w:firstLine="57"/>
              <w:rPr>
                <w:lang w:val="it-IT"/>
              </w:rPr>
            </w:pPr>
          </w:p>
        </w:tc>
        <w:tc>
          <w:tcPr>
            <w:tcW w:w="851" w:type="dxa"/>
            <w:tcMar>
              <w:left w:w="108" w:type="dxa"/>
              <w:right w:w="0" w:type="dxa"/>
            </w:tcMar>
          </w:tcPr>
          <w:p w:rsidR="00D26424" w:rsidRDefault="00D26424" w:rsidP="004300E2">
            <w:pPr>
              <w:pStyle w:val="IAS"/>
              <w:widowControl w:val="0"/>
              <w:rPr>
                <w:lang w:val="it-IT"/>
              </w:rPr>
            </w:pPr>
            <w:r w:rsidRPr="008A0F36">
              <w:rPr>
                <w:lang w:val="it-IT"/>
              </w:rPr>
              <w:t xml:space="preserve">IAS 1.121, </w:t>
            </w:r>
            <w:r>
              <w:rPr>
                <w:lang w:val="it-IT"/>
              </w:rPr>
              <w:br/>
            </w:r>
            <w:r w:rsidRPr="008A0F36">
              <w:rPr>
                <w:lang w:val="it-IT"/>
              </w:rPr>
              <w:t>IAS 8.10</w:t>
            </w:r>
          </w:p>
        </w:tc>
        <w:tc>
          <w:tcPr>
            <w:tcW w:w="7079" w:type="dxa"/>
            <w:tcMar>
              <w:left w:w="108" w:type="dxa"/>
            </w:tcMar>
          </w:tcPr>
          <w:p w:rsidR="00D26424" w:rsidRDefault="00D26424" w:rsidP="00D44A38">
            <w:pPr>
              <w:widowControl w:val="0"/>
              <w:spacing w:line="226" w:lineRule="exact"/>
              <w:rPr>
                <w:lang w:val="it-IT"/>
              </w:rPr>
            </w:pPr>
            <w:r w:rsidRPr="008A0F36">
              <w:rPr>
                <w:lang w:val="it-IT"/>
              </w:rPr>
              <w:t>L’entità ha indicato ogni principio contabile rilevante che non è specificatamente richiesto dagli IFRS, ma individuato e applicato in conformità allo IAS 8.10-12</w:t>
            </w:r>
            <w:r>
              <w:rPr>
                <w:lang w:val="it-IT"/>
              </w:rPr>
              <w:t>.</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Default="00D26424" w:rsidP="004300E2">
            <w:pPr>
              <w:pStyle w:val="Numeroelenco"/>
              <w:widowControl w:val="0"/>
              <w:ind w:left="0" w:firstLine="57"/>
              <w:rPr>
                <w:lang w:val="it-IT"/>
              </w:rPr>
            </w:pPr>
          </w:p>
        </w:tc>
        <w:tc>
          <w:tcPr>
            <w:tcW w:w="851" w:type="dxa"/>
            <w:tcMar>
              <w:left w:w="108" w:type="dxa"/>
              <w:right w:w="0" w:type="dxa"/>
            </w:tcMar>
          </w:tcPr>
          <w:p w:rsidR="00D26424" w:rsidRDefault="00D26424" w:rsidP="004300E2">
            <w:pPr>
              <w:pStyle w:val="IAS"/>
              <w:widowControl w:val="0"/>
              <w:rPr>
                <w:lang w:val="it-IT"/>
              </w:rPr>
            </w:pPr>
            <w:r w:rsidRPr="008A0F36">
              <w:rPr>
                <w:lang w:val="it-IT"/>
              </w:rPr>
              <w:t>IAS 1.122</w:t>
            </w:r>
          </w:p>
        </w:tc>
        <w:tc>
          <w:tcPr>
            <w:tcW w:w="7079" w:type="dxa"/>
            <w:tcMar>
              <w:left w:w="108" w:type="dxa"/>
            </w:tcMar>
          </w:tcPr>
          <w:p w:rsidR="00D26424" w:rsidRPr="00A27FE9" w:rsidRDefault="00D26424" w:rsidP="00D44A38">
            <w:pPr>
              <w:widowControl w:val="0"/>
              <w:spacing w:line="226" w:lineRule="exact"/>
              <w:rPr>
                <w:lang w:val="it-IT"/>
              </w:rPr>
            </w:pPr>
            <w:r w:rsidRPr="004300E2">
              <w:rPr>
                <w:bCs/>
                <w:lang w:val="it-IT"/>
              </w:rPr>
              <w:t>Unitamente ai principi contabili rilevanti</w:t>
            </w:r>
            <w:r w:rsidRPr="00A27FE9">
              <w:rPr>
                <w:bCs/>
                <w:lang w:val="it-IT"/>
              </w:rPr>
              <w:t xml:space="preserve"> o ad altre note, </w:t>
            </w:r>
            <w:r>
              <w:rPr>
                <w:bCs/>
                <w:lang w:val="it-IT"/>
              </w:rPr>
              <w:t>l</w:t>
            </w:r>
            <w:r w:rsidRPr="004300E2">
              <w:rPr>
                <w:bCs/>
                <w:lang w:val="it-IT"/>
              </w:rPr>
              <w:t>'entità ha indicato le decisioni, ad eccezione di quelle</w:t>
            </w:r>
            <w:r w:rsidRPr="00A27FE9">
              <w:rPr>
                <w:bCs/>
                <w:lang w:val="it-IT"/>
              </w:rPr>
              <w:t xml:space="preserve"> che riguardano le stime (</w:t>
            </w:r>
            <w:r>
              <w:rPr>
                <w:bCs/>
                <w:lang w:val="it-IT"/>
              </w:rPr>
              <w:t>si veda il</w:t>
            </w:r>
            <w:r w:rsidRPr="004300E2">
              <w:rPr>
                <w:bCs/>
                <w:lang w:val="it-IT"/>
              </w:rPr>
              <w:t xml:space="preserve"> paragrafo 125</w:t>
            </w:r>
            <w:r>
              <w:rPr>
                <w:bCs/>
                <w:lang w:val="it-IT"/>
              </w:rPr>
              <w:t xml:space="preserve"> dello IAS 1</w:t>
            </w:r>
            <w:r w:rsidRPr="004300E2">
              <w:rPr>
                <w:bCs/>
                <w:lang w:val="it-IT"/>
              </w:rPr>
              <w:t>), che la direzione aziendale ha preso durante il processo di applicazione dei principi contabili dell'entità che hanno gli effetti più significativi sugli importi rilevati in bilancio</w:t>
            </w:r>
            <w:r>
              <w:rPr>
                <w:bCs/>
                <w:lang w:val="it-IT"/>
              </w:rPr>
              <w:t>.</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Default="004300E2" w:rsidP="004300E2">
            <w:pPr>
              <w:widowControl w:val="0"/>
              <w:ind w:firstLine="57"/>
              <w:rPr>
                <w:rFonts w:ascii="Times New Roman" w:hAnsi="Times New Roman"/>
                <w:b/>
                <w:bCs/>
                <w:iCs/>
                <w:lang w:val="it-IT"/>
              </w:rPr>
            </w:pPr>
          </w:p>
        </w:tc>
        <w:tc>
          <w:tcPr>
            <w:tcW w:w="851" w:type="dxa"/>
            <w:tcMar>
              <w:left w:w="108" w:type="dxa"/>
              <w:right w:w="0" w:type="dxa"/>
            </w:tcMar>
          </w:tcPr>
          <w:p w:rsidR="004300E2" w:rsidRDefault="004300E2" w:rsidP="004300E2">
            <w:pPr>
              <w:pStyle w:val="IAS"/>
              <w:widowControl w:val="0"/>
              <w:rPr>
                <w:lang w:val="it-IT"/>
              </w:rPr>
            </w:pPr>
            <w:r w:rsidRPr="008A0F36">
              <w:rPr>
                <w:lang w:val="it-IT"/>
              </w:rPr>
              <w:t>IAS 1.124</w:t>
            </w:r>
          </w:p>
        </w:tc>
        <w:tc>
          <w:tcPr>
            <w:tcW w:w="7079" w:type="dxa"/>
            <w:tcMar>
              <w:left w:w="108" w:type="dxa"/>
            </w:tcMar>
          </w:tcPr>
          <w:p w:rsidR="004300E2" w:rsidRDefault="004300E2" w:rsidP="00197581">
            <w:pPr>
              <w:pStyle w:val="Paragarfobordato"/>
            </w:pPr>
            <w:r w:rsidRPr="008A0F36">
              <w:t xml:space="preserve">Alcune delle indicazioni richieste dallo IAS 1.122 sono richieste anche da altri </w:t>
            </w:r>
            <w:r>
              <w:t xml:space="preserve">Principi. Per esempio, l’IFRS 12 </w:t>
            </w:r>
            <w:r w:rsidRPr="008A0F36">
              <w:t xml:space="preserve"> richiede che l’entità indichi le ragioni per cui sebbene detenga più della metà dei diritti di voto e diritti potenziali (direttamente o indirettamente attraverso controllate) in una partecipazione, questo fatto non le garantisca comunque il controllo sulla partecipazione stessa. </w:t>
            </w:r>
          </w:p>
        </w:tc>
        <w:tc>
          <w:tcPr>
            <w:tcW w:w="575" w:type="dxa"/>
            <w:tcMar>
              <w:left w:w="85" w:type="dxa"/>
              <w:right w:w="85" w:type="dxa"/>
            </w:tcMar>
            <w:vAlign w:val="center"/>
          </w:tcPr>
          <w:p w:rsidR="004300E2" w:rsidRDefault="004300E2" w:rsidP="004300E2">
            <w:pPr>
              <w:widowControl w:val="0"/>
              <w:jc w:val="center"/>
              <w:rPr>
                <w:lang w:val="it-IT"/>
              </w:rPr>
            </w:pPr>
          </w:p>
        </w:tc>
        <w:tc>
          <w:tcPr>
            <w:tcW w:w="567" w:type="dxa"/>
            <w:tcMar>
              <w:left w:w="108" w:type="dxa"/>
            </w:tcMar>
            <w:vAlign w:val="center"/>
          </w:tcPr>
          <w:p w:rsidR="004300E2" w:rsidRDefault="004300E2" w:rsidP="004300E2">
            <w:pPr>
              <w:widowControl w:val="0"/>
              <w:jc w:val="center"/>
              <w:rPr>
                <w:lang w:val="it-IT"/>
              </w:rPr>
            </w:pPr>
          </w:p>
        </w:tc>
        <w:tc>
          <w:tcPr>
            <w:tcW w:w="567" w:type="dxa"/>
            <w:tcMar>
              <w:left w:w="108" w:type="dxa"/>
            </w:tcMar>
            <w:vAlign w:val="center"/>
          </w:tcPr>
          <w:p w:rsidR="004300E2" w:rsidRDefault="004300E2" w:rsidP="004300E2">
            <w:pPr>
              <w:widowControl w:val="0"/>
              <w:jc w:val="center"/>
              <w:rPr>
                <w:lang w:val="it-IT"/>
              </w:rPr>
            </w:pPr>
          </w:p>
        </w:tc>
      </w:tr>
      <w:tr w:rsidR="004300E2" w:rsidRPr="008A0F36" w:rsidTr="00940A6F">
        <w:trPr>
          <w:cantSplit/>
        </w:trPr>
        <w:tc>
          <w:tcPr>
            <w:tcW w:w="567" w:type="dxa"/>
            <w:tcMar>
              <w:left w:w="108" w:type="dxa"/>
              <w:right w:w="0" w:type="dxa"/>
            </w:tcMar>
            <w:vAlign w:val="center"/>
          </w:tcPr>
          <w:p w:rsidR="004300E2" w:rsidRDefault="004300E2" w:rsidP="004300E2">
            <w:pPr>
              <w:widowControl w:val="0"/>
              <w:ind w:firstLine="57"/>
              <w:jc w:val="left"/>
              <w:rPr>
                <w:rFonts w:ascii="Times New Roman" w:hAnsi="Times New Roman"/>
                <w:b/>
                <w:bCs/>
                <w:iCs/>
                <w:lang w:val="it-IT"/>
              </w:rPr>
            </w:pPr>
          </w:p>
        </w:tc>
        <w:tc>
          <w:tcPr>
            <w:tcW w:w="851" w:type="dxa"/>
            <w:tcMar>
              <w:left w:w="108" w:type="dxa"/>
              <w:right w:w="0" w:type="dxa"/>
            </w:tcMar>
            <w:vAlign w:val="center"/>
          </w:tcPr>
          <w:p w:rsidR="004300E2" w:rsidRDefault="004300E2" w:rsidP="004300E2">
            <w:pPr>
              <w:pStyle w:val="IAS"/>
              <w:widowControl w:val="0"/>
              <w:jc w:val="left"/>
              <w:rPr>
                <w:lang w:val="it-IT"/>
              </w:rPr>
            </w:pPr>
          </w:p>
        </w:tc>
        <w:tc>
          <w:tcPr>
            <w:tcW w:w="7079" w:type="dxa"/>
            <w:tcMar>
              <w:left w:w="108" w:type="dxa"/>
            </w:tcMar>
            <w:vAlign w:val="center"/>
          </w:tcPr>
          <w:p w:rsidR="004300E2" w:rsidRDefault="004300E2" w:rsidP="004300E2">
            <w:pPr>
              <w:pStyle w:val="Titolo2"/>
              <w:keepNext w:val="0"/>
              <w:widowControl w:val="0"/>
              <w:rPr>
                <w:lang w:val="it-IT"/>
              </w:rPr>
            </w:pPr>
            <w:bookmarkStart w:id="3" w:name="_Toc45713697"/>
            <w:bookmarkStart w:id="4" w:name="_Toc64784163"/>
            <w:r w:rsidRPr="008A0F36">
              <w:rPr>
                <w:lang w:val="it-IT"/>
              </w:rPr>
              <w:t>Cambiamenti di principi contabili</w:t>
            </w:r>
            <w:bookmarkEnd w:id="3"/>
            <w:bookmarkEnd w:id="4"/>
          </w:p>
        </w:tc>
        <w:tc>
          <w:tcPr>
            <w:tcW w:w="575" w:type="dxa"/>
            <w:tcMar>
              <w:left w:w="85" w:type="dxa"/>
              <w:right w:w="85" w:type="dxa"/>
            </w:tcMar>
            <w:vAlign w:val="center"/>
          </w:tcPr>
          <w:p w:rsidR="004300E2" w:rsidRDefault="004300E2" w:rsidP="004300E2">
            <w:pPr>
              <w:widowControl w:val="0"/>
              <w:jc w:val="left"/>
            </w:pPr>
          </w:p>
        </w:tc>
        <w:tc>
          <w:tcPr>
            <w:tcW w:w="567" w:type="dxa"/>
            <w:tcMar>
              <w:left w:w="108" w:type="dxa"/>
            </w:tcMar>
            <w:vAlign w:val="center"/>
          </w:tcPr>
          <w:p w:rsidR="004300E2" w:rsidRDefault="004300E2" w:rsidP="004300E2">
            <w:pPr>
              <w:widowControl w:val="0"/>
              <w:jc w:val="left"/>
            </w:pPr>
          </w:p>
        </w:tc>
        <w:tc>
          <w:tcPr>
            <w:tcW w:w="567" w:type="dxa"/>
            <w:tcMar>
              <w:left w:w="108" w:type="dxa"/>
            </w:tcMar>
            <w:vAlign w:val="center"/>
          </w:tcPr>
          <w:p w:rsidR="004300E2" w:rsidRDefault="004300E2" w:rsidP="004300E2">
            <w:pPr>
              <w:widowControl w:val="0"/>
              <w:jc w:val="left"/>
            </w:pPr>
          </w:p>
        </w:tc>
      </w:tr>
      <w:tr w:rsidR="004300E2" w:rsidRPr="00A44ECD" w:rsidTr="00940A6F">
        <w:trPr>
          <w:cantSplit/>
        </w:trPr>
        <w:tc>
          <w:tcPr>
            <w:tcW w:w="567" w:type="dxa"/>
            <w:tcMar>
              <w:left w:w="108" w:type="dxa"/>
            </w:tcMar>
          </w:tcPr>
          <w:p w:rsidR="004300E2" w:rsidRDefault="004300E2" w:rsidP="004300E2">
            <w:pPr>
              <w:widowControl w:val="0"/>
              <w:ind w:firstLine="57"/>
              <w:rPr>
                <w:rFonts w:ascii="Times New Roman" w:hAnsi="Times New Roman"/>
                <w:b/>
                <w:bCs/>
                <w:iCs/>
                <w:lang w:val="it-IT"/>
              </w:rPr>
            </w:pPr>
          </w:p>
        </w:tc>
        <w:tc>
          <w:tcPr>
            <w:tcW w:w="851" w:type="dxa"/>
            <w:tcMar>
              <w:left w:w="108" w:type="dxa"/>
              <w:right w:w="0" w:type="dxa"/>
            </w:tcMar>
          </w:tcPr>
          <w:p w:rsidR="004300E2" w:rsidRDefault="004300E2" w:rsidP="004300E2">
            <w:pPr>
              <w:pStyle w:val="IAS"/>
              <w:widowControl w:val="0"/>
              <w:rPr>
                <w:lang w:val="it-IT"/>
              </w:rPr>
            </w:pPr>
            <w:r w:rsidRPr="008A0F36">
              <w:rPr>
                <w:lang w:val="it-IT"/>
              </w:rPr>
              <w:t>IAS 8.14</w:t>
            </w:r>
          </w:p>
        </w:tc>
        <w:tc>
          <w:tcPr>
            <w:tcW w:w="7079" w:type="dxa"/>
            <w:tcMar>
              <w:left w:w="108" w:type="dxa"/>
            </w:tcMar>
          </w:tcPr>
          <w:p w:rsidR="004300E2" w:rsidRDefault="004300E2" w:rsidP="00197581">
            <w:pPr>
              <w:pStyle w:val="Paragarfobordato"/>
            </w:pPr>
            <w:r w:rsidRPr="008A0F36">
              <w:t>Un’entità deve cambiare un principio contabile solo se tale cambiamento:</w:t>
            </w:r>
          </w:p>
          <w:p w:rsidR="004300E2" w:rsidRDefault="004300E2" w:rsidP="00197581">
            <w:pPr>
              <w:pStyle w:val="Paragarfobordato"/>
              <w:ind w:left="205" w:hanging="205"/>
            </w:pPr>
            <w:r w:rsidRPr="008A0F36">
              <w:t>a)</w:t>
            </w:r>
            <w:r w:rsidRPr="008A0F36">
              <w:tab/>
              <w:t>è richiesto da un Principio o da un’Interpretazione; o</w:t>
            </w:r>
          </w:p>
          <w:p w:rsidR="004300E2" w:rsidRDefault="004300E2" w:rsidP="00197581">
            <w:pPr>
              <w:pStyle w:val="Paragarfobordato"/>
              <w:ind w:left="205" w:hanging="205"/>
              <w:rPr>
                <w:rFonts w:ascii="Times New Roman" w:hAnsi="Times New Roman"/>
              </w:rPr>
            </w:pPr>
            <w:r w:rsidRPr="008A0F36">
              <w:t>b)</w:t>
            </w:r>
            <w:r w:rsidRPr="008A0F36">
              <w:tab/>
              <w:t>determini in bilancio un’informazione più attendibile o più appropriata sui risultati delle operazioni/transazioni, altri eventi o circostanze sulla situazione patrimoniale-finanziaria, sull’andamento economico o sui flussi finanziari dell’entità.</w:t>
            </w:r>
          </w:p>
        </w:tc>
        <w:tc>
          <w:tcPr>
            <w:tcW w:w="575" w:type="dxa"/>
            <w:tcMar>
              <w:left w:w="85" w:type="dxa"/>
              <w:right w:w="85" w:type="dxa"/>
            </w:tcMar>
            <w:vAlign w:val="center"/>
          </w:tcPr>
          <w:p w:rsidR="004300E2" w:rsidRDefault="004300E2" w:rsidP="004300E2">
            <w:pPr>
              <w:widowControl w:val="0"/>
              <w:jc w:val="center"/>
              <w:rPr>
                <w:lang w:val="it-IT"/>
              </w:rPr>
            </w:pPr>
          </w:p>
        </w:tc>
        <w:tc>
          <w:tcPr>
            <w:tcW w:w="567" w:type="dxa"/>
            <w:tcMar>
              <w:left w:w="108" w:type="dxa"/>
            </w:tcMar>
            <w:vAlign w:val="center"/>
          </w:tcPr>
          <w:p w:rsidR="004300E2" w:rsidRDefault="004300E2" w:rsidP="004300E2">
            <w:pPr>
              <w:widowControl w:val="0"/>
              <w:jc w:val="center"/>
              <w:rPr>
                <w:lang w:val="it-IT"/>
              </w:rPr>
            </w:pPr>
          </w:p>
        </w:tc>
        <w:tc>
          <w:tcPr>
            <w:tcW w:w="567" w:type="dxa"/>
            <w:tcMar>
              <w:left w:w="108" w:type="dxa"/>
            </w:tcMar>
            <w:vAlign w:val="center"/>
          </w:tcPr>
          <w:p w:rsidR="004300E2" w:rsidRDefault="004300E2" w:rsidP="004300E2">
            <w:pPr>
              <w:widowControl w:val="0"/>
              <w:jc w:val="center"/>
              <w:rPr>
                <w:lang w:val="it-IT"/>
              </w:rPr>
            </w:pPr>
          </w:p>
        </w:tc>
      </w:tr>
      <w:tr w:rsidR="004300E2" w:rsidRPr="00A44ECD" w:rsidTr="00940A6F">
        <w:trPr>
          <w:cantSplit/>
        </w:trPr>
        <w:tc>
          <w:tcPr>
            <w:tcW w:w="567" w:type="dxa"/>
            <w:tcMar>
              <w:left w:w="108" w:type="dxa"/>
            </w:tcMar>
          </w:tcPr>
          <w:p w:rsidR="004300E2" w:rsidRDefault="004300E2" w:rsidP="004300E2">
            <w:pPr>
              <w:widowControl w:val="0"/>
              <w:ind w:firstLine="57"/>
              <w:rPr>
                <w:rFonts w:ascii="Times New Roman" w:hAnsi="Times New Roman"/>
                <w:b/>
                <w:bCs/>
                <w:iCs/>
                <w:lang w:val="it-IT"/>
              </w:rPr>
            </w:pPr>
          </w:p>
        </w:tc>
        <w:tc>
          <w:tcPr>
            <w:tcW w:w="851" w:type="dxa"/>
            <w:tcMar>
              <w:left w:w="108" w:type="dxa"/>
              <w:right w:w="0" w:type="dxa"/>
            </w:tcMar>
          </w:tcPr>
          <w:p w:rsidR="004300E2" w:rsidRDefault="004300E2" w:rsidP="004300E2">
            <w:pPr>
              <w:pStyle w:val="IAS"/>
              <w:widowControl w:val="0"/>
              <w:rPr>
                <w:lang w:val="it-IT"/>
              </w:rPr>
            </w:pPr>
            <w:r w:rsidRPr="008A0F36">
              <w:rPr>
                <w:lang w:val="it-IT"/>
              </w:rPr>
              <w:t>IAS 8.5</w:t>
            </w:r>
          </w:p>
        </w:tc>
        <w:tc>
          <w:tcPr>
            <w:tcW w:w="7079" w:type="dxa"/>
            <w:tcMar>
              <w:left w:w="108" w:type="dxa"/>
            </w:tcMar>
          </w:tcPr>
          <w:p w:rsidR="004300E2" w:rsidRDefault="004300E2" w:rsidP="00197581">
            <w:pPr>
              <w:pStyle w:val="Paragarfobordato"/>
              <w:rPr>
                <w:szCs w:val="18"/>
              </w:rPr>
            </w:pPr>
            <w:r w:rsidRPr="008A0F36">
              <w:t>L’applicazione delle disposizioni è impraticabile quando l’entità non riesce ad applicarla dopo aver compiuto ogni ragionevole sforzo per farlo. Questo può accadere nelle seguenti circostanze</w:t>
            </w:r>
            <w:r w:rsidRPr="008A0F36">
              <w:rPr>
                <w:szCs w:val="18"/>
              </w:rPr>
              <w:t>:</w:t>
            </w:r>
          </w:p>
          <w:p w:rsidR="004300E2" w:rsidRDefault="004300E2" w:rsidP="00197581">
            <w:pPr>
              <w:pStyle w:val="Paragarfobordato"/>
              <w:ind w:left="205" w:hanging="205"/>
            </w:pPr>
            <w:r w:rsidRPr="008A0F36">
              <w:t>a)</w:t>
            </w:r>
            <w:r w:rsidRPr="008A0F36">
              <w:tab/>
              <w:t>quando gli effetti dell’applicazione retroattiva o le rettifiche agli esercizi precedenti non sono determinabili con ragionevolezza</w:t>
            </w:r>
          </w:p>
          <w:p w:rsidR="004300E2" w:rsidRDefault="004300E2" w:rsidP="00197581">
            <w:pPr>
              <w:pStyle w:val="Paragarfobordato"/>
              <w:ind w:left="205" w:hanging="205"/>
            </w:pPr>
            <w:r w:rsidRPr="008A0F36">
              <w:t>b)</w:t>
            </w:r>
            <w:r w:rsidRPr="008A0F36">
              <w:tab/>
              <w:t>se la determinazione degli effetti di cui al punto a) richiederebbe la valutazione di quale sarebbe stato l’intento della Direzione aziendale in quell’esercizio; o</w:t>
            </w:r>
          </w:p>
          <w:p w:rsidR="004300E2" w:rsidRDefault="004300E2" w:rsidP="00197581">
            <w:pPr>
              <w:pStyle w:val="Paragarfobordato"/>
              <w:ind w:left="205" w:hanging="205"/>
            </w:pPr>
            <w:r w:rsidRPr="008A0F36">
              <w:t>c)</w:t>
            </w:r>
            <w:r w:rsidRPr="008A0F36">
              <w:tab/>
              <w:t xml:space="preserve">se la determinazione degli effetti esposti al punto a) richiederebbe rilevanti stime degli importi ed è impossibile distinguere obiettivamente le informazioni di queste stime che diano evidenza delle circostanze che sarebbero esistite alle date in cui tali importi sarebbero stati iscritti, </w:t>
            </w:r>
            <w:r>
              <w:t>valutati</w:t>
            </w:r>
            <w:r w:rsidRPr="008A0F36">
              <w:t xml:space="preserve"> ed evidenziati e sarebbero stati resi disponibili, quando il precedente bilancio fosse stato autorizzato alla pubblicazione.</w:t>
            </w:r>
          </w:p>
        </w:tc>
        <w:tc>
          <w:tcPr>
            <w:tcW w:w="575" w:type="dxa"/>
            <w:tcMar>
              <w:left w:w="85" w:type="dxa"/>
              <w:right w:w="85" w:type="dxa"/>
            </w:tcMar>
            <w:vAlign w:val="center"/>
          </w:tcPr>
          <w:p w:rsidR="004300E2" w:rsidRDefault="004300E2" w:rsidP="004300E2">
            <w:pPr>
              <w:widowControl w:val="0"/>
              <w:jc w:val="center"/>
              <w:rPr>
                <w:lang w:val="it-IT"/>
              </w:rPr>
            </w:pPr>
          </w:p>
        </w:tc>
        <w:tc>
          <w:tcPr>
            <w:tcW w:w="567" w:type="dxa"/>
            <w:tcMar>
              <w:left w:w="108" w:type="dxa"/>
            </w:tcMar>
            <w:vAlign w:val="center"/>
          </w:tcPr>
          <w:p w:rsidR="004300E2" w:rsidRDefault="004300E2" w:rsidP="004300E2">
            <w:pPr>
              <w:widowControl w:val="0"/>
              <w:jc w:val="center"/>
              <w:rPr>
                <w:lang w:val="it-IT"/>
              </w:rPr>
            </w:pPr>
          </w:p>
        </w:tc>
        <w:tc>
          <w:tcPr>
            <w:tcW w:w="567" w:type="dxa"/>
            <w:tcMar>
              <w:left w:w="108" w:type="dxa"/>
            </w:tcMar>
            <w:vAlign w:val="center"/>
          </w:tcPr>
          <w:p w:rsidR="004300E2" w:rsidRDefault="004300E2" w:rsidP="004300E2">
            <w:pPr>
              <w:widowControl w:val="0"/>
              <w:jc w:val="center"/>
              <w:rPr>
                <w:lang w:val="it-IT"/>
              </w:rPr>
            </w:pPr>
          </w:p>
        </w:tc>
      </w:tr>
      <w:tr w:rsidR="00D26424" w:rsidRPr="008129DA" w:rsidTr="00940A6F">
        <w:trPr>
          <w:cantSplit/>
        </w:trPr>
        <w:tc>
          <w:tcPr>
            <w:tcW w:w="567" w:type="dxa"/>
            <w:tcMar>
              <w:left w:w="108" w:type="dxa"/>
            </w:tcMar>
          </w:tcPr>
          <w:p w:rsidR="00D26424" w:rsidRDefault="00D26424" w:rsidP="004300E2">
            <w:pPr>
              <w:pStyle w:val="Numeroelenco"/>
              <w:widowControl w:val="0"/>
              <w:ind w:left="0" w:firstLine="57"/>
              <w:rPr>
                <w:lang w:val="it-IT"/>
              </w:rPr>
            </w:pPr>
          </w:p>
        </w:tc>
        <w:tc>
          <w:tcPr>
            <w:tcW w:w="851" w:type="dxa"/>
            <w:tcMar>
              <w:left w:w="108" w:type="dxa"/>
              <w:right w:w="0" w:type="dxa"/>
            </w:tcMar>
          </w:tcPr>
          <w:p w:rsidR="00D26424" w:rsidRDefault="00D26424" w:rsidP="004300E2">
            <w:pPr>
              <w:pStyle w:val="IAS"/>
              <w:widowControl w:val="0"/>
              <w:rPr>
                <w:lang w:val="it-IT"/>
              </w:rPr>
            </w:pPr>
            <w:r w:rsidRPr="008A0F36">
              <w:rPr>
                <w:lang w:val="it-IT"/>
              </w:rPr>
              <w:t>IAS 8.19</w:t>
            </w:r>
          </w:p>
          <w:p w:rsidR="00D26424" w:rsidRDefault="00D26424" w:rsidP="004300E2">
            <w:pPr>
              <w:pStyle w:val="IAS"/>
              <w:widowControl w:val="0"/>
              <w:rPr>
                <w:lang w:val="it-IT"/>
              </w:rPr>
            </w:pPr>
            <w:r w:rsidRPr="008A0F36">
              <w:rPr>
                <w:lang w:val="it-IT"/>
              </w:rPr>
              <w:t>IAS 8.22</w:t>
            </w:r>
          </w:p>
          <w:p w:rsidR="00D26424" w:rsidRDefault="00D26424" w:rsidP="004300E2">
            <w:pPr>
              <w:pStyle w:val="IAS"/>
              <w:widowControl w:val="0"/>
              <w:rPr>
                <w:lang w:val="it-IT"/>
              </w:rPr>
            </w:pPr>
          </w:p>
        </w:tc>
        <w:tc>
          <w:tcPr>
            <w:tcW w:w="7079" w:type="dxa"/>
            <w:tcMar>
              <w:left w:w="108" w:type="dxa"/>
            </w:tcMar>
          </w:tcPr>
          <w:p w:rsidR="00D26424" w:rsidRDefault="00D26424" w:rsidP="004300E2">
            <w:pPr>
              <w:widowControl w:val="0"/>
              <w:rPr>
                <w:lang w:val="it-IT"/>
              </w:rPr>
            </w:pPr>
            <w:r w:rsidRPr="008A0F36">
              <w:rPr>
                <w:lang w:val="it-IT"/>
              </w:rPr>
              <w:t>Quando è richiesta un’applicazione retroattiva (come indicato nello IAS 8.19) l’entità ha rettificato il saldo di apertura di ogni componente interessata del patrimonio netto per il primo esercizio precedente presentato e ha incluso informazioni comparative per ogni esercizio precedente presentato come se il nuovo principio contabile fosse stato sempre applicato.</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Default="004300E2" w:rsidP="004300E2">
            <w:pPr>
              <w:pStyle w:val="Numeroelenco"/>
              <w:widowControl w:val="0"/>
              <w:ind w:left="0" w:firstLine="57"/>
              <w:rPr>
                <w:lang w:val="it-IT"/>
              </w:rPr>
            </w:pPr>
          </w:p>
        </w:tc>
        <w:tc>
          <w:tcPr>
            <w:tcW w:w="851" w:type="dxa"/>
            <w:tcMar>
              <w:left w:w="108" w:type="dxa"/>
              <w:right w:w="0" w:type="dxa"/>
            </w:tcMar>
          </w:tcPr>
          <w:p w:rsidR="004300E2" w:rsidRDefault="004300E2" w:rsidP="004300E2">
            <w:pPr>
              <w:pStyle w:val="IAS"/>
              <w:widowControl w:val="0"/>
              <w:rPr>
                <w:lang w:val="it-IT"/>
              </w:rPr>
            </w:pPr>
            <w:r w:rsidRPr="008A0F36">
              <w:rPr>
                <w:lang w:val="it-IT"/>
              </w:rPr>
              <w:t>IAS 8.28</w:t>
            </w:r>
          </w:p>
        </w:tc>
        <w:tc>
          <w:tcPr>
            <w:tcW w:w="7079" w:type="dxa"/>
            <w:tcMar>
              <w:left w:w="108" w:type="dxa"/>
            </w:tcMar>
          </w:tcPr>
          <w:p w:rsidR="004300E2" w:rsidRDefault="004300E2" w:rsidP="00D44A38">
            <w:pPr>
              <w:widowControl w:val="0"/>
              <w:spacing w:line="226" w:lineRule="exact"/>
              <w:rPr>
                <w:lang w:val="it-IT"/>
              </w:rPr>
            </w:pPr>
            <w:r w:rsidRPr="008A0F36">
              <w:rPr>
                <w:lang w:val="it-IT"/>
              </w:rPr>
              <w:t>Quando la prima applicazione di un Principio o di un’Interpretazione ha un effetto sull’esercizio o su qualsiasi esercizio precedente, eccetto il caso in cui sia impossibile determinare l’ammontare della rettifica, oppure potrebbe avere effetto su esercizi futuri, l’entità ha fornito le seguenti informazioni:</w:t>
            </w:r>
          </w:p>
        </w:tc>
        <w:tc>
          <w:tcPr>
            <w:tcW w:w="575" w:type="dxa"/>
            <w:tcMar>
              <w:left w:w="85" w:type="dxa"/>
              <w:right w:w="85" w:type="dxa"/>
            </w:tcMar>
            <w:vAlign w:val="center"/>
          </w:tcPr>
          <w:p w:rsidR="004300E2" w:rsidRDefault="004300E2" w:rsidP="004300E2">
            <w:pPr>
              <w:widowControl w:val="0"/>
              <w:jc w:val="center"/>
              <w:rPr>
                <w:lang w:val="it-IT"/>
              </w:rPr>
            </w:pPr>
          </w:p>
        </w:tc>
        <w:tc>
          <w:tcPr>
            <w:tcW w:w="567" w:type="dxa"/>
            <w:tcMar>
              <w:left w:w="108" w:type="dxa"/>
            </w:tcMar>
            <w:vAlign w:val="center"/>
          </w:tcPr>
          <w:p w:rsidR="004300E2" w:rsidRDefault="004300E2" w:rsidP="004300E2">
            <w:pPr>
              <w:widowControl w:val="0"/>
              <w:jc w:val="center"/>
              <w:rPr>
                <w:lang w:val="it-IT"/>
              </w:rPr>
            </w:pPr>
          </w:p>
        </w:tc>
        <w:tc>
          <w:tcPr>
            <w:tcW w:w="567" w:type="dxa"/>
            <w:tcMar>
              <w:left w:w="108" w:type="dxa"/>
            </w:tcMar>
            <w:vAlign w:val="center"/>
          </w:tcPr>
          <w:p w:rsidR="004300E2" w:rsidRDefault="004300E2" w:rsidP="004300E2">
            <w:pPr>
              <w:widowControl w:val="0"/>
              <w:jc w:val="center"/>
              <w:rPr>
                <w:lang w:val="it-IT"/>
              </w:rPr>
            </w:pPr>
          </w:p>
        </w:tc>
      </w:tr>
      <w:tr w:rsidR="00D26424" w:rsidRPr="008129DA" w:rsidTr="00940A6F">
        <w:trPr>
          <w:cantSplit/>
        </w:trPr>
        <w:tc>
          <w:tcPr>
            <w:tcW w:w="567" w:type="dxa"/>
            <w:tcMar>
              <w:left w:w="108" w:type="dxa"/>
            </w:tcMar>
          </w:tcPr>
          <w:p w:rsidR="00D26424" w:rsidRDefault="00D26424" w:rsidP="004300E2">
            <w:pPr>
              <w:widowControl w:val="0"/>
              <w:ind w:firstLine="57"/>
              <w:rPr>
                <w:rFonts w:ascii="Times New Roman" w:hAnsi="Times New Roman"/>
                <w:b/>
                <w:bCs/>
                <w:i/>
                <w:iCs/>
                <w:lang w:val="it-IT"/>
              </w:rPr>
            </w:pPr>
          </w:p>
        </w:tc>
        <w:tc>
          <w:tcPr>
            <w:tcW w:w="851" w:type="dxa"/>
            <w:tcMar>
              <w:left w:w="108" w:type="dxa"/>
              <w:right w:w="0" w:type="dxa"/>
            </w:tcMar>
          </w:tcPr>
          <w:p w:rsidR="00D26424" w:rsidRDefault="00D26424" w:rsidP="004300E2">
            <w:pPr>
              <w:pStyle w:val="IAS"/>
              <w:widowControl w:val="0"/>
              <w:rPr>
                <w:lang w:val="it-IT"/>
              </w:rPr>
            </w:pPr>
          </w:p>
        </w:tc>
        <w:tc>
          <w:tcPr>
            <w:tcW w:w="7079" w:type="dxa"/>
            <w:tcMar>
              <w:left w:w="108" w:type="dxa"/>
            </w:tcMar>
          </w:tcPr>
          <w:p w:rsidR="00D26424" w:rsidRDefault="00D26424" w:rsidP="00D44A38">
            <w:pPr>
              <w:pStyle w:val="Rientroa"/>
              <w:widowControl w:val="0"/>
              <w:numPr>
                <w:ilvl w:val="0"/>
                <w:numId w:val="35"/>
              </w:numPr>
              <w:spacing w:line="226" w:lineRule="exact"/>
              <w:rPr>
                <w:iCs/>
              </w:rPr>
            </w:pPr>
            <w:r w:rsidRPr="008A0F36">
              <w:t>il titolo del Principio o dell’Interpretazione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Default="00D26424" w:rsidP="004300E2">
            <w:pPr>
              <w:widowControl w:val="0"/>
              <w:ind w:firstLine="57"/>
              <w:rPr>
                <w:rFonts w:ascii="Times New Roman" w:hAnsi="Times New Roman"/>
                <w:b/>
                <w:bCs/>
                <w:i/>
                <w:iCs/>
                <w:lang w:val="it-IT"/>
              </w:rPr>
            </w:pPr>
          </w:p>
        </w:tc>
        <w:tc>
          <w:tcPr>
            <w:tcW w:w="851" w:type="dxa"/>
            <w:tcMar>
              <w:left w:w="108" w:type="dxa"/>
              <w:right w:w="0" w:type="dxa"/>
            </w:tcMar>
          </w:tcPr>
          <w:p w:rsidR="00D26424" w:rsidRDefault="00D26424" w:rsidP="004300E2">
            <w:pPr>
              <w:pStyle w:val="IAS"/>
              <w:widowControl w:val="0"/>
              <w:rPr>
                <w:lang w:val="it-IT"/>
              </w:rPr>
            </w:pPr>
          </w:p>
        </w:tc>
        <w:tc>
          <w:tcPr>
            <w:tcW w:w="7079" w:type="dxa"/>
            <w:tcMar>
              <w:left w:w="108" w:type="dxa"/>
            </w:tcMar>
          </w:tcPr>
          <w:p w:rsidR="00D26424" w:rsidRDefault="00D26424" w:rsidP="00D44A38">
            <w:pPr>
              <w:pStyle w:val="Rientroa"/>
              <w:widowControl w:val="0"/>
              <w:spacing w:line="226" w:lineRule="exact"/>
            </w:pPr>
            <w:r w:rsidRPr="008A0F36">
              <w:t>quando applicabile, ha indicato che il cambiamento di principio è fatto in conformità alle sue disposizioni transitorie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Default="00D26424" w:rsidP="004300E2">
            <w:pPr>
              <w:widowControl w:val="0"/>
              <w:ind w:firstLine="57"/>
              <w:rPr>
                <w:rFonts w:ascii="Times New Roman" w:hAnsi="Times New Roman"/>
                <w:b/>
                <w:bCs/>
                <w:i/>
                <w:iCs/>
                <w:lang w:val="it-IT"/>
              </w:rPr>
            </w:pPr>
          </w:p>
        </w:tc>
        <w:tc>
          <w:tcPr>
            <w:tcW w:w="851" w:type="dxa"/>
            <w:tcMar>
              <w:left w:w="108" w:type="dxa"/>
              <w:right w:w="0" w:type="dxa"/>
            </w:tcMar>
          </w:tcPr>
          <w:p w:rsidR="00D26424" w:rsidRDefault="00D26424" w:rsidP="004300E2">
            <w:pPr>
              <w:pStyle w:val="IAS"/>
              <w:widowControl w:val="0"/>
              <w:rPr>
                <w:lang w:val="it-IT"/>
              </w:rPr>
            </w:pPr>
          </w:p>
        </w:tc>
        <w:tc>
          <w:tcPr>
            <w:tcW w:w="7079" w:type="dxa"/>
            <w:tcMar>
              <w:left w:w="108" w:type="dxa"/>
            </w:tcMar>
          </w:tcPr>
          <w:p w:rsidR="00D26424" w:rsidRDefault="00D26424" w:rsidP="00D44A38">
            <w:pPr>
              <w:pStyle w:val="Rientroa"/>
              <w:widowControl w:val="0"/>
              <w:spacing w:line="226" w:lineRule="exact"/>
            </w:pPr>
            <w:r w:rsidRPr="008A0F36">
              <w:t>la natura del cambiamento di principio</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Default="00D26424" w:rsidP="004300E2">
            <w:pPr>
              <w:widowControl w:val="0"/>
              <w:ind w:firstLine="57"/>
              <w:rPr>
                <w:rFonts w:ascii="Times New Roman" w:hAnsi="Times New Roman"/>
                <w:b/>
                <w:bCs/>
                <w:i/>
                <w:iCs/>
                <w:lang w:val="it-IT"/>
              </w:rPr>
            </w:pPr>
          </w:p>
        </w:tc>
        <w:tc>
          <w:tcPr>
            <w:tcW w:w="851" w:type="dxa"/>
            <w:tcMar>
              <w:left w:w="108" w:type="dxa"/>
              <w:right w:w="0" w:type="dxa"/>
            </w:tcMar>
          </w:tcPr>
          <w:p w:rsidR="00D26424" w:rsidRDefault="00D26424" w:rsidP="004300E2">
            <w:pPr>
              <w:pStyle w:val="IAS"/>
              <w:widowControl w:val="0"/>
              <w:rPr>
                <w:lang w:val="it-IT"/>
              </w:rPr>
            </w:pPr>
          </w:p>
        </w:tc>
        <w:tc>
          <w:tcPr>
            <w:tcW w:w="7079" w:type="dxa"/>
            <w:tcMar>
              <w:left w:w="108" w:type="dxa"/>
            </w:tcMar>
          </w:tcPr>
          <w:p w:rsidR="00D26424" w:rsidRDefault="00D26424" w:rsidP="00D44A38">
            <w:pPr>
              <w:pStyle w:val="Rientroa"/>
              <w:widowControl w:val="0"/>
              <w:spacing w:line="226" w:lineRule="exact"/>
            </w:pPr>
            <w:r w:rsidRPr="008A0F36">
              <w:t>quando applicabile, una descrizione delle disposizioni transitorie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Default="00D26424" w:rsidP="004300E2">
            <w:pPr>
              <w:widowControl w:val="0"/>
              <w:ind w:firstLine="57"/>
              <w:rPr>
                <w:rFonts w:ascii="Times New Roman" w:hAnsi="Times New Roman"/>
                <w:b/>
                <w:bCs/>
                <w:i/>
                <w:iCs/>
                <w:lang w:val="it-IT"/>
              </w:rPr>
            </w:pPr>
          </w:p>
        </w:tc>
        <w:tc>
          <w:tcPr>
            <w:tcW w:w="851" w:type="dxa"/>
            <w:tcMar>
              <w:left w:w="108" w:type="dxa"/>
              <w:right w:w="0" w:type="dxa"/>
            </w:tcMar>
          </w:tcPr>
          <w:p w:rsidR="00D26424" w:rsidRDefault="00D26424" w:rsidP="004300E2">
            <w:pPr>
              <w:pStyle w:val="IAS"/>
              <w:widowControl w:val="0"/>
              <w:rPr>
                <w:lang w:val="it-IT"/>
              </w:rPr>
            </w:pPr>
          </w:p>
        </w:tc>
        <w:tc>
          <w:tcPr>
            <w:tcW w:w="7079" w:type="dxa"/>
            <w:tcMar>
              <w:left w:w="108" w:type="dxa"/>
            </w:tcMar>
          </w:tcPr>
          <w:p w:rsidR="00D26424" w:rsidRDefault="00D26424" w:rsidP="00D44A38">
            <w:pPr>
              <w:pStyle w:val="Rientroa"/>
              <w:widowControl w:val="0"/>
              <w:spacing w:line="226" w:lineRule="exact"/>
            </w:pPr>
            <w:r w:rsidRPr="008A0F36">
              <w:t xml:space="preserve">quando applicabile, le disposizioni transitorie che possono influenzare gli esercizi futuri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Default="00D26424" w:rsidP="004300E2">
            <w:pPr>
              <w:widowControl w:val="0"/>
              <w:ind w:firstLine="57"/>
              <w:rPr>
                <w:rFonts w:ascii="Times New Roman" w:hAnsi="Times New Roman"/>
                <w:b/>
                <w:bCs/>
                <w:i/>
                <w:iCs/>
                <w:lang w:val="it-IT"/>
              </w:rPr>
            </w:pPr>
          </w:p>
        </w:tc>
        <w:tc>
          <w:tcPr>
            <w:tcW w:w="851" w:type="dxa"/>
            <w:tcMar>
              <w:left w:w="108" w:type="dxa"/>
              <w:right w:w="0" w:type="dxa"/>
            </w:tcMar>
          </w:tcPr>
          <w:p w:rsidR="00D26424" w:rsidRDefault="00D26424" w:rsidP="004300E2">
            <w:pPr>
              <w:pStyle w:val="IAS"/>
              <w:widowControl w:val="0"/>
              <w:rPr>
                <w:lang w:val="it-IT"/>
              </w:rPr>
            </w:pPr>
            <w:r w:rsidRPr="008A0F36">
              <w:rPr>
                <w:lang w:val="it-IT"/>
              </w:rPr>
              <w:t>IAS 33.2</w:t>
            </w:r>
          </w:p>
          <w:p w:rsidR="00D26424" w:rsidRDefault="00D26424" w:rsidP="004300E2">
            <w:pPr>
              <w:pStyle w:val="IAS"/>
              <w:widowControl w:val="0"/>
              <w:rPr>
                <w:lang w:val="it-IT"/>
              </w:rPr>
            </w:pPr>
          </w:p>
        </w:tc>
        <w:tc>
          <w:tcPr>
            <w:tcW w:w="7079" w:type="dxa"/>
            <w:tcMar>
              <w:left w:w="108" w:type="dxa"/>
            </w:tcMar>
          </w:tcPr>
          <w:p w:rsidR="00D26424" w:rsidRDefault="00D26424" w:rsidP="00D44A38">
            <w:pPr>
              <w:pStyle w:val="Rientroa"/>
              <w:widowControl w:val="0"/>
              <w:spacing w:line="226" w:lineRule="exact"/>
            </w:pPr>
            <w:r w:rsidRPr="008A0F36">
              <w:t>per l’esercizio corrente e per ogni precedente esercizio presentato, per quanto possibile, l’importo della rettifica per ogni voce del bilancio impattata e per l’utile per azione base e diluito (se si applica lo IAS 33 all’entità)</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Default="00D26424" w:rsidP="004300E2">
            <w:pPr>
              <w:widowControl w:val="0"/>
              <w:ind w:firstLine="57"/>
              <w:rPr>
                <w:rFonts w:ascii="Times New Roman" w:hAnsi="Times New Roman"/>
                <w:b/>
                <w:bCs/>
                <w:i/>
                <w:iCs/>
                <w:lang w:val="it-IT"/>
              </w:rPr>
            </w:pPr>
          </w:p>
        </w:tc>
        <w:tc>
          <w:tcPr>
            <w:tcW w:w="851" w:type="dxa"/>
            <w:tcMar>
              <w:left w:w="108" w:type="dxa"/>
              <w:right w:w="0" w:type="dxa"/>
            </w:tcMar>
          </w:tcPr>
          <w:p w:rsidR="00D26424" w:rsidRDefault="00D26424" w:rsidP="004300E2">
            <w:pPr>
              <w:pStyle w:val="IAS"/>
              <w:widowControl w:val="0"/>
              <w:rPr>
                <w:lang w:val="it-IT"/>
              </w:rPr>
            </w:pPr>
          </w:p>
        </w:tc>
        <w:tc>
          <w:tcPr>
            <w:tcW w:w="7079" w:type="dxa"/>
            <w:tcMar>
              <w:left w:w="108" w:type="dxa"/>
            </w:tcMar>
          </w:tcPr>
          <w:p w:rsidR="00D26424" w:rsidRDefault="00D26424" w:rsidP="00D44A38">
            <w:pPr>
              <w:pStyle w:val="Rientroa"/>
              <w:widowControl w:val="0"/>
              <w:spacing w:line="226" w:lineRule="exact"/>
            </w:pPr>
            <w:r w:rsidRPr="008A0F36">
              <w:t>l’importo della rettifica relativo agli esercizi precedenti a quelli presentati, nell’estensione in cui sia possibile; 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Default="00D26424" w:rsidP="004300E2">
            <w:pPr>
              <w:widowControl w:val="0"/>
              <w:ind w:firstLine="57"/>
              <w:rPr>
                <w:rFonts w:ascii="Times New Roman" w:hAnsi="Times New Roman"/>
                <w:b/>
                <w:bCs/>
                <w:i/>
                <w:iCs/>
                <w:lang w:val="it-IT"/>
              </w:rPr>
            </w:pPr>
          </w:p>
        </w:tc>
        <w:tc>
          <w:tcPr>
            <w:tcW w:w="851" w:type="dxa"/>
            <w:tcMar>
              <w:left w:w="108" w:type="dxa"/>
              <w:right w:w="0" w:type="dxa"/>
            </w:tcMar>
          </w:tcPr>
          <w:p w:rsidR="00D26424" w:rsidRDefault="00D26424" w:rsidP="004300E2">
            <w:pPr>
              <w:pStyle w:val="IAS"/>
              <w:widowControl w:val="0"/>
              <w:rPr>
                <w:lang w:val="it-IT"/>
              </w:rPr>
            </w:pPr>
          </w:p>
        </w:tc>
        <w:tc>
          <w:tcPr>
            <w:tcW w:w="7079" w:type="dxa"/>
            <w:tcMar>
              <w:left w:w="108" w:type="dxa"/>
            </w:tcMar>
          </w:tcPr>
          <w:p w:rsidR="00D26424" w:rsidRDefault="00D26424" w:rsidP="00D44A38">
            <w:pPr>
              <w:pStyle w:val="Rientroa"/>
              <w:widowControl w:val="0"/>
              <w:spacing w:line="226" w:lineRule="exact"/>
            </w:pPr>
            <w:r w:rsidRPr="008A0F36">
              <w:t>se non è possibile un’applicazione retroattiva per uno specifico esercizio precedente, o per più esercizi precedenti a quelli presentati, le circostanze che hanno portato a tale condizione e una descrizione di come e a partire da quando il cambiamento di principio è stato applicato.</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Default="004300E2" w:rsidP="004300E2">
            <w:pPr>
              <w:widowControl w:val="0"/>
              <w:ind w:firstLine="57"/>
              <w:rPr>
                <w:rFonts w:ascii="Times New Roman" w:hAnsi="Times New Roman"/>
                <w:b/>
                <w:bCs/>
                <w:i/>
                <w:iCs/>
                <w:lang w:val="it-IT"/>
              </w:rPr>
            </w:pPr>
          </w:p>
        </w:tc>
        <w:tc>
          <w:tcPr>
            <w:tcW w:w="851" w:type="dxa"/>
            <w:tcMar>
              <w:left w:w="108" w:type="dxa"/>
              <w:right w:w="0" w:type="dxa"/>
            </w:tcMar>
          </w:tcPr>
          <w:p w:rsidR="004300E2" w:rsidRDefault="004300E2" w:rsidP="004300E2">
            <w:pPr>
              <w:pStyle w:val="IAS"/>
              <w:widowControl w:val="0"/>
              <w:rPr>
                <w:lang w:val="it-IT"/>
              </w:rPr>
            </w:pPr>
            <w:r w:rsidRPr="008A0F36">
              <w:rPr>
                <w:lang w:val="it-IT"/>
              </w:rPr>
              <w:t>IAS 8.28</w:t>
            </w:r>
          </w:p>
        </w:tc>
        <w:tc>
          <w:tcPr>
            <w:tcW w:w="7079" w:type="dxa"/>
            <w:tcMar>
              <w:left w:w="108" w:type="dxa"/>
            </w:tcMar>
          </w:tcPr>
          <w:p w:rsidR="004300E2" w:rsidRDefault="004300E2" w:rsidP="00D44A38">
            <w:pPr>
              <w:pStyle w:val="Paragarfobordato"/>
              <w:rPr>
                <w:spacing w:val="-2"/>
              </w:rPr>
            </w:pPr>
            <w:r w:rsidRPr="008A0F36">
              <w:t xml:space="preserve">Il bilancio degli esercizi successivi non necessita di ripetere l’informativa. </w:t>
            </w:r>
          </w:p>
        </w:tc>
        <w:tc>
          <w:tcPr>
            <w:tcW w:w="575" w:type="dxa"/>
            <w:tcMar>
              <w:left w:w="85" w:type="dxa"/>
              <w:right w:w="85" w:type="dxa"/>
            </w:tcMar>
            <w:vAlign w:val="center"/>
          </w:tcPr>
          <w:p w:rsidR="004300E2" w:rsidRDefault="004300E2" w:rsidP="004300E2">
            <w:pPr>
              <w:widowControl w:val="0"/>
              <w:jc w:val="center"/>
              <w:rPr>
                <w:lang w:val="it-IT"/>
              </w:rPr>
            </w:pPr>
          </w:p>
        </w:tc>
        <w:tc>
          <w:tcPr>
            <w:tcW w:w="567" w:type="dxa"/>
            <w:tcMar>
              <w:left w:w="108" w:type="dxa"/>
            </w:tcMar>
            <w:vAlign w:val="center"/>
          </w:tcPr>
          <w:p w:rsidR="004300E2" w:rsidRDefault="004300E2" w:rsidP="004300E2">
            <w:pPr>
              <w:widowControl w:val="0"/>
              <w:jc w:val="center"/>
              <w:rPr>
                <w:lang w:val="it-IT"/>
              </w:rPr>
            </w:pPr>
          </w:p>
        </w:tc>
        <w:tc>
          <w:tcPr>
            <w:tcW w:w="567" w:type="dxa"/>
            <w:tcMar>
              <w:left w:w="108" w:type="dxa"/>
            </w:tcMar>
            <w:vAlign w:val="center"/>
          </w:tcPr>
          <w:p w:rsidR="004300E2" w:rsidRDefault="004300E2" w:rsidP="004300E2">
            <w:pPr>
              <w:widowControl w:val="0"/>
              <w:jc w:val="center"/>
              <w:rPr>
                <w:lang w:val="it-IT"/>
              </w:rPr>
            </w:pPr>
          </w:p>
        </w:tc>
      </w:tr>
      <w:tr w:rsidR="004300E2" w:rsidRPr="00A44ECD" w:rsidTr="00940A6F">
        <w:trPr>
          <w:cantSplit/>
        </w:trPr>
        <w:tc>
          <w:tcPr>
            <w:tcW w:w="567" w:type="dxa"/>
            <w:tcMar>
              <w:left w:w="108" w:type="dxa"/>
            </w:tcMar>
          </w:tcPr>
          <w:p w:rsidR="004300E2" w:rsidRPr="008A0F36" w:rsidRDefault="004300E2" w:rsidP="004300E2">
            <w:pPr>
              <w:rPr>
                <w:lang w:val="it-IT"/>
              </w:rPr>
            </w:pPr>
          </w:p>
        </w:tc>
        <w:tc>
          <w:tcPr>
            <w:tcW w:w="851" w:type="dxa"/>
            <w:tcMar>
              <w:left w:w="108" w:type="dxa"/>
              <w:right w:w="0" w:type="dxa"/>
            </w:tcMar>
          </w:tcPr>
          <w:p w:rsidR="004300E2" w:rsidRDefault="004300E2" w:rsidP="004300E2">
            <w:pPr>
              <w:pStyle w:val="IAS"/>
              <w:rPr>
                <w:sz w:val="12"/>
                <w:szCs w:val="12"/>
                <w:lang w:val="it-IT"/>
              </w:rPr>
            </w:pPr>
            <w:r>
              <w:rPr>
                <w:sz w:val="12"/>
                <w:szCs w:val="12"/>
                <w:lang w:val="it-IT"/>
              </w:rPr>
              <w:t>IAS 16.81L</w:t>
            </w:r>
          </w:p>
          <w:p w:rsidR="004300E2" w:rsidRPr="00237EFA" w:rsidRDefault="004300E2" w:rsidP="004300E2">
            <w:pPr>
              <w:pStyle w:val="IAS"/>
              <w:rPr>
                <w:sz w:val="12"/>
                <w:szCs w:val="12"/>
                <w:lang w:val="it-IT"/>
              </w:rPr>
            </w:pPr>
            <w:r>
              <w:rPr>
                <w:sz w:val="12"/>
                <w:szCs w:val="12"/>
                <w:lang w:val="it-IT"/>
              </w:rPr>
              <w:t>IAS 41.63</w:t>
            </w:r>
          </w:p>
        </w:tc>
        <w:tc>
          <w:tcPr>
            <w:tcW w:w="7079" w:type="dxa"/>
            <w:tcMar>
              <w:left w:w="108" w:type="dxa"/>
            </w:tcMar>
          </w:tcPr>
          <w:p w:rsidR="004300E2" w:rsidRPr="00D87B50" w:rsidRDefault="004300E2" w:rsidP="00D44A38">
            <w:pPr>
              <w:pStyle w:val="Paragarfobordato"/>
            </w:pPr>
            <w:r w:rsidRPr="004300E2">
              <w:t xml:space="preserve">Nell'esercizio in cui </w:t>
            </w:r>
            <w:r w:rsidR="008527A3" w:rsidRPr="004300E2">
              <w:t>è applicato per la prima volta</w:t>
            </w:r>
            <w:r w:rsidR="008527A3" w:rsidRPr="004300E2">
              <w:rPr>
                <w:i/>
              </w:rPr>
              <w:t xml:space="preserve"> </w:t>
            </w:r>
            <w:r w:rsidR="008527A3">
              <w:rPr>
                <w:i/>
              </w:rPr>
              <w:t>il documento “</w:t>
            </w:r>
            <w:r w:rsidRPr="004300E2">
              <w:rPr>
                <w:i/>
              </w:rPr>
              <w:t>Agricoltura: piante fruttifere</w:t>
            </w:r>
            <w:r w:rsidRPr="004300E2">
              <w:t xml:space="preserve"> (Modifiche allo IAS 16 e allo IAS 41)</w:t>
            </w:r>
            <w:r w:rsidR="008527A3">
              <w:t>”</w:t>
            </w:r>
            <w:r w:rsidRPr="004300E2">
              <w:t>, l'entità non è tenuta a indicare le informazioni quantitative richieste dal paragrafo 28, lettera f), dello IAS 8 per l'esercizio in corso. Tuttavia, l'entità deve presentare le informazioni quantitative richieste dal paragrafo 28, lettera f), dello IAS 8 per ciascun esercizio precedente presentato.</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4300E2" w:rsidRPr="00A44ECD" w:rsidTr="00940A6F">
        <w:trPr>
          <w:cantSplit/>
        </w:trPr>
        <w:tc>
          <w:tcPr>
            <w:tcW w:w="567" w:type="dxa"/>
            <w:tcMar>
              <w:left w:w="108" w:type="dxa"/>
            </w:tcMar>
          </w:tcPr>
          <w:p w:rsidR="004300E2" w:rsidRDefault="004300E2" w:rsidP="004300E2">
            <w:pPr>
              <w:pStyle w:val="Numeroelenco"/>
              <w:widowControl w:val="0"/>
              <w:ind w:left="0" w:firstLine="57"/>
              <w:rPr>
                <w:lang w:val="it-IT"/>
              </w:rPr>
            </w:pPr>
          </w:p>
        </w:tc>
        <w:tc>
          <w:tcPr>
            <w:tcW w:w="851" w:type="dxa"/>
            <w:tcMar>
              <w:left w:w="108" w:type="dxa"/>
              <w:right w:w="0" w:type="dxa"/>
            </w:tcMar>
          </w:tcPr>
          <w:p w:rsidR="004300E2" w:rsidRDefault="004300E2" w:rsidP="004300E2">
            <w:pPr>
              <w:pStyle w:val="IAS"/>
              <w:widowControl w:val="0"/>
              <w:rPr>
                <w:lang w:val="it-IT"/>
              </w:rPr>
            </w:pPr>
            <w:r w:rsidRPr="008A0F36">
              <w:rPr>
                <w:lang w:val="it-IT"/>
              </w:rPr>
              <w:t>IAS 8.29</w:t>
            </w:r>
          </w:p>
        </w:tc>
        <w:tc>
          <w:tcPr>
            <w:tcW w:w="7079" w:type="dxa"/>
            <w:tcMar>
              <w:left w:w="108" w:type="dxa"/>
            </w:tcMar>
          </w:tcPr>
          <w:p w:rsidR="004300E2" w:rsidRDefault="004300E2" w:rsidP="00D44A38">
            <w:pPr>
              <w:widowControl w:val="0"/>
              <w:spacing w:line="226" w:lineRule="exact"/>
              <w:rPr>
                <w:lang w:val="it-IT"/>
              </w:rPr>
            </w:pPr>
            <w:r w:rsidRPr="008A0F36">
              <w:rPr>
                <w:lang w:val="it-IT"/>
              </w:rPr>
              <w:t>Quando un cambiamento di principio su base volontaria ha un effetto sull’esercizio in corso o su qualsiasi esercizio precedente, eccetto il caso in cui sia impossibile determinare l’ammontare della rettifica, oppure potrebbe avere effetto su esercizi futuri, l’entità ha fornito le seguenti informazioni:</w:t>
            </w:r>
          </w:p>
        </w:tc>
        <w:tc>
          <w:tcPr>
            <w:tcW w:w="575" w:type="dxa"/>
            <w:tcMar>
              <w:left w:w="85" w:type="dxa"/>
              <w:right w:w="85" w:type="dxa"/>
            </w:tcMar>
            <w:vAlign w:val="center"/>
          </w:tcPr>
          <w:p w:rsidR="004300E2" w:rsidRDefault="004300E2" w:rsidP="004300E2">
            <w:pPr>
              <w:widowControl w:val="0"/>
              <w:jc w:val="center"/>
              <w:rPr>
                <w:lang w:val="it-IT"/>
              </w:rPr>
            </w:pPr>
          </w:p>
        </w:tc>
        <w:tc>
          <w:tcPr>
            <w:tcW w:w="567" w:type="dxa"/>
            <w:tcMar>
              <w:left w:w="108" w:type="dxa"/>
            </w:tcMar>
            <w:vAlign w:val="center"/>
          </w:tcPr>
          <w:p w:rsidR="004300E2" w:rsidRDefault="004300E2" w:rsidP="004300E2">
            <w:pPr>
              <w:widowControl w:val="0"/>
              <w:jc w:val="center"/>
              <w:rPr>
                <w:lang w:val="it-IT"/>
              </w:rPr>
            </w:pPr>
          </w:p>
        </w:tc>
        <w:tc>
          <w:tcPr>
            <w:tcW w:w="567" w:type="dxa"/>
            <w:tcMar>
              <w:left w:w="108" w:type="dxa"/>
            </w:tcMar>
            <w:vAlign w:val="center"/>
          </w:tcPr>
          <w:p w:rsidR="004300E2" w:rsidRDefault="004300E2" w:rsidP="004300E2">
            <w:pPr>
              <w:widowControl w:val="0"/>
              <w:jc w:val="center"/>
              <w:rPr>
                <w:lang w:val="it-IT"/>
              </w:rPr>
            </w:pPr>
          </w:p>
        </w:tc>
      </w:tr>
      <w:tr w:rsidR="00D26424" w:rsidRPr="008129DA" w:rsidTr="00940A6F">
        <w:trPr>
          <w:cantSplit/>
        </w:trPr>
        <w:tc>
          <w:tcPr>
            <w:tcW w:w="567" w:type="dxa"/>
            <w:tcMar>
              <w:left w:w="108" w:type="dxa"/>
            </w:tcMar>
          </w:tcPr>
          <w:p w:rsidR="00D26424" w:rsidRDefault="00D26424" w:rsidP="004300E2">
            <w:pPr>
              <w:widowControl w:val="0"/>
              <w:ind w:firstLine="57"/>
              <w:rPr>
                <w:rFonts w:ascii="Times New Roman" w:hAnsi="Times New Roman"/>
                <w:b/>
                <w:bCs/>
                <w:i/>
                <w:iCs/>
                <w:lang w:val="it-IT"/>
              </w:rPr>
            </w:pPr>
          </w:p>
        </w:tc>
        <w:tc>
          <w:tcPr>
            <w:tcW w:w="851" w:type="dxa"/>
            <w:tcMar>
              <w:left w:w="108" w:type="dxa"/>
              <w:right w:w="0" w:type="dxa"/>
            </w:tcMar>
          </w:tcPr>
          <w:p w:rsidR="00D26424" w:rsidRDefault="00D26424" w:rsidP="004300E2">
            <w:pPr>
              <w:pStyle w:val="IAS"/>
              <w:widowControl w:val="0"/>
              <w:rPr>
                <w:lang w:val="it-IT"/>
              </w:rPr>
            </w:pPr>
          </w:p>
        </w:tc>
        <w:tc>
          <w:tcPr>
            <w:tcW w:w="7079" w:type="dxa"/>
            <w:tcMar>
              <w:left w:w="108" w:type="dxa"/>
            </w:tcMar>
          </w:tcPr>
          <w:p w:rsidR="00D26424" w:rsidRDefault="00D26424" w:rsidP="00D44A38">
            <w:pPr>
              <w:pStyle w:val="Rientroa"/>
              <w:widowControl w:val="0"/>
              <w:numPr>
                <w:ilvl w:val="0"/>
                <w:numId w:val="38"/>
              </w:numPr>
              <w:spacing w:line="226" w:lineRule="exact"/>
              <w:rPr>
                <w:iCs/>
              </w:rPr>
            </w:pPr>
            <w:r w:rsidRPr="008A0F36">
              <w:t>la natura del cambiamento di principio contabile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Default="00D26424" w:rsidP="004300E2">
            <w:pPr>
              <w:widowControl w:val="0"/>
              <w:ind w:firstLine="57"/>
              <w:rPr>
                <w:rFonts w:ascii="Times New Roman" w:hAnsi="Times New Roman"/>
                <w:b/>
                <w:bCs/>
                <w:i/>
                <w:iCs/>
                <w:lang w:val="it-IT"/>
              </w:rPr>
            </w:pPr>
          </w:p>
        </w:tc>
        <w:tc>
          <w:tcPr>
            <w:tcW w:w="851" w:type="dxa"/>
            <w:tcMar>
              <w:left w:w="108" w:type="dxa"/>
              <w:right w:w="0" w:type="dxa"/>
            </w:tcMar>
          </w:tcPr>
          <w:p w:rsidR="00D26424" w:rsidRDefault="00D26424" w:rsidP="004300E2">
            <w:pPr>
              <w:pStyle w:val="IAS"/>
              <w:widowControl w:val="0"/>
              <w:rPr>
                <w:lang w:val="it-IT"/>
              </w:rPr>
            </w:pPr>
          </w:p>
        </w:tc>
        <w:tc>
          <w:tcPr>
            <w:tcW w:w="7079" w:type="dxa"/>
            <w:tcMar>
              <w:left w:w="108" w:type="dxa"/>
            </w:tcMar>
          </w:tcPr>
          <w:p w:rsidR="00D26424" w:rsidRDefault="00D26424" w:rsidP="00D44A38">
            <w:pPr>
              <w:pStyle w:val="Rientroa"/>
              <w:widowControl w:val="0"/>
              <w:spacing w:line="226" w:lineRule="exact"/>
            </w:pPr>
            <w:r w:rsidRPr="008A0F36">
              <w:t>la ragione per cui l’applicazione di un nuovo principio determina un’informativa più attendibile e più appropriata</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Default="00D26424" w:rsidP="004300E2">
            <w:pPr>
              <w:widowControl w:val="0"/>
              <w:ind w:firstLine="57"/>
              <w:rPr>
                <w:rFonts w:ascii="Times New Roman" w:hAnsi="Times New Roman"/>
                <w:b/>
                <w:bCs/>
                <w:i/>
                <w:iCs/>
                <w:lang w:val="it-IT"/>
              </w:rPr>
            </w:pPr>
          </w:p>
        </w:tc>
        <w:tc>
          <w:tcPr>
            <w:tcW w:w="851" w:type="dxa"/>
            <w:tcMar>
              <w:left w:w="108" w:type="dxa"/>
              <w:right w:w="0" w:type="dxa"/>
            </w:tcMar>
          </w:tcPr>
          <w:p w:rsidR="00D26424" w:rsidRDefault="00D26424" w:rsidP="004300E2">
            <w:pPr>
              <w:pStyle w:val="IAS"/>
              <w:widowControl w:val="0"/>
              <w:rPr>
                <w:lang w:val="it-IT"/>
              </w:rPr>
            </w:pPr>
          </w:p>
        </w:tc>
        <w:tc>
          <w:tcPr>
            <w:tcW w:w="7079" w:type="dxa"/>
            <w:tcMar>
              <w:left w:w="108" w:type="dxa"/>
            </w:tcMar>
          </w:tcPr>
          <w:p w:rsidR="00D26424" w:rsidRDefault="00D26424" w:rsidP="00D44A38">
            <w:pPr>
              <w:pStyle w:val="Rientroa"/>
              <w:widowControl w:val="0"/>
              <w:spacing w:line="226" w:lineRule="exact"/>
            </w:pPr>
            <w:r w:rsidRPr="008A0F36">
              <w:t xml:space="preserve">l’importo della rettifica, per ciascuna voce del bilancio impattata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Default="00D26424" w:rsidP="004300E2">
            <w:pPr>
              <w:widowControl w:val="0"/>
              <w:ind w:firstLine="57"/>
              <w:rPr>
                <w:rFonts w:ascii="Times New Roman" w:hAnsi="Times New Roman"/>
                <w:b/>
                <w:bCs/>
                <w:i/>
                <w:iCs/>
                <w:lang w:val="it-IT"/>
              </w:rPr>
            </w:pPr>
          </w:p>
        </w:tc>
        <w:tc>
          <w:tcPr>
            <w:tcW w:w="851" w:type="dxa"/>
            <w:tcMar>
              <w:left w:w="108" w:type="dxa"/>
              <w:right w:w="0" w:type="dxa"/>
            </w:tcMar>
          </w:tcPr>
          <w:p w:rsidR="00D26424" w:rsidRDefault="00D26424" w:rsidP="004300E2">
            <w:pPr>
              <w:pStyle w:val="IAS"/>
              <w:widowControl w:val="0"/>
              <w:rPr>
                <w:lang w:val="it-IT"/>
              </w:rPr>
            </w:pPr>
            <w:r w:rsidRPr="008A0F36">
              <w:rPr>
                <w:lang w:val="it-IT"/>
              </w:rPr>
              <w:t>IAS 33.2</w:t>
            </w:r>
          </w:p>
        </w:tc>
        <w:tc>
          <w:tcPr>
            <w:tcW w:w="7079" w:type="dxa"/>
            <w:tcMar>
              <w:left w:w="108" w:type="dxa"/>
            </w:tcMar>
          </w:tcPr>
          <w:p w:rsidR="00D26424" w:rsidRDefault="00D26424" w:rsidP="00D44A38">
            <w:pPr>
              <w:pStyle w:val="Rientroa"/>
              <w:widowControl w:val="0"/>
              <w:spacing w:line="226" w:lineRule="exact"/>
            </w:pPr>
            <w:r w:rsidRPr="008A0F36">
              <w:t>per l’esercizio corrente e per ogni precedente esercizio presentato, nella misura in cui sia possibile, per l’utile per azione base e diluito (se si applica lo IAS 33 all’entità)</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Default="00D26424" w:rsidP="004300E2">
            <w:pPr>
              <w:widowControl w:val="0"/>
              <w:ind w:firstLine="57"/>
              <w:rPr>
                <w:rFonts w:ascii="Times New Roman" w:hAnsi="Times New Roman"/>
                <w:b/>
                <w:bCs/>
                <w:i/>
                <w:iCs/>
                <w:lang w:val="it-IT"/>
              </w:rPr>
            </w:pPr>
          </w:p>
        </w:tc>
        <w:tc>
          <w:tcPr>
            <w:tcW w:w="851" w:type="dxa"/>
            <w:tcMar>
              <w:left w:w="108" w:type="dxa"/>
              <w:right w:w="0" w:type="dxa"/>
            </w:tcMar>
          </w:tcPr>
          <w:p w:rsidR="00D26424" w:rsidRDefault="00D26424" w:rsidP="004300E2">
            <w:pPr>
              <w:pStyle w:val="IAS"/>
              <w:widowControl w:val="0"/>
              <w:rPr>
                <w:lang w:val="it-IT"/>
              </w:rPr>
            </w:pPr>
          </w:p>
        </w:tc>
        <w:tc>
          <w:tcPr>
            <w:tcW w:w="7079" w:type="dxa"/>
            <w:tcMar>
              <w:left w:w="108" w:type="dxa"/>
            </w:tcMar>
          </w:tcPr>
          <w:p w:rsidR="00D26424" w:rsidRDefault="00D26424" w:rsidP="00D44A38">
            <w:pPr>
              <w:pStyle w:val="Rientroa"/>
              <w:widowControl w:val="0"/>
              <w:spacing w:line="226" w:lineRule="exact"/>
            </w:pPr>
            <w:r w:rsidRPr="008A0F36">
              <w:t>l’importo della rettifica relativo agli esercizi precedenti a quelli presentati, nella misura in cui sia possibile; 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Default="00D26424" w:rsidP="004300E2">
            <w:pPr>
              <w:widowControl w:val="0"/>
              <w:ind w:firstLine="57"/>
              <w:rPr>
                <w:rFonts w:ascii="Times New Roman" w:hAnsi="Times New Roman"/>
                <w:b/>
                <w:bCs/>
                <w:i/>
                <w:iCs/>
                <w:lang w:val="it-IT"/>
              </w:rPr>
            </w:pPr>
          </w:p>
        </w:tc>
        <w:tc>
          <w:tcPr>
            <w:tcW w:w="851" w:type="dxa"/>
            <w:tcMar>
              <w:left w:w="108" w:type="dxa"/>
              <w:right w:w="0" w:type="dxa"/>
            </w:tcMar>
          </w:tcPr>
          <w:p w:rsidR="00D26424" w:rsidRDefault="00D26424" w:rsidP="004300E2">
            <w:pPr>
              <w:pStyle w:val="IAS"/>
              <w:widowControl w:val="0"/>
              <w:rPr>
                <w:lang w:val="it-IT"/>
              </w:rPr>
            </w:pPr>
          </w:p>
        </w:tc>
        <w:tc>
          <w:tcPr>
            <w:tcW w:w="7079" w:type="dxa"/>
            <w:tcMar>
              <w:left w:w="108" w:type="dxa"/>
            </w:tcMar>
          </w:tcPr>
          <w:p w:rsidR="00D26424" w:rsidRDefault="00D26424" w:rsidP="00D44A38">
            <w:pPr>
              <w:pStyle w:val="Rientroa"/>
              <w:widowControl w:val="0"/>
              <w:spacing w:line="226" w:lineRule="exact"/>
            </w:pPr>
            <w:r w:rsidRPr="008A0F36">
              <w:t xml:space="preserve">se non è possibile un’applicazione retroattiva per un esercizio specifico, o per più esercizi precedenti a quelli presentati, le circostanze che hanno portato a tale condizione e una descrizione di come e a partire da quando il cambiamento di principio è stato applicato.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ind w:firstLine="57"/>
              <w:rPr>
                <w:rFonts w:ascii="Times New Roman" w:hAnsi="Times New Roman"/>
                <w:b/>
                <w:bCs/>
                <w:i/>
                <w:iCs/>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8.29</w:t>
            </w:r>
          </w:p>
        </w:tc>
        <w:tc>
          <w:tcPr>
            <w:tcW w:w="7079" w:type="dxa"/>
            <w:tcMar>
              <w:left w:w="108" w:type="dxa"/>
            </w:tcMar>
          </w:tcPr>
          <w:p w:rsidR="004300E2" w:rsidRPr="008A0F36" w:rsidRDefault="004300E2" w:rsidP="00D44A38">
            <w:pPr>
              <w:pStyle w:val="Paragarfobordato"/>
              <w:rPr>
                <w:spacing w:val="-2"/>
              </w:rPr>
            </w:pPr>
            <w:r w:rsidRPr="008A0F36">
              <w:t>I bilanci degli esercizi successivi non necessitano di ripetere l’informativa sopra descritta.</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4300E2" w:rsidRPr="00A44ECD" w:rsidTr="00940A6F">
        <w:trPr>
          <w:cantSplit/>
          <w:trHeight w:val="75"/>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8.30</w:t>
            </w:r>
            <w:r w:rsidRPr="008A0F36">
              <w:rPr>
                <w:lang w:val="it-IT"/>
              </w:rPr>
              <w:br/>
              <w:t>IAS 8.31</w:t>
            </w:r>
          </w:p>
        </w:tc>
        <w:tc>
          <w:tcPr>
            <w:tcW w:w="7079" w:type="dxa"/>
            <w:tcMar>
              <w:left w:w="108" w:type="dxa"/>
            </w:tcMar>
          </w:tcPr>
          <w:p w:rsidR="004300E2" w:rsidRPr="008A0F36" w:rsidRDefault="004300E2" w:rsidP="004300E2">
            <w:pPr>
              <w:rPr>
                <w:lang w:val="it-IT"/>
              </w:rPr>
            </w:pPr>
            <w:r w:rsidRPr="008A0F36">
              <w:rPr>
                <w:lang w:val="it-IT"/>
              </w:rPr>
              <w:t>Se una entit</w:t>
            </w:r>
            <w:r>
              <w:rPr>
                <w:lang w:val="it-IT"/>
              </w:rPr>
              <w:t xml:space="preserve">à non ha applicato un nuovo documento emesso dallo IASB </w:t>
            </w:r>
            <w:r w:rsidRPr="008A0F36">
              <w:rPr>
                <w:lang w:val="it-IT"/>
              </w:rPr>
              <w:t xml:space="preserve">che non è ancora </w:t>
            </w:r>
            <w:r>
              <w:rPr>
                <w:lang w:val="it-IT"/>
              </w:rPr>
              <w:t xml:space="preserve">entrato </w:t>
            </w:r>
            <w:r w:rsidRPr="008A0F36">
              <w:rPr>
                <w:lang w:val="it-IT"/>
              </w:rPr>
              <w:t xml:space="preserve">in vigore, l’entità </w:t>
            </w:r>
            <w:r>
              <w:rPr>
                <w:lang w:val="it-IT"/>
              </w:rPr>
              <w:t xml:space="preserve">deve </w:t>
            </w:r>
            <w:r w:rsidRPr="008A0F36">
              <w:rPr>
                <w:lang w:val="it-IT"/>
              </w:rPr>
              <w:t>indica</w:t>
            </w:r>
            <w:r w:rsidRPr="00251283">
              <w:rPr>
                <w:lang w:val="it-IT"/>
              </w:rPr>
              <w:t>re</w:t>
            </w:r>
            <w:r w:rsidRPr="008A0F36">
              <w:rPr>
                <w:lang w:val="it-IT"/>
              </w:rPr>
              <w:t xml:space="preserve">: </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D26424" w:rsidRPr="008129DA" w:rsidTr="00940A6F">
        <w:trPr>
          <w:cantSplit/>
          <w:trHeight w:val="20"/>
        </w:trPr>
        <w:tc>
          <w:tcPr>
            <w:tcW w:w="567" w:type="dxa"/>
          </w:tcPr>
          <w:p w:rsidR="00D26424" w:rsidRPr="008A0F36" w:rsidRDefault="00D26424" w:rsidP="004300E2">
            <w:pPr>
              <w:ind w:firstLine="57"/>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Default="00D26424" w:rsidP="004300E2">
            <w:pPr>
              <w:pStyle w:val="Rientroa"/>
              <w:numPr>
                <w:ilvl w:val="0"/>
                <w:numId w:val="230"/>
              </w:numPr>
            </w:pPr>
            <w:r w:rsidRPr="008A0F36">
              <w:t xml:space="preserve">il titolo del nuovo </w:t>
            </w:r>
            <w:r>
              <w:t>documento</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Height w:val="20"/>
        </w:trPr>
        <w:tc>
          <w:tcPr>
            <w:tcW w:w="567" w:type="dxa"/>
          </w:tcPr>
          <w:p w:rsidR="00D26424" w:rsidRPr="008A0F36" w:rsidRDefault="00D26424" w:rsidP="004300E2">
            <w:pPr>
              <w:ind w:firstLine="57"/>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8A0F36" w:rsidRDefault="00D26424" w:rsidP="004300E2">
            <w:pPr>
              <w:pStyle w:val="Rientroa"/>
            </w:pPr>
            <w:r w:rsidRPr="008A0F36">
              <w:t xml:space="preserve">la natura </w:t>
            </w:r>
            <w:r>
              <w:t xml:space="preserve">del </w:t>
            </w:r>
            <w:r w:rsidRPr="008A0F36">
              <w:t xml:space="preserve">cambiamento o </w:t>
            </w:r>
            <w:r>
              <w:t xml:space="preserve">dei </w:t>
            </w:r>
            <w:r w:rsidRPr="008A0F36">
              <w:t xml:space="preserve">cambiamenti </w:t>
            </w:r>
            <w:r>
              <w:t>nei principi contabili</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Height w:val="20"/>
        </w:trPr>
        <w:tc>
          <w:tcPr>
            <w:tcW w:w="567" w:type="dxa"/>
          </w:tcPr>
          <w:p w:rsidR="00D26424" w:rsidRPr="008A0F36" w:rsidRDefault="00D26424" w:rsidP="004300E2">
            <w:pPr>
              <w:ind w:firstLine="57"/>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8A0F36" w:rsidRDefault="00D26424" w:rsidP="004300E2">
            <w:pPr>
              <w:pStyle w:val="Rientroa"/>
            </w:pPr>
            <w:r w:rsidRPr="008A0F36">
              <w:t xml:space="preserve">la data a partire dalla quale è richiesta l’applicazione del nuovo </w:t>
            </w:r>
            <w:r>
              <w:t>documento</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Height w:val="20"/>
        </w:trPr>
        <w:tc>
          <w:tcPr>
            <w:tcW w:w="567" w:type="dxa"/>
          </w:tcPr>
          <w:p w:rsidR="00D26424" w:rsidRPr="008A0F36" w:rsidRDefault="00D26424" w:rsidP="004300E2">
            <w:pPr>
              <w:ind w:firstLine="57"/>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8A0F36" w:rsidRDefault="00D26424" w:rsidP="004300E2">
            <w:pPr>
              <w:pStyle w:val="Rientroa"/>
            </w:pPr>
            <w:r w:rsidRPr="008A0F36">
              <w:t xml:space="preserve">la data a partire dalla quale l’entità prevede di adottare il nuovo </w:t>
            </w:r>
            <w:r>
              <w:t>documento</w:t>
            </w:r>
            <w:r w:rsidRPr="008A0F36">
              <w:t>; 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A0F36" w:rsidTr="00940A6F">
        <w:trPr>
          <w:cantSplit/>
          <w:trHeight w:val="20"/>
        </w:trPr>
        <w:tc>
          <w:tcPr>
            <w:tcW w:w="567" w:type="dxa"/>
          </w:tcPr>
          <w:p w:rsidR="00D26424" w:rsidRPr="008A0F36" w:rsidRDefault="00D26424" w:rsidP="004300E2">
            <w:pPr>
              <w:ind w:firstLine="57"/>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8A0F36" w:rsidRDefault="00D26424" w:rsidP="004300E2">
            <w:pPr>
              <w:pStyle w:val="Rientroa"/>
            </w:pPr>
            <w:r w:rsidRPr="008A0F36">
              <w:t>alternativamente:</w:t>
            </w:r>
          </w:p>
        </w:tc>
        <w:tc>
          <w:tcPr>
            <w:tcW w:w="575" w:type="dxa"/>
            <w:tcMar>
              <w:left w:w="85" w:type="dxa"/>
              <w:right w:w="85" w:type="dxa"/>
            </w:tcMar>
            <w:vAlign w:val="center"/>
          </w:tcPr>
          <w:p w:rsidR="00D26424" w:rsidRDefault="00D26424" w:rsidP="004300E2">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Default="00D26424" w:rsidP="004300E2">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Default="00D26424" w:rsidP="004300E2">
            <w:pPr>
              <w:jc w:val="cente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Height w:val="20"/>
        </w:trPr>
        <w:tc>
          <w:tcPr>
            <w:tcW w:w="567" w:type="dxa"/>
          </w:tcPr>
          <w:p w:rsidR="00D26424" w:rsidRPr="008A0F36" w:rsidRDefault="00D26424" w:rsidP="004300E2">
            <w:pPr>
              <w:ind w:firstLine="57"/>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8A0F36" w:rsidRDefault="00D26424" w:rsidP="004300E2">
            <w:pPr>
              <w:pStyle w:val="Puntoelenco"/>
              <w:ind w:hanging="322"/>
              <w:contextualSpacing w:val="0"/>
            </w:pPr>
            <w:r w:rsidRPr="008A0F36">
              <w:t xml:space="preserve">una indicazione dell’impatto iniziale degli effetti del cambiamento sul bilancio; o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Height w:val="20"/>
        </w:trPr>
        <w:tc>
          <w:tcPr>
            <w:tcW w:w="567" w:type="dxa"/>
          </w:tcPr>
          <w:p w:rsidR="00D26424" w:rsidRPr="008A0F36" w:rsidRDefault="00D26424" w:rsidP="004300E2">
            <w:pPr>
              <w:ind w:firstLine="57"/>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8A0F36" w:rsidRDefault="00D26424" w:rsidP="004300E2">
            <w:pPr>
              <w:pStyle w:val="Puntoelenco"/>
              <w:ind w:hanging="322"/>
              <w:contextualSpacing w:val="0"/>
            </w:pPr>
            <w:r w:rsidRPr="008A0F36">
              <w:t xml:space="preserve">se tale impatto non è noto o non è ragionevolmente stimabile, deve essere indicato tale fatto.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Pr>
          <w:p w:rsidR="004300E2" w:rsidRPr="008A0F36" w:rsidRDefault="004300E2" w:rsidP="004300E2">
            <w:pPr>
              <w:ind w:firstLine="57"/>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Pr="008A0F36" w:rsidRDefault="004300E2" w:rsidP="00D44A38">
            <w:pPr>
              <w:pStyle w:val="Paragarfobordato"/>
            </w:pPr>
            <w:r>
              <w:t xml:space="preserve">Un’entità deve fornire l’informativa richiesta al punto precedente, se significativa, con riferimento a tutti i documenti emessi dallo IASB entro la data di autorizzazione alla pubblicazione del bilancio, anche se il processo di omologazione da parte dell’Unione Europea è ancora in corso. </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4300E2" w:rsidRPr="00A44ECD" w:rsidTr="00940A6F">
        <w:trPr>
          <w:cantSplit/>
        </w:trPr>
        <w:tc>
          <w:tcPr>
            <w:tcW w:w="567" w:type="dxa"/>
            <w:tcMar>
              <w:left w:w="108" w:type="dxa"/>
            </w:tcMar>
          </w:tcPr>
          <w:p w:rsidR="004300E2" w:rsidRPr="008A0F36" w:rsidRDefault="004300E2" w:rsidP="004300E2">
            <w:pPr>
              <w:rPr>
                <w:lang w:val="it-IT"/>
              </w:rPr>
            </w:pPr>
          </w:p>
        </w:tc>
        <w:tc>
          <w:tcPr>
            <w:tcW w:w="851" w:type="dxa"/>
            <w:tcMar>
              <w:left w:w="108" w:type="dxa"/>
              <w:right w:w="0" w:type="dxa"/>
            </w:tcMar>
          </w:tcPr>
          <w:p w:rsidR="004300E2" w:rsidRPr="008A0F36" w:rsidRDefault="004300E2" w:rsidP="004300E2">
            <w:pPr>
              <w:rPr>
                <w:lang w:val="it-IT"/>
              </w:rPr>
            </w:pPr>
          </w:p>
        </w:tc>
        <w:tc>
          <w:tcPr>
            <w:tcW w:w="7079" w:type="dxa"/>
            <w:tcMar>
              <w:left w:w="108" w:type="dxa"/>
            </w:tcMar>
          </w:tcPr>
          <w:p w:rsidR="004300E2" w:rsidRPr="008A0F36" w:rsidRDefault="004300E2" w:rsidP="004300E2">
            <w:pPr>
              <w:pStyle w:val="Titolo2"/>
              <w:rPr>
                <w:lang w:val="it-IT"/>
              </w:rPr>
            </w:pPr>
            <w:r w:rsidRPr="008A0F36">
              <w:rPr>
                <w:lang w:val="it-IT"/>
              </w:rPr>
              <w:t>Principali assunzioni adottate per le stime</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D26424" w:rsidRPr="008129DA" w:rsidTr="00940A6F">
        <w:trPr>
          <w:cantSplit/>
        </w:trPr>
        <w:tc>
          <w:tcPr>
            <w:tcW w:w="567" w:type="dxa"/>
            <w:tcMar>
              <w:left w:w="108" w:type="dxa"/>
            </w:tcMar>
          </w:tcPr>
          <w:p w:rsidR="00D26424" w:rsidRPr="008A0F36" w:rsidRDefault="00D26424" w:rsidP="004300E2">
            <w:pPr>
              <w:pStyle w:val="Numeroelenco"/>
              <w:ind w:left="0" w:firstLine="57"/>
              <w:rPr>
                <w:lang w:val="it-IT"/>
              </w:rPr>
            </w:pPr>
          </w:p>
        </w:tc>
        <w:tc>
          <w:tcPr>
            <w:tcW w:w="851" w:type="dxa"/>
            <w:tcMar>
              <w:left w:w="108" w:type="dxa"/>
              <w:right w:w="0" w:type="dxa"/>
            </w:tcMar>
          </w:tcPr>
          <w:p w:rsidR="00D26424" w:rsidRPr="008A0F36" w:rsidRDefault="00D26424" w:rsidP="004300E2">
            <w:pPr>
              <w:pStyle w:val="IAS"/>
              <w:rPr>
                <w:lang w:val="it-IT"/>
              </w:rPr>
            </w:pPr>
            <w:r w:rsidRPr="008A0F36">
              <w:rPr>
                <w:lang w:val="it-IT"/>
              </w:rPr>
              <w:t>IAS 1.125</w:t>
            </w:r>
          </w:p>
        </w:tc>
        <w:tc>
          <w:tcPr>
            <w:tcW w:w="7079" w:type="dxa"/>
            <w:tcMar>
              <w:left w:w="108" w:type="dxa"/>
            </w:tcMar>
          </w:tcPr>
          <w:p w:rsidR="00D26424" w:rsidRPr="008A0F36" w:rsidRDefault="00D26424" w:rsidP="007B3B0B">
            <w:pPr>
              <w:rPr>
                <w:lang w:val="it-IT"/>
              </w:rPr>
            </w:pPr>
            <w:r w:rsidRPr="008A0F36">
              <w:rPr>
                <w:lang w:val="it-IT"/>
              </w:rPr>
              <w:t xml:space="preserve">L’entità ha indicato, </w:t>
            </w:r>
            <w:r>
              <w:rPr>
                <w:lang w:val="it-IT"/>
              </w:rPr>
              <w:t xml:space="preserve">nell’illustrazione </w:t>
            </w:r>
            <w:r w:rsidRPr="008A0F36">
              <w:rPr>
                <w:lang w:val="it-IT"/>
              </w:rPr>
              <w:t xml:space="preserve">dei principi contabili più rilevanti e/o nelle note, l’informativa relativa alle principali assunzioni effettuate in merito ai periodi futuri e le principali fonti utilizzate, per le quali esiste un rischio significativo di determinare rettifiche rilevanti ai valori contabili delle attività e passività entro l’esercizio successivo.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Numeroelenco"/>
              <w:numPr>
                <w:ilvl w:val="0"/>
                <w:numId w:val="0"/>
              </w:numPr>
              <w:ind w:left="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IFRS 5.5B</w:t>
            </w:r>
          </w:p>
        </w:tc>
        <w:tc>
          <w:tcPr>
            <w:tcW w:w="7079" w:type="dxa"/>
            <w:tcMar>
              <w:left w:w="108" w:type="dxa"/>
            </w:tcMar>
          </w:tcPr>
          <w:p w:rsidR="004300E2" w:rsidRPr="00D44A38" w:rsidRDefault="004300E2" w:rsidP="00D44A38">
            <w:pPr>
              <w:pStyle w:val="Paragarfobordato"/>
              <w:rPr>
                <w:lang w:eastAsia="it-IT"/>
              </w:rPr>
            </w:pPr>
            <w:r w:rsidRPr="008A0F36">
              <w:rPr>
                <w:lang w:eastAsia="it-IT"/>
              </w:rPr>
              <w:t>L’IFRS 5 specifica l'informativa richiesta relativamente alle attività non correnti (o ai gruppi in dismissione) classificate come possedute per la vendita ovvero come attività operative cessate. L’informativa richiesta in altri IFRS non si applica a tali attività (o gruppi in dismissione) a meno che gli stessi IFRS non richiedano:</w:t>
            </w:r>
          </w:p>
          <w:p w:rsidR="004300E2" w:rsidRPr="008A0F36" w:rsidRDefault="004300E2" w:rsidP="00D44A38">
            <w:pPr>
              <w:pStyle w:val="Paragarfobordato"/>
              <w:ind w:left="205" w:hanging="205"/>
              <w:rPr>
                <w:lang w:eastAsia="it-IT"/>
              </w:rPr>
            </w:pPr>
            <w:r w:rsidRPr="008A0F36">
              <w:rPr>
                <w:lang w:eastAsia="it-IT"/>
              </w:rPr>
              <w:t xml:space="preserve">a) </w:t>
            </w:r>
            <w:r w:rsidRPr="008A0F36">
              <w:rPr>
                <w:lang w:eastAsia="it-IT"/>
              </w:rPr>
              <w:tab/>
              <w:t xml:space="preserve">informazioni specifiche relativamente alle attività non correnti (o ai gruppi in dismissione) classificate come possedute per la vendita ovvero come attività operative cessate; o </w:t>
            </w:r>
          </w:p>
          <w:p w:rsidR="004300E2" w:rsidRPr="008A0F36" w:rsidRDefault="004300E2" w:rsidP="00D44A38">
            <w:pPr>
              <w:pStyle w:val="Paragarfobordato"/>
              <w:ind w:left="205" w:hanging="205"/>
            </w:pPr>
            <w:r w:rsidRPr="008A0F36">
              <w:rPr>
                <w:lang w:eastAsia="it-IT"/>
              </w:rPr>
              <w:t xml:space="preserve">b) </w:t>
            </w:r>
            <w:r w:rsidRPr="008A0F36">
              <w:rPr>
                <w:lang w:eastAsia="it-IT"/>
              </w:rPr>
              <w:tab/>
              <w:t xml:space="preserve">informazioni in merito alla valutazione di attività e passività in un gruppo in dismissione che non rientrano nell’ambito di applicazione delle disposizioni di valutazione dell'IFRS 5 (vedi paragrafo IFRS 5.5) e tali informazioni non siano già previste nelle altre note al bilancio. </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4300E2" w:rsidRPr="00A44ECD" w:rsidTr="00940A6F">
        <w:trPr>
          <w:cantSplit/>
        </w:trPr>
        <w:tc>
          <w:tcPr>
            <w:tcW w:w="567" w:type="dxa"/>
            <w:tcMar>
              <w:left w:w="108" w:type="dxa"/>
            </w:tcMar>
          </w:tcPr>
          <w:p w:rsidR="004300E2" w:rsidRPr="008A0F36" w:rsidRDefault="004300E2" w:rsidP="00D44A38">
            <w:pPr>
              <w:pStyle w:val="Numeroelenco"/>
              <w:pageBreakBefore/>
              <w:ind w:left="0" w:firstLine="57"/>
              <w:rPr>
                <w:lang w:val="it-IT"/>
              </w:rPr>
            </w:pPr>
          </w:p>
        </w:tc>
        <w:tc>
          <w:tcPr>
            <w:tcW w:w="851" w:type="dxa"/>
            <w:tcMar>
              <w:left w:w="108" w:type="dxa"/>
              <w:right w:w="0" w:type="dxa"/>
            </w:tcMar>
          </w:tcPr>
          <w:p w:rsidR="004300E2" w:rsidRPr="008A0F36" w:rsidRDefault="004300E2" w:rsidP="00D44A38">
            <w:pPr>
              <w:pStyle w:val="IAS"/>
              <w:pageBreakBefore/>
              <w:rPr>
                <w:lang w:val="it-IT"/>
              </w:rPr>
            </w:pPr>
            <w:r w:rsidRPr="008A0F36">
              <w:rPr>
                <w:lang w:val="it-IT"/>
              </w:rPr>
              <w:t>IAS 1.125</w:t>
            </w:r>
          </w:p>
        </w:tc>
        <w:tc>
          <w:tcPr>
            <w:tcW w:w="7079" w:type="dxa"/>
            <w:tcMar>
              <w:left w:w="108" w:type="dxa"/>
            </w:tcMar>
          </w:tcPr>
          <w:p w:rsidR="004300E2" w:rsidRPr="008A0F36" w:rsidRDefault="004300E2" w:rsidP="00D44A38">
            <w:pPr>
              <w:pageBreakBefore/>
              <w:rPr>
                <w:lang w:val="it-IT"/>
              </w:rPr>
            </w:pPr>
            <w:r w:rsidRPr="008A0F36">
              <w:rPr>
                <w:lang w:val="it-IT"/>
              </w:rPr>
              <w:t xml:space="preserve">Con riferimento alle attività e passività, indicate </w:t>
            </w:r>
            <w:r w:rsidRPr="004F522B">
              <w:rPr>
                <w:lang w:val="it-IT"/>
              </w:rPr>
              <w:t>al punto 11</w:t>
            </w:r>
            <w:r>
              <w:rPr>
                <w:lang w:val="it-IT"/>
              </w:rPr>
              <w:t>8</w:t>
            </w:r>
            <w:r w:rsidRPr="004F522B">
              <w:rPr>
                <w:lang w:val="it-IT"/>
              </w:rPr>
              <w:t>, le note devono includere un dettaglio:</w:t>
            </w:r>
          </w:p>
        </w:tc>
        <w:tc>
          <w:tcPr>
            <w:tcW w:w="575" w:type="dxa"/>
            <w:tcMar>
              <w:left w:w="85" w:type="dxa"/>
              <w:right w:w="85" w:type="dxa"/>
            </w:tcMar>
            <w:vAlign w:val="center"/>
          </w:tcPr>
          <w:p w:rsidR="004300E2" w:rsidRPr="00FF19F7" w:rsidRDefault="004300E2" w:rsidP="00D44A38">
            <w:pPr>
              <w:pageBreakBefore/>
              <w:jc w:val="center"/>
              <w:rPr>
                <w:lang w:val="it-IT"/>
              </w:rPr>
            </w:pPr>
          </w:p>
        </w:tc>
        <w:tc>
          <w:tcPr>
            <w:tcW w:w="567" w:type="dxa"/>
            <w:tcMar>
              <w:left w:w="108" w:type="dxa"/>
            </w:tcMar>
            <w:vAlign w:val="center"/>
          </w:tcPr>
          <w:p w:rsidR="004300E2" w:rsidRPr="00FF19F7" w:rsidRDefault="004300E2" w:rsidP="00D44A38">
            <w:pPr>
              <w:pageBreakBefore/>
              <w:jc w:val="center"/>
              <w:rPr>
                <w:lang w:val="it-IT"/>
              </w:rPr>
            </w:pPr>
          </w:p>
        </w:tc>
        <w:tc>
          <w:tcPr>
            <w:tcW w:w="567" w:type="dxa"/>
            <w:tcMar>
              <w:left w:w="108" w:type="dxa"/>
            </w:tcMar>
            <w:vAlign w:val="center"/>
          </w:tcPr>
          <w:p w:rsidR="004300E2" w:rsidRPr="00FF19F7" w:rsidRDefault="004300E2" w:rsidP="00D44A38">
            <w:pPr>
              <w:pageBreakBefore/>
              <w:jc w:val="center"/>
              <w:rPr>
                <w:lang w:val="it-IT"/>
              </w:rPr>
            </w:pPr>
          </w:p>
        </w:tc>
      </w:tr>
      <w:tr w:rsidR="00D26424" w:rsidRPr="008A0F36"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8A0F36" w:rsidRDefault="00D26424" w:rsidP="004300E2">
            <w:pPr>
              <w:pStyle w:val="Rientroa"/>
              <w:numPr>
                <w:ilvl w:val="0"/>
                <w:numId w:val="37"/>
              </w:numPr>
              <w:rPr>
                <w:iCs/>
              </w:rPr>
            </w:pPr>
            <w:r>
              <w:t>del</w:t>
            </w:r>
            <w:r w:rsidRPr="008A0F36">
              <w:t>la loro natura; 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8A0F36" w:rsidRDefault="00D26424" w:rsidP="004300E2">
            <w:pPr>
              <w:pStyle w:val="Rientroa"/>
            </w:pPr>
            <w:r>
              <w:t xml:space="preserve">del </w:t>
            </w:r>
            <w:r w:rsidRPr="008A0F36">
              <w:t>loro valore contabile alla data di chiusura dell’esercizio.</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rPr>
                <w:lang w:val="it-IT"/>
              </w:rPr>
            </w:pPr>
          </w:p>
        </w:tc>
        <w:tc>
          <w:tcPr>
            <w:tcW w:w="851" w:type="dxa"/>
            <w:tcMar>
              <w:left w:w="108" w:type="dxa"/>
              <w:right w:w="0" w:type="dxa"/>
            </w:tcMar>
          </w:tcPr>
          <w:p w:rsidR="004300E2" w:rsidRPr="008A0F36" w:rsidRDefault="004300E2" w:rsidP="004300E2">
            <w:pPr>
              <w:pStyle w:val="IAS"/>
              <w:rPr>
                <w:lang w:val="it-IT"/>
              </w:rPr>
            </w:pPr>
          </w:p>
          <w:p w:rsidR="004300E2" w:rsidRPr="008A0F36" w:rsidRDefault="004300E2" w:rsidP="004300E2">
            <w:pPr>
              <w:pStyle w:val="IAS"/>
              <w:rPr>
                <w:lang w:val="it-IT"/>
              </w:rPr>
            </w:pPr>
          </w:p>
          <w:p w:rsidR="004300E2" w:rsidRPr="008A0F36" w:rsidRDefault="004300E2" w:rsidP="004300E2">
            <w:pPr>
              <w:pStyle w:val="IAS"/>
              <w:rPr>
                <w:lang w:val="it-IT"/>
              </w:rPr>
            </w:pPr>
          </w:p>
          <w:p w:rsidR="004300E2" w:rsidRPr="008A0F36" w:rsidRDefault="004300E2" w:rsidP="004300E2">
            <w:pPr>
              <w:pStyle w:val="IAS"/>
              <w:rPr>
                <w:lang w:val="it-IT"/>
              </w:rPr>
            </w:pPr>
            <w:r w:rsidRPr="008A0F36">
              <w:rPr>
                <w:lang w:val="it-IT"/>
              </w:rPr>
              <w:br/>
            </w:r>
          </w:p>
          <w:p w:rsidR="004300E2" w:rsidRPr="008A0F36" w:rsidRDefault="004300E2" w:rsidP="004300E2">
            <w:pPr>
              <w:pStyle w:val="IAS"/>
              <w:rPr>
                <w:lang w:val="it-IT"/>
              </w:rPr>
            </w:pPr>
          </w:p>
          <w:p w:rsidR="004300E2" w:rsidRPr="008A0F36" w:rsidRDefault="004300E2" w:rsidP="004300E2">
            <w:pPr>
              <w:pStyle w:val="IAS"/>
              <w:rPr>
                <w:lang w:val="it-IT"/>
              </w:rPr>
            </w:pPr>
            <w:r w:rsidRPr="008A0F36">
              <w:rPr>
                <w:lang w:val="it-IT"/>
              </w:rPr>
              <w:t>IAS 1.129</w:t>
            </w:r>
          </w:p>
          <w:p w:rsidR="004300E2" w:rsidRPr="008A0F36" w:rsidRDefault="004300E2" w:rsidP="004300E2">
            <w:pPr>
              <w:pStyle w:val="IAS"/>
              <w:rPr>
                <w:lang w:val="it-IT"/>
              </w:rPr>
            </w:pPr>
          </w:p>
          <w:p w:rsidR="004300E2" w:rsidRPr="008A0F36" w:rsidRDefault="004300E2" w:rsidP="004300E2">
            <w:pPr>
              <w:pStyle w:val="IAS"/>
              <w:rPr>
                <w:lang w:val="it-IT"/>
              </w:rPr>
            </w:pPr>
          </w:p>
        </w:tc>
        <w:tc>
          <w:tcPr>
            <w:tcW w:w="7079" w:type="dxa"/>
            <w:tcMar>
              <w:left w:w="108" w:type="dxa"/>
            </w:tcMar>
          </w:tcPr>
          <w:p w:rsidR="004300E2" w:rsidRPr="008A0F36" w:rsidRDefault="004300E2" w:rsidP="00003D7F">
            <w:pPr>
              <w:pStyle w:val="Paragarfobordato"/>
            </w:pPr>
            <w:r w:rsidRPr="008A0F36">
              <w:t>Le disposizioni relative allo IAS 1.125 sono indicate in modo da aiutare gli utilizzatori del bilancio a comprendere le decisioni della Direzione aziendale sul futuro e su altre cause di incertezza nelle stime. La natura e l’estensione delle informazioni da indicare varia in base alla natura delle assunzioni e di ogni altra circostanza rilevante.</w:t>
            </w:r>
          </w:p>
          <w:p w:rsidR="004300E2" w:rsidRPr="008A0F36" w:rsidRDefault="004300E2" w:rsidP="00003D7F">
            <w:pPr>
              <w:pStyle w:val="Paragarfobordato"/>
            </w:pPr>
            <w:r w:rsidRPr="008A0F36">
              <w:t>Esempi di tipi di informativa da fornire sono:</w:t>
            </w:r>
          </w:p>
          <w:p w:rsidR="004300E2" w:rsidRPr="008A0F36" w:rsidRDefault="004300E2" w:rsidP="00003D7F">
            <w:pPr>
              <w:pStyle w:val="Paragarfobordato"/>
              <w:ind w:left="205" w:hanging="205"/>
            </w:pPr>
            <w:r w:rsidRPr="008A0F36">
              <w:t xml:space="preserve">a) </w:t>
            </w:r>
            <w:r w:rsidRPr="008A0F36">
              <w:tab/>
              <w:t>la natura delle assunzioni o di altre cause di incertezza sulla determinazione dei valori (stime)</w:t>
            </w:r>
          </w:p>
          <w:p w:rsidR="004300E2" w:rsidRPr="008A0F36" w:rsidRDefault="004300E2" w:rsidP="00003D7F">
            <w:pPr>
              <w:pStyle w:val="Paragarfobordato"/>
              <w:ind w:left="205" w:hanging="205"/>
            </w:pPr>
            <w:r w:rsidRPr="008A0F36">
              <w:t>b)</w:t>
            </w:r>
            <w:r w:rsidRPr="008A0F36">
              <w:tab/>
              <w:t>la sensitività dei valori contabili ai metodi, assunzioni e stime alla base del loro calcolo, incluse le ragioni della loro sensitività</w:t>
            </w:r>
          </w:p>
          <w:p w:rsidR="004300E2" w:rsidRPr="008A0F36" w:rsidRDefault="004300E2" w:rsidP="00003D7F">
            <w:pPr>
              <w:pStyle w:val="Paragarfobordato"/>
              <w:ind w:left="205" w:hanging="205"/>
            </w:pPr>
            <w:r w:rsidRPr="008A0F36">
              <w:t>c)</w:t>
            </w:r>
            <w:r w:rsidRPr="008A0F36">
              <w:tab/>
              <w:t>la risoluzione attesa di un’incertezza o di un gamma di possibili ragionevoli risultati entro il successivo esercizio con riferimento al valore contabile delle attività e passività influenzate da tali stime; e</w:t>
            </w:r>
          </w:p>
          <w:p w:rsidR="004300E2" w:rsidRPr="008A0F36" w:rsidRDefault="004300E2" w:rsidP="00003D7F">
            <w:pPr>
              <w:pStyle w:val="Paragarfobordato"/>
              <w:ind w:left="205" w:hanging="205"/>
            </w:pPr>
            <w:r w:rsidRPr="008A0F36">
              <w:t>d)</w:t>
            </w:r>
            <w:r w:rsidRPr="008A0F36">
              <w:tab/>
              <w:t>una spiegazione dei cambiamenti effettuati rispetto alle ipotesi precedenti con riferimento alle attività e passività, se esiste un’incertezza non risolta.</w:t>
            </w:r>
          </w:p>
          <w:p w:rsidR="004300E2" w:rsidRPr="008A0F36" w:rsidRDefault="004300E2" w:rsidP="00003D7F">
            <w:pPr>
              <w:pStyle w:val="Paragarfobordato"/>
            </w:pPr>
            <w:r w:rsidRPr="008A0F36">
              <w:t>Esempi di assunzioni chiave sono:</w:t>
            </w:r>
          </w:p>
          <w:p w:rsidR="004300E2" w:rsidRPr="008A0F36" w:rsidRDefault="004300E2" w:rsidP="00003D7F">
            <w:pPr>
              <w:pStyle w:val="Paragarfobordato"/>
              <w:ind w:left="205" w:hanging="205"/>
            </w:pPr>
            <w:r w:rsidRPr="008A0F36">
              <w:t>a)</w:t>
            </w:r>
            <w:r w:rsidRPr="008A0F36">
              <w:tab/>
              <w:t>variazioni salariali future</w:t>
            </w:r>
          </w:p>
          <w:p w:rsidR="004300E2" w:rsidRPr="008A0F36" w:rsidRDefault="004300E2" w:rsidP="00003D7F">
            <w:pPr>
              <w:pStyle w:val="Paragarfobordato"/>
              <w:ind w:left="205" w:hanging="205"/>
            </w:pPr>
            <w:r w:rsidRPr="008A0F36">
              <w:t>b)</w:t>
            </w:r>
            <w:r w:rsidRPr="008A0F36">
              <w:tab/>
              <w:t>variazioni future dei prezzi che influenzano altri costi</w:t>
            </w:r>
          </w:p>
          <w:p w:rsidR="004300E2" w:rsidRPr="008A0F36" w:rsidRDefault="004300E2" w:rsidP="00003D7F">
            <w:pPr>
              <w:pStyle w:val="Paragarfobordato"/>
              <w:ind w:left="205" w:hanging="205"/>
            </w:pPr>
            <w:r w:rsidRPr="008A0F36">
              <w:t>c)</w:t>
            </w:r>
            <w:r w:rsidRPr="008A0F36">
              <w:tab/>
              <w:t>aggiustamenti dei flussi di cassa per rischio, e</w:t>
            </w:r>
          </w:p>
          <w:p w:rsidR="004300E2" w:rsidRPr="008A0F36" w:rsidRDefault="004300E2" w:rsidP="00003D7F">
            <w:pPr>
              <w:pStyle w:val="Paragarfobordato"/>
              <w:ind w:left="205" w:hanging="205"/>
            </w:pPr>
            <w:r w:rsidRPr="008A0F36">
              <w:t>d)</w:t>
            </w:r>
            <w:r w:rsidRPr="008A0F36">
              <w:tab/>
              <w:t>aggiustamenti dei tassi di sconto per rischio.</w:t>
            </w:r>
          </w:p>
        </w:tc>
        <w:tc>
          <w:tcPr>
            <w:tcW w:w="575" w:type="dxa"/>
            <w:tcMar>
              <w:left w:w="85" w:type="dxa"/>
              <w:right w:w="85"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c>
          <w:tcPr>
            <w:tcW w:w="567" w:type="dxa"/>
            <w:tcMar>
              <w:left w:w="108" w:type="dxa"/>
            </w:tcMar>
            <w:vAlign w:val="center"/>
          </w:tcPr>
          <w:p w:rsidR="004300E2" w:rsidRPr="00FF19F7" w:rsidRDefault="004300E2" w:rsidP="004300E2">
            <w:pPr>
              <w:jc w:val="center"/>
              <w:rPr>
                <w:lang w:val="it-IT"/>
              </w:rPr>
            </w:pPr>
          </w:p>
        </w:tc>
      </w:tr>
      <w:tr w:rsidR="004300E2" w:rsidRPr="00A44ECD" w:rsidTr="00940A6F">
        <w:trPr>
          <w:cantSplit/>
        </w:trPr>
        <w:tc>
          <w:tcPr>
            <w:tcW w:w="567" w:type="dxa"/>
            <w:tcMar>
              <w:left w:w="108" w:type="dxa"/>
            </w:tcMar>
          </w:tcPr>
          <w:p w:rsidR="004300E2" w:rsidRPr="008A0F36" w:rsidRDefault="004300E2" w:rsidP="004300E2">
            <w:pPr>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1.133</w:t>
            </w:r>
          </w:p>
        </w:tc>
        <w:tc>
          <w:tcPr>
            <w:tcW w:w="7079" w:type="dxa"/>
            <w:tcMar>
              <w:left w:w="108" w:type="dxa"/>
            </w:tcMar>
          </w:tcPr>
          <w:p w:rsidR="004300E2" w:rsidRPr="008A0F36" w:rsidRDefault="004300E2" w:rsidP="00003D7F">
            <w:pPr>
              <w:pStyle w:val="Paragarfobordato"/>
            </w:pPr>
            <w:r>
              <w:t>Altri IFRS richiedono l’informativa su alcune delle ipotesi che sarebbe comunque richiesta secondo quanto previsto dal paragrafo IAS 1.125</w:t>
            </w:r>
            <w:r w:rsidRPr="008A0F36">
              <w:t>.</w:t>
            </w:r>
            <w:r>
              <w:t xml:space="preserve"> </w:t>
            </w:r>
            <w:r w:rsidRPr="008A0F36">
              <w:t xml:space="preserve">Ad esempio, lo IAS 37 richiede l’indicazione in certe circostanze, delle assunzioni più significative relative agli eventi futuri che influenzano gli accantonamenti. Lo IAS 16 richiede l’indicazione delle assunzioni più significative nella stima dei </w:t>
            </w:r>
            <w:r w:rsidRPr="008A0F36">
              <w:rPr>
                <w:i/>
              </w:rPr>
              <w:t>fair value</w:t>
            </w:r>
            <w:r w:rsidRPr="008A0F36">
              <w:t xml:space="preserve"> degli elementi rivalutati appartenenti alle categorie di immobili, impianti e macchinari. L’IFRS </w:t>
            </w:r>
            <w:r>
              <w:t>13</w:t>
            </w:r>
            <w:r w:rsidRPr="008A0F36">
              <w:t xml:space="preserve"> richiede l’indicazione delle assunzioni più significative nella stima dei </w:t>
            </w:r>
            <w:r w:rsidRPr="008A0F36">
              <w:rPr>
                <w:i/>
              </w:rPr>
              <w:t>fair value</w:t>
            </w:r>
            <w:r w:rsidRPr="008A0F36">
              <w:t xml:space="preserve"> delle attività e passività finanziarie che sono contabilizzate al </w:t>
            </w:r>
            <w:r w:rsidRPr="008A0F36">
              <w:rPr>
                <w:i/>
              </w:rPr>
              <w:t>fair value</w:t>
            </w:r>
            <w:r w:rsidRPr="008A0F36">
              <w:t>.</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4300E2" w:rsidRPr="008A0F36" w:rsidTr="00940A6F">
        <w:trPr>
          <w:cantSplit/>
        </w:trPr>
        <w:tc>
          <w:tcPr>
            <w:tcW w:w="567" w:type="dxa"/>
            <w:tcMar>
              <w:left w:w="108" w:type="dxa"/>
            </w:tcMar>
          </w:tcPr>
          <w:p w:rsidR="004300E2" w:rsidRPr="008A0F36" w:rsidRDefault="004300E2" w:rsidP="004300E2">
            <w:pPr>
              <w:rPr>
                <w:lang w:val="it-IT"/>
              </w:rPr>
            </w:pPr>
          </w:p>
        </w:tc>
        <w:tc>
          <w:tcPr>
            <w:tcW w:w="851" w:type="dxa"/>
            <w:tcMar>
              <w:left w:w="108" w:type="dxa"/>
              <w:right w:w="0" w:type="dxa"/>
            </w:tcMar>
          </w:tcPr>
          <w:p w:rsidR="004300E2" w:rsidRPr="008A0F36" w:rsidRDefault="004300E2" w:rsidP="004300E2">
            <w:pPr>
              <w:rPr>
                <w:lang w:val="it-IT"/>
              </w:rPr>
            </w:pPr>
          </w:p>
        </w:tc>
        <w:tc>
          <w:tcPr>
            <w:tcW w:w="7079" w:type="dxa"/>
            <w:tcMar>
              <w:left w:w="108" w:type="dxa"/>
            </w:tcMar>
          </w:tcPr>
          <w:p w:rsidR="004300E2" w:rsidRPr="008A0F36" w:rsidRDefault="004300E2" w:rsidP="004300E2">
            <w:pPr>
              <w:pStyle w:val="Titolo2"/>
              <w:rPr>
                <w:lang w:val="it-IT"/>
              </w:rPr>
            </w:pPr>
            <w:r w:rsidRPr="008A0F36">
              <w:rPr>
                <w:lang w:val="it-IT"/>
              </w:rPr>
              <w:t>Informazioni integrative sul capitale</w:t>
            </w:r>
          </w:p>
        </w:tc>
        <w:tc>
          <w:tcPr>
            <w:tcW w:w="575" w:type="dxa"/>
            <w:tcMar>
              <w:left w:w="85" w:type="dxa"/>
              <w:right w:w="85" w:type="dxa"/>
            </w:tcMar>
            <w:vAlign w:val="center"/>
          </w:tcPr>
          <w:p w:rsidR="004300E2" w:rsidRDefault="004300E2" w:rsidP="004300E2">
            <w:pPr>
              <w:jc w:val="center"/>
            </w:pPr>
          </w:p>
        </w:tc>
        <w:tc>
          <w:tcPr>
            <w:tcW w:w="567" w:type="dxa"/>
            <w:tcMar>
              <w:left w:w="108" w:type="dxa"/>
            </w:tcMar>
            <w:vAlign w:val="center"/>
          </w:tcPr>
          <w:p w:rsidR="004300E2" w:rsidRDefault="004300E2" w:rsidP="004300E2">
            <w:pPr>
              <w:jc w:val="center"/>
            </w:pPr>
          </w:p>
        </w:tc>
        <w:tc>
          <w:tcPr>
            <w:tcW w:w="567" w:type="dxa"/>
            <w:tcMar>
              <w:left w:w="108" w:type="dxa"/>
            </w:tcMar>
            <w:vAlign w:val="center"/>
          </w:tcPr>
          <w:p w:rsidR="004300E2" w:rsidRDefault="004300E2" w:rsidP="004300E2">
            <w:pPr>
              <w:jc w:val="center"/>
            </w:pPr>
          </w:p>
        </w:tc>
      </w:tr>
      <w:tr w:rsidR="00D26424" w:rsidRPr="008129DA" w:rsidTr="00940A6F">
        <w:trPr>
          <w:cantSplit/>
        </w:trPr>
        <w:tc>
          <w:tcPr>
            <w:tcW w:w="567" w:type="dxa"/>
            <w:tcMar>
              <w:left w:w="108" w:type="dxa"/>
            </w:tcMar>
          </w:tcPr>
          <w:p w:rsidR="00D26424" w:rsidRPr="008A0F36" w:rsidRDefault="00D26424" w:rsidP="004300E2">
            <w:pPr>
              <w:pStyle w:val="Numeroelenco"/>
              <w:ind w:left="0" w:firstLine="57"/>
              <w:rPr>
                <w:lang w:val="it-IT"/>
              </w:rPr>
            </w:pPr>
          </w:p>
        </w:tc>
        <w:tc>
          <w:tcPr>
            <w:tcW w:w="851" w:type="dxa"/>
            <w:tcMar>
              <w:left w:w="108" w:type="dxa"/>
              <w:right w:w="0" w:type="dxa"/>
            </w:tcMar>
          </w:tcPr>
          <w:p w:rsidR="00D26424" w:rsidRPr="008A0F36" w:rsidRDefault="00D26424" w:rsidP="004300E2">
            <w:pPr>
              <w:pStyle w:val="IAS"/>
              <w:rPr>
                <w:lang w:val="it-IT"/>
              </w:rPr>
            </w:pPr>
            <w:r w:rsidRPr="008A0F36">
              <w:rPr>
                <w:lang w:val="it-IT"/>
              </w:rPr>
              <w:t>IAS 1.134</w:t>
            </w:r>
          </w:p>
        </w:tc>
        <w:tc>
          <w:tcPr>
            <w:tcW w:w="7079" w:type="dxa"/>
            <w:tcMar>
              <w:left w:w="108" w:type="dxa"/>
            </w:tcMar>
          </w:tcPr>
          <w:p w:rsidR="00D26424" w:rsidRPr="008A0F36" w:rsidRDefault="00D26424" w:rsidP="004300E2">
            <w:pPr>
              <w:rPr>
                <w:lang w:val="it-IT"/>
              </w:rPr>
            </w:pPr>
            <w:r w:rsidRPr="008A0F36">
              <w:rPr>
                <w:lang w:val="it-IT"/>
              </w:rPr>
              <w:t>L’entità ha fornito le informazioni che consentono al lettore del bilancio di valutare l’oggetto dell’entità, le politiche ed i processi per la gestione del capitale.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1.134</w:t>
            </w:r>
            <w:r w:rsidRPr="008A0F36">
              <w:rPr>
                <w:lang w:val="it-IT"/>
              </w:rPr>
              <w:br/>
              <w:t>IAS 1.135</w:t>
            </w:r>
          </w:p>
        </w:tc>
        <w:tc>
          <w:tcPr>
            <w:tcW w:w="7079" w:type="dxa"/>
            <w:tcMar>
              <w:left w:w="108" w:type="dxa"/>
            </w:tcMar>
          </w:tcPr>
          <w:p w:rsidR="004300E2" w:rsidRPr="008A0F36" w:rsidRDefault="004300E2" w:rsidP="004300E2">
            <w:pPr>
              <w:rPr>
                <w:lang w:val="it-IT"/>
              </w:rPr>
            </w:pPr>
            <w:r w:rsidRPr="008A0F36">
              <w:rPr>
                <w:lang w:val="it-IT"/>
              </w:rPr>
              <w:t>L’entità ha dato l’informativa seguente, sulla base delle informazioni fornite internamente ai dirigenti con responsabilità strategiche:</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8A0F36" w:rsidRDefault="00D26424" w:rsidP="004300E2">
            <w:pPr>
              <w:pStyle w:val="Rientroa"/>
              <w:numPr>
                <w:ilvl w:val="0"/>
                <w:numId w:val="39"/>
              </w:numPr>
              <w:rPr>
                <w:iCs/>
              </w:rPr>
            </w:pPr>
            <w:r w:rsidRPr="008A0F36">
              <w:t>informativa qualitativa circa gli obiettivi, le politiche e i processi per la gestione del capitale, incluso (ma non limitato a):</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8A0F36" w:rsidRDefault="00D26424" w:rsidP="004300E2">
            <w:pPr>
              <w:pStyle w:val="Rientroisottoa"/>
            </w:pPr>
            <w:r w:rsidRPr="008A0F36">
              <w:t>i)</w:t>
            </w:r>
            <w:r w:rsidRPr="008A0F36">
              <w:tab/>
              <w:t>una descrizione di ciò che l’entità gestisce come capitale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8A0F36" w:rsidRDefault="00D26424" w:rsidP="004300E2">
            <w:pPr>
              <w:pStyle w:val="Rientroisottoa"/>
            </w:pPr>
            <w:r w:rsidRPr="008A0F36">
              <w:t>ii)</w:t>
            </w:r>
            <w:r w:rsidRPr="008A0F36">
              <w:tab/>
              <w:t>quando un’entità è soggetta a parametri patrimoniali imposti da terzi, la natura di tali parametri e come essi sono inclusi nella gestione del capitale; 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8A0F36" w:rsidRDefault="00D26424" w:rsidP="004300E2">
            <w:pPr>
              <w:pStyle w:val="Rientroisottoa"/>
            </w:pPr>
            <w:r>
              <w:t>iii)</w:t>
            </w:r>
            <w:r>
              <w:tab/>
            </w:r>
            <w:r w:rsidRPr="008A0F36">
              <w:t>il modo in cui gli obiettivi della gestione del capitale vengono soddisfatti.</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8A0F36" w:rsidRDefault="00D26424" w:rsidP="004300E2">
            <w:pPr>
              <w:pStyle w:val="Rientroa"/>
            </w:pPr>
            <w:r w:rsidRPr="008A0F36">
              <w:t>informativa quantitativa sintetica dei dati relativi agli elementi gestiti come capitale. Alcune entità considerano certe passività finanziarie (come ad esempio alcune forme di prestiti subordinati) come parte del capitale. Altre entità escludono dal capitale alcune componenti del patrimonio netto (come ad esempio le componenti derivanti dalle coperture dei flussi di cassa)</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8A0F36" w:rsidRDefault="00D26424" w:rsidP="004300E2">
            <w:pPr>
              <w:pStyle w:val="Rientroa"/>
            </w:pPr>
            <w:r w:rsidRPr="008A0F36">
              <w:t>qualsiasi cambiamento in a) e b) rispetto all’esercizio precedente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8A0F36" w:rsidRDefault="00D26424" w:rsidP="004300E2">
            <w:pPr>
              <w:pStyle w:val="Rientroa"/>
            </w:pPr>
            <w:r w:rsidRPr="008A0F36">
              <w:t>se durante l’esercizio l’entità ha rispettato i parametri patrimoniali imposti da terzi, cui l’entità è soggetta</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8A0F36" w:rsidRDefault="00D26424" w:rsidP="004300E2">
            <w:pPr>
              <w:pStyle w:val="Rientroa"/>
            </w:pPr>
            <w:r w:rsidRPr="008A0F36">
              <w:t>quando l’entità non ha rispettato i parametri patrimoniali imposti da terzi, le relative conseguenze di tale mancata ottemperanza.</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1.136</w:t>
            </w:r>
          </w:p>
        </w:tc>
        <w:tc>
          <w:tcPr>
            <w:tcW w:w="7079" w:type="dxa"/>
            <w:tcMar>
              <w:left w:w="108" w:type="dxa"/>
            </w:tcMar>
          </w:tcPr>
          <w:p w:rsidR="004300E2" w:rsidRPr="008A0F36" w:rsidRDefault="004300E2" w:rsidP="00003D7F">
            <w:pPr>
              <w:pStyle w:val="Paragarfobordato"/>
            </w:pPr>
            <w:r w:rsidRPr="008A0F36">
              <w:t xml:space="preserve">Un’entità può gestire il capitale in differenti modi ed essere soggetta a differenti parametri patrimoniali. Per esempio, un conglomerato può includere entità che intraprendono attività assicurativa e bancaria, e queste attività vengono svolte in differenti giurisdizioni. Quando un’informativa aggregata dei parametri patrimoniali e le modalità di gestione del capitale non produrrebbero informazioni utili o distorcerebbe la comprensione sulle risorse patrimoniali da parte dell’utilizzatore del bilancio, l’entità deve fornire informativa separata per ogni parametro patrimoniale a cui l’entità è soggetta. </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4300E2" w:rsidRPr="00A44ECD" w:rsidTr="00940A6F">
        <w:trPr>
          <w:cantSplit/>
        </w:trPr>
        <w:tc>
          <w:tcPr>
            <w:tcW w:w="567" w:type="dxa"/>
            <w:tcMar>
              <w:left w:w="108" w:type="dxa"/>
            </w:tcMar>
          </w:tcPr>
          <w:p w:rsidR="004300E2" w:rsidRPr="008A0F36" w:rsidRDefault="004300E2" w:rsidP="004300E2">
            <w:pPr>
              <w:rPr>
                <w:lang w:val="it-IT"/>
              </w:rPr>
            </w:pPr>
          </w:p>
        </w:tc>
        <w:tc>
          <w:tcPr>
            <w:tcW w:w="851" w:type="dxa"/>
            <w:tcMar>
              <w:left w:w="108" w:type="dxa"/>
              <w:right w:w="0" w:type="dxa"/>
            </w:tcMar>
          </w:tcPr>
          <w:p w:rsidR="004300E2" w:rsidRPr="008A0F36" w:rsidRDefault="004300E2" w:rsidP="004300E2">
            <w:pPr>
              <w:pStyle w:val="IAS"/>
              <w:rPr>
                <w:lang w:val="it-IT"/>
              </w:rPr>
            </w:pPr>
            <w:r>
              <w:rPr>
                <w:lang w:val="it-IT"/>
              </w:rPr>
              <w:t>IAS 1.135 (a)(ii)</w:t>
            </w:r>
          </w:p>
        </w:tc>
        <w:tc>
          <w:tcPr>
            <w:tcW w:w="7079" w:type="dxa"/>
            <w:tcMar>
              <w:left w:w="108" w:type="dxa"/>
            </w:tcMar>
          </w:tcPr>
          <w:p w:rsidR="004300E2" w:rsidRPr="008A0F36" w:rsidRDefault="004300E2" w:rsidP="00003D7F">
            <w:pPr>
              <w:pStyle w:val="Paragarfobordato"/>
            </w:pPr>
            <w:r>
              <w:t>I parametri patrimoniali imposti da terzi richiamati dallo IAS 1.135 (a)(ii) sono quelli imposti dal regulator o da un’autorità di vigilanza. I parametri patrimoniali imposti da banche o creditori sono considerati obbligazioni contrattuali e quindi esulano dallo scopo dello IAS 1.135 (a)(ii).</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4300E2" w:rsidRPr="008A0F36" w:rsidTr="00940A6F">
        <w:trPr>
          <w:cantSplit/>
        </w:trPr>
        <w:tc>
          <w:tcPr>
            <w:tcW w:w="567" w:type="dxa"/>
            <w:tcMar>
              <w:left w:w="108" w:type="dxa"/>
            </w:tcMar>
            <w:vAlign w:val="center"/>
          </w:tcPr>
          <w:p w:rsidR="004300E2" w:rsidRPr="008A0F36" w:rsidRDefault="004300E2" w:rsidP="004300E2">
            <w:pPr>
              <w:jc w:val="left"/>
              <w:rPr>
                <w:lang w:val="it-IT"/>
              </w:rPr>
            </w:pPr>
          </w:p>
        </w:tc>
        <w:tc>
          <w:tcPr>
            <w:tcW w:w="851" w:type="dxa"/>
            <w:tcMar>
              <w:left w:w="108" w:type="dxa"/>
              <w:right w:w="0" w:type="dxa"/>
            </w:tcMar>
            <w:vAlign w:val="center"/>
          </w:tcPr>
          <w:p w:rsidR="004300E2" w:rsidRPr="008A0F36" w:rsidRDefault="004300E2" w:rsidP="004300E2">
            <w:pPr>
              <w:jc w:val="left"/>
              <w:rPr>
                <w:lang w:val="it-IT"/>
              </w:rPr>
            </w:pPr>
          </w:p>
        </w:tc>
        <w:tc>
          <w:tcPr>
            <w:tcW w:w="7079" w:type="dxa"/>
            <w:tcMar>
              <w:left w:w="108" w:type="dxa"/>
            </w:tcMar>
            <w:vAlign w:val="center"/>
          </w:tcPr>
          <w:p w:rsidR="004300E2" w:rsidRPr="008A0F36" w:rsidRDefault="004300E2" w:rsidP="004300E2">
            <w:pPr>
              <w:pStyle w:val="Titolo2"/>
              <w:rPr>
                <w:lang w:val="it-IT"/>
              </w:rPr>
            </w:pPr>
            <w:r w:rsidRPr="008A0F36">
              <w:rPr>
                <w:lang w:val="it-IT"/>
              </w:rPr>
              <w:t>AGGREGAZIONI AZIENDALI</w:t>
            </w:r>
          </w:p>
        </w:tc>
        <w:tc>
          <w:tcPr>
            <w:tcW w:w="575" w:type="dxa"/>
            <w:tcMar>
              <w:left w:w="85" w:type="dxa"/>
              <w:right w:w="85" w:type="dxa"/>
            </w:tcMar>
            <w:vAlign w:val="center"/>
          </w:tcPr>
          <w:p w:rsidR="004300E2" w:rsidRDefault="004300E2" w:rsidP="004300E2">
            <w:pPr>
              <w:jc w:val="left"/>
            </w:pPr>
          </w:p>
        </w:tc>
        <w:tc>
          <w:tcPr>
            <w:tcW w:w="567" w:type="dxa"/>
            <w:tcMar>
              <w:left w:w="108" w:type="dxa"/>
            </w:tcMar>
            <w:vAlign w:val="center"/>
          </w:tcPr>
          <w:p w:rsidR="004300E2" w:rsidRDefault="004300E2" w:rsidP="004300E2">
            <w:pPr>
              <w:jc w:val="left"/>
            </w:pPr>
          </w:p>
        </w:tc>
        <w:tc>
          <w:tcPr>
            <w:tcW w:w="567" w:type="dxa"/>
            <w:tcMar>
              <w:left w:w="108" w:type="dxa"/>
            </w:tcMar>
            <w:vAlign w:val="center"/>
          </w:tcPr>
          <w:p w:rsidR="004300E2" w:rsidRDefault="004300E2" w:rsidP="004300E2">
            <w:pPr>
              <w:jc w:val="left"/>
            </w:pPr>
          </w:p>
        </w:tc>
      </w:tr>
      <w:tr w:rsidR="004300E2" w:rsidRPr="008A0F36" w:rsidTr="00940A6F">
        <w:trPr>
          <w:cantSplit/>
        </w:trPr>
        <w:tc>
          <w:tcPr>
            <w:tcW w:w="567" w:type="dxa"/>
            <w:tcMar>
              <w:left w:w="108" w:type="dxa"/>
            </w:tcMar>
          </w:tcPr>
          <w:p w:rsidR="004300E2" w:rsidRPr="008A0F36" w:rsidRDefault="004300E2" w:rsidP="004300E2">
            <w:pPr>
              <w:rPr>
                <w:lang w:val="it-IT"/>
              </w:rPr>
            </w:pPr>
          </w:p>
        </w:tc>
        <w:tc>
          <w:tcPr>
            <w:tcW w:w="851" w:type="dxa"/>
            <w:tcMar>
              <w:left w:w="108" w:type="dxa"/>
              <w:right w:w="0" w:type="dxa"/>
            </w:tcMar>
          </w:tcPr>
          <w:p w:rsidR="004300E2" w:rsidRPr="008A0F36" w:rsidRDefault="004300E2" w:rsidP="004300E2">
            <w:pPr>
              <w:rPr>
                <w:lang w:val="it-IT"/>
              </w:rPr>
            </w:pPr>
          </w:p>
        </w:tc>
        <w:tc>
          <w:tcPr>
            <w:tcW w:w="7079" w:type="dxa"/>
            <w:tcMar>
              <w:left w:w="108" w:type="dxa"/>
            </w:tcMar>
          </w:tcPr>
          <w:p w:rsidR="004300E2" w:rsidRPr="008A0F36" w:rsidRDefault="004300E2" w:rsidP="004300E2">
            <w:pPr>
              <w:pStyle w:val="Titolo2"/>
              <w:rPr>
                <w:lang w:val="it-IT"/>
              </w:rPr>
            </w:pPr>
            <w:r w:rsidRPr="008A0F36">
              <w:rPr>
                <w:lang w:val="it-IT"/>
              </w:rPr>
              <w:t>Acquisizioni</w:t>
            </w:r>
          </w:p>
        </w:tc>
        <w:tc>
          <w:tcPr>
            <w:tcW w:w="575" w:type="dxa"/>
            <w:tcMar>
              <w:left w:w="85" w:type="dxa"/>
              <w:right w:w="85" w:type="dxa"/>
            </w:tcMar>
            <w:vAlign w:val="center"/>
          </w:tcPr>
          <w:p w:rsidR="004300E2" w:rsidRDefault="004300E2" w:rsidP="004300E2">
            <w:pPr>
              <w:jc w:val="center"/>
            </w:pPr>
          </w:p>
        </w:tc>
        <w:tc>
          <w:tcPr>
            <w:tcW w:w="567" w:type="dxa"/>
            <w:tcMar>
              <w:left w:w="108" w:type="dxa"/>
            </w:tcMar>
            <w:vAlign w:val="center"/>
          </w:tcPr>
          <w:p w:rsidR="004300E2" w:rsidRDefault="004300E2" w:rsidP="004300E2">
            <w:pPr>
              <w:jc w:val="center"/>
            </w:pPr>
          </w:p>
        </w:tc>
        <w:tc>
          <w:tcPr>
            <w:tcW w:w="567" w:type="dxa"/>
            <w:tcMar>
              <w:left w:w="108" w:type="dxa"/>
            </w:tcMar>
            <w:vAlign w:val="center"/>
          </w:tcPr>
          <w:p w:rsidR="004300E2" w:rsidRDefault="004300E2" w:rsidP="004300E2">
            <w:pPr>
              <w:jc w:val="center"/>
            </w:pPr>
          </w:p>
        </w:tc>
      </w:tr>
      <w:tr w:rsidR="00D26424" w:rsidRPr="008129DA" w:rsidTr="00940A6F">
        <w:trPr>
          <w:cantSplit/>
        </w:trPr>
        <w:tc>
          <w:tcPr>
            <w:tcW w:w="567" w:type="dxa"/>
            <w:tcMar>
              <w:left w:w="108" w:type="dxa"/>
            </w:tcMar>
          </w:tcPr>
          <w:p w:rsidR="00D26424" w:rsidRPr="008A0F36" w:rsidRDefault="00D26424" w:rsidP="004300E2">
            <w:pPr>
              <w:pStyle w:val="Numeroelenco"/>
              <w:ind w:left="0" w:firstLine="57"/>
              <w:rPr>
                <w:lang w:val="it-IT"/>
              </w:rPr>
            </w:pPr>
          </w:p>
        </w:tc>
        <w:tc>
          <w:tcPr>
            <w:tcW w:w="851" w:type="dxa"/>
            <w:tcMar>
              <w:left w:w="108" w:type="dxa"/>
              <w:right w:w="0" w:type="dxa"/>
            </w:tcMar>
          </w:tcPr>
          <w:p w:rsidR="00D26424" w:rsidRPr="008A0F36" w:rsidRDefault="00D26424" w:rsidP="004300E2">
            <w:pPr>
              <w:pStyle w:val="IAS"/>
              <w:rPr>
                <w:lang w:val="it-IT"/>
              </w:rPr>
            </w:pPr>
            <w:r w:rsidRPr="008A0F36">
              <w:rPr>
                <w:lang w:val="it-IT"/>
              </w:rPr>
              <w:t>IFRS 3.59 IFRS 3.63</w:t>
            </w:r>
          </w:p>
        </w:tc>
        <w:tc>
          <w:tcPr>
            <w:tcW w:w="7079" w:type="dxa"/>
            <w:tcMar>
              <w:left w:w="108" w:type="dxa"/>
            </w:tcMar>
          </w:tcPr>
          <w:p w:rsidR="00D26424" w:rsidRPr="008A0F36" w:rsidRDefault="00D26424" w:rsidP="004300E2">
            <w:pPr>
              <w:rPr>
                <w:lang w:val="it-IT"/>
              </w:rPr>
            </w:pPr>
            <w:r w:rsidRPr="008A0F36">
              <w:rPr>
                <w:lang w:val="it-IT"/>
              </w:rPr>
              <w:t>L’acquirente ha fornito le informazioni che consentono agli utilizzatori del bilancio di valutare la natura e gli effetti finanziari dell’aggregazione aziendale.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pStyle w:val="Numeroelenco"/>
              <w:ind w:left="0" w:firstLine="57"/>
              <w:rPr>
                <w:lang w:val="it-IT"/>
              </w:rPr>
            </w:pPr>
          </w:p>
        </w:tc>
        <w:tc>
          <w:tcPr>
            <w:tcW w:w="851" w:type="dxa"/>
            <w:tcMar>
              <w:left w:w="108" w:type="dxa"/>
              <w:right w:w="0" w:type="dxa"/>
            </w:tcMar>
          </w:tcPr>
          <w:p w:rsidR="00D26424" w:rsidRPr="008A0F36" w:rsidRDefault="00D26424" w:rsidP="004300E2">
            <w:pPr>
              <w:pStyle w:val="IAS"/>
              <w:rPr>
                <w:lang w:val="it-IT"/>
              </w:rPr>
            </w:pPr>
            <w:r w:rsidRPr="008A0F36">
              <w:rPr>
                <w:lang w:val="it-IT"/>
              </w:rPr>
              <w:t xml:space="preserve">IFRS 3 </w:t>
            </w:r>
            <w:r w:rsidRPr="008A0F36">
              <w:rPr>
                <w:lang w:val="it-IT"/>
              </w:rPr>
              <w:br/>
              <w:t>App. B65</w:t>
            </w:r>
          </w:p>
        </w:tc>
        <w:tc>
          <w:tcPr>
            <w:tcW w:w="7079" w:type="dxa"/>
            <w:tcMar>
              <w:left w:w="108" w:type="dxa"/>
            </w:tcMar>
          </w:tcPr>
          <w:p w:rsidR="00D26424" w:rsidRPr="004F522B" w:rsidRDefault="00D26424" w:rsidP="004300E2">
            <w:pPr>
              <w:rPr>
                <w:lang w:val="it-IT"/>
              </w:rPr>
            </w:pPr>
            <w:r w:rsidRPr="004F522B">
              <w:rPr>
                <w:lang w:val="it-IT"/>
              </w:rPr>
              <w:t>Per aggregazioni aziendali individualmente immateriali che si verificano durante l’esercizio ma che sono materiali se considerate complessivamente, l’acquirente ha dato l’inf</w:t>
            </w:r>
            <w:r>
              <w:rPr>
                <w:lang w:val="it-IT"/>
              </w:rPr>
              <w:t>ormativa richiesta dai punti 124(e) - 136</w:t>
            </w:r>
            <w:r w:rsidRPr="004F522B">
              <w:rPr>
                <w:lang w:val="it-IT"/>
              </w:rPr>
              <w:t xml:space="preserve"> in forma aggregata.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 xml:space="preserve">IFRS 3.59 IFRS 3 </w:t>
            </w:r>
            <w:r w:rsidRPr="008A0F36">
              <w:rPr>
                <w:lang w:val="it-IT"/>
              </w:rPr>
              <w:br/>
              <w:t xml:space="preserve">App B64 </w:t>
            </w:r>
            <w:r w:rsidRPr="008A0F36">
              <w:rPr>
                <w:lang w:val="it-IT"/>
              </w:rPr>
              <w:br/>
              <w:t>(a) - (e)</w:t>
            </w:r>
          </w:p>
        </w:tc>
        <w:tc>
          <w:tcPr>
            <w:tcW w:w="7079" w:type="dxa"/>
            <w:tcMar>
              <w:left w:w="108" w:type="dxa"/>
            </w:tcMar>
          </w:tcPr>
          <w:p w:rsidR="004300E2" w:rsidRPr="004F522B" w:rsidRDefault="004300E2" w:rsidP="004300E2">
            <w:pPr>
              <w:rPr>
                <w:lang w:val="it-IT"/>
              </w:rPr>
            </w:pPr>
            <w:r w:rsidRPr="004F522B">
              <w:rPr>
                <w:lang w:val="it-IT"/>
              </w:rPr>
              <w:t xml:space="preserve">L’entità ha indicato, per ogni aggregazione aziendale che è stata effettuata durante l’esercizio, o dopo la data di chiusura dell’esercizio ma prima che il bilancio sia autorizzato per la pubblicazione: </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8A0F36" w:rsidRDefault="00D26424" w:rsidP="004300E2">
            <w:pPr>
              <w:pStyle w:val="Rientroa"/>
              <w:numPr>
                <w:ilvl w:val="0"/>
                <w:numId w:val="40"/>
              </w:numPr>
              <w:rPr>
                <w:iCs/>
              </w:rPr>
            </w:pPr>
            <w:r w:rsidRPr="008A0F36">
              <w:t>il nome e la descrizione dell’acquisita</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A0F36"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8A0F36" w:rsidRDefault="00D26424" w:rsidP="004300E2">
            <w:pPr>
              <w:pStyle w:val="Rientroa"/>
            </w:pPr>
            <w:r w:rsidRPr="008A0F36">
              <w:t>la data di acquisizione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8A0F36" w:rsidRDefault="00D26424" w:rsidP="004300E2">
            <w:pPr>
              <w:pStyle w:val="Rientroa"/>
            </w:pPr>
            <w:r w:rsidRPr="008A0F36">
              <w:t>la percentuale dei diritti di voto acquisiti</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8A0F36" w:rsidRDefault="00D26424" w:rsidP="004300E2">
            <w:pPr>
              <w:pStyle w:val="Rientroa"/>
            </w:pPr>
            <w:r w:rsidRPr="008A0F36">
              <w:t>lo scopo primario sottostante l’aggregazione aziendale e una descrizione di come l’acquirente ha ottenuto il controllo dell’acquisita</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8A0F36" w:rsidRDefault="00D26424" w:rsidP="004300E2">
            <w:pPr>
              <w:pStyle w:val="Rientroa"/>
            </w:pPr>
            <w:r w:rsidRPr="008A0F36">
              <w:t>una descrizione qualitativa dei fattori che compongono l’avviamento rilevato, quali sinergie attese dalla combinazione delle attività di acquisita ed acquirente, le attività immateriali che non si qualificano per una rilevazione separata od altri fattori.</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0C2263" w:rsidRDefault="004300E2" w:rsidP="004300E2">
            <w:pPr>
              <w:pStyle w:val="IAS"/>
            </w:pPr>
            <w:r w:rsidRPr="000C2263">
              <w:t>IFRS 3.59 IFRS 3 App. B64 (f)</w:t>
            </w:r>
          </w:p>
          <w:p w:rsidR="004300E2" w:rsidRPr="000C2263" w:rsidRDefault="004300E2" w:rsidP="004300E2">
            <w:pPr>
              <w:pStyle w:val="IAS"/>
            </w:pPr>
          </w:p>
        </w:tc>
        <w:tc>
          <w:tcPr>
            <w:tcW w:w="7079" w:type="dxa"/>
            <w:tcMar>
              <w:left w:w="108" w:type="dxa"/>
            </w:tcMar>
          </w:tcPr>
          <w:p w:rsidR="004300E2" w:rsidRPr="008A0F36" w:rsidRDefault="004300E2" w:rsidP="004300E2">
            <w:pPr>
              <w:rPr>
                <w:lang w:val="it-IT"/>
              </w:rPr>
            </w:pPr>
            <w:r w:rsidRPr="008A0F36">
              <w:rPr>
                <w:lang w:val="it-IT"/>
              </w:rPr>
              <w:t xml:space="preserve">L’entità ha indicato, per ogni aggregazione aziendale che è stata effettuata durante l’esercizio, o dopo la data di chiusura dell’esercizio ma prima che il bilancio sia autorizzato per la pubblicazione: il </w:t>
            </w:r>
            <w:r w:rsidRPr="008A0F36">
              <w:rPr>
                <w:i/>
                <w:lang w:val="it-IT"/>
              </w:rPr>
              <w:t>fair value</w:t>
            </w:r>
            <w:r w:rsidRPr="008A0F36">
              <w:rPr>
                <w:lang w:val="it-IT"/>
              </w:rPr>
              <w:t xml:space="preserve"> alla data di acquisizione del corrispettivo totale trasferito ed il </w:t>
            </w:r>
            <w:r w:rsidRPr="008A0F36">
              <w:rPr>
                <w:i/>
                <w:lang w:val="it-IT"/>
              </w:rPr>
              <w:t>fair value</w:t>
            </w:r>
            <w:r w:rsidRPr="008A0F36">
              <w:rPr>
                <w:lang w:val="it-IT"/>
              </w:rPr>
              <w:t xml:space="preserve"> alla data di acquisizione di ogni componente significativo del corrispettivo quale:</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D26424" w:rsidRPr="008A0F36"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8A0F36" w:rsidRDefault="00D26424" w:rsidP="004300E2">
            <w:pPr>
              <w:pStyle w:val="Rientroa"/>
              <w:numPr>
                <w:ilvl w:val="0"/>
                <w:numId w:val="41"/>
              </w:numPr>
              <w:rPr>
                <w:iCs/>
              </w:rPr>
            </w:pPr>
            <w:r w:rsidRPr="008A0F36">
              <w:t>liquidità</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8A0F36" w:rsidRDefault="00D26424" w:rsidP="004300E2">
            <w:pPr>
              <w:pStyle w:val="Rientroa"/>
            </w:pPr>
            <w:r w:rsidRPr="008A0F36">
              <w:t>attività tangibili o intangibili, incluso un ramo d’azienda o una controllata dell’acquirente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8A0F36" w:rsidRDefault="00D26424" w:rsidP="004300E2">
            <w:pPr>
              <w:pStyle w:val="Rientroa"/>
            </w:pPr>
            <w:r w:rsidRPr="008A0F36">
              <w:t>passività assunte, quali ad esempio un corrispettivo potenziale; 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8A0F36" w:rsidRDefault="00D26424" w:rsidP="004300E2">
            <w:pPr>
              <w:pStyle w:val="Rientroa"/>
            </w:pPr>
            <w:r w:rsidRPr="008A0F36">
              <w:t xml:space="preserve">quote azionarie dell’acquirente, incluso il numero di strumenti o quote emesse o da emettere ed il metodo di </w:t>
            </w:r>
            <w:r>
              <w:t xml:space="preserve">valutazione </w:t>
            </w:r>
            <w:r w:rsidRPr="008A0F36">
              <w:t xml:space="preserve">del </w:t>
            </w:r>
            <w:r w:rsidRPr="008A0F36">
              <w:rPr>
                <w:i/>
              </w:rPr>
              <w:t>fair value</w:t>
            </w:r>
            <w:r w:rsidRPr="008A0F36">
              <w:t xml:space="preserve"> di tali strumenti o quote.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IFRS 3.58</w:t>
            </w:r>
          </w:p>
          <w:p w:rsidR="004300E2" w:rsidRPr="008A0F36" w:rsidRDefault="004300E2" w:rsidP="004300E2">
            <w:pPr>
              <w:pStyle w:val="IAS"/>
              <w:rPr>
                <w:lang w:val="it-IT"/>
              </w:rPr>
            </w:pPr>
          </w:p>
        </w:tc>
        <w:tc>
          <w:tcPr>
            <w:tcW w:w="7079" w:type="dxa"/>
            <w:tcMar>
              <w:left w:w="108" w:type="dxa"/>
            </w:tcMar>
          </w:tcPr>
          <w:p w:rsidR="004300E2" w:rsidRPr="008A0F36" w:rsidRDefault="004300E2" w:rsidP="00003D7F">
            <w:pPr>
              <w:pStyle w:val="Paragarfobordato"/>
            </w:pPr>
            <w:r w:rsidRPr="008A0F36">
              <w:t>Si ha un corrispettivo potenziale quando un accordo di aggregazione di imprese prevede un aggiustamento del costo dell’aggregazione condizionato ad eventi futuri quali il mantenimento di uno specifico livello di profitto.</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0C2263" w:rsidRDefault="004300E2" w:rsidP="004300E2">
            <w:pPr>
              <w:pStyle w:val="IAS"/>
            </w:pPr>
            <w:r w:rsidRPr="000C2263">
              <w:t xml:space="preserve">IFRS 3.59 IFRS 3 </w:t>
            </w:r>
            <w:r w:rsidRPr="000C2263">
              <w:br/>
              <w:t>App. B64 (g)</w:t>
            </w:r>
          </w:p>
        </w:tc>
        <w:tc>
          <w:tcPr>
            <w:tcW w:w="7079" w:type="dxa"/>
            <w:tcMar>
              <w:left w:w="108" w:type="dxa"/>
            </w:tcMar>
          </w:tcPr>
          <w:p w:rsidR="004300E2" w:rsidRPr="008A0F36" w:rsidRDefault="004300E2" w:rsidP="004300E2">
            <w:pPr>
              <w:rPr>
                <w:lang w:val="it-IT"/>
              </w:rPr>
            </w:pPr>
            <w:r w:rsidRPr="008A0F36">
              <w:rPr>
                <w:lang w:val="it-IT"/>
              </w:rPr>
              <w:t>L’entità ha indicato, per ogni aggregazione aziendale effettuata durante l’esercizio, o dopo la data di chiusura dell’esercizio ma prima che il bilancio sia autorizzato per la pubblicazione, con riferimento ad accordi relativi a corrispettivi potenziali ed indennizzi relativi alle attività:</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8A0F36" w:rsidRDefault="00D26424" w:rsidP="004300E2">
            <w:pPr>
              <w:pStyle w:val="Rientroa"/>
              <w:numPr>
                <w:ilvl w:val="0"/>
                <w:numId w:val="42"/>
              </w:numPr>
              <w:rPr>
                <w:iCs/>
              </w:rPr>
            </w:pPr>
            <w:r w:rsidRPr="008A0F36">
              <w:t>l’importo rilevato alla data di acquisizione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8A0F36" w:rsidRDefault="00D26424" w:rsidP="004300E2">
            <w:pPr>
              <w:pStyle w:val="Rientroa"/>
            </w:pPr>
            <w:r w:rsidRPr="008A0F36">
              <w:t>una descrizione dell’accordo e della base per la determinazione del pagamento; 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8A0F36" w:rsidRDefault="00D26424" w:rsidP="004300E2">
            <w:pPr>
              <w:pStyle w:val="Rientroa"/>
            </w:pPr>
            <w:r w:rsidRPr="008A0F36">
              <w:t>una stima della forbice del possibile risultato (non scontato) o, se una forbice non può essere stimata, il fatto e le ragioni per cui non si può effettuare la stima. Se l’importo massimo del pagamento è illimitato, l’acquirente deve darne informativa.</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0C2263" w:rsidRDefault="004300E2" w:rsidP="004300E2">
            <w:pPr>
              <w:pStyle w:val="IAS"/>
            </w:pPr>
            <w:r w:rsidRPr="000C2263">
              <w:t xml:space="preserve">IFRS 3.59 IFRS 3 </w:t>
            </w:r>
            <w:r w:rsidRPr="000C2263">
              <w:br/>
              <w:t>App. B64 (h)</w:t>
            </w:r>
          </w:p>
        </w:tc>
        <w:tc>
          <w:tcPr>
            <w:tcW w:w="7079" w:type="dxa"/>
            <w:tcMar>
              <w:left w:w="108" w:type="dxa"/>
            </w:tcMar>
          </w:tcPr>
          <w:p w:rsidR="004300E2" w:rsidRPr="008A0F36" w:rsidRDefault="004300E2" w:rsidP="004300E2">
            <w:pPr>
              <w:rPr>
                <w:lang w:val="it-IT"/>
              </w:rPr>
            </w:pPr>
            <w:r w:rsidRPr="008A0F36">
              <w:rPr>
                <w:lang w:val="it-IT"/>
              </w:rPr>
              <w:t>L’entità ha indicato, per ogni aggregazione aziendale che è stata effettuata durante l’esercizio, o dopo la data di chiusura dell’esercizio ma prima che il bilancio sia stato autorizzato alla pubblicazione, per i crediti acquisiti:</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8A0F36" w:rsidRDefault="00D26424" w:rsidP="004300E2">
            <w:pPr>
              <w:pStyle w:val="Rientroa"/>
              <w:numPr>
                <w:ilvl w:val="0"/>
                <w:numId w:val="43"/>
              </w:numPr>
              <w:rPr>
                <w:iCs/>
              </w:rPr>
            </w:pPr>
            <w:r w:rsidRPr="008A0F36">
              <w:t xml:space="preserve">il </w:t>
            </w:r>
            <w:r w:rsidRPr="008A0F36">
              <w:rPr>
                <w:i/>
              </w:rPr>
              <w:t>fair value</w:t>
            </w:r>
            <w:r w:rsidRPr="008A0F36">
              <w:t xml:space="preserve"> dei crediti</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8A0F36" w:rsidRDefault="00D26424" w:rsidP="004300E2">
            <w:pPr>
              <w:pStyle w:val="Rientroa"/>
            </w:pPr>
            <w:r w:rsidRPr="008A0F36">
              <w:t>l’importo contrattuale lordo da ricevere; 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8A0F36" w:rsidRDefault="00D26424" w:rsidP="004300E2">
            <w:pPr>
              <w:pStyle w:val="Rientroa"/>
            </w:pPr>
            <w:r w:rsidRPr="008A0F36">
              <w:t>la migliore stima alla data di acquisizione dei flussi contrattuali che ci si attende di non incassare.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rPr>
                <w:lang w:val="it-IT"/>
              </w:rPr>
            </w:pPr>
          </w:p>
        </w:tc>
        <w:tc>
          <w:tcPr>
            <w:tcW w:w="851" w:type="dxa"/>
            <w:tcMar>
              <w:left w:w="108" w:type="dxa"/>
              <w:right w:w="0" w:type="dxa"/>
            </w:tcMar>
          </w:tcPr>
          <w:p w:rsidR="004300E2" w:rsidRPr="000C2263" w:rsidRDefault="004300E2" w:rsidP="004300E2">
            <w:pPr>
              <w:pStyle w:val="IAS"/>
            </w:pPr>
            <w:r w:rsidRPr="000C2263">
              <w:t>IFRS 3.59</w:t>
            </w:r>
            <w:r w:rsidRPr="000C2263">
              <w:br/>
              <w:t>IFRS 3</w:t>
            </w:r>
            <w:r w:rsidRPr="000C2263">
              <w:br/>
              <w:t>App. B64 (h)</w:t>
            </w:r>
          </w:p>
        </w:tc>
        <w:tc>
          <w:tcPr>
            <w:tcW w:w="7079" w:type="dxa"/>
            <w:tcMar>
              <w:left w:w="108" w:type="dxa"/>
            </w:tcMar>
          </w:tcPr>
          <w:p w:rsidR="004300E2" w:rsidRPr="008A0F36" w:rsidRDefault="004300E2" w:rsidP="00003D7F">
            <w:pPr>
              <w:pStyle w:val="Paragarfobordato"/>
            </w:pPr>
            <w:r w:rsidRPr="008A0F36">
              <w:t xml:space="preserve">Le informazioni saranno fornite per ciascuna classe significativa di crediti quali, prestiti, </w:t>
            </w:r>
            <w:r w:rsidRPr="008A0F36">
              <w:rPr>
                <w:i/>
              </w:rPr>
              <w:t>leasing</w:t>
            </w:r>
            <w:r w:rsidRPr="008A0F36">
              <w:t xml:space="preserve"> finanziari diretti ed altre classi di crediti.</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D26424" w:rsidRPr="008129DA" w:rsidTr="00940A6F">
        <w:trPr>
          <w:cantSplit/>
        </w:trPr>
        <w:tc>
          <w:tcPr>
            <w:tcW w:w="567" w:type="dxa"/>
            <w:tcMar>
              <w:left w:w="108" w:type="dxa"/>
            </w:tcMar>
          </w:tcPr>
          <w:p w:rsidR="00D26424" w:rsidRPr="008A0F36" w:rsidRDefault="00D26424" w:rsidP="004300E2">
            <w:pPr>
              <w:pStyle w:val="Numeroelenco"/>
              <w:ind w:left="0" w:firstLine="57"/>
              <w:rPr>
                <w:lang w:val="it-IT"/>
              </w:rPr>
            </w:pPr>
          </w:p>
        </w:tc>
        <w:tc>
          <w:tcPr>
            <w:tcW w:w="851" w:type="dxa"/>
            <w:tcMar>
              <w:left w:w="108" w:type="dxa"/>
              <w:right w:w="0" w:type="dxa"/>
            </w:tcMar>
          </w:tcPr>
          <w:p w:rsidR="00D26424" w:rsidRPr="000C2263" w:rsidRDefault="00D26424" w:rsidP="004300E2">
            <w:pPr>
              <w:pStyle w:val="IAS"/>
            </w:pPr>
            <w:r w:rsidRPr="000C2263">
              <w:t>IFRS 3.59</w:t>
            </w:r>
            <w:r w:rsidRPr="000C2263">
              <w:br/>
              <w:t xml:space="preserve">IFRS 3 </w:t>
            </w:r>
            <w:r w:rsidRPr="000C2263">
              <w:br/>
              <w:t>App. B64 (i)</w:t>
            </w:r>
          </w:p>
        </w:tc>
        <w:tc>
          <w:tcPr>
            <w:tcW w:w="7079" w:type="dxa"/>
            <w:tcMar>
              <w:left w:w="108" w:type="dxa"/>
            </w:tcMar>
          </w:tcPr>
          <w:p w:rsidR="00D26424" w:rsidRPr="008A0F36" w:rsidRDefault="00D26424" w:rsidP="004300E2">
            <w:pPr>
              <w:rPr>
                <w:lang w:val="it-IT"/>
              </w:rPr>
            </w:pPr>
            <w:r w:rsidRPr="008A0F36">
              <w:rPr>
                <w:lang w:val="it-IT"/>
              </w:rPr>
              <w:t xml:space="preserve">L’entità ha indicato, per ogni aggregazione aziendale effettuata durante l’esercizio, o dopo la data di chiusura dell’esercizio ma prima che il bilancio sia stato autorizzato per la pubblicazione, gli importi rilevati alla data di acquisizione per ogni classe significativa di attività acquisite e passività assunte.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pStyle w:val="Numeroelenco"/>
              <w:ind w:left="0" w:firstLine="57"/>
              <w:rPr>
                <w:lang w:val="it-IT"/>
              </w:rPr>
            </w:pPr>
          </w:p>
        </w:tc>
        <w:tc>
          <w:tcPr>
            <w:tcW w:w="851" w:type="dxa"/>
            <w:tcMar>
              <w:left w:w="108" w:type="dxa"/>
              <w:right w:w="0" w:type="dxa"/>
            </w:tcMar>
          </w:tcPr>
          <w:p w:rsidR="00D26424" w:rsidRPr="000C2263" w:rsidRDefault="00D26424" w:rsidP="004300E2">
            <w:pPr>
              <w:pStyle w:val="IAS"/>
            </w:pPr>
            <w:r w:rsidRPr="000C2263">
              <w:t xml:space="preserve">IFRS 3.59 IFRS 3 </w:t>
            </w:r>
            <w:r w:rsidRPr="000C2263">
              <w:br/>
              <w:t>App. B64 (j)</w:t>
            </w:r>
          </w:p>
          <w:p w:rsidR="00D26424" w:rsidRPr="000C2263" w:rsidRDefault="00D26424" w:rsidP="004300E2">
            <w:pPr>
              <w:pStyle w:val="IAS"/>
            </w:pPr>
          </w:p>
        </w:tc>
        <w:tc>
          <w:tcPr>
            <w:tcW w:w="7079" w:type="dxa"/>
            <w:tcMar>
              <w:left w:w="108" w:type="dxa"/>
            </w:tcMar>
          </w:tcPr>
          <w:p w:rsidR="00D26424" w:rsidRPr="008A0F36" w:rsidRDefault="00D26424" w:rsidP="004300E2">
            <w:pPr>
              <w:rPr>
                <w:lang w:val="it-IT"/>
              </w:rPr>
            </w:pPr>
            <w:r w:rsidRPr="008A0F36">
              <w:rPr>
                <w:lang w:val="it-IT"/>
              </w:rPr>
              <w:t xml:space="preserve">Per ogni aggregazione aziendale che è stata effettuata durante l’esercizio, o dopo la data di chiusura dell’esercizio ma prima che il bilancio sia stato autorizzato per la pubblicazione, l’entità deve </w:t>
            </w:r>
            <w:r w:rsidRPr="004F522B">
              <w:rPr>
                <w:lang w:val="it-IT"/>
              </w:rPr>
              <w:t xml:space="preserve">indicare quanto richiesto dallo IAS 37.85 (vedi punto </w:t>
            </w:r>
            <w:r>
              <w:rPr>
                <w:lang w:val="it-IT"/>
              </w:rPr>
              <w:t>369</w:t>
            </w:r>
            <w:r w:rsidRPr="004F522B">
              <w:rPr>
                <w:lang w:val="it-IT"/>
              </w:rPr>
              <w:t xml:space="preserve">) per ogni passività potenziale rilevata in base all’IFRS 3.23. Se una passività potenziale non viene rilevata perché non è possibile valutare in modo attendibile il suo </w:t>
            </w:r>
            <w:r w:rsidRPr="004F522B">
              <w:rPr>
                <w:i/>
                <w:lang w:val="it-IT"/>
              </w:rPr>
              <w:t>fair value</w:t>
            </w:r>
            <w:r w:rsidRPr="004F522B">
              <w:rPr>
                <w:lang w:val="it-IT"/>
              </w:rPr>
              <w:t xml:space="preserve"> l’entità deve fornire le informazioni richieste dallo IAS 37.86 (vedi punto </w:t>
            </w:r>
            <w:r>
              <w:rPr>
                <w:lang w:val="it-IT"/>
              </w:rPr>
              <w:t>370</w:t>
            </w:r>
            <w:r w:rsidRPr="004F522B">
              <w:rPr>
                <w:lang w:val="it-IT"/>
              </w:rPr>
              <w:t>) e i motivi per cui la passività non può essere valutata attendibilmente.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pStyle w:val="Numeroelenco"/>
              <w:ind w:left="0" w:firstLine="57"/>
              <w:rPr>
                <w:lang w:val="it-IT"/>
              </w:rPr>
            </w:pPr>
          </w:p>
        </w:tc>
        <w:tc>
          <w:tcPr>
            <w:tcW w:w="851" w:type="dxa"/>
            <w:tcMar>
              <w:left w:w="108" w:type="dxa"/>
              <w:right w:w="0" w:type="dxa"/>
            </w:tcMar>
          </w:tcPr>
          <w:p w:rsidR="00D26424" w:rsidRPr="000C2263" w:rsidRDefault="00D26424" w:rsidP="004300E2">
            <w:pPr>
              <w:pStyle w:val="IAS"/>
            </w:pPr>
            <w:r w:rsidRPr="000C2263">
              <w:t>IFRS 3.59</w:t>
            </w:r>
            <w:r w:rsidRPr="000C2263">
              <w:br/>
              <w:t xml:space="preserve">IFRS 3 </w:t>
            </w:r>
          </w:p>
          <w:p w:rsidR="00D26424" w:rsidRPr="000C2263" w:rsidRDefault="00D26424" w:rsidP="004300E2">
            <w:pPr>
              <w:pStyle w:val="IAS"/>
            </w:pPr>
            <w:r w:rsidRPr="000C2263">
              <w:t>App. B64 (k)</w:t>
            </w:r>
          </w:p>
        </w:tc>
        <w:tc>
          <w:tcPr>
            <w:tcW w:w="7079" w:type="dxa"/>
            <w:tcMar>
              <w:left w:w="108" w:type="dxa"/>
            </w:tcMar>
          </w:tcPr>
          <w:p w:rsidR="00D26424" w:rsidRPr="008A0F36" w:rsidRDefault="00D26424" w:rsidP="004300E2">
            <w:pPr>
              <w:rPr>
                <w:lang w:val="it-IT"/>
              </w:rPr>
            </w:pPr>
            <w:r w:rsidRPr="008A0F36">
              <w:rPr>
                <w:lang w:val="it-IT"/>
              </w:rPr>
              <w:t>L’entità ha indicato, per ogni aggregazione aziendale effettuata nell’esercizio, o dopo la chiusura dell’esercizio ma prima che il bilancio sia stato autorizzato per la pubblicazione, l’importo totale dell’avviamento che ci si attende sia deducibile ai fini fiscali.</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0C2263" w:rsidRDefault="004300E2" w:rsidP="004300E2">
            <w:pPr>
              <w:pStyle w:val="IAS"/>
            </w:pPr>
            <w:r w:rsidRPr="000C2263">
              <w:t>IFRS 3.59 IFRS 3</w:t>
            </w:r>
          </w:p>
          <w:p w:rsidR="004300E2" w:rsidRPr="000C2263" w:rsidRDefault="004300E2" w:rsidP="004300E2">
            <w:pPr>
              <w:pStyle w:val="IAS"/>
            </w:pPr>
            <w:r w:rsidRPr="000C2263">
              <w:t>App. B64 (l)</w:t>
            </w:r>
          </w:p>
          <w:p w:rsidR="004300E2" w:rsidRPr="000C2263" w:rsidRDefault="004300E2" w:rsidP="004300E2">
            <w:pPr>
              <w:pStyle w:val="IAS"/>
            </w:pPr>
          </w:p>
        </w:tc>
        <w:tc>
          <w:tcPr>
            <w:tcW w:w="7079" w:type="dxa"/>
            <w:tcMar>
              <w:left w:w="108" w:type="dxa"/>
            </w:tcMar>
          </w:tcPr>
          <w:p w:rsidR="004300E2" w:rsidRPr="008A0F36" w:rsidRDefault="004300E2" w:rsidP="004300E2">
            <w:pPr>
              <w:rPr>
                <w:lang w:val="it-IT"/>
              </w:rPr>
            </w:pPr>
            <w:r w:rsidRPr="008A0F36">
              <w:rPr>
                <w:lang w:val="it-IT"/>
              </w:rPr>
              <w:t>Per le transazioni che sono rilevate separatamente rispetto all’acquisizione di attività e l’assunzione di passività nell’ambito dell’aggregazione aziendale in base all’IFRS 3.51, l’entità ha indicato, per ogni aggregazione aziendale effettuata durante l’esercizio (o dopo la fine dell’esercizio ma prima che il bilancio sia stato autorizzato per la pubblicazione):</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8A0F36" w:rsidRDefault="00D26424" w:rsidP="004300E2">
            <w:pPr>
              <w:pStyle w:val="Rientroa"/>
              <w:numPr>
                <w:ilvl w:val="0"/>
                <w:numId w:val="44"/>
              </w:numPr>
              <w:rPr>
                <w:iCs/>
              </w:rPr>
            </w:pPr>
            <w:r w:rsidRPr="008A0F36">
              <w:t>una descrizione di ogni transazione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8A0F36" w:rsidRDefault="00D26424" w:rsidP="004300E2">
            <w:pPr>
              <w:pStyle w:val="Rientroa"/>
            </w:pPr>
            <w:r w:rsidRPr="008A0F36">
              <w:t>come l’acquirente ha contabilizzato ogni transazione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8A0F36" w:rsidRDefault="00D26424" w:rsidP="004300E2">
            <w:pPr>
              <w:pStyle w:val="Rientroa"/>
            </w:pPr>
            <w:r w:rsidRPr="008A0F36">
              <w:t xml:space="preserve">gli importi rilevati per ogni transazione e la voce di bilancio in cui tali importi sono stati rilevati; e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8A0F36" w:rsidRDefault="00D26424" w:rsidP="004300E2">
            <w:pPr>
              <w:pStyle w:val="Rientroa"/>
            </w:pPr>
            <w:r w:rsidRPr="008A0F36">
              <w:t>se la transazione è l’effettivo regolamento di una relazione pre-esistente, il metodo utilizzato per determinare l’importo da regolare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0C2263" w:rsidRDefault="00D26424" w:rsidP="004300E2">
            <w:pPr>
              <w:pStyle w:val="IAS"/>
            </w:pPr>
            <w:r w:rsidRPr="000C2263">
              <w:t>IFRS 3.59</w:t>
            </w:r>
            <w:r w:rsidRPr="000C2263">
              <w:br/>
              <w:t xml:space="preserve">IFRS 3 </w:t>
            </w:r>
            <w:r w:rsidRPr="000C2263">
              <w:br/>
              <w:t>App. B64 (m)</w:t>
            </w:r>
          </w:p>
        </w:tc>
        <w:tc>
          <w:tcPr>
            <w:tcW w:w="7079" w:type="dxa"/>
            <w:tcMar>
              <w:left w:w="108" w:type="dxa"/>
            </w:tcMar>
          </w:tcPr>
          <w:p w:rsidR="00D26424" w:rsidRPr="008A0F36" w:rsidRDefault="00D26424" w:rsidP="004300E2">
            <w:pPr>
              <w:pStyle w:val="Rientroa"/>
            </w:pPr>
            <w:r w:rsidRPr="008A0F36">
              <w:t>l’importo totale dei costi connessi all’acquisizione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8A0F36" w:rsidRDefault="00D26424" w:rsidP="004300E2">
            <w:pPr>
              <w:pStyle w:val="Rientroa"/>
            </w:pPr>
            <w:r w:rsidRPr="008A0F36">
              <w:t>l’importo dei costi relativi all’acquisizione rilevati come spesa</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8A0F36" w:rsidRDefault="00D26424" w:rsidP="004300E2">
            <w:pPr>
              <w:pStyle w:val="Rientroa"/>
            </w:pPr>
            <w:r w:rsidRPr="008A0F36">
              <w:t xml:space="preserve">la voce o le voci </w:t>
            </w:r>
            <w:r>
              <w:t xml:space="preserve">del prospetto (o dei prospetti) dell’utile/(perdita) d’esercizio e delle altre componenti di conto </w:t>
            </w:r>
            <w:r w:rsidRPr="008A0F36">
              <w:t>economico complessivo in cui tali spese sono rilevate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8A0F36" w:rsidRDefault="00D26424" w:rsidP="004300E2">
            <w:pPr>
              <w:pStyle w:val="Rientroa"/>
            </w:pPr>
            <w:r w:rsidRPr="008A0F36">
              <w:t>l’importo dei costi di acquisizione non rilevati come spesa; 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8A0F36" w:rsidRDefault="00D26424" w:rsidP="004300E2">
            <w:pPr>
              <w:pStyle w:val="Rientroa"/>
            </w:pPr>
            <w:r w:rsidRPr="008A0F36">
              <w:t>il trattamento contabile dei costi di acquisizione non rilevati come spesa.</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IFRS 3.51</w:t>
            </w:r>
          </w:p>
        </w:tc>
        <w:tc>
          <w:tcPr>
            <w:tcW w:w="7079" w:type="dxa"/>
            <w:tcMar>
              <w:left w:w="108" w:type="dxa"/>
            </w:tcMar>
          </w:tcPr>
          <w:p w:rsidR="004300E2" w:rsidRPr="008A0F36" w:rsidRDefault="004300E2" w:rsidP="00003D7F">
            <w:pPr>
              <w:pStyle w:val="Paragarfobordato"/>
            </w:pPr>
            <w:r w:rsidRPr="008A0F36">
              <w:t>L’acquirente e l’acquisito possono avere una relazione pre-esistente o un altro accordo in essere prima dell’avvio delle negoziazioni per l’aggregazione aziendale, o potrebbero concludere un accordo separato dall’aggregazione aziendale durante la negoziazione della stessa. In ogni caso, l’acquirente dovrà identificare qualunque importo che non è parte di ciò che acquirente ed acquisito (o precedenti proprietari dell’acquisita) hanno scambiato durante l’aggregazione aziendale, ovvero importi che non sono parte dello scambio per l’acquisita. L’acquirente rileverà, come applicazione del metodo di acquisizione, solo i corrispettivi trasferiti per l’acquisita e le attività acquistate e passività assunte in cambio dell’acquisita. Le transazioni separate saranno contabilizzare in base agli IFRS di riferimento.</w:t>
            </w:r>
            <w:r w:rsidRPr="008A0F36">
              <w:rPr>
                <w:u w:val="single"/>
              </w:rPr>
              <w:t xml:space="preserve"> </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0C2263" w:rsidRDefault="004300E2" w:rsidP="004300E2">
            <w:pPr>
              <w:pStyle w:val="IAS"/>
            </w:pPr>
            <w:r w:rsidRPr="000C2263">
              <w:t>IFRS 3.59</w:t>
            </w:r>
          </w:p>
          <w:p w:rsidR="004300E2" w:rsidRPr="000C2263" w:rsidRDefault="004300E2" w:rsidP="004300E2">
            <w:pPr>
              <w:pStyle w:val="IAS"/>
            </w:pPr>
            <w:r w:rsidRPr="000C2263">
              <w:t>IFRS 3</w:t>
            </w:r>
            <w:r w:rsidRPr="000C2263">
              <w:br/>
              <w:t xml:space="preserve"> App. B64 (n)</w:t>
            </w:r>
          </w:p>
        </w:tc>
        <w:tc>
          <w:tcPr>
            <w:tcW w:w="7079" w:type="dxa"/>
            <w:tcMar>
              <w:left w:w="108" w:type="dxa"/>
            </w:tcMar>
          </w:tcPr>
          <w:p w:rsidR="004300E2" w:rsidRPr="008A0F36" w:rsidRDefault="004300E2" w:rsidP="003A5BB7">
            <w:pPr>
              <w:spacing w:line="210" w:lineRule="exact"/>
              <w:rPr>
                <w:lang w:val="it-IT"/>
              </w:rPr>
            </w:pPr>
            <w:r w:rsidRPr="008A0F36">
              <w:rPr>
                <w:lang w:val="it-IT"/>
              </w:rPr>
              <w:t>L’entità ha indicato, per ogni aggregazione aziendale che è stata effettuata durante l’esercizio, o dopo la data di chiusura dell’esercizio ma prima che il bilancio sia stato autorizzato per la pubblicazione:</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8A0F36" w:rsidRDefault="00D26424" w:rsidP="003A5BB7">
            <w:pPr>
              <w:pStyle w:val="Rientroa"/>
              <w:numPr>
                <w:ilvl w:val="0"/>
                <w:numId w:val="45"/>
              </w:numPr>
              <w:spacing w:line="210" w:lineRule="exact"/>
              <w:rPr>
                <w:iCs/>
              </w:rPr>
            </w:pPr>
            <w:r w:rsidRPr="008A0F36">
              <w:t xml:space="preserve">l’importo di ogni utile rilevato in base all’IFRS 3.34 e la voce </w:t>
            </w:r>
            <w:r>
              <w:t xml:space="preserve">del prospetto (dei prospetti) dell’utile/(perdita) d’esercizio e delle altre componenti di conto </w:t>
            </w:r>
            <w:r w:rsidRPr="008A0F36">
              <w:t xml:space="preserve">economico complessivo in cui </w:t>
            </w:r>
            <w:r>
              <w:t xml:space="preserve">tale </w:t>
            </w:r>
            <w:r w:rsidRPr="008A0F36">
              <w:t>’utile è stato rilevato; 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8A0F36" w:rsidRDefault="00D26424" w:rsidP="003A5BB7">
            <w:pPr>
              <w:pStyle w:val="Rientroa"/>
              <w:spacing w:line="214" w:lineRule="exact"/>
            </w:pPr>
            <w:r w:rsidRPr="008A0F36">
              <w:t>una descrizione delle ragioni per cui la transazione ha avuto come risultato un utile.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0C2263" w:rsidRDefault="004300E2" w:rsidP="004300E2">
            <w:pPr>
              <w:pStyle w:val="IAS"/>
            </w:pPr>
            <w:r w:rsidRPr="000C2263">
              <w:t>IFRS 3.59</w:t>
            </w:r>
          </w:p>
          <w:p w:rsidR="004300E2" w:rsidRPr="000C2263" w:rsidRDefault="004300E2" w:rsidP="004300E2">
            <w:pPr>
              <w:pStyle w:val="IAS"/>
            </w:pPr>
            <w:r w:rsidRPr="000C2263">
              <w:t xml:space="preserve">IFRS 3 </w:t>
            </w:r>
            <w:r w:rsidRPr="000C2263">
              <w:br/>
              <w:t>App. B64 (o)</w:t>
            </w:r>
          </w:p>
        </w:tc>
        <w:tc>
          <w:tcPr>
            <w:tcW w:w="7079" w:type="dxa"/>
            <w:tcMar>
              <w:left w:w="108" w:type="dxa"/>
            </w:tcMar>
          </w:tcPr>
          <w:p w:rsidR="004300E2" w:rsidRPr="008A0F36" w:rsidRDefault="004300E2" w:rsidP="003A5BB7">
            <w:pPr>
              <w:spacing w:line="200" w:lineRule="exact"/>
              <w:rPr>
                <w:lang w:val="it-IT"/>
              </w:rPr>
            </w:pPr>
            <w:r w:rsidRPr="008A0F36">
              <w:rPr>
                <w:lang w:val="it-IT"/>
              </w:rPr>
              <w:t>L’entità ha indicato, per ogni aggregazione aziendale effettuata durante l’esercizio, o dopo la data di chiusura dell’esercizio ma prima che il bilancio sia stato autorizzato per la pubblicazione, in cui l’acquirente detiene meno del 100% dell’acquisita alla data di acquisizione:</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8A0F36" w:rsidRDefault="00D26424" w:rsidP="003A5BB7">
            <w:pPr>
              <w:pStyle w:val="Rientroa"/>
              <w:numPr>
                <w:ilvl w:val="0"/>
                <w:numId w:val="207"/>
              </w:numPr>
              <w:spacing w:line="214" w:lineRule="exact"/>
              <w:rPr>
                <w:iCs/>
              </w:rPr>
            </w:pPr>
            <w:r w:rsidRPr="008A0F36">
              <w:t xml:space="preserve">l’importo delle quote dei terzi nell’acquisita rilevate alla data di acquisizione ed il criterio di </w:t>
            </w:r>
            <w:r>
              <w:t xml:space="preserve">valutazione </w:t>
            </w:r>
            <w:r w:rsidRPr="008A0F36">
              <w:t>di tale importo; 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8A0F36" w:rsidRDefault="00D26424" w:rsidP="003A5BB7">
            <w:pPr>
              <w:pStyle w:val="Rientroa"/>
              <w:spacing w:line="214" w:lineRule="exact"/>
            </w:pPr>
            <w:r w:rsidRPr="008A0F36">
              <w:t xml:space="preserve">per ogni quota dei terzi nell’acquisita </w:t>
            </w:r>
            <w:r>
              <w:t xml:space="preserve">valutata </w:t>
            </w:r>
            <w:r w:rsidRPr="008A0F36">
              <w:t xml:space="preserve">al </w:t>
            </w:r>
            <w:r w:rsidRPr="008A0F36">
              <w:rPr>
                <w:i/>
              </w:rPr>
              <w:t>fair value</w:t>
            </w:r>
            <w:r w:rsidRPr="008A0F36">
              <w:t xml:space="preserve">, le tecniche di valutazione ed i dati chiave del modello per la </w:t>
            </w:r>
            <w:r>
              <w:t>valutazione</w:t>
            </w:r>
            <w:r w:rsidRPr="008A0F36">
              <w:t xml:space="preserve"> di tale </w:t>
            </w:r>
            <w:r w:rsidRPr="008A0F36">
              <w:rPr>
                <w:i/>
              </w:rPr>
              <w:t>fair value</w:t>
            </w:r>
            <w:r w:rsidRPr="008A0F36">
              <w:t>.</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Pr="008A0F36" w:rsidRDefault="004300E2" w:rsidP="00003D7F">
            <w:pPr>
              <w:pStyle w:val="Paragarfobordato"/>
            </w:pPr>
            <w:r w:rsidRPr="008A0F36">
              <w:t xml:space="preserve">Le </w:t>
            </w:r>
            <w:r>
              <w:t>partecipazioni di minoranza</w:t>
            </w:r>
            <w:r w:rsidRPr="008A0F36">
              <w:t xml:space="preserve"> (</w:t>
            </w:r>
            <w:r w:rsidRPr="008A0F36">
              <w:rPr>
                <w:i/>
              </w:rPr>
              <w:t>non controlling-interest</w:t>
            </w:r>
            <w:r w:rsidRPr="008A0F36">
              <w:t xml:space="preserve">) sono definite come il capitale di una controllata non attribuibile direttamente o indirettamente alla controllante. </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0C2263" w:rsidRDefault="004300E2" w:rsidP="004300E2">
            <w:pPr>
              <w:pStyle w:val="IAS"/>
            </w:pPr>
            <w:r w:rsidRPr="000C2263">
              <w:t xml:space="preserve">IFRS 3.59 IFRS 3 </w:t>
            </w:r>
            <w:r w:rsidRPr="000C2263">
              <w:br/>
              <w:t>App. B64 (p)</w:t>
            </w:r>
          </w:p>
        </w:tc>
        <w:tc>
          <w:tcPr>
            <w:tcW w:w="7079" w:type="dxa"/>
            <w:tcMar>
              <w:left w:w="108" w:type="dxa"/>
            </w:tcMar>
          </w:tcPr>
          <w:p w:rsidR="004300E2" w:rsidRPr="008A0F36" w:rsidRDefault="004300E2" w:rsidP="003A5BB7">
            <w:pPr>
              <w:spacing w:line="214" w:lineRule="exact"/>
              <w:rPr>
                <w:lang w:val="it-IT"/>
              </w:rPr>
            </w:pPr>
            <w:r w:rsidRPr="008A0F36">
              <w:rPr>
                <w:lang w:val="it-IT"/>
              </w:rPr>
              <w:t xml:space="preserve">L’entità ha indicato, per ogni aggregazione aziendale che è stata effettuata durante l’esercizio, o dopo la data di chiusura dell’esercizio ma prima che il bilancio sia stato autorizzato per la pubblicazione, per </w:t>
            </w:r>
            <w:r w:rsidR="00E022E0">
              <w:rPr>
                <w:lang w:val="it-IT"/>
              </w:rPr>
              <w:t>un’a</w:t>
            </w:r>
            <w:r w:rsidRPr="008A0F36">
              <w:rPr>
                <w:lang w:val="it-IT"/>
              </w:rPr>
              <w:t>ggregazione effettuata in fasi (</w:t>
            </w:r>
            <w:r w:rsidRPr="008A0F36">
              <w:rPr>
                <w:i/>
                <w:lang w:val="it-IT"/>
              </w:rPr>
              <w:t>step acquisition</w:t>
            </w:r>
            <w:r w:rsidRPr="008A0F36">
              <w:rPr>
                <w:lang w:val="it-IT"/>
              </w:rPr>
              <w:t>):</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8A0F36" w:rsidRDefault="00D26424" w:rsidP="003A5BB7">
            <w:pPr>
              <w:pStyle w:val="Rientroa"/>
              <w:numPr>
                <w:ilvl w:val="0"/>
                <w:numId w:val="46"/>
              </w:numPr>
              <w:spacing w:line="214" w:lineRule="exact"/>
              <w:rPr>
                <w:iCs/>
              </w:rPr>
            </w:pPr>
            <w:r w:rsidRPr="008A0F36">
              <w:t xml:space="preserve">il </w:t>
            </w:r>
            <w:r w:rsidRPr="008A0F36">
              <w:rPr>
                <w:i/>
              </w:rPr>
              <w:t>fair value</w:t>
            </w:r>
            <w:r w:rsidRPr="008A0F36">
              <w:t xml:space="preserve"> alla data di acquisizione della partecipazione nell’acquisita detenuta dall’acquirente immediatamente prima della data di acquisizione; 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8A0F36" w:rsidRDefault="00D26424" w:rsidP="003A5BB7">
            <w:pPr>
              <w:pStyle w:val="Rientroa"/>
              <w:spacing w:line="214" w:lineRule="exact"/>
            </w:pPr>
            <w:r w:rsidRPr="008A0F36">
              <w:t xml:space="preserve">l’importo di qualunque utile o perdita rilevato come risultato della </w:t>
            </w:r>
            <w:r>
              <w:t xml:space="preserve">rivalutazione al </w:t>
            </w:r>
            <w:r w:rsidRPr="008A0F36">
              <w:rPr>
                <w:i/>
              </w:rPr>
              <w:t>fair value</w:t>
            </w:r>
            <w:r w:rsidRPr="008A0F36">
              <w:t xml:space="preserve"> della partecipazione detenuta dall’acquirente prima della aggregazione aziendale (IFRS 3.42) e la voce </w:t>
            </w:r>
            <w:r>
              <w:t xml:space="preserve">del prospetto (dei prospetti) dell’utile/(perdita) d’esercizio e delle altre componenti di conto </w:t>
            </w:r>
            <w:r w:rsidRPr="008A0F36">
              <w:t>economico complessivo in cui tale utile o perdita è stata rilevata.</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pStyle w:val="Numeroelenco"/>
              <w:ind w:left="0" w:firstLine="57"/>
              <w:rPr>
                <w:lang w:val="it-IT"/>
              </w:rPr>
            </w:pPr>
          </w:p>
        </w:tc>
        <w:tc>
          <w:tcPr>
            <w:tcW w:w="851" w:type="dxa"/>
            <w:tcMar>
              <w:left w:w="108" w:type="dxa"/>
              <w:right w:w="0" w:type="dxa"/>
            </w:tcMar>
          </w:tcPr>
          <w:p w:rsidR="00D26424" w:rsidRPr="000C2263" w:rsidRDefault="00D26424" w:rsidP="004300E2">
            <w:pPr>
              <w:pStyle w:val="IAS"/>
            </w:pPr>
            <w:r w:rsidRPr="000C2263">
              <w:t>IFRS 3.59 IFRS 3</w:t>
            </w:r>
            <w:r w:rsidRPr="000C2263">
              <w:br/>
              <w:t>App. B64 (q)</w:t>
            </w:r>
          </w:p>
        </w:tc>
        <w:tc>
          <w:tcPr>
            <w:tcW w:w="7079" w:type="dxa"/>
            <w:tcMar>
              <w:left w:w="108" w:type="dxa"/>
            </w:tcMar>
          </w:tcPr>
          <w:p w:rsidR="00D26424" w:rsidRPr="008A0F36" w:rsidRDefault="00D26424" w:rsidP="003A5BB7">
            <w:pPr>
              <w:spacing w:line="210" w:lineRule="exact"/>
              <w:rPr>
                <w:lang w:val="it-IT"/>
              </w:rPr>
            </w:pPr>
            <w:r w:rsidRPr="008A0F36">
              <w:rPr>
                <w:lang w:val="it-IT"/>
              </w:rPr>
              <w:t xml:space="preserve">L’entità ha indicato, per ogni aggregazione aziendale intervenuta durante l’esercizio, o dopo la data di chiusura dell’esercizio ma prima che il bilancio fosse autorizzato per la pubblicazione, i seguenti dati relativi all’acquisita </w:t>
            </w:r>
            <w:r>
              <w:rPr>
                <w:lang w:val="it-IT"/>
              </w:rPr>
              <w:t xml:space="preserve">rilevati nel prospetto (nei prospetti) dell’utile/(perdita) d’esercizio e delle altre componenti di conto </w:t>
            </w:r>
            <w:r w:rsidRPr="008A0F36">
              <w:rPr>
                <w:lang w:val="it-IT"/>
              </w:rPr>
              <w:t xml:space="preserve">economico complessivo </w:t>
            </w:r>
            <w:r>
              <w:rPr>
                <w:lang w:val="it-IT"/>
              </w:rPr>
              <w:t xml:space="preserve">del bilancio consolidato </w:t>
            </w:r>
            <w:r w:rsidRPr="008A0F36">
              <w:rPr>
                <w:lang w:val="it-IT"/>
              </w:rPr>
              <w:t>a partire dalla data di acquisizione;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A0F36"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8A0F36" w:rsidRDefault="00D26424" w:rsidP="003A5BB7">
            <w:pPr>
              <w:pStyle w:val="Rientroa"/>
              <w:numPr>
                <w:ilvl w:val="0"/>
                <w:numId w:val="47"/>
              </w:numPr>
              <w:spacing w:line="214" w:lineRule="exact"/>
              <w:rPr>
                <w:iCs/>
              </w:rPr>
            </w:pPr>
            <w:r w:rsidRPr="008A0F36">
              <w:t xml:space="preserve">ricavi; e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A0F36"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8A0F36" w:rsidRDefault="00D26424" w:rsidP="003A5BB7">
            <w:pPr>
              <w:pStyle w:val="Rientroa"/>
              <w:spacing w:line="214" w:lineRule="exact"/>
            </w:pPr>
            <w:r w:rsidRPr="008A0F36">
              <w:t>utile o perdita.</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Default="00D26424" w:rsidP="003A5BB7">
            <w:pPr>
              <w:pStyle w:val="Rientroa"/>
              <w:spacing w:line="214" w:lineRule="exact"/>
            </w:pPr>
            <w:r>
              <w:t>s</w:t>
            </w:r>
            <w:r w:rsidRPr="008A0F36">
              <w:t>e non è possibile fornire qualunque informazione in a) o b) l’acquirente dovrà darne informativa e spiegare perché non è possibile fornire tale informazione.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0C2263" w:rsidRDefault="004300E2" w:rsidP="004300E2">
            <w:pPr>
              <w:pStyle w:val="IAS"/>
            </w:pPr>
            <w:r w:rsidRPr="000C2263">
              <w:t xml:space="preserve">IFRS 3.59 IFRS 3 </w:t>
            </w:r>
            <w:r w:rsidRPr="000C2263">
              <w:br/>
              <w:t>App. B64 (q)</w:t>
            </w:r>
          </w:p>
        </w:tc>
        <w:tc>
          <w:tcPr>
            <w:tcW w:w="7079" w:type="dxa"/>
            <w:tcMar>
              <w:left w:w="108" w:type="dxa"/>
            </w:tcMar>
          </w:tcPr>
          <w:p w:rsidR="004300E2" w:rsidRPr="008A0F36" w:rsidRDefault="004300E2" w:rsidP="003A5BB7">
            <w:pPr>
              <w:spacing w:line="214" w:lineRule="exact"/>
              <w:rPr>
                <w:lang w:val="it-IT"/>
              </w:rPr>
            </w:pPr>
            <w:r w:rsidRPr="008A0F36">
              <w:rPr>
                <w:lang w:val="it-IT"/>
              </w:rPr>
              <w:t xml:space="preserve">Per tutte le aggregazioni aziendali intervenute durante l’esercizio, l’entità ha indicato i seguenti dati relativi all’entità risultante dall’aggregazione aziendale </w:t>
            </w:r>
            <w:r w:rsidRPr="00C8395A">
              <w:rPr>
                <w:lang w:val="it-IT"/>
              </w:rPr>
              <w:t>come se</w:t>
            </w:r>
            <w:r w:rsidRPr="008A0F36">
              <w:rPr>
                <w:lang w:val="it-IT"/>
              </w:rPr>
              <w:t xml:space="preserve"> la data di acquisizione per tutte le aggregazioni aziendali che si sono verificate nel corso dell’anno fosse l’inizio dell’eserci</w:t>
            </w:r>
            <w:r>
              <w:rPr>
                <w:lang w:val="it-IT"/>
              </w:rPr>
              <w:t>zio di riferimento del bilancio:</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D26424" w:rsidRPr="008A0F36"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8A0F36" w:rsidRDefault="00D26424" w:rsidP="003A5BB7">
            <w:pPr>
              <w:pStyle w:val="Rientroa"/>
              <w:numPr>
                <w:ilvl w:val="0"/>
                <w:numId w:val="206"/>
              </w:numPr>
              <w:spacing w:line="214" w:lineRule="exact"/>
              <w:rPr>
                <w:iCs/>
              </w:rPr>
            </w:pPr>
            <w:r w:rsidRPr="008A0F36">
              <w:t xml:space="preserve">ricavi; e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A0F36"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8A0F36" w:rsidRDefault="00D26424" w:rsidP="003A5BB7">
            <w:pPr>
              <w:pStyle w:val="Rientroa"/>
              <w:spacing w:line="214" w:lineRule="exact"/>
            </w:pPr>
            <w:r w:rsidRPr="008A0F36">
              <w:t>utile o perdita.</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Default="00D26424" w:rsidP="003A5BB7">
            <w:pPr>
              <w:pStyle w:val="Rientroa"/>
              <w:spacing w:line="214" w:lineRule="exact"/>
            </w:pPr>
            <w:r>
              <w:t>s</w:t>
            </w:r>
            <w:r w:rsidRPr="008A0F36">
              <w:t>e non è possibile fornire qualunque informazione in a) o b) l’acquirente dovrà darne informativa e spiegare perché non è possibile fornire tale informazione.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pStyle w:val="Numeroelenco"/>
              <w:ind w:left="0" w:firstLine="57"/>
              <w:rPr>
                <w:lang w:val="it-IT"/>
              </w:rPr>
            </w:pPr>
          </w:p>
        </w:tc>
        <w:tc>
          <w:tcPr>
            <w:tcW w:w="851" w:type="dxa"/>
            <w:tcMar>
              <w:left w:w="108" w:type="dxa"/>
              <w:right w:w="0" w:type="dxa"/>
            </w:tcMar>
          </w:tcPr>
          <w:p w:rsidR="00D26424" w:rsidRPr="008A0F36" w:rsidRDefault="00D26424" w:rsidP="004300E2">
            <w:pPr>
              <w:pStyle w:val="IAS"/>
              <w:rPr>
                <w:lang w:val="it-IT"/>
              </w:rPr>
            </w:pPr>
            <w:r w:rsidRPr="008A0F36">
              <w:rPr>
                <w:lang w:val="it-IT"/>
              </w:rPr>
              <w:t>IFRS 3.59</w:t>
            </w:r>
          </w:p>
          <w:p w:rsidR="00D26424" w:rsidRPr="008A0F36" w:rsidRDefault="00D26424" w:rsidP="004300E2">
            <w:pPr>
              <w:pStyle w:val="IAS"/>
              <w:rPr>
                <w:lang w:val="it-IT"/>
              </w:rPr>
            </w:pPr>
            <w:r w:rsidRPr="008A0F36">
              <w:rPr>
                <w:lang w:val="it-IT"/>
              </w:rPr>
              <w:t xml:space="preserve">IFRS 3 </w:t>
            </w:r>
          </w:p>
          <w:p w:rsidR="00D26424" w:rsidRPr="008A0F36" w:rsidRDefault="00D26424" w:rsidP="004300E2">
            <w:pPr>
              <w:pStyle w:val="IAS"/>
              <w:rPr>
                <w:lang w:val="it-IT"/>
              </w:rPr>
            </w:pPr>
            <w:r w:rsidRPr="008A0F36">
              <w:rPr>
                <w:lang w:val="it-IT"/>
              </w:rPr>
              <w:t>App. B66</w:t>
            </w:r>
          </w:p>
        </w:tc>
        <w:tc>
          <w:tcPr>
            <w:tcW w:w="7079" w:type="dxa"/>
            <w:tcMar>
              <w:left w:w="108" w:type="dxa"/>
            </w:tcMar>
          </w:tcPr>
          <w:p w:rsidR="00D26424" w:rsidRPr="008A0F36" w:rsidRDefault="00D26424" w:rsidP="003A5BB7">
            <w:pPr>
              <w:spacing w:line="210" w:lineRule="exact"/>
              <w:rPr>
                <w:lang w:val="it-IT"/>
              </w:rPr>
            </w:pPr>
            <w:r w:rsidRPr="008A0F36">
              <w:rPr>
                <w:lang w:val="it-IT"/>
              </w:rPr>
              <w:t>Se la data di acquisizione dell’aggregazione aziendale è successiva alla data di chiusura dell’esercizio ma precedente all’autorizzazione del bilancio per la pubblicazione, l’acquirente ha indicato se la contabilizzazione iniziale dell’aggregazione aziendale non è definitiva alla data in cui il bilancio è autorizzato per la pubblicazione. L’acquirente dovrà indicare quali informazioni non potevano essere presentate ed il motivo per cui non potevano essere presentate.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rPr>
                <w:lang w:val="it-IT"/>
              </w:rPr>
            </w:pPr>
          </w:p>
        </w:tc>
        <w:tc>
          <w:tcPr>
            <w:tcW w:w="851" w:type="dxa"/>
            <w:tcMar>
              <w:left w:w="108" w:type="dxa"/>
              <w:right w:w="0" w:type="dxa"/>
            </w:tcMar>
          </w:tcPr>
          <w:p w:rsidR="004300E2" w:rsidRPr="008A0F36" w:rsidRDefault="004300E2" w:rsidP="004300E2">
            <w:pPr>
              <w:rPr>
                <w:lang w:val="it-IT"/>
              </w:rPr>
            </w:pPr>
          </w:p>
        </w:tc>
        <w:tc>
          <w:tcPr>
            <w:tcW w:w="7079" w:type="dxa"/>
            <w:tcMar>
              <w:left w:w="108" w:type="dxa"/>
            </w:tcMar>
          </w:tcPr>
          <w:p w:rsidR="004300E2" w:rsidRPr="008A0F36" w:rsidRDefault="004300E2" w:rsidP="004300E2">
            <w:pPr>
              <w:pStyle w:val="Titolo2"/>
              <w:jc w:val="both"/>
              <w:rPr>
                <w:lang w:val="it-IT"/>
              </w:rPr>
            </w:pPr>
            <w:r w:rsidRPr="008A0F36">
              <w:rPr>
                <w:lang w:val="it-IT"/>
              </w:rPr>
              <w:t>Aggregazioni aziendali durante l</w:t>
            </w:r>
            <w:r w:rsidRPr="008A0F36">
              <w:rPr>
                <w:b w:val="0"/>
                <w:lang w:val="it-IT"/>
              </w:rPr>
              <w:t>’</w:t>
            </w:r>
            <w:r w:rsidRPr="008A0F36">
              <w:rPr>
                <w:lang w:val="it-IT"/>
              </w:rPr>
              <w:t>esercizio corrente od in esercizi precedenti</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r w:rsidRPr="008A0F36">
              <w:rPr>
                <w:lang w:val="it-IT"/>
              </w:rPr>
              <w:t xml:space="preserve">IFRS 3.61 IFRS 3 </w:t>
            </w:r>
          </w:p>
          <w:p w:rsidR="00D26424" w:rsidRPr="008A0F36" w:rsidRDefault="00D26424" w:rsidP="004300E2">
            <w:pPr>
              <w:pStyle w:val="IAS"/>
              <w:rPr>
                <w:lang w:val="it-IT"/>
              </w:rPr>
            </w:pPr>
            <w:r w:rsidRPr="008A0F36">
              <w:rPr>
                <w:lang w:val="it-IT"/>
              </w:rPr>
              <w:t>App. B67</w:t>
            </w:r>
          </w:p>
        </w:tc>
        <w:tc>
          <w:tcPr>
            <w:tcW w:w="7079" w:type="dxa"/>
            <w:tcMar>
              <w:left w:w="108" w:type="dxa"/>
            </w:tcMar>
          </w:tcPr>
          <w:p w:rsidR="00D26424" w:rsidRPr="008A0F36" w:rsidRDefault="00D26424" w:rsidP="00003D7F">
            <w:pPr>
              <w:rPr>
                <w:lang w:val="it-IT"/>
              </w:rPr>
            </w:pPr>
            <w:r w:rsidRPr="008A0F36">
              <w:rPr>
                <w:lang w:val="it-IT"/>
              </w:rPr>
              <w:t>Per le rettifiche rilevate nell’esercizio corrente o in esercizi precedenti in relazione ad aggregazioni aziendali, l’acquirente ha presentato le seguenti informazioni per ogni aggregazione aziendale individualmente materiale o in forma aggregata per aggregazioni aziendali individualmente immateriali ma complessivamente materiali.</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0C2263" w:rsidRDefault="004300E2" w:rsidP="004300E2">
            <w:pPr>
              <w:pStyle w:val="IAS"/>
            </w:pPr>
            <w:r w:rsidRPr="000C2263">
              <w:t>IFRS 3.45</w:t>
            </w:r>
          </w:p>
          <w:p w:rsidR="004300E2" w:rsidRPr="000C2263" w:rsidRDefault="004300E2" w:rsidP="004300E2">
            <w:pPr>
              <w:pStyle w:val="IAS"/>
            </w:pPr>
            <w:r w:rsidRPr="000C2263">
              <w:t xml:space="preserve">IFRS 3 </w:t>
            </w:r>
          </w:p>
          <w:p w:rsidR="004300E2" w:rsidRPr="000C2263" w:rsidRDefault="004300E2" w:rsidP="004300E2">
            <w:pPr>
              <w:pStyle w:val="IAS"/>
            </w:pPr>
            <w:r w:rsidRPr="000C2263">
              <w:t>App. B67(a)</w:t>
            </w:r>
          </w:p>
        </w:tc>
        <w:tc>
          <w:tcPr>
            <w:tcW w:w="7079" w:type="dxa"/>
            <w:tcMar>
              <w:left w:w="108" w:type="dxa"/>
            </w:tcMar>
          </w:tcPr>
          <w:p w:rsidR="004300E2" w:rsidRPr="008A0F36" w:rsidRDefault="004300E2" w:rsidP="00003D7F">
            <w:pPr>
              <w:rPr>
                <w:lang w:val="it-IT"/>
              </w:rPr>
            </w:pPr>
            <w:r w:rsidRPr="008A0F36">
              <w:rPr>
                <w:lang w:val="it-IT"/>
              </w:rPr>
              <w:t xml:space="preserve">Se la contabilizzazione iniziale dell’aggregazione aziendale non è definitiva per particolari attività, passività, </w:t>
            </w:r>
            <w:r>
              <w:rPr>
                <w:lang w:val="it-IT"/>
              </w:rPr>
              <w:t>partecipazioni di minoranza</w:t>
            </w:r>
            <w:r w:rsidRPr="008A0F36">
              <w:rPr>
                <w:lang w:val="it-IT"/>
              </w:rPr>
              <w:t xml:space="preserve"> o elementi del corrispettivo e gli importi rilevati in bilancio per l’aggregazione aziendale sono stati definiti solo in maniera provvisoria: </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8A0F36" w:rsidRDefault="00D26424" w:rsidP="00003D7F">
            <w:pPr>
              <w:pStyle w:val="Rientroa"/>
              <w:numPr>
                <w:ilvl w:val="0"/>
                <w:numId w:val="48"/>
              </w:numPr>
              <w:rPr>
                <w:iCs/>
              </w:rPr>
            </w:pPr>
            <w:r w:rsidRPr="008A0F36">
              <w:t>le ragioni per cui la contabilizzazione iniziale dell’aggregazione aziendale non è definitiva</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8A0F36" w:rsidRDefault="00D26424" w:rsidP="00003D7F">
            <w:pPr>
              <w:pStyle w:val="Rientroa"/>
            </w:pPr>
            <w:r w:rsidRPr="008A0F36">
              <w:t xml:space="preserve">le attività, passività, le </w:t>
            </w:r>
            <w:r>
              <w:t>partecipazioni di minoranza</w:t>
            </w:r>
            <w:r w:rsidRPr="008A0F36">
              <w:t xml:space="preserve"> o elementi del corrispettivo per cui la contabilizzazione iniziale non è definitiva; 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r w:rsidRPr="008A0F36">
              <w:rPr>
                <w:lang w:val="it-IT"/>
              </w:rPr>
              <w:t>IFRS 3.49</w:t>
            </w:r>
          </w:p>
          <w:p w:rsidR="00D26424" w:rsidRPr="008A0F36" w:rsidRDefault="00D26424" w:rsidP="004300E2">
            <w:pPr>
              <w:rPr>
                <w:lang w:val="it-IT"/>
              </w:rPr>
            </w:pPr>
          </w:p>
        </w:tc>
        <w:tc>
          <w:tcPr>
            <w:tcW w:w="7079" w:type="dxa"/>
            <w:tcMar>
              <w:left w:w="108" w:type="dxa"/>
            </w:tcMar>
          </w:tcPr>
          <w:p w:rsidR="00D26424" w:rsidRPr="008A0F36" w:rsidRDefault="00D26424" w:rsidP="00003D7F">
            <w:pPr>
              <w:pStyle w:val="Rientroa"/>
            </w:pPr>
            <w:r w:rsidRPr="008A0F36">
              <w:t>la natura o l’importo di qualsiasi rettifica riferita ai saldi contabilizzati in via provvisoria rilevata durante l’esercizio in accordo con l’IFRS 3.49.</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0C2263" w:rsidRDefault="004300E2" w:rsidP="004300E2">
            <w:pPr>
              <w:pStyle w:val="IAS"/>
            </w:pPr>
            <w:r w:rsidRPr="000C2263">
              <w:t>IFRS 3.61</w:t>
            </w:r>
            <w:r w:rsidRPr="000C2263">
              <w:br/>
              <w:t>IFRS 3</w:t>
            </w:r>
            <w:r w:rsidRPr="000C2263">
              <w:br/>
              <w:t>App. B67(b)</w:t>
            </w:r>
          </w:p>
        </w:tc>
        <w:tc>
          <w:tcPr>
            <w:tcW w:w="7079" w:type="dxa"/>
            <w:tcMar>
              <w:left w:w="108" w:type="dxa"/>
            </w:tcMar>
          </w:tcPr>
          <w:p w:rsidR="004300E2" w:rsidRPr="008A0F36" w:rsidRDefault="004300E2" w:rsidP="00003D7F">
            <w:pPr>
              <w:rPr>
                <w:lang w:val="it-IT"/>
              </w:rPr>
            </w:pPr>
            <w:r w:rsidRPr="008A0F36">
              <w:rPr>
                <w:lang w:val="it-IT"/>
              </w:rPr>
              <w:t>Per ogni esercizio successivo a quello in cui è intervenuta l’acquisizione e fino alla data in cui l’entità incassa, vende o perde il diritto al corrispettivo potenziale o fino a quando l’entità regola una passività potenziale o tale passività è cancellata o scade:</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8A0F36" w:rsidRDefault="00D26424" w:rsidP="00003D7F">
            <w:pPr>
              <w:pStyle w:val="Rientroa"/>
              <w:numPr>
                <w:ilvl w:val="0"/>
                <w:numId w:val="49"/>
              </w:numPr>
              <w:rPr>
                <w:iCs/>
              </w:rPr>
            </w:pPr>
            <w:r w:rsidRPr="008A0F36">
              <w:t>qualunque variazione negli importi rilevati, incluso qualsiasi differenza che insorge in sede di regolamento</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8A0F36" w:rsidRDefault="00D26424" w:rsidP="00003D7F">
            <w:pPr>
              <w:pStyle w:val="Rientroa"/>
              <w:ind w:left="391" w:hanging="357"/>
            </w:pPr>
            <w:r w:rsidRPr="008A0F36">
              <w:t>qualunque cambiamento nella forbice stimata del risultato (scontato) e le ragioni per tali cambiamenti; 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8A0F36" w:rsidRDefault="00D26424" w:rsidP="00003D7F">
            <w:pPr>
              <w:pStyle w:val="Rientroa"/>
            </w:pPr>
            <w:r w:rsidRPr="008A0F36">
              <w:t xml:space="preserve">le tecniche di valutazione ed i dati chiave del modello utilizzato per </w:t>
            </w:r>
            <w:r>
              <w:t xml:space="preserve">valutare </w:t>
            </w:r>
            <w:r w:rsidRPr="008A0F36">
              <w:t>il corrispettivo potenziale.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pStyle w:val="Numeroelenco"/>
              <w:ind w:left="0" w:firstLine="57"/>
              <w:rPr>
                <w:lang w:val="it-IT"/>
              </w:rPr>
            </w:pPr>
          </w:p>
        </w:tc>
        <w:tc>
          <w:tcPr>
            <w:tcW w:w="851" w:type="dxa"/>
            <w:tcMar>
              <w:left w:w="108" w:type="dxa"/>
              <w:right w:w="0" w:type="dxa"/>
            </w:tcMar>
          </w:tcPr>
          <w:p w:rsidR="00D26424" w:rsidRPr="000C2263" w:rsidRDefault="00D26424" w:rsidP="004300E2">
            <w:pPr>
              <w:pStyle w:val="IAS"/>
            </w:pPr>
            <w:r w:rsidRPr="000C2263">
              <w:t>IFRS 3.61</w:t>
            </w:r>
          </w:p>
          <w:p w:rsidR="00D26424" w:rsidRPr="000C2263" w:rsidRDefault="00D26424" w:rsidP="004300E2">
            <w:pPr>
              <w:pStyle w:val="IAS"/>
            </w:pPr>
            <w:r w:rsidRPr="000C2263">
              <w:t>IFRS 3</w:t>
            </w:r>
            <w:r w:rsidRPr="000C2263">
              <w:br/>
              <w:t>App. B67(c)</w:t>
            </w:r>
          </w:p>
        </w:tc>
        <w:tc>
          <w:tcPr>
            <w:tcW w:w="7079" w:type="dxa"/>
            <w:tcMar>
              <w:left w:w="108" w:type="dxa"/>
            </w:tcMar>
          </w:tcPr>
          <w:p w:rsidR="00D26424" w:rsidRPr="008A0F36" w:rsidRDefault="00D26424" w:rsidP="00003D7F">
            <w:pPr>
              <w:rPr>
                <w:lang w:val="it-IT"/>
              </w:rPr>
            </w:pPr>
            <w:r w:rsidRPr="008A0F36">
              <w:rPr>
                <w:lang w:val="it-IT"/>
              </w:rPr>
              <w:t xml:space="preserve">Per passività potenziali rilevate in </w:t>
            </w:r>
            <w:r>
              <w:rPr>
                <w:lang w:val="it-IT"/>
              </w:rPr>
              <w:t>un’a</w:t>
            </w:r>
            <w:r w:rsidRPr="008A0F36">
              <w:rPr>
                <w:lang w:val="it-IT"/>
              </w:rPr>
              <w:t xml:space="preserve">ggregazione aziendale, le informazioni richieste dagli IAS 37.84 e IAS 37.85 per ogni classe di </w:t>
            </w:r>
            <w:r w:rsidRPr="004F522B">
              <w:rPr>
                <w:lang w:val="it-IT"/>
              </w:rPr>
              <w:t>accantonamenti (</w:t>
            </w:r>
            <w:r w:rsidRPr="00D426AF">
              <w:rPr>
                <w:lang w:val="it-IT"/>
              </w:rPr>
              <w:t>vedi punti 3</w:t>
            </w:r>
            <w:r>
              <w:rPr>
                <w:lang w:val="it-IT"/>
              </w:rPr>
              <w:t>68</w:t>
            </w:r>
            <w:r w:rsidRPr="00D426AF">
              <w:rPr>
                <w:lang w:val="it-IT"/>
              </w:rPr>
              <w:t xml:space="preserve"> e 3</w:t>
            </w:r>
            <w:r>
              <w:rPr>
                <w:lang w:val="it-IT"/>
              </w:rPr>
              <w:t>69</w:t>
            </w:r>
            <w:r w:rsidRPr="004F522B">
              <w:rPr>
                <w:lang w:val="it-IT"/>
              </w:rPr>
              <w:t>).</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IFRS 3</w:t>
            </w:r>
            <w:r w:rsidRPr="008A0F36">
              <w:rPr>
                <w:lang w:val="it-IT"/>
              </w:rPr>
              <w:br/>
              <w:t>App. B67(d)</w:t>
            </w:r>
          </w:p>
        </w:tc>
        <w:tc>
          <w:tcPr>
            <w:tcW w:w="7079" w:type="dxa"/>
            <w:tcMar>
              <w:left w:w="108" w:type="dxa"/>
            </w:tcMar>
          </w:tcPr>
          <w:p w:rsidR="004300E2" w:rsidRPr="008A0F36" w:rsidRDefault="004300E2" w:rsidP="00003D7F">
            <w:pPr>
              <w:rPr>
                <w:lang w:val="it-IT"/>
              </w:rPr>
            </w:pPr>
            <w:r w:rsidRPr="008A0F36">
              <w:rPr>
                <w:lang w:val="it-IT"/>
              </w:rPr>
              <w:t xml:space="preserve">Una riconciliazione del valore contabile dell’avviamento all’inizio ed alla data di chiusura dell’esercizio con indicazione separata: </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8A0F36" w:rsidRDefault="00D26424" w:rsidP="00003D7F">
            <w:pPr>
              <w:pStyle w:val="Rientroa"/>
              <w:numPr>
                <w:ilvl w:val="0"/>
                <w:numId w:val="50"/>
              </w:numPr>
              <w:rPr>
                <w:iCs/>
              </w:rPr>
            </w:pPr>
            <w:r w:rsidRPr="008A0F36">
              <w:t>dell’importo lordo e delle perdite per riduzione di valore cumulate all’inizio dell’esercizio</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r w:rsidRPr="008A0F36">
              <w:rPr>
                <w:lang w:val="it-IT"/>
              </w:rPr>
              <w:t>IFRS 5.6</w:t>
            </w:r>
          </w:p>
        </w:tc>
        <w:tc>
          <w:tcPr>
            <w:tcW w:w="7079" w:type="dxa"/>
            <w:tcMar>
              <w:left w:w="108" w:type="dxa"/>
            </w:tcMar>
          </w:tcPr>
          <w:p w:rsidR="00D26424" w:rsidRPr="008A0F36" w:rsidRDefault="00D26424" w:rsidP="00003D7F">
            <w:pPr>
              <w:pStyle w:val="Rientroa"/>
              <w:ind w:left="391" w:hanging="357"/>
            </w:pPr>
            <w:r w:rsidRPr="008A0F36">
              <w:t>avviamento addizionale rilevato durante l’esercizio, eccetto l’avviamento incluso in un gruppo in via di dismissione che, all’acquisizione, soddisfa i criteri per essere classificato come detenuto per la vendita in base all’IFRS 5</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r w:rsidRPr="008A0F36">
              <w:rPr>
                <w:lang w:val="it-IT"/>
              </w:rPr>
              <w:t>IFRS 3.67</w:t>
            </w:r>
          </w:p>
        </w:tc>
        <w:tc>
          <w:tcPr>
            <w:tcW w:w="7079" w:type="dxa"/>
            <w:tcMar>
              <w:left w:w="108" w:type="dxa"/>
            </w:tcMar>
          </w:tcPr>
          <w:p w:rsidR="00D26424" w:rsidRPr="008A0F36" w:rsidRDefault="00D26424" w:rsidP="00003D7F">
            <w:pPr>
              <w:pStyle w:val="Rientroa"/>
            </w:pPr>
            <w:r w:rsidRPr="008A0F36">
              <w:t>aggiustamenti risultanti dalla successiva rilevazione delle imposte differite attive per l’esercizio in base all’IFRS 3.67</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r w:rsidRPr="008A0F36">
              <w:rPr>
                <w:lang w:val="it-IT"/>
              </w:rPr>
              <w:t>IFRS 5.6</w:t>
            </w:r>
          </w:p>
        </w:tc>
        <w:tc>
          <w:tcPr>
            <w:tcW w:w="7079" w:type="dxa"/>
            <w:tcMar>
              <w:left w:w="108" w:type="dxa"/>
            </w:tcMar>
          </w:tcPr>
          <w:p w:rsidR="00D26424" w:rsidRPr="008A0F36" w:rsidRDefault="00D26424" w:rsidP="00003D7F">
            <w:pPr>
              <w:pStyle w:val="Rientroa"/>
              <w:ind w:left="391" w:hanging="357"/>
            </w:pPr>
            <w:r w:rsidRPr="008A0F36">
              <w:t>l’avviamento incluso in un gruppo in via di dismissione classificato come detenuto per la vendita in base all’IFRS 5 e l’avviamento cancellato durante l’esercizio senza essere stato precedentemente incluso in un gruppo in via di dismissione classificato come detenuto per la vendita</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r w:rsidRPr="008A0F36">
              <w:rPr>
                <w:lang w:val="it-IT"/>
              </w:rPr>
              <w:t>IAS 36.104</w:t>
            </w:r>
          </w:p>
        </w:tc>
        <w:tc>
          <w:tcPr>
            <w:tcW w:w="7079" w:type="dxa"/>
            <w:tcMar>
              <w:left w:w="108" w:type="dxa"/>
            </w:tcMar>
          </w:tcPr>
          <w:p w:rsidR="00D26424" w:rsidRPr="008A0F36" w:rsidRDefault="00D26424" w:rsidP="00003D7F">
            <w:pPr>
              <w:pStyle w:val="Rientroa"/>
            </w:pPr>
            <w:r w:rsidRPr="008A0F36">
              <w:t>perdite per riduzione di valore rilevate durante l’esercizio in base allo IAS 36</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r w:rsidRPr="008A0F36">
              <w:rPr>
                <w:lang w:val="it-IT"/>
              </w:rPr>
              <w:t>IAS 21.47</w:t>
            </w:r>
          </w:p>
        </w:tc>
        <w:tc>
          <w:tcPr>
            <w:tcW w:w="7079" w:type="dxa"/>
            <w:tcMar>
              <w:left w:w="108" w:type="dxa"/>
            </w:tcMar>
          </w:tcPr>
          <w:p w:rsidR="00D26424" w:rsidRPr="008A0F36" w:rsidRDefault="00D26424" w:rsidP="00003D7F">
            <w:pPr>
              <w:pStyle w:val="Rientroa"/>
            </w:pPr>
            <w:r w:rsidRPr="008A0F36">
              <w:t>differenze nette da variazioni cambi insorti nell’esercizio in base allo IAS 21</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8A0F36" w:rsidRDefault="00D26424" w:rsidP="00003D7F">
            <w:pPr>
              <w:pStyle w:val="Rientroa"/>
            </w:pPr>
            <w:r w:rsidRPr="008A0F36">
              <w:t>qualunque altra variazione nel valore contabile durante l’esercizio</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8A0F36" w:rsidRDefault="00D26424" w:rsidP="00003D7F">
            <w:pPr>
              <w:pStyle w:val="Rientroa"/>
            </w:pPr>
            <w:r w:rsidRPr="008A0F36">
              <w:t>l’ammontare lordo delle riduzioni di valore alla data di chiusura dell’esercizio.</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IFRS 3</w:t>
            </w:r>
            <w:r w:rsidRPr="008A0F36">
              <w:rPr>
                <w:lang w:val="it-IT"/>
              </w:rPr>
              <w:br/>
              <w:t>App. B67(e)</w:t>
            </w:r>
          </w:p>
        </w:tc>
        <w:tc>
          <w:tcPr>
            <w:tcW w:w="7079" w:type="dxa"/>
            <w:tcMar>
              <w:left w:w="108" w:type="dxa"/>
            </w:tcMar>
          </w:tcPr>
          <w:p w:rsidR="004300E2" w:rsidRPr="008A0F36" w:rsidRDefault="004300E2" w:rsidP="00003D7F">
            <w:pPr>
              <w:rPr>
                <w:lang w:val="it-IT"/>
              </w:rPr>
            </w:pPr>
            <w:r w:rsidRPr="008A0F36">
              <w:rPr>
                <w:lang w:val="it-IT"/>
              </w:rPr>
              <w:t>L’importo e la spiegazione di qualunque utile o perdita rilevato nell’esercizio corrente che contemporaneamente:</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8A0F36" w:rsidRDefault="00D26424" w:rsidP="00003D7F">
            <w:pPr>
              <w:pStyle w:val="Rientroa"/>
              <w:numPr>
                <w:ilvl w:val="0"/>
                <w:numId w:val="51"/>
              </w:numPr>
              <w:rPr>
                <w:iCs/>
              </w:rPr>
            </w:pPr>
            <w:r w:rsidRPr="008A0F36">
              <w:t xml:space="preserve">fa riferimento ad attività identificabili acquisite o passività assunte in </w:t>
            </w:r>
            <w:r>
              <w:t>un’a</w:t>
            </w:r>
            <w:r w:rsidRPr="008A0F36">
              <w:t>ggregazione aziendale che è stato effettuato nell’esercizio corrente o in esercizi precedenti; 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8A0F36" w:rsidRDefault="00D26424" w:rsidP="00003D7F">
            <w:pPr>
              <w:pStyle w:val="Rientroa"/>
            </w:pPr>
            <w:r w:rsidRPr="008A0F36">
              <w:t xml:space="preserve">è di natura e di incidenza tale che l’informativa è rilevante per comprendere il bilancio </w:t>
            </w:r>
            <w:r>
              <w:t xml:space="preserve">dell’entità </w:t>
            </w:r>
            <w:r w:rsidRPr="008A0F36">
              <w:t>risultante dall’aggregazione.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8527A3" w:rsidRPr="00A44ECD" w:rsidTr="00940A6F">
        <w:trPr>
          <w:cantSplit/>
        </w:trPr>
        <w:tc>
          <w:tcPr>
            <w:tcW w:w="567" w:type="dxa"/>
            <w:tcMar>
              <w:left w:w="108" w:type="dxa"/>
            </w:tcMar>
            <w:vAlign w:val="center"/>
          </w:tcPr>
          <w:p w:rsidR="008527A3" w:rsidRPr="008A0F36" w:rsidRDefault="008527A3" w:rsidP="004300E2">
            <w:pPr>
              <w:jc w:val="left"/>
              <w:rPr>
                <w:lang w:val="it-IT"/>
              </w:rPr>
            </w:pPr>
          </w:p>
        </w:tc>
        <w:tc>
          <w:tcPr>
            <w:tcW w:w="851" w:type="dxa"/>
            <w:tcMar>
              <w:left w:w="108" w:type="dxa"/>
              <w:right w:w="0" w:type="dxa"/>
            </w:tcMar>
            <w:vAlign w:val="center"/>
          </w:tcPr>
          <w:p w:rsidR="008527A3" w:rsidRPr="008A0F36" w:rsidRDefault="008527A3" w:rsidP="004300E2">
            <w:pPr>
              <w:pStyle w:val="IAS"/>
              <w:jc w:val="left"/>
              <w:rPr>
                <w:lang w:val="it-IT"/>
              </w:rPr>
            </w:pPr>
          </w:p>
        </w:tc>
        <w:tc>
          <w:tcPr>
            <w:tcW w:w="7079" w:type="dxa"/>
            <w:tcMar>
              <w:left w:w="108" w:type="dxa"/>
            </w:tcMar>
            <w:vAlign w:val="center"/>
          </w:tcPr>
          <w:p w:rsidR="008527A3" w:rsidRPr="008A0F36" w:rsidRDefault="008527A3" w:rsidP="004300E2">
            <w:pPr>
              <w:pStyle w:val="Titolo2"/>
              <w:keepNext w:val="0"/>
              <w:rPr>
                <w:lang w:val="it-IT"/>
              </w:rPr>
            </w:pPr>
            <w:r>
              <w:rPr>
                <w:lang w:val="it-IT"/>
              </w:rPr>
              <w:t>Acquisizione di interessenze in attività a controllo congiunto</w:t>
            </w:r>
          </w:p>
        </w:tc>
        <w:tc>
          <w:tcPr>
            <w:tcW w:w="575" w:type="dxa"/>
            <w:tcMar>
              <w:left w:w="85" w:type="dxa"/>
              <w:right w:w="85" w:type="dxa"/>
            </w:tcMar>
            <w:vAlign w:val="center"/>
          </w:tcPr>
          <w:p w:rsidR="008527A3" w:rsidRPr="00FB4B6E" w:rsidRDefault="008527A3" w:rsidP="004300E2">
            <w:pPr>
              <w:jc w:val="left"/>
              <w:rPr>
                <w:lang w:val="it-IT"/>
              </w:rPr>
            </w:pPr>
          </w:p>
        </w:tc>
        <w:tc>
          <w:tcPr>
            <w:tcW w:w="567" w:type="dxa"/>
            <w:tcMar>
              <w:left w:w="108" w:type="dxa"/>
            </w:tcMar>
            <w:vAlign w:val="center"/>
          </w:tcPr>
          <w:p w:rsidR="008527A3" w:rsidRPr="00FB4B6E" w:rsidRDefault="008527A3" w:rsidP="004300E2">
            <w:pPr>
              <w:jc w:val="left"/>
              <w:rPr>
                <w:lang w:val="it-IT"/>
              </w:rPr>
            </w:pPr>
          </w:p>
        </w:tc>
        <w:tc>
          <w:tcPr>
            <w:tcW w:w="567" w:type="dxa"/>
            <w:tcMar>
              <w:left w:w="108" w:type="dxa"/>
            </w:tcMar>
            <w:vAlign w:val="center"/>
          </w:tcPr>
          <w:p w:rsidR="008527A3" w:rsidRPr="00FB4B6E" w:rsidRDefault="008527A3" w:rsidP="004300E2">
            <w:pPr>
              <w:jc w:val="left"/>
              <w:rPr>
                <w:lang w:val="it-IT"/>
              </w:rPr>
            </w:pPr>
          </w:p>
        </w:tc>
      </w:tr>
      <w:tr w:rsidR="00D26424" w:rsidRPr="008129DA" w:rsidTr="00ED180E">
        <w:trPr>
          <w:cantSplit/>
        </w:trPr>
        <w:tc>
          <w:tcPr>
            <w:tcW w:w="567" w:type="dxa"/>
            <w:tcMar>
              <w:left w:w="108" w:type="dxa"/>
              <w:right w:w="0" w:type="dxa"/>
            </w:tcMar>
          </w:tcPr>
          <w:p w:rsidR="00D26424" w:rsidRPr="008527A3" w:rsidRDefault="00D26424" w:rsidP="00FB4B6E">
            <w:pPr>
              <w:pStyle w:val="Numeroelenco"/>
              <w:ind w:left="0" w:firstLine="57"/>
              <w:rPr>
                <w:lang w:val="it-IT"/>
              </w:rPr>
            </w:pPr>
          </w:p>
        </w:tc>
        <w:tc>
          <w:tcPr>
            <w:tcW w:w="851" w:type="dxa"/>
            <w:tcMar>
              <w:left w:w="108" w:type="dxa"/>
              <w:right w:w="0" w:type="dxa"/>
            </w:tcMar>
          </w:tcPr>
          <w:p w:rsidR="00D26424" w:rsidRPr="00FB4B6E" w:rsidRDefault="00D26424" w:rsidP="00ED180E">
            <w:pPr>
              <w:pStyle w:val="IAS"/>
              <w:spacing w:before="20" w:line="200" w:lineRule="exact"/>
              <w:rPr>
                <w:lang w:val="it-IT"/>
              </w:rPr>
            </w:pPr>
            <w:r w:rsidRPr="00FB4B6E">
              <w:rPr>
                <w:lang w:val="it-IT"/>
              </w:rPr>
              <w:t>IFRS 11.21A</w:t>
            </w:r>
          </w:p>
        </w:tc>
        <w:tc>
          <w:tcPr>
            <w:tcW w:w="7079" w:type="dxa"/>
            <w:tcMar>
              <w:left w:w="108" w:type="dxa"/>
            </w:tcMar>
          </w:tcPr>
          <w:p w:rsidR="00D26424" w:rsidRPr="00FB4B6E" w:rsidRDefault="00D26424" w:rsidP="00742E16">
            <w:pPr>
              <w:spacing w:line="200" w:lineRule="exact"/>
              <w:rPr>
                <w:lang w:val="it-IT"/>
              </w:rPr>
            </w:pPr>
            <w:r w:rsidRPr="00FB4B6E">
              <w:rPr>
                <w:lang w:val="it-IT"/>
              </w:rPr>
              <w:t xml:space="preserve">Se l’entità ha acquisito un’interessenza in un’attività a controllo congiunto che costituisce un’attività aziendale ai sensi dell’IFRS 3, l’entità è tenuta a fornire le informazioni integrative richieste dall’IFRS </w:t>
            </w:r>
            <w:r>
              <w:rPr>
                <w:lang w:val="it-IT"/>
              </w:rPr>
              <w:t xml:space="preserve">3 </w:t>
            </w:r>
            <w:r w:rsidRPr="00FB4B6E">
              <w:rPr>
                <w:lang w:val="it-IT"/>
              </w:rPr>
              <w:t xml:space="preserve">e da altri IFRS in relazione alle aggregazioni aziendali. </w:t>
            </w:r>
          </w:p>
        </w:tc>
        <w:tc>
          <w:tcPr>
            <w:tcW w:w="575" w:type="dxa"/>
            <w:tcMar>
              <w:left w:w="85" w:type="dxa"/>
              <w:right w:w="85" w:type="dxa"/>
            </w:tcMar>
            <w:vAlign w:val="center"/>
          </w:tcPr>
          <w:p w:rsidR="00D26424" w:rsidRPr="00FB4B6E" w:rsidRDefault="00D26424" w:rsidP="00ED180E">
            <w:pPr>
              <w:spacing w:line="200" w:lineRule="exact"/>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FB4B6E" w:rsidRDefault="00D26424" w:rsidP="00ED180E">
            <w:pPr>
              <w:spacing w:line="200" w:lineRule="exact"/>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FB4B6E" w:rsidRDefault="00D26424" w:rsidP="00ED180E">
            <w:pPr>
              <w:spacing w:line="200" w:lineRule="exact"/>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8527A3" w:rsidRPr="00A44ECD" w:rsidTr="00940A6F">
        <w:trPr>
          <w:cantSplit/>
        </w:trPr>
        <w:tc>
          <w:tcPr>
            <w:tcW w:w="567" w:type="dxa"/>
            <w:tcMar>
              <w:left w:w="108" w:type="dxa"/>
            </w:tcMar>
            <w:vAlign w:val="center"/>
          </w:tcPr>
          <w:p w:rsidR="008527A3" w:rsidRPr="008A0F36" w:rsidRDefault="008527A3" w:rsidP="004300E2">
            <w:pPr>
              <w:jc w:val="left"/>
              <w:rPr>
                <w:lang w:val="it-IT"/>
              </w:rPr>
            </w:pPr>
          </w:p>
        </w:tc>
        <w:tc>
          <w:tcPr>
            <w:tcW w:w="851" w:type="dxa"/>
            <w:tcMar>
              <w:left w:w="108" w:type="dxa"/>
              <w:right w:w="0" w:type="dxa"/>
            </w:tcMar>
            <w:vAlign w:val="center"/>
          </w:tcPr>
          <w:p w:rsidR="008527A3" w:rsidRPr="008A0F36" w:rsidRDefault="008527A3" w:rsidP="004300E2">
            <w:pPr>
              <w:pStyle w:val="IAS"/>
              <w:jc w:val="left"/>
              <w:rPr>
                <w:lang w:val="it-IT"/>
              </w:rPr>
            </w:pPr>
          </w:p>
        </w:tc>
        <w:tc>
          <w:tcPr>
            <w:tcW w:w="7079" w:type="dxa"/>
            <w:tcMar>
              <w:left w:w="108" w:type="dxa"/>
            </w:tcMar>
            <w:vAlign w:val="center"/>
          </w:tcPr>
          <w:p w:rsidR="008527A3" w:rsidRPr="008A0F36" w:rsidRDefault="008527A3" w:rsidP="00003D7F">
            <w:pPr>
              <w:pStyle w:val="Paragarfobordato"/>
            </w:pPr>
            <w:r w:rsidRPr="00300D13">
              <w:t>Tale disposizione si applica sia all’acquisizione iniziale di un’interessenza sia alle acquisizioni successive di ulteriori interessenze.</w:t>
            </w:r>
          </w:p>
        </w:tc>
        <w:tc>
          <w:tcPr>
            <w:tcW w:w="575" w:type="dxa"/>
            <w:tcMar>
              <w:left w:w="85" w:type="dxa"/>
              <w:right w:w="85" w:type="dxa"/>
            </w:tcMar>
            <w:vAlign w:val="center"/>
          </w:tcPr>
          <w:p w:rsidR="008527A3" w:rsidRPr="00FB4B6E" w:rsidRDefault="008527A3" w:rsidP="004300E2">
            <w:pPr>
              <w:jc w:val="left"/>
              <w:rPr>
                <w:lang w:val="it-IT"/>
              </w:rPr>
            </w:pPr>
          </w:p>
        </w:tc>
        <w:tc>
          <w:tcPr>
            <w:tcW w:w="567" w:type="dxa"/>
            <w:tcMar>
              <w:left w:w="108" w:type="dxa"/>
            </w:tcMar>
            <w:vAlign w:val="center"/>
          </w:tcPr>
          <w:p w:rsidR="008527A3" w:rsidRPr="00FB4B6E" w:rsidRDefault="008527A3" w:rsidP="004300E2">
            <w:pPr>
              <w:jc w:val="left"/>
              <w:rPr>
                <w:lang w:val="it-IT"/>
              </w:rPr>
            </w:pPr>
          </w:p>
        </w:tc>
        <w:tc>
          <w:tcPr>
            <w:tcW w:w="567" w:type="dxa"/>
            <w:tcMar>
              <w:left w:w="108" w:type="dxa"/>
            </w:tcMar>
            <w:vAlign w:val="center"/>
          </w:tcPr>
          <w:p w:rsidR="008527A3" w:rsidRPr="00FB4B6E" w:rsidRDefault="008527A3" w:rsidP="004300E2">
            <w:pPr>
              <w:jc w:val="left"/>
              <w:rPr>
                <w:lang w:val="it-IT"/>
              </w:rPr>
            </w:pPr>
          </w:p>
        </w:tc>
      </w:tr>
      <w:tr w:rsidR="004300E2" w:rsidRPr="008A0F36" w:rsidTr="00940A6F">
        <w:trPr>
          <w:cantSplit/>
        </w:trPr>
        <w:tc>
          <w:tcPr>
            <w:tcW w:w="567" w:type="dxa"/>
            <w:tcMar>
              <w:left w:w="108" w:type="dxa"/>
            </w:tcMar>
            <w:vAlign w:val="center"/>
          </w:tcPr>
          <w:p w:rsidR="004300E2" w:rsidRPr="008A0F36" w:rsidRDefault="004300E2" w:rsidP="00003D7F">
            <w:pPr>
              <w:pageBreakBefore/>
              <w:jc w:val="left"/>
              <w:rPr>
                <w:lang w:val="it-IT"/>
              </w:rPr>
            </w:pPr>
          </w:p>
        </w:tc>
        <w:tc>
          <w:tcPr>
            <w:tcW w:w="851" w:type="dxa"/>
            <w:tcMar>
              <w:left w:w="108" w:type="dxa"/>
              <w:right w:w="0" w:type="dxa"/>
            </w:tcMar>
            <w:vAlign w:val="center"/>
          </w:tcPr>
          <w:p w:rsidR="004300E2" w:rsidRPr="008A0F36" w:rsidRDefault="004300E2" w:rsidP="00003D7F">
            <w:pPr>
              <w:pStyle w:val="IAS"/>
              <w:pageBreakBefore/>
              <w:jc w:val="left"/>
              <w:rPr>
                <w:lang w:val="it-IT"/>
              </w:rPr>
            </w:pPr>
          </w:p>
        </w:tc>
        <w:tc>
          <w:tcPr>
            <w:tcW w:w="7079" w:type="dxa"/>
            <w:tcMar>
              <w:left w:w="108" w:type="dxa"/>
            </w:tcMar>
            <w:vAlign w:val="center"/>
          </w:tcPr>
          <w:p w:rsidR="004300E2" w:rsidRPr="008A0F36" w:rsidRDefault="004300E2" w:rsidP="00003D7F">
            <w:pPr>
              <w:pStyle w:val="Titolo2"/>
              <w:keepNext w:val="0"/>
              <w:pageBreakBefore/>
              <w:rPr>
                <w:lang w:val="it-IT"/>
              </w:rPr>
            </w:pPr>
            <w:r w:rsidRPr="008A0F36">
              <w:rPr>
                <w:lang w:val="it-IT"/>
              </w:rPr>
              <w:t>ONERI FINANZIARI</w:t>
            </w:r>
          </w:p>
        </w:tc>
        <w:tc>
          <w:tcPr>
            <w:tcW w:w="575" w:type="dxa"/>
            <w:tcMar>
              <w:left w:w="85" w:type="dxa"/>
              <w:right w:w="85" w:type="dxa"/>
            </w:tcMar>
            <w:vAlign w:val="center"/>
          </w:tcPr>
          <w:p w:rsidR="004300E2" w:rsidRDefault="004300E2" w:rsidP="00003D7F">
            <w:pPr>
              <w:pageBreakBefore/>
              <w:jc w:val="left"/>
            </w:pPr>
          </w:p>
        </w:tc>
        <w:tc>
          <w:tcPr>
            <w:tcW w:w="567" w:type="dxa"/>
            <w:tcMar>
              <w:left w:w="108" w:type="dxa"/>
            </w:tcMar>
            <w:vAlign w:val="center"/>
          </w:tcPr>
          <w:p w:rsidR="004300E2" w:rsidRDefault="004300E2" w:rsidP="00003D7F">
            <w:pPr>
              <w:pageBreakBefore/>
              <w:jc w:val="left"/>
            </w:pPr>
          </w:p>
        </w:tc>
        <w:tc>
          <w:tcPr>
            <w:tcW w:w="567" w:type="dxa"/>
            <w:tcMar>
              <w:left w:w="108" w:type="dxa"/>
            </w:tcMar>
            <w:vAlign w:val="center"/>
          </w:tcPr>
          <w:p w:rsidR="004300E2" w:rsidRDefault="004300E2" w:rsidP="00003D7F">
            <w:pPr>
              <w:pageBreakBefore/>
              <w:jc w:val="left"/>
            </w:pPr>
          </w:p>
        </w:tc>
      </w:tr>
      <w:tr w:rsidR="00D26424" w:rsidRPr="008129DA" w:rsidTr="00940A6F">
        <w:trPr>
          <w:cantSplit/>
        </w:trPr>
        <w:tc>
          <w:tcPr>
            <w:tcW w:w="567" w:type="dxa"/>
            <w:tcMar>
              <w:left w:w="108" w:type="dxa"/>
            </w:tcMar>
          </w:tcPr>
          <w:p w:rsidR="00D26424" w:rsidRPr="008A0F36" w:rsidRDefault="00D26424" w:rsidP="004300E2">
            <w:pPr>
              <w:pStyle w:val="Numeroelenco"/>
              <w:ind w:left="0" w:firstLine="57"/>
              <w:rPr>
                <w:lang w:val="it-IT"/>
              </w:rPr>
            </w:pPr>
          </w:p>
        </w:tc>
        <w:tc>
          <w:tcPr>
            <w:tcW w:w="851" w:type="dxa"/>
            <w:tcMar>
              <w:left w:w="108" w:type="dxa"/>
              <w:right w:w="0" w:type="dxa"/>
            </w:tcMar>
          </w:tcPr>
          <w:p w:rsidR="00D26424" w:rsidRPr="008A0F36" w:rsidRDefault="00D26424" w:rsidP="004300E2">
            <w:pPr>
              <w:pStyle w:val="IAS"/>
              <w:rPr>
                <w:lang w:val="it-IT"/>
              </w:rPr>
            </w:pPr>
            <w:r w:rsidRPr="008A0F36">
              <w:rPr>
                <w:lang w:val="it-IT"/>
              </w:rPr>
              <w:t>IAS 1.117</w:t>
            </w:r>
          </w:p>
        </w:tc>
        <w:tc>
          <w:tcPr>
            <w:tcW w:w="7079" w:type="dxa"/>
            <w:tcMar>
              <w:left w:w="108" w:type="dxa"/>
            </w:tcMar>
          </w:tcPr>
          <w:p w:rsidR="00D26424" w:rsidRPr="008A0F36" w:rsidRDefault="00D26424" w:rsidP="00003D7F">
            <w:pPr>
              <w:spacing w:line="226" w:lineRule="exact"/>
              <w:rPr>
                <w:lang w:val="it-IT"/>
              </w:rPr>
            </w:pPr>
            <w:r w:rsidRPr="008A0F36">
              <w:rPr>
                <w:lang w:val="it-IT"/>
              </w:rPr>
              <w:t>L’entità ha indicato la politica contabile adottata per la contabilizzazione degli oneri finanziari.</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23.26</w:t>
            </w:r>
          </w:p>
        </w:tc>
        <w:tc>
          <w:tcPr>
            <w:tcW w:w="7079" w:type="dxa"/>
            <w:tcMar>
              <w:left w:w="108" w:type="dxa"/>
            </w:tcMar>
          </w:tcPr>
          <w:p w:rsidR="004300E2" w:rsidRPr="008A0F36" w:rsidRDefault="004300E2" w:rsidP="00003D7F">
            <w:pPr>
              <w:spacing w:line="226" w:lineRule="exact"/>
              <w:rPr>
                <w:lang w:val="it-IT"/>
              </w:rPr>
            </w:pPr>
            <w:r w:rsidRPr="008A0F36">
              <w:rPr>
                <w:lang w:val="it-IT"/>
              </w:rPr>
              <w:t>Se l’entità ha capitalizzato degli oneri finanziati nell’esercizio, devono essere fornite le seguenti informazioni:</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8A0F36" w:rsidRDefault="00D26424" w:rsidP="00003D7F">
            <w:pPr>
              <w:pStyle w:val="Rientroa"/>
              <w:numPr>
                <w:ilvl w:val="0"/>
                <w:numId w:val="52"/>
              </w:numPr>
              <w:spacing w:line="226" w:lineRule="exact"/>
            </w:pPr>
            <w:r w:rsidRPr="008A0F36">
              <w:t>l’ammontare degli oneri finanziari capitalizzati nell’esercizio; 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8A0F36" w:rsidRDefault="00D26424" w:rsidP="00003D7F">
            <w:pPr>
              <w:pStyle w:val="Rientroa"/>
              <w:spacing w:line="226" w:lineRule="exact"/>
            </w:pPr>
            <w:r w:rsidRPr="008A0F36">
              <w:t>il tasso di capitalizzazione usato per determinare l’ammontare degli oneri finanziari capitalizzabili.</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A0F36" w:rsidTr="00940A6F">
        <w:trPr>
          <w:cantSplit/>
        </w:trPr>
        <w:tc>
          <w:tcPr>
            <w:tcW w:w="567" w:type="dxa"/>
            <w:tcMar>
              <w:left w:w="108" w:type="dxa"/>
            </w:tcMar>
          </w:tcPr>
          <w:p w:rsidR="004300E2" w:rsidRPr="008A0F36" w:rsidRDefault="004300E2" w:rsidP="004300E2">
            <w:pPr>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Pr="008A0F36" w:rsidRDefault="004300E2" w:rsidP="004300E2">
            <w:pPr>
              <w:pStyle w:val="Titolo1"/>
            </w:pPr>
            <w:r w:rsidRPr="008A0F36">
              <w:t>variazione delle stIme</w:t>
            </w:r>
          </w:p>
        </w:tc>
        <w:tc>
          <w:tcPr>
            <w:tcW w:w="575" w:type="dxa"/>
            <w:tcMar>
              <w:left w:w="85" w:type="dxa"/>
              <w:right w:w="85" w:type="dxa"/>
            </w:tcMar>
            <w:vAlign w:val="center"/>
          </w:tcPr>
          <w:p w:rsidR="004300E2" w:rsidRDefault="004300E2" w:rsidP="004300E2">
            <w:pPr>
              <w:jc w:val="center"/>
            </w:pPr>
          </w:p>
        </w:tc>
        <w:tc>
          <w:tcPr>
            <w:tcW w:w="567" w:type="dxa"/>
            <w:tcMar>
              <w:left w:w="108" w:type="dxa"/>
            </w:tcMar>
            <w:vAlign w:val="center"/>
          </w:tcPr>
          <w:p w:rsidR="004300E2" w:rsidRDefault="004300E2" w:rsidP="004300E2">
            <w:pPr>
              <w:jc w:val="center"/>
            </w:pPr>
          </w:p>
        </w:tc>
        <w:tc>
          <w:tcPr>
            <w:tcW w:w="567" w:type="dxa"/>
            <w:tcMar>
              <w:left w:w="108" w:type="dxa"/>
            </w:tcMar>
            <w:vAlign w:val="center"/>
          </w:tcPr>
          <w:p w:rsidR="004300E2" w:rsidRDefault="004300E2" w:rsidP="004300E2">
            <w:pPr>
              <w:jc w:val="center"/>
            </w:pP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8.39</w:t>
            </w:r>
          </w:p>
          <w:p w:rsidR="004300E2" w:rsidRPr="008A0F36" w:rsidRDefault="004300E2" w:rsidP="004300E2">
            <w:pPr>
              <w:pStyle w:val="IAS"/>
              <w:rPr>
                <w:lang w:val="it-IT"/>
              </w:rPr>
            </w:pPr>
            <w:r w:rsidRPr="008A0F36">
              <w:rPr>
                <w:lang w:val="it-IT"/>
              </w:rPr>
              <w:t xml:space="preserve"> IAS 8.40</w:t>
            </w:r>
          </w:p>
        </w:tc>
        <w:tc>
          <w:tcPr>
            <w:tcW w:w="7079" w:type="dxa"/>
            <w:tcMar>
              <w:left w:w="108" w:type="dxa"/>
            </w:tcMar>
          </w:tcPr>
          <w:p w:rsidR="004300E2" w:rsidRPr="008A0F36" w:rsidRDefault="004300E2" w:rsidP="00003D7F">
            <w:pPr>
              <w:spacing w:line="226" w:lineRule="exact"/>
              <w:rPr>
                <w:lang w:val="it-IT"/>
              </w:rPr>
            </w:pPr>
            <w:r w:rsidRPr="008A0F36">
              <w:rPr>
                <w:lang w:val="it-IT"/>
              </w:rPr>
              <w:t>Sono state indicate le seguenti informazioni relativamente al cambiamento di una valutazione che ha effetto nell’esercizio o che ci si aspetta avrà impatto negli esercizi futuri:</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8A0F36" w:rsidRDefault="00D26424" w:rsidP="00003D7F">
            <w:pPr>
              <w:pStyle w:val="Rientroa"/>
              <w:numPr>
                <w:ilvl w:val="0"/>
                <w:numId w:val="53"/>
              </w:numPr>
              <w:spacing w:line="226" w:lineRule="exact"/>
            </w:pPr>
            <w:r w:rsidRPr="008A0F36">
              <w:t>la natura della variazione; 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A0F36"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8A0F36" w:rsidRDefault="00D26424" w:rsidP="00003D7F">
            <w:pPr>
              <w:pStyle w:val="Rientroa"/>
              <w:spacing w:line="226" w:lineRule="exact"/>
            </w:pPr>
            <w:r w:rsidRPr="008A0F36">
              <w:t>l’ammontare della variazione; o</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r w:rsidRPr="008A0F36">
              <w:rPr>
                <w:lang w:val="it-IT"/>
              </w:rPr>
              <w:t>IAS 8.40</w:t>
            </w:r>
          </w:p>
        </w:tc>
        <w:tc>
          <w:tcPr>
            <w:tcW w:w="7079" w:type="dxa"/>
            <w:tcMar>
              <w:left w:w="108" w:type="dxa"/>
            </w:tcMar>
          </w:tcPr>
          <w:p w:rsidR="00D26424" w:rsidRPr="008A0F36" w:rsidRDefault="00D26424" w:rsidP="00003D7F">
            <w:pPr>
              <w:pStyle w:val="Rientroa"/>
              <w:spacing w:line="226" w:lineRule="exact"/>
            </w:pPr>
            <w:r w:rsidRPr="008A0F36">
              <w:t>il fatto che l’ammontare dell’effetto sugli esercizi futuri non è possibile da stimare.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16.76</w:t>
            </w:r>
            <w:r w:rsidRPr="008A0F36">
              <w:rPr>
                <w:lang w:val="it-IT"/>
              </w:rPr>
              <w:br/>
              <w:t>IAS 38.121</w:t>
            </w:r>
          </w:p>
        </w:tc>
        <w:tc>
          <w:tcPr>
            <w:tcW w:w="7079" w:type="dxa"/>
            <w:tcMar>
              <w:left w:w="108" w:type="dxa"/>
            </w:tcMar>
          </w:tcPr>
          <w:p w:rsidR="004300E2" w:rsidRPr="008A0F36" w:rsidRDefault="004300E2" w:rsidP="00003D7F">
            <w:pPr>
              <w:pStyle w:val="Paragarfobordato"/>
            </w:pPr>
            <w:r w:rsidRPr="008A0F36">
              <w:t>Con riferimento agli immobili, impianti e macchinari e alle attività immateriali un’entità ha indicato la natura e l’effetto della variazione nelle stime che ha un impatto sull’esercizio corrente o che ci si aspetta avrà impatto negli esercizi successivi. Tale informativa può emergere da cambiamenti nelle stime con riferimento a:</w:t>
            </w:r>
          </w:p>
          <w:p w:rsidR="004300E2" w:rsidRPr="008A0F36" w:rsidRDefault="004300E2" w:rsidP="00003D7F">
            <w:pPr>
              <w:pStyle w:val="Paragarfobordato"/>
              <w:ind w:left="205" w:hanging="205"/>
            </w:pPr>
            <w:r w:rsidRPr="008A0F36">
              <w:t xml:space="preserve"> -</w:t>
            </w:r>
            <w:r>
              <w:t xml:space="preserve"> </w:t>
            </w:r>
            <w:r w:rsidR="00003D7F">
              <w:tab/>
            </w:r>
            <w:r w:rsidRPr="008A0F36">
              <w:t>valori residui</w:t>
            </w:r>
          </w:p>
          <w:p w:rsidR="004300E2" w:rsidRPr="008A0F36" w:rsidRDefault="004300E2" w:rsidP="00003D7F">
            <w:pPr>
              <w:pStyle w:val="Paragarfobordato"/>
              <w:ind w:left="205" w:hanging="205"/>
            </w:pPr>
            <w:r w:rsidRPr="008A0F36">
              <w:t xml:space="preserve"> -</w:t>
            </w:r>
            <w:r w:rsidR="00003D7F">
              <w:tab/>
            </w:r>
            <w:r w:rsidRPr="008A0F36">
              <w:t>stima dei costi di smantellamento, rimozione o ripristino di parti di proprietà, impianti e macchinari</w:t>
            </w:r>
          </w:p>
          <w:p w:rsidR="004300E2" w:rsidRPr="008A0F36" w:rsidRDefault="004300E2" w:rsidP="00003D7F">
            <w:pPr>
              <w:pStyle w:val="Paragarfobordato"/>
              <w:ind w:left="205" w:hanging="205"/>
            </w:pPr>
            <w:r w:rsidRPr="008A0F36">
              <w:t xml:space="preserve"> -</w:t>
            </w:r>
            <w:r>
              <w:t xml:space="preserve"> </w:t>
            </w:r>
            <w:r w:rsidR="00003D7F">
              <w:tab/>
            </w:r>
            <w:r w:rsidRPr="008A0F36">
              <w:t>vita utile; e</w:t>
            </w:r>
          </w:p>
          <w:p w:rsidR="004300E2" w:rsidRPr="008A0F36" w:rsidRDefault="004300E2" w:rsidP="00003D7F">
            <w:pPr>
              <w:pStyle w:val="Paragarfobordato"/>
              <w:ind w:left="205" w:hanging="205"/>
            </w:pPr>
            <w:r w:rsidRPr="008A0F36">
              <w:t xml:space="preserve"> -</w:t>
            </w:r>
            <w:r>
              <w:t xml:space="preserve"> </w:t>
            </w:r>
            <w:r w:rsidR="00003D7F">
              <w:tab/>
            </w:r>
            <w:r w:rsidRPr="008A0F36">
              <w:t>criteri di ammortamento.</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4300E2" w:rsidRPr="00A44ECD" w:rsidTr="00940A6F">
        <w:trPr>
          <w:cantSplit/>
        </w:trPr>
        <w:tc>
          <w:tcPr>
            <w:tcW w:w="567" w:type="dxa"/>
            <w:tcMar>
              <w:left w:w="108" w:type="dxa"/>
            </w:tcMar>
          </w:tcPr>
          <w:p w:rsidR="004300E2" w:rsidRPr="008A0F36" w:rsidRDefault="004300E2" w:rsidP="004300E2">
            <w:pPr>
              <w:rPr>
                <w:lang w:val="it-IT"/>
              </w:rPr>
            </w:pPr>
          </w:p>
        </w:tc>
        <w:tc>
          <w:tcPr>
            <w:tcW w:w="851" w:type="dxa"/>
            <w:tcMar>
              <w:left w:w="108" w:type="dxa"/>
              <w:right w:w="0" w:type="dxa"/>
            </w:tcMar>
          </w:tcPr>
          <w:p w:rsidR="004300E2" w:rsidRPr="00732D23" w:rsidRDefault="004300E2" w:rsidP="004300E2">
            <w:pPr>
              <w:rPr>
                <w:highlight w:val="yellow"/>
                <w:lang w:val="it-IT"/>
              </w:rPr>
            </w:pPr>
          </w:p>
        </w:tc>
        <w:tc>
          <w:tcPr>
            <w:tcW w:w="7079" w:type="dxa"/>
            <w:tcMar>
              <w:left w:w="108" w:type="dxa"/>
            </w:tcMar>
          </w:tcPr>
          <w:p w:rsidR="004300E2" w:rsidRPr="00BF03D1" w:rsidRDefault="004300E2" w:rsidP="004300E2">
            <w:pPr>
              <w:pStyle w:val="Titolo2"/>
              <w:spacing w:before="40" w:after="40"/>
              <w:rPr>
                <w:highlight w:val="yellow"/>
                <w:lang w:val="it-IT"/>
              </w:rPr>
            </w:pPr>
            <w:r w:rsidRPr="00A47C80">
              <w:rPr>
                <w:caps/>
                <w:lang w:val="it-IT"/>
              </w:rPr>
              <w:t>Informativa sulle partecipazioni in altre entità</w:t>
            </w:r>
          </w:p>
        </w:tc>
        <w:tc>
          <w:tcPr>
            <w:tcW w:w="575" w:type="dxa"/>
            <w:tcMar>
              <w:left w:w="85" w:type="dxa"/>
              <w:right w:w="85"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r>
      <w:tr w:rsidR="004300E2" w:rsidRPr="00AB2DED" w:rsidTr="00940A6F">
        <w:trPr>
          <w:cantSplit/>
        </w:trPr>
        <w:tc>
          <w:tcPr>
            <w:tcW w:w="567" w:type="dxa"/>
            <w:tcMar>
              <w:left w:w="108" w:type="dxa"/>
            </w:tcMar>
          </w:tcPr>
          <w:p w:rsidR="004300E2" w:rsidRPr="008A0F36" w:rsidRDefault="004300E2" w:rsidP="004300E2">
            <w:pPr>
              <w:rPr>
                <w:lang w:val="it-IT"/>
              </w:rPr>
            </w:pPr>
          </w:p>
        </w:tc>
        <w:tc>
          <w:tcPr>
            <w:tcW w:w="851" w:type="dxa"/>
            <w:tcMar>
              <w:left w:w="108" w:type="dxa"/>
              <w:right w:w="0" w:type="dxa"/>
            </w:tcMar>
          </w:tcPr>
          <w:p w:rsidR="004300E2" w:rsidRPr="00732D23" w:rsidRDefault="004300E2" w:rsidP="004300E2">
            <w:pPr>
              <w:rPr>
                <w:highlight w:val="yellow"/>
                <w:lang w:val="it-IT"/>
              </w:rPr>
            </w:pPr>
          </w:p>
        </w:tc>
        <w:tc>
          <w:tcPr>
            <w:tcW w:w="7079" w:type="dxa"/>
            <w:tcMar>
              <w:left w:w="108" w:type="dxa"/>
            </w:tcMar>
          </w:tcPr>
          <w:p w:rsidR="004300E2" w:rsidRPr="00BF03D1" w:rsidRDefault="004300E2" w:rsidP="004300E2">
            <w:pPr>
              <w:pStyle w:val="Didascalia"/>
              <w:spacing w:before="20" w:after="20" w:line="240" w:lineRule="exact"/>
              <w:jc w:val="left"/>
              <w:rPr>
                <w:rStyle w:val="Enfasigrassetto"/>
              </w:rPr>
            </w:pPr>
            <w:r w:rsidRPr="006C4C4E">
              <w:rPr>
                <w:rStyle w:val="Enfasigrassetto"/>
                <w:b/>
                <w:color w:val="auto"/>
                <w:sz w:val="20"/>
                <w:szCs w:val="20"/>
              </w:rPr>
              <w:t>Finalità</w:t>
            </w:r>
          </w:p>
        </w:tc>
        <w:tc>
          <w:tcPr>
            <w:tcW w:w="575" w:type="dxa"/>
            <w:tcMar>
              <w:left w:w="85" w:type="dxa"/>
              <w:right w:w="85" w:type="dxa"/>
            </w:tcMar>
            <w:vAlign w:val="center"/>
          </w:tcPr>
          <w:p w:rsidR="004300E2" w:rsidRPr="00AB2DED" w:rsidRDefault="004300E2" w:rsidP="004300E2">
            <w:pPr>
              <w:jc w:val="center"/>
              <w:rPr>
                <w:lang w:val="it-IT"/>
              </w:rPr>
            </w:pPr>
          </w:p>
        </w:tc>
        <w:tc>
          <w:tcPr>
            <w:tcW w:w="567" w:type="dxa"/>
            <w:tcMar>
              <w:left w:w="108" w:type="dxa"/>
            </w:tcMar>
            <w:vAlign w:val="center"/>
          </w:tcPr>
          <w:p w:rsidR="004300E2" w:rsidRPr="00AB2DED" w:rsidRDefault="004300E2" w:rsidP="004300E2">
            <w:pPr>
              <w:jc w:val="center"/>
              <w:rPr>
                <w:lang w:val="it-IT"/>
              </w:rPr>
            </w:pPr>
          </w:p>
        </w:tc>
        <w:tc>
          <w:tcPr>
            <w:tcW w:w="567" w:type="dxa"/>
            <w:tcMar>
              <w:left w:w="108" w:type="dxa"/>
            </w:tcMar>
            <w:vAlign w:val="center"/>
          </w:tcPr>
          <w:p w:rsidR="004300E2" w:rsidRPr="00AB2DED" w:rsidRDefault="004300E2" w:rsidP="004300E2">
            <w:pPr>
              <w:jc w:val="center"/>
              <w:rPr>
                <w:lang w:val="it-IT"/>
              </w:rPr>
            </w:pPr>
          </w:p>
        </w:tc>
      </w:tr>
      <w:tr w:rsidR="004300E2" w:rsidRPr="00A44ECD" w:rsidTr="00940A6F">
        <w:trPr>
          <w:cantSplit/>
        </w:trPr>
        <w:tc>
          <w:tcPr>
            <w:tcW w:w="567" w:type="dxa"/>
            <w:tcMar>
              <w:left w:w="108" w:type="dxa"/>
            </w:tcMar>
          </w:tcPr>
          <w:p w:rsidR="004300E2" w:rsidRPr="008A0F36" w:rsidRDefault="004300E2" w:rsidP="004300E2">
            <w:pPr>
              <w:rPr>
                <w:lang w:val="it-IT"/>
              </w:rPr>
            </w:pPr>
          </w:p>
        </w:tc>
        <w:tc>
          <w:tcPr>
            <w:tcW w:w="851" w:type="dxa"/>
            <w:tcMar>
              <w:left w:w="108" w:type="dxa"/>
              <w:right w:w="0" w:type="dxa"/>
            </w:tcMar>
          </w:tcPr>
          <w:p w:rsidR="004300E2" w:rsidRPr="00BF03D1" w:rsidRDefault="004300E2" w:rsidP="004300E2">
            <w:pPr>
              <w:pStyle w:val="IAS"/>
              <w:spacing w:before="20" w:line="220" w:lineRule="exact"/>
              <w:rPr>
                <w:sz w:val="12"/>
                <w:lang w:val="it-IT"/>
              </w:rPr>
            </w:pPr>
            <w:r w:rsidRPr="00237EFA">
              <w:rPr>
                <w:sz w:val="12"/>
                <w:szCs w:val="12"/>
                <w:lang w:val="it-IT"/>
              </w:rPr>
              <w:t>IFRS 12.1</w:t>
            </w:r>
          </w:p>
        </w:tc>
        <w:tc>
          <w:tcPr>
            <w:tcW w:w="7079" w:type="dxa"/>
            <w:tcMar>
              <w:left w:w="108" w:type="dxa"/>
            </w:tcMar>
          </w:tcPr>
          <w:p w:rsidR="004300E2" w:rsidRPr="00237EFA" w:rsidRDefault="004300E2" w:rsidP="00003D7F">
            <w:pPr>
              <w:pStyle w:val="Paragarfobordato"/>
              <w:rPr>
                <w:lang w:eastAsia="it-IT"/>
              </w:rPr>
            </w:pPr>
            <w:r w:rsidRPr="00237EFA">
              <w:t xml:space="preserve">La finalità dell’IFRS 12 è di richiedere a un’entità di indicare le informazioni che permettono agli </w:t>
            </w:r>
            <w:r w:rsidRPr="00237EFA">
              <w:rPr>
                <w:lang w:eastAsia="it-IT"/>
              </w:rPr>
              <w:t xml:space="preserve">utilizzatori del bilancio di valutare: </w:t>
            </w:r>
          </w:p>
          <w:p w:rsidR="004300E2" w:rsidRPr="00237EFA" w:rsidRDefault="004300E2" w:rsidP="00003D7F">
            <w:pPr>
              <w:pStyle w:val="Paragarfobordato"/>
              <w:ind w:left="205" w:hanging="205"/>
              <w:rPr>
                <w:lang w:eastAsia="it-IT"/>
              </w:rPr>
            </w:pPr>
            <w:r w:rsidRPr="00237EFA">
              <w:rPr>
                <w:lang w:eastAsia="it-IT"/>
              </w:rPr>
              <w:t xml:space="preserve">(a) </w:t>
            </w:r>
            <w:r w:rsidRPr="00237EFA">
              <w:rPr>
                <w:lang w:eastAsia="it-IT"/>
              </w:rPr>
              <w:tab/>
              <w:t xml:space="preserve">la natura e i rischi derivanti dalle sue </w:t>
            </w:r>
            <w:r w:rsidRPr="00237EFA">
              <w:rPr>
                <w:i/>
                <w:lang w:eastAsia="it-IT"/>
              </w:rPr>
              <w:t xml:space="preserve">partecipazioni in altre entità; </w:t>
            </w:r>
            <w:r w:rsidRPr="00237EFA">
              <w:rPr>
                <w:lang w:eastAsia="it-IT"/>
              </w:rPr>
              <w:t xml:space="preserve">e </w:t>
            </w:r>
          </w:p>
          <w:p w:rsidR="004300E2" w:rsidRPr="00BF03D1" w:rsidRDefault="004300E2" w:rsidP="00003D7F">
            <w:pPr>
              <w:pStyle w:val="Paragarfobordato"/>
              <w:ind w:left="205" w:hanging="205"/>
              <w:rPr>
                <w:b/>
                <w:color w:val="19161B"/>
              </w:rPr>
            </w:pPr>
            <w:r w:rsidRPr="00237EFA">
              <w:rPr>
                <w:lang w:eastAsia="it-IT"/>
              </w:rPr>
              <w:t xml:space="preserve">(b) </w:t>
            </w:r>
            <w:r w:rsidRPr="00237EFA">
              <w:rPr>
                <w:lang w:eastAsia="it-IT"/>
              </w:rPr>
              <w:tab/>
              <w:t>gli effetti di tali partecipazioni sulla sua situazione patrimoniale-finanziaria, sul risultato economico e sui flussi finanziari.</w:t>
            </w:r>
          </w:p>
        </w:tc>
        <w:tc>
          <w:tcPr>
            <w:tcW w:w="575" w:type="dxa"/>
            <w:tcMar>
              <w:left w:w="85" w:type="dxa"/>
              <w:right w:w="85" w:type="dxa"/>
            </w:tcMar>
            <w:vAlign w:val="center"/>
          </w:tcPr>
          <w:p w:rsidR="004300E2" w:rsidRPr="00AB2DED" w:rsidRDefault="004300E2" w:rsidP="004300E2">
            <w:pPr>
              <w:jc w:val="center"/>
              <w:rPr>
                <w:lang w:val="it-IT"/>
              </w:rPr>
            </w:pPr>
          </w:p>
        </w:tc>
        <w:tc>
          <w:tcPr>
            <w:tcW w:w="567" w:type="dxa"/>
            <w:tcMar>
              <w:left w:w="108" w:type="dxa"/>
            </w:tcMar>
            <w:vAlign w:val="center"/>
          </w:tcPr>
          <w:p w:rsidR="004300E2" w:rsidRPr="00AB2DED" w:rsidRDefault="004300E2" w:rsidP="004300E2">
            <w:pPr>
              <w:jc w:val="center"/>
              <w:rPr>
                <w:lang w:val="it-IT"/>
              </w:rPr>
            </w:pPr>
          </w:p>
        </w:tc>
        <w:tc>
          <w:tcPr>
            <w:tcW w:w="567" w:type="dxa"/>
            <w:tcMar>
              <w:left w:w="108" w:type="dxa"/>
            </w:tcMar>
            <w:vAlign w:val="center"/>
          </w:tcPr>
          <w:p w:rsidR="004300E2" w:rsidRPr="00AB2DED" w:rsidRDefault="004300E2" w:rsidP="004300E2">
            <w:pPr>
              <w:jc w:val="center"/>
              <w:rPr>
                <w:lang w:val="it-IT"/>
              </w:rPr>
            </w:pPr>
          </w:p>
        </w:tc>
      </w:tr>
      <w:tr w:rsidR="004300E2" w:rsidRPr="00A44ECD" w:rsidTr="00940A6F">
        <w:trPr>
          <w:cantSplit/>
        </w:trPr>
        <w:tc>
          <w:tcPr>
            <w:tcW w:w="567" w:type="dxa"/>
            <w:tcMar>
              <w:left w:w="108" w:type="dxa"/>
            </w:tcMar>
          </w:tcPr>
          <w:p w:rsidR="004300E2" w:rsidRPr="008A0F36" w:rsidRDefault="004300E2" w:rsidP="004300E2">
            <w:pPr>
              <w:rPr>
                <w:lang w:val="it-IT"/>
              </w:rPr>
            </w:pPr>
          </w:p>
        </w:tc>
        <w:tc>
          <w:tcPr>
            <w:tcW w:w="851" w:type="dxa"/>
            <w:tcMar>
              <w:left w:w="108" w:type="dxa"/>
              <w:right w:w="0" w:type="dxa"/>
            </w:tcMar>
          </w:tcPr>
          <w:p w:rsidR="004300E2" w:rsidRPr="00BF03D1" w:rsidRDefault="004300E2" w:rsidP="004300E2">
            <w:pPr>
              <w:pStyle w:val="IAS"/>
              <w:spacing w:before="20" w:line="220" w:lineRule="exact"/>
              <w:rPr>
                <w:sz w:val="12"/>
                <w:lang w:val="it-IT"/>
              </w:rPr>
            </w:pPr>
            <w:r w:rsidRPr="00237EFA">
              <w:rPr>
                <w:sz w:val="12"/>
                <w:szCs w:val="12"/>
                <w:lang w:val="it-IT"/>
              </w:rPr>
              <w:t>IFRS 12.3</w:t>
            </w:r>
          </w:p>
        </w:tc>
        <w:tc>
          <w:tcPr>
            <w:tcW w:w="7079" w:type="dxa"/>
            <w:tcMar>
              <w:left w:w="108" w:type="dxa"/>
            </w:tcMar>
          </w:tcPr>
          <w:p w:rsidR="004300E2" w:rsidRPr="00BF03D1" w:rsidRDefault="004300E2" w:rsidP="00003D7F">
            <w:pPr>
              <w:pStyle w:val="Paragarfobordato"/>
            </w:pPr>
            <w:r w:rsidRPr="00237EFA">
              <w:rPr>
                <w:lang w:eastAsia="it-IT"/>
              </w:rPr>
              <w:t xml:space="preserve">Se le informazioni integrative richieste dall’IFRS 12, unitamente alle informazioni richieste da altri IFRS, non soddisfano l’obiettivo di cui al paragrafo 1 del principio, l'entità deve indicare qualsiasi informazione aggiuntiva necessaria a soddisfare tale finalità. </w:t>
            </w:r>
          </w:p>
        </w:tc>
        <w:tc>
          <w:tcPr>
            <w:tcW w:w="575" w:type="dxa"/>
            <w:tcMar>
              <w:left w:w="85" w:type="dxa"/>
              <w:right w:w="85" w:type="dxa"/>
            </w:tcMar>
            <w:vAlign w:val="center"/>
          </w:tcPr>
          <w:p w:rsidR="004300E2" w:rsidRPr="00AB2DED" w:rsidRDefault="004300E2" w:rsidP="004300E2">
            <w:pPr>
              <w:jc w:val="center"/>
              <w:rPr>
                <w:lang w:val="it-IT"/>
              </w:rPr>
            </w:pPr>
          </w:p>
        </w:tc>
        <w:tc>
          <w:tcPr>
            <w:tcW w:w="567" w:type="dxa"/>
            <w:tcMar>
              <w:left w:w="108" w:type="dxa"/>
            </w:tcMar>
            <w:vAlign w:val="center"/>
          </w:tcPr>
          <w:p w:rsidR="004300E2" w:rsidRPr="00AB2DED" w:rsidRDefault="004300E2" w:rsidP="004300E2">
            <w:pPr>
              <w:jc w:val="center"/>
              <w:rPr>
                <w:lang w:val="it-IT"/>
              </w:rPr>
            </w:pPr>
          </w:p>
        </w:tc>
        <w:tc>
          <w:tcPr>
            <w:tcW w:w="567" w:type="dxa"/>
            <w:tcMar>
              <w:left w:w="108" w:type="dxa"/>
            </w:tcMar>
            <w:vAlign w:val="center"/>
          </w:tcPr>
          <w:p w:rsidR="004300E2" w:rsidRPr="00AB2DED" w:rsidRDefault="004300E2" w:rsidP="004300E2">
            <w:pPr>
              <w:jc w:val="center"/>
              <w:rPr>
                <w:lang w:val="it-IT"/>
              </w:rPr>
            </w:pPr>
          </w:p>
        </w:tc>
      </w:tr>
      <w:tr w:rsidR="004300E2" w:rsidRPr="00A44ECD" w:rsidTr="00940A6F">
        <w:trPr>
          <w:cantSplit/>
        </w:trPr>
        <w:tc>
          <w:tcPr>
            <w:tcW w:w="567" w:type="dxa"/>
            <w:tcMar>
              <w:left w:w="108" w:type="dxa"/>
            </w:tcMar>
          </w:tcPr>
          <w:p w:rsidR="004300E2" w:rsidRPr="008A0F36" w:rsidRDefault="004300E2" w:rsidP="004300E2">
            <w:pPr>
              <w:rPr>
                <w:lang w:val="it-IT"/>
              </w:rPr>
            </w:pPr>
          </w:p>
        </w:tc>
        <w:tc>
          <w:tcPr>
            <w:tcW w:w="851" w:type="dxa"/>
            <w:tcMar>
              <w:left w:w="108" w:type="dxa"/>
              <w:right w:w="0" w:type="dxa"/>
            </w:tcMar>
          </w:tcPr>
          <w:p w:rsidR="004300E2" w:rsidRPr="00BF03D1" w:rsidRDefault="004300E2" w:rsidP="004300E2">
            <w:pPr>
              <w:pStyle w:val="IAS"/>
              <w:spacing w:before="20" w:line="220" w:lineRule="exact"/>
              <w:rPr>
                <w:sz w:val="12"/>
                <w:lang w:val="it-IT"/>
              </w:rPr>
            </w:pPr>
            <w:r w:rsidRPr="00237EFA">
              <w:rPr>
                <w:sz w:val="12"/>
                <w:szCs w:val="12"/>
                <w:lang w:val="it-IT"/>
              </w:rPr>
              <w:t>IFRS 12.4</w:t>
            </w:r>
          </w:p>
        </w:tc>
        <w:tc>
          <w:tcPr>
            <w:tcW w:w="7079" w:type="dxa"/>
            <w:tcMar>
              <w:left w:w="108" w:type="dxa"/>
            </w:tcMar>
          </w:tcPr>
          <w:p w:rsidR="004300E2" w:rsidRPr="00237EFA" w:rsidRDefault="004300E2" w:rsidP="00003D7F">
            <w:pPr>
              <w:pStyle w:val="Paragarfobordato"/>
              <w:rPr>
                <w:lang w:eastAsia="it-IT"/>
              </w:rPr>
            </w:pPr>
            <w:r w:rsidRPr="00237EFA">
              <w:rPr>
                <w:lang w:eastAsia="it-IT"/>
              </w:rPr>
              <w:t>L’entità deve considerare il livello di dettaglio necessario per soddisfare l’obiettivo informativo e l’enfasi da porre su ciascuno degli obblighi informativi stabiliti nell’IFRS 12. Deve aggregare o disaggregare le informazioni integrative, evitando di includere un numero elevato di dettagli irrilevanti o di aggregare elementi con caratteristiche sostanzialmente diverse, al fine di non occultare informazioni utili (vedere paragrafi B2–B6 dell’IFRS 12).</w:t>
            </w:r>
          </w:p>
        </w:tc>
        <w:tc>
          <w:tcPr>
            <w:tcW w:w="575" w:type="dxa"/>
            <w:tcMar>
              <w:left w:w="85" w:type="dxa"/>
              <w:right w:w="85" w:type="dxa"/>
            </w:tcMar>
            <w:vAlign w:val="center"/>
          </w:tcPr>
          <w:p w:rsidR="004300E2" w:rsidRPr="00AB2DED" w:rsidRDefault="004300E2" w:rsidP="004300E2">
            <w:pPr>
              <w:jc w:val="center"/>
              <w:rPr>
                <w:lang w:val="it-IT"/>
              </w:rPr>
            </w:pPr>
          </w:p>
        </w:tc>
        <w:tc>
          <w:tcPr>
            <w:tcW w:w="567" w:type="dxa"/>
            <w:tcMar>
              <w:left w:w="108" w:type="dxa"/>
            </w:tcMar>
            <w:vAlign w:val="center"/>
          </w:tcPr>
          <w:p w:rsidR="004300E2" w:rsidRPr="00AB2DED" w:rsidRDefault="004300E2" w:rsidP="004300E2">
            <w:pPr>
              <w:jc w:val="center"/>
              <w:rPr>
                <w:lang w:val="it-IT"/>
              </w:rPr>
            </w:pPr>
          </w:p>
        </w:tc>
        <w:tc>
          <w:tcPr>
            <w:tcW w:w="567" w:type="dxa"/>
            <w:tcMar>
              <w:left w:w="108" w:type="dxa"/>
            </w:tcMar>
            <w:vAlign w:val="center"/>
          </w:tcPr>
          <w:p w:rsidR="004300E2" w:rsidRPr="00AB2DED" w:rsidRDefault="004300E2" w:rsidP="004300E2">
            <w:pPr>
              <w:jc w:val="center"/>
              <w:rPr>
                <w:lang w:val="it-IT"/>
              </w:rPr>
            </w:pPr>
          </w:p>
        </w:tc>
      </w:tr>
      <w:tr w:rsidR="004300E2" w:rsidRPr="00AB2DED" w:rsidTr="00940A6F">
        <w:trPr>
          <w:cantSplit/>
        </w:trPr>
        <w:tc>
          <w:tcPr>
            <w:tcW w:w="567" w:type="dxa"/>
            <w:tcMar>
              <w:left w:w="108" w:type="dxa"/>
            </w:tcMar>
          </w:tcPr>
          <w:p w:rsidR="004300E2" w:rsidRPr="008A0F36" w:rsidRDefault="004300E2" w:rsidP="004300E2">
            <w:pPr>
              <w:rPr>
                <w:lang w:val="it-IT"/>
              </w:rPr>
            </w:pPr>
          </w:p>
        </w:tc>
        <w:tc>
          <w:tcPr>
            <w:tcW w:w="851" w:type="dxa"/>
            <w:tcMar>
              <w:left w:w="108" w:type="dxa"/>
              <w:right w:w="0" w:type="dxa"/>
            </w:tcMar>
          </w:tcPr>
          <w:p w:rsidR="004300E2" w:rsidRPr="00BF03D1" w:rsidRDefault="004300E2" w:rsidP="004300E2">
            <w:pPr>
              <w:pStyle w:val="IAS"/>
              <w:spacing w:before="20" w:line="220" w:lineRule="exact"/>
              <w:rPr>
                <w:sz w:val="12"/>
                <w:lang w:val="it-IT"/>
              </w:rPr>
            </w:pPr>
          </w:p>
        </w:tc>
        <w:tc>
          <w:tcPr>
            <w:tcW w:w="7079" w:type="dxa"/>
            <w:tcMar>
              <w:left w:w="108" w:type="dxa"/>
            </w:tcMar>
          </w:tcPr>
          <w:p w:rsidR="004300E2" w:rsidRPr="00BF03D1" w:rsidRDefault="004300E2" w:rsidP="004300E2">
            <w:pPr>
              <w:pStyle w:val="Didascalia"/>
              <w:pageBreakBefore/>
              <w:spacing w:before="20" w:after="20" w:line="220" w:lineRule="exact"/>
              <w:jc w:val="left"/>
              <w:rPr>
                <w:rStyle w:val="Enfasigrassetto"/>
              </w:rPr>
            </w:pPr>
            <w:r w:rsidRPr="006C4C4E">
              <w:rPr>
                <w:rStyle w:val="Enfasigrassetto"/>
                <w:b/>
                <w:color w:val="auto"/>
                <w:sz w:val="20"/>
                <w:szCs w:val="20"/>
              </w:rPr>
              <w:t>Valutazioni e assunzioni significative</w:t>
            </w:r>
          </w:p>
        </w:tc>
        <w:tc>
          <w:tcPr>
            <w:tcW w:w="575" w:type="dxa"/>
            <w:tcMar>
              <w:left w:w="85" w:type="dxa"/>
              <w:right w:w="85" w:type="dxa"/>
            </w:tcMar>
            <w:vAlign w:val="center"/>
          </w:tcPr>
          <w:p w:rsidR="004300E2" w:rsidRPr="00AB2DED" w:rsidRDefault="004300E2" w:rsidP="004300E2">
            <w:pPr>
              <w:jc w:val="center"/>
              <w:rPr>
                <w:lang w:val="it-IT"/>
              </w:rPr>
            </w:pPr>
          </w:p>
        </w:tc>
        <w:tc>
          <w:tcPr>
            <w:tcW w:w="567" w:type="dxa"/>
            <w:tcMar>
              <w:left w:w="108" w:type="dxa"/>
            </w:tcMar>
            <w:vAlign w:val="center"/>
          </w:tcPr>
          <w:p w:rsidR="004300E2" w:rsidRPr="00AB2DED" w:rsidRDefault="004300E2" w:rsidP="004300E2">
            <w:pPr>
              <w:jc w:val="center"/>
              <w:rPr>
                <w:lang w:val="it-IT"/>
              </w:rPr>
            </w:pPr>
          </w:p>
        </w:tc>
        <w:tc>
          <w:tcPr>
            <w:tcW w:w="567" w:type="dxa"/>
            <w:tcMar>
              <w:left w:w="108" w:type="dxa"/>
            </w:tcMar>
            <w:vAlign w:val="center"/>
          </w:tcPr>
          <w:p w:rsidR="004300E2" w:rsidRPr="00AB2DED" w:rsidRDefault="004300E2" w:rsidP="004300E2">
            <w:pPr>
              <w:jc w:val="center"/>
              <w:rPr>
                <w:lang w:val="it-IT"/>
              </w:rPr>
            </w:pPr>
          </w:p>
        </w:tc>
      </w:tr>
      <w:tr w:rsidR="004300E2" w:rsidRPr="00A44ECD" w:rsidTr="00940A6F">
        <w:trPr>
          <w:cantSplit/>
          <w:trHeight w:val="420"/>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BF03D1" w:rsidRDefault="004300E2" w:rsidP="004300E2">
            <w:pPr>
              <w:pStyle w:val="IAS"/>
              <w:spacing w:before="20" w:line="220" w:lineRule="exact"/>
              <w:rPr>
                <w:sz w:val="12"/>
                <w:lang w:val="it-IT"/>
              </w:rPr>
            </w:pPr>
            <w:r w:rsidRPr="00237EFA">
              <w:rPr>
                <w:sz w:val="12"/>
                <w:szCs w:val="12"/>
                <w:lang w:val="it-IT"/>
              </w:rPr>
              <w:t>IFRS 12.7</w:t>
            </w:r>
          </w:p>
        </w:tc>
        <w:tc>
          <w:tcPr>
            <w:tcW w:w="7079" w:type="dxa"/>
            <w:tcMar>
              <w:left w:w="108" w:type="dxa"/>
            </w:tcMar>
          </w:tcPr>
          <w:p w:rsidR="004300E2" w:rsidRPr="00BF03D1" w:rsidRDefault="004300E2" w:rsidP="00003D7F">
            <w:pPr>
              <w:overflowPunct/>
              <w:spacing w:before="60" w:after="60" w:line="226" w:lineRule="exact"/>
              <w:jc w:val="left"/>
              <w:textAlignment w:val="auto"/>
              <w:rPr>
                <w:color w:val="19161B"/>
                <w:lang w:val="it-IT"/>
              </w:rPr>
            </w:pPr>
            <w:r w:rsidRPr="00237EFA">
              <w:rPr>
                <w:rFonts w:cs="EUAlbertina"/>
                <w:bCs/>
                <w:color w:val="19161B"/>
                <w:lang w:val="it-IT" w:eastAsia="it-IT"/>
              </w:rPr>
              <w:t xml:space="preserve">Un’entità deve presentare informazioni integrative sulle valutazioni e le assunzioni significative che ha adottato (e sui cambiamenti apportati a tali valutazioni e assunzioni) per stabilire: </w:t>
            </w:r>
          </w:p>
        </w:tc>
        <w:tc>
          <w:tcPr>
            <w:tcW w:w="575" w:type="dxa"/>
            <w:tcMar>
              <w:left w:w="85" w:type="dxa"/>
              <w:right w:w="85"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BF03D1" w:rsidRDefault="00D26424" w:rsidP="004300E2">
            <w:pPr>
              <w:pStyle w:val="IAS"/>
              <w:spacing w:before="20" w:line="220" w:lineRule="exact"/>
              <w:rPr>
                <w:sz w:val="12"/>
                <w:lang w:val="it-IT"/>
              </w:rPr>
            </w:pPr>
          </w:p>
        </w:tc>
        <w:tc>
          <w:tcPr>
            <w:tcW w:w="7079" w:type="dxa"/>
            <w:tcMar>
              <w:left w:w="108" w:type="dxa"/>
            </w:tcMar>
          </w:tcPr>
          <w:p w:rsidR="00D26424" w:rsidRPr="00BF03D1" w:rsidRDefault="00D26424" w:rsidP="00003D7F">
            <w:pPr>
              <w:overflowPunct/>
              <w:spacing w:line="226" w:lineRule="exact"/>
              <w:ind w:left="318" w:hanging="318"/>
              <w:textAlignment w:val="auto"/>
              <w:rPr>
                <w:color w:val="19161B"/>
                <w:lang w:val="it-IT"/>
              </w:rPr>
            </w:pPr>
            <w:r w:rsidRPr="00237EFA">
              <w:rPr>
                <w:rFonts w:cs="EUAlbertina"/>
                <w:color w:val="19161B"/>
                <w:lang w:val="it-IT" w:eastAsia="it-IT"/>
              </w:rPr>
              <w:t xml:space="preserve">(a) </w:t>
            </w:r>
            <w:r w:rsidRPr="00237EFA">
              <w:rPr>
                <w:rFonts w:cs="EUAlbertina"/>
                <w:color w:val="19161B"/>
                <w:lang w:val="it-IT" w:eastAsia="it-IT"/>
              </w:rPr>
              <w:tab/>
            </w:r>
            <w:r w:rsidRPr="00237EFA">
              <w:rPr>
                <w:rFonts w:cs="EUAlbertina"/>
                <w:bCs/>
                <w:color w:val="19161B"/>
                <w:lang w:val="it-IT" w:eastAsia="it-IT"/>
              </w:rPr>
              <w:t xml:space="preserve">che detiene il controllo di un’altra entità, ossia una partecipata secondo quanto descritto ai paragrafi 5 e 6 dell’IFRS 10 </w:t>
            </w:r>
            <w:r w:rsidRPr="00237EFA">
              <w:rPr>
                <w:rFonts w:cs="EUAlbertina"/>
                <w:bCs/>
                <w:i/>
                <w:iCs/>
                <w:color w:val="19161B"/>
                <w:lang w:val="it-IT" w:eastAsia="it-IT"/>
              </w:rPr>
              <w:t>Bilancio consolidato</w:t>
            </w:r>
            <w:r w:rsidRPr="00237EFA">
              <w:rPr>
                <w:rFonts w:cs="EUAlbertina"/>
                <w:bCs/>
                <w:color w:val="19161B"/>
                <w:lang w:val="it-IT" w:eastAsia="it-IT"/>
              </w:rPr>
              <w:t xml:space="preserve">;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BF03D1" w:rsidRDefault="00D26424" w:rsidP="004300E2">
            <w:pPr>
              <w:pStyle w:val="IAS"/>
              <w:spacing w:before="20" w:line="220" w:lineRule="exact"/>
              <w:rPr>
                <w:sz w:val="12"/>
                <w:lang w:val="it-IT"/>
              </w:rPr>
            </w:pPr>
          </w:p>
        </w:tc>
        <w:tc>
          <w:tcPr>
            <w:tcW w:w="7079" w:type="dxa"/>
            <w:tcMar>
              <w:left w:w="108" w:type="dxa"/>
            </w:tcMar>
          </w:tcPr>
          <w:p w:rsidR="00D26424" w:rsidRPr="00BF03D1" w:rsidRDefault="00D26424" w:rsidP="00003D7F">
            <w:pPr>
              <w:overflowPunct/>
              <w:spacing w:line="226" w:lineRule="exact"/>
              <w:ind w:left="318" w:hanging="318"/>
              <w:textAlignment w:val="auto"/>
              <w:rPr>
                <w:color w:val="19161B"/>
                <w:lang w:val="it-IT"/>
              </w:rPr>
            </w:pPr>
            <w:r w:rsidRPr="00237EFA">
              <w:rPr>
                <w:rFonts w:cs="EUAlbertina"/>
                <w:color w:val="19161B"/>
                <w:lang w:val="it-IT" w:eastAsia="it-IT"/>
              </w:rPr>
              <w:t xml:space="preserve">(b) </w:t>
            </w:r>
            <w:r w:rsidRPr="00237EFA">
              <w:rPr>
                <w:rFonts w:cs="EUAlbertina"/>
                <w:color w:val="19161B"/>
                <w:lang w:val="it-IT" w:eastAsia="it-IT"/>
              </w:rPr>
              <w:tab/>
            </w:r>
            <w:r w:rsidRPr="00237EFA">
              <w:rPr>
                <w:rFonts w:cs="EUAlbertina"/>
                <w:bCs/>
                <w:color w:val="19161B"/>
                <w:lang w:val="it-IT" w:eastAsia="it-IT"/>
              </w:rPr>
              <w:t>che detiene il</w:t>
            </w:r>
            <w:r w:rsidRPr="00BF03D1">
              <w:rPr>
                <w:color w:val="19161B"/>
                <w:lang w:val="it-IT"/>
              </w:rPr>
              <w:t xml:space="preserve"> controllo congiunto </w:t>
            </w:r>
            <w:r w:rsidRPr="00237EFA">
              <w:rPr>
                <w:rFonts w:cs="EUAlbertina"/>
                <w:bCs/>
                <w:color w:val="19161B"/>
                <w:lang w:val="it-IT" w:eastAsia="it-IT"/>
              </w:rPr>
              <w:t xml:space="preserve">di un accordo o che esercita un’influenza notevole su un’altra entità; </w:t>
            </w:r>
            <w:r w:rsidRPr="00BF03D1">
              <w:rPr>
                <w:color w:val="19161B"/>
                <w:lang w:val="it-IT"/>
              </w:rPr>
              <w:t xml:space="preserve">e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BF03D1" w:rsidRDefault="00D26424" w:rsidP="004300E2">
            <w:pPr>
              <w:pStyle w:val="IAS"/>
              <w:spacing w:before="20" w:line="220" w:lineRule="exact"/>
              <w:rPr>
                <w:sz w:val="12"/>
                <w:lang w:val="it-IT"/>
              </w:rPr>
            </w:pPr>
          </w:p>
        </w:tc>
        <w:tc>
          <w:tcPr>
            <w:tcW w:w="7079" w:type="dxa"/>
            <w:tcMar>
              <w:left w:w="108" w:type="dxa"/>
            </w:tcMar>
          </w:tcPr>
          <w:p w:rsidR="00D26424" w:rsidRPr="00BF03D1" w:rsidRDefault="00D26424" w:rsidP="00003D7F">
            <w:pPr>
              <w:overflowPunct/>
              <w:spacing w:line="226" w:lineRule="exact"/>
              <w:ind w:left="318" w:hanging="318"/>
              <w:textAlignment w:val="auto"/>
              <w:rPr>
                <w:color w:val="19161B"/>
                <w:lang w:val="it-IT"/>
              </w:rPr>
            </w:pPr>
            <w:r w:rsidRPr="00F57253">
              <w:rPr>
                <w:rFonts w:cs="EUAlbertina"/>
                <w:color w:val="19161B"/>
                <w:lang w:val="it-IT" w:eastAsia="it-IT"/>
              </w:rPr>
              <w:t xml:space="preserve">(c) </w:t>
            </w:r>
            <w:r w:rsidRPr="00F57253">
              <w:rPr>
                <w:rFonts w:cs="EUAlbertina"/>
                <w:color w:val="19161B"/>
                <w:lang w:val="it-IT" w:eastAsia="it-IT"/>
              </w:rPr>
              <w:tab/>
            </w:r>
            <w:r w:rsidRPr="008E212B">
              <w:rPr>
                <w:rFonts w:cs="EUAlbertina"/>
                <w:color w:val="19161B"/>
                <w:lang w:val="it-IT" w:eastAsia="it-IT"/>
              </w:rPr>
              <w:t xml:space="preserve">il tipo di accordo a controllo congiunto (ossia attività a controllo congiunto o </w:t>
            </w:r>
            <w:r w:rsidRPr="000F56BA">
              <w:rPr>
                <w:rFonts w:cs="EUAlbertina"/>
                <w:i/>
                <w:color w:val="19161B"/>
                <w:lang w:val="it-IT" w:eastAsia="it-IT"/>
              </w:rPr>
              <w:t>joint venture</w:t>
            </w:r>
            <w:r w:rsidRPr="008E212B">
              <w:rPr>
                <w:rFonts w:cs="EUAlbertina"/>
                <w:color w:val="19161B"/>
                <w:lang w:val="it-IT" w:eastAsia="it-IT"/>
              </w:rPr>
              <w:t>) allorché l'accordo sia stato strutturato attraverso un veicolo separato</w:t>
            </w:r>
            <w:r>
              <w:rPr>
                <w:rFonts w:cs="EUAlbertina"/>
                <w:color w:val="19161B"/>
                <w:lang w:val="it-IT" w:eastAsia="it-IT"/>
              </w:rPr>
              <w:t>.</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pStyle w:val="Numeroelenco"/>
              <w:ind w:left="0" w:firstLine="57"/>
              <w:rPr>
                <w:lang w:val="it-IT"/>
              </w:rPr>
            </w:pPr>
          </w:p>
        </w:tc>
        <w:tc>
          <w:tcPr>
            <w:tcW w:w="851" w:type="dxa"/>
            <w:tcMar>
              <w:left w:w="108" w:type="dxa"/>
              <w:right w:w="0" w:type="dxa"/>
            </w:tcMar>
          </w:tcPr>
          <w:p w:rsidR="00D26424" w:rsidRPr="00BF03D1" w:rsidRDefault="00D26424" w:rsidP="004300E2">
            <w:pPr>
              <w:pStyle w:val="IAS"/>
              <w:spacing w:before="20" w:line="220" w:lineRule="exact"/>
              <w:rPr>
                <w:sz w:val="12"/>
                <w:lang w:val="it-IT"/>
              </w:rPr>
            </w:pPr>
            <w:r w:rsidRPr="00237EFA">
              <w:rPr>
                <w:sz w:val="12"/>
                <w:szCs w:val="12"/>
                <w:lang w:val="it-IT"/>
              </w:rPr>
              <w:t>IFRS 12.8</w:t>
            </w:r>
          </w:p>
        </w:tc>
        <w:tc>
          <w:tcPr>
            <w:tcW w:w="7079" w:type="dxa"/>
            <w:tcMar>
              <w:left w:w="108" w:type="dxa"/>
            </w:tcMar>
          </w:tcPr>
          <w:p w:rsidR="00D26424" w:rsidRPr="00BF03D1" w:rsidRDefault="00D26424" w:rsidP="00003D7F">
            <w:pPr>
              <w:overflowPunct/>
              <w:spacing w:line="226" w:lineRule="exact"/>
              <w:textAlignment w:val="auto"/>
              <w:rPr>
                <w:color w:val="19161B"/>
                <w:lang w:val="it-IT"/>
              </w:rPr>
            </w:pPr>
            <w:r w:rsidRPr="00237EFA">
              <w:rPr>
                <w:rFonts w:cs="EUAlbertina"/>
                <w:color w:val="19161B"/>
                <w:lang w:val="it-IT" w:eastAsia="it-IT"/>
              </w:rPr>
              <w:t>Le valutazioni e le assunzioni significative indicate in conformità al paragrafo 7 (vedi punto precedente</w:t>
            </w:r>
            <w:r>
              <w:rPr>
                <w:rFonts w:cs="EUAlbertina"/>
                <w:color w:val="19161B"/>
                <w:lang w:val="it-IT" w:eastAsia="it-IT"/>
              </w:rPr>
              <w:t xml:space="preserve"> 147</w:t>
            </w:r>
            <w:r w:rsidRPr="00237EFA">
              <w:rPr>
                <w:rFonts w:cs="EUAlbertina"/>
                <w:color w:val="19161B"/>
                <w:lang w:val="it-IT" w:eastAsia="it-IT"/>
              </w:rPr>
              <w:t xml:space="preserve">) includono quelle adottate dall’entità qualora i cambiamenti nei fatti e nelle circostanze sono tali che la valutazione in merito alla detenzione di controllo, di controllo congiunto o di influenza notevole, cambia nel corso dell’esercizio.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BF03D1" w:rsidRDefault="004300E2" w:rsidP="004300E2">
            <w:pPr>
              <w:pStyle w:val="IAS"/>
              <w:spacing w:before="20" w:line="220" w:lineRule="exact"/>
              <w:rPr>
                <w:sz w:val="12"/>
                <w:lang w:val="it-IT"/>
              </w:rPr>
            </w:pPr>
            <w:r w:rsidRPr="00237EFA">
              <w:rPr>
                <w:sz w:val="12"/>
                <w:szCs w:val="12"/>
                <w:lang w:val="it-IT"/>
              </w:rPr>
              <w:t>IFRS 12.9</w:t>
            </w:r>
          </w:p>
        </w:tc>
        <w:tc>
          <w:tcPr>
            <w:tcW w:w="7079" w:type="dxa"/>
            <w:tcMar>
              <w:left w:w="108" w:type="dxa"/>
            </w:tcMar>
          </w:tcPr>
          <w:p w:rsidR="004300E2" w:rsidRPr="00BF03D1" w:rsidRDefault="004300E2" w:rsidP="00003D7F">
            <w:pPr>
              <w:overflowPunct/>
              <w:spacing w:before="60" w:after="60" w:line="226" w:lineRule="exact"/>
              <w:textAlignment w:val="auto"/>
              <w:rPr>
                <w:color w:val="19161B"/>
                <w:lang w:val="it-IT"/>
              </w:rPr>
            </w:pPr>
            <w:r w:rsidRPr="00237EFA">
              <w:rPr>
                <w:rFonts w:cs="EUAlbertina"/>
                <w:color w:val="19161B"/>
                <w:lang w:val="it-IT" w:eastAsia="it-IT"/>
              </w:rPr>
              <w:t xml:space="preserve">Per uniformarsi alle disposizioni di cui al paragrafo 7 (vedi punto </w:t>
            </w:r>
            <w:r>
              <w:rPr>
                <w:rFonts w:cs="EUAlbertina"/>
                <w:color w:val="19161B"/>
                <w:lang w:val="it-IT" w:eastAsia="it-IT"/>
              </w:rPr>
              <w:t>14</w:t>
            </w:r>
            <w:r w:rsidR="00D20202">
              <w:rPr>
                <w:rFonts w:cs="EUAlbertina"/>
                <w:color w:val="19161B"/>
                <w:lang w:val="it-IT" w:eastAsia="it-IT"/>
              </w:rPr>
              <w:t>7</w:t>
            </w:r>
            <w:r w:rsidRPr="00237EFA">
              <w:rPr>
                <w:rFonts w:cs="EUAlbertina"/>
                <w:color w:val="19161B"/>
                <w:lang w:val="it-IT" w:eastAsia="it-IT"/>
              </w:rPr>
              <w:t xml:space="preserve">), un’entità deve indicare, per esempio, le valutazioni e le assunzioni significative adottate nel determinare che: </w:t>
            </w:r>
          </w:p>
        </w:tc>
        <w:tc>
          <w:tcPr>
            <w:tcW w:w="575" w:type="dxa"/>
            <w:tcMar>
              <w:left w:w="85" w:type="dxa"/>
              <w:right w:w="85" w:type="dxa"/>
            </w:tcMar>
            <w:vAlign w:val="center"/>
          </w:tcPr>
          <w:p w:rsidR="004300E2" w:rsidRPr="00422617" w:rsidRDefault="004300E2" w:rsidP="004300E2">
            <w:pPr>
              <w:jc w:val="center"/>
              <w:rPr>
                <w:lang w:val="it-IT"/>
              </w:rPr>
            </w:pPr>
          </w:p>
        </w:tc>
        <w:tc>
          <w:tcPr>
            <w:tcW w:w="567" w:type="dxa"/>
            <w:tcMar>
              <w:left w:w="108" w:type="dxa"/>
            </w:tcMar>
            <w:vAlign w:val="center"/>
          </w:tcPr>
          <w:p w:rsidR="004300E2" w:rsidRPr="00422617" w:rsidRDefault="004300E2" w:rsidP="004300E2">
            <w:pPr>
              <w:jc w:val="center"/>
              <w:rPr>
                <w:lang w:val="it-IT"/>
              </w:rPr>
            </w:pPr>
          </w:p>
        </w:tc>
        <w:tc>
          <w:tcPr>
            <w:tcW w:w="567" w:type="dxa"/>
            <w:tcMar>
              <w:left w:w="108" w:type="dxa"/>
            </w:tcMar>
            <w:vAlign w:val="center"/>
          </w:tcPr>
          <w:p w:rsidR="004300E2" w:rsidRPr="00422617" w:rsidRDefault="004300E2" w:rsidP="004300E2">
            <w:pPr>
              <w:jc w:val="center"/>
              <w:rPr>
                <w:lang w:val="it-IT"/>
              </w:rPr>
            </w:pP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BF03D1" w:rsidRDefault="00D26424" w:rsidP="00003D7F">
            <w:pPr>
              <w:overflowPunct/>
              <w:spacing w:line="226" w:lineRule="exact"/>
              <w:ind w:left="318" w:hanging="318"/>
              <w:jc w:val="left"/>
              <w:textAlignment w:val="auto"/>
              <w:rPr>
                <w:color w:val="19161B"/>
                <w:lang w:val="it-IT"/>
              </w:rPr>
            </w:pPr>
            <w:r w:rsidRPr="00237EFA">
              <w:rPr>
                <w:rFonts w:cs="EUAlbertina"/>
                <w:color w:val="19161B"/>
                <w:lang w:val="it-IT" w:eastAsia="it-IT"/>
              </w:rPr>
              <w:t xml:space="preserve">(a) </w:t>
            </w:r>
            <w:r w:rsidRPr="00237EFA">
              <w:rPr>
                <w:rFonts w:cs="EUAlbertina"/>
                <w:color w:val="19161B"/>
                <w:lang w:val="it-IT" w:eastAsia="it-IT"/>
              </w:rPr>
              <w:tab/>
              <w:t xml:space="preserve">non controlla un’altra entità sebbene detenga oltre la metà dei diritti di voto;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BF03D1" w:rsidRDefault="00D26424" w:rsidP="00003D7F">
            <w:pPr>
              <w:overflowPunct/>
              <w:spacing w:line="226" w:lineRule="exact"/>
              <w:ind w:left="318" w:hanging="318"/>
              <w:jc w:val="left"/>
              <w:textAlignment w:val="auto"/>
              <w:rPr>
                <w:color w:val="19161B"/>
                <w:lang w:val="it-IT"/>
              </w:rPr>
            </w:pPr>
            <w:r w:rsidRPr="00237EFA">
              <w:rPr>
                <w:rFonts w:cs="EUAlbertina"/>
                <w:color w:val="19161B"/>
                <w:lang w:val="it-IT" w:eastAsia="it-IT"/>
              </w:rPr>
              <w:t xml:space="preserve">(b) </w:t>
            </w:r>
            <w:r w:rsidRPr="00237EFA">
              <w:rPr>
                <w:rFonts w:cs="EUAlbertina"/>
                <w:color w:val="19161B"/>
                <w:lang w:val="it-IT" w:eastAsia="it-IT"/>
              </w:rPr>
              <w:tab/>
              <w:t xml:space="preserve">controlla un’altra entità sebbene detenga meno della metà dei diritti di voto;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BF03D1" w:rsidRDefault="00D26424" w:rsidP="00003D7F">
            <w:pPr>
              <w:overflowPunct/>
              <w:spacing w:line="226" w:lineRule="exact"/>
              <w:ind w:left="318" w:hanging="318"/>
              <w:jc w:val="left"/>
              <w:textAlignment w:val="auto"/>
              <w:rPr>
                <w:color w:val="19161B"/>
                <w:lang w:val="it-IT"/>
              </w:rPr>
            </w:pPr>
            <w:r w:rsidRPr="00237EFA">
              <w:rPr>
                <w:rFonts w:cs="EUAlbertina"/>
                <w:color w:val="19161B"/>
                <w:lang w:val="it-IT" w:eastAsia="it-IT"/>
              </w:rPr>
              <w:t xml:space="preserve">(c) </w:t>
            </w:r>
            <w:r w:rsidRPr="00237EFA">
              <w:rPr>
                <w:rFonts w:cs="EUAlbertina"/>
                <w:color w:val="19161B"/>
                <w:lang w:val="it-IT" w:eastAsia="it-IT"/>
              </w:rPr>
              <w:tab/>
              <w:t xml:space="preserve">è un agente o un “principal” (vedere paragrafi 58–72 dell’IFRS 10);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237EFA" w:rsidRDefault="00D26424" w:rsidP="00003D7F">
            <w:pPr>
              <w:overflowPunct/>
              <w:spacing w:line="226" w:lineRule="exact"/>
              <w:ind w:left="318" w:hanging="318"/>
              <w:jc w:val="left"/>
              <w:textAlignment w:val="auto"/>
              <w:rPr>
                <w:rFonts w:cs="EUAlbertina"/>
                <w:color w:val="19161B"/>
                <w:lang w:val="it-IT" w:eastAsia="it-IT"/>
              </w:rPr>
            </w:pPr>
            <w:r w:rsidRPr="00237EFA">
              <w:rPr>
                <w:rFonts w:cs="EUAlbertina"/>
                <w:color w:val="19161B"/>
                <w:lang w:val="it-IT" w:eastAsia="it-IT"/>
              </w:rPr>
              <w:t xml:space="preserve">(d) </w:t>
            </w:r>
            <w:r w:rsidRPr="00237EFA">
              <w:rPr>
                <w:rFonts w:cs="EUAlbertina"/>
                <w:color w:val="19161B"/>
                <w:lang w:val="it-IT" w:eastAsia="it-IT"/>
              </w:rPr>
              <w:tab/>
              <w:t xml:space="preserve">non esercita un’influenza notevole, sebbene detenga il 20% o più dei diritti di voto di un’altra entità;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B9517B" w:rsidRDefault="00D26424" w:rsidP="00003D7F">
            <w:pPr>
              <w:overflowPunct/>
              <w:spacing w:line="226" w:lineRule="exact"/>
              <w:ind w:left="318" w:hanging="318"/>
              <w:textAlignment w:val="auto"/>
              <w:rPr>
                <w:rFonts w:cs="EUAlbertina"/>
                <w:color w:val="19161B"/>
                <w:lang w:val="it-IT" w:eastAsia="it-IT"/>
              </w:rPr>
            </w:pPr>
            <w:r w:rsidRPr="00B9517B">
              <w:rPr>
                <w:rFonts w:cs="EUAlbertina"/>
                <w:color w:val="19161B"/>
                <w:lang w:val="it-IT" w:eastAsia="it-IT"/>
              </w:rPr>
              <w:t xml:space="preserve">(e) </w:t>
            </w:r>
            <w:r w:rsidRPr="00B9517B">
              <w:rPr>
                <w:rFonts w:cs="EUAlbertina"/>
                <w:color w:val="19161B"/>
                <w:lang w:val="it-IT" w:eastAsia="it-IT"/>
              </w:rPr>
              <w:tab/>
              <w:t>esercita un’influenza notevole sebbene detenga meno del 20% dei diritti di voto di un’altra entità.</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422617" w:rsidTr="00940A6F">
        <w:trPr>
          <w:cantSplit/>
        </w:trPr>
        <w:tc>
          <w:tcPr>
            <w:tcW w:w="567" w:type="dxa"/>
            <w:tcMar>
              <w:left w:w="108" w:type="dxa"/>
            </w:tcMar>
          </w:tcPr>
          <w:p w:rsidR="004300E2" w:rsidRPr="008A0F36" w:rsidRDefault="004300E2" w:rsidP="00003D7F">
            <w:pPr>
              <w:pageBreakBefore/>
              <w:rPr>
                <w:lang w:val="it-IT"/>
              </w:rPr>
            </w:pPr>
          </w:p>
        </w:tc>
        <w:tc>
          <w:tcPr>
            <w:tcW w:w="851" w:type="dxa"/>
            <w:tcMar>
              <w:left w:w="108" w:type="dxa"/>
              <w:right w:w="0" w:type="dxa"/>
            </w:tcMar>
          </w:tcPr>
          <w:p w:rsidR="004300E2" w:rsidRPr="008A0F36" w:rsidRDefault="004300E2" w:rsidP="00003D7F">
            <w:pPr>
              <w:pageBreakBefore/>
              <w:rPr>
                <w:lang w:val="it-IT"/>
              </w:rPr>
            </w:pPr>
          </w:p>
        </w:tc>
        <w:tc>
          <w:tcPr>
            <w:tcW w:w="7079" w:type="dxa"/>
            <w:tcMar>
              <w:left w:w="108" w:type="dxa"/>
            </w:tcMar>
          </w:tcPr>
          <w:p w:rsidR="004300E2" w:rsidRPr="005F3F22" w:rsidRDefault="004300E2" w:rsidP="00003D7F">
            <w:pPr>
              <w:pageBreakBefore/>
              <w:overflowPunct/>
              <w:spacing w:before="60" w:after="60" w:line="240" w:lineRule="auto"/>
              <w:jc w:val="left"/>
              <w:textAlignment w:val="auto"/>
              <w:rPr>
                <w:rFonts w:cs="EUAlbertina"/>
                <w:color w:val="19161B"/>
                <w:lang w:val="it-IT" w:eastAsia="it-IT"/>
              </w:rPr>
            </w:pPr>
            <w:r w:rsidRPr="00237EFA">
              <w:rPr>
                <w:rFonts w:cs="EUAlbertina"/>
                <w:b/>
                <w:bCs/>
                <w:color w:val="19161B"/>
              </w:rPr>
              <w:t>Partecipazioni in società controllate</w:t>
            </w:r>
          </w:p>
        </w:tc>
        <w:tc>
          <w:tcPr>
            <w:tcW w:w="575" w:type="dxa"/>
            <w:tcMar>
              <w:left w:w="85" w:type="dxa"/>
              <w:right w:w="85" w:type="dxa"/>
            </w:tcMar>
            <w:vAlign w:val="center"/>
          </w:tcPr>
          <w:p w:rsidR="004300E2" w:rsidRPr="00422617" w:rsidRDefault="004300E2" w:rsidP="00003D7F">
            <w:pPr>
              <w:pageBreakBefore/>
              <w:jc w:val="center"/>
              <w:rPr>
                <w:lang w:val="it-IT"/>
              </w:rPr>
            </w:pPr>
          </w:p>
        </w:tc>
        <w:tc>
          <w:tcPr>
            <w:tcW w:w="567" w:type="dxa"/>
            <w:tcMar>
              <w:left w:w="108" w:type="dxa"/>
            </w:tcMar>
            <w:vAlign w:val="center"/>
          </w:tcPr>
          <w:p w:rsidR="004300E2" w:rsidRPr="00422617" w:rsidRDefault="004300E2" w:rsidP="00003D7F">
            <w:pPr>
              <w:pageBreakBefore/>
              <w:jc w:val="center"/>
              <w:rPr>
                <w:lang w:val="it-IT"/>
              </w:rPr>
            </w:pPr>
          </w:p>
        </w:tc>
        <w:tc>
          <w:tcPr>
            <w:tcW w:w="567" w:type="dxa"/>
            <w:tcMar>
              <w:left w:w="108" w:type="dxa"/>
            </w:tcMar>
            <w:vAlign w:val="center"/>
          </w:tcPr>
          <w:p w:rsidR="004300E2" w:rsidRPr="00422617" w:rsidRDefault="004300E2" w:rsidP="00003D7F">
            <w:pPr>
              <w:pageBreakBefore/>
              <w:jc w:val="center"/>
              <w:rPr>
                <w:lang w:val="it-IT"/>
              </w:rPr>
            </w:pP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237EFA" w:rsidRDefault="004300E2" w:rsidP="004300E2">
            <w:pPr>
              <w:pStyle w:val="IAS"/>
              <w:spacing w:before="20" w:line="220" w:lineRule="exact"/>
              <w:rPr>
                <w:sz w:val="12"/>
                <w:szCs w:val="12"/>
                <w:lang w:val="it-IT"/>
              </w:rPr>
            </w:pPr>
            <w:r w:rsidRPr="00237EFA">
              <w:rPr>
                <w:sz w:val="12"/>
                <w:szCs w:val="12"/>
                <w:lang w:val="it-IT"/>
              </w:rPr>
              <w:t>IFRS 12.10</w:t>
            </w:r>
          </w:p>
        </w:tc>
        <w:tc>
          <w:tcPr>
            <w:tcW w:w="7079" w:type="dxa"/>
            <w:tcMar>
              <w:left w:w="108" w:type="dxa"/>
            </w:tcMar>
          </w:tcPr>
          <w:p w:rsidR="004300E2" w:rsidRPr="000F1ED7" w:rsidRDefault="004300E2" w:rsidP="004300E2">
            <w:pPr>
              <w:overflowPunct/>
              <w:spacing w:before="60" w:after="60" w:line="240" w:lineRule="auto"/>
              <w:jc w:val="left"/>
              <w:textAlignment w:val="auto"/>
              <w:rPr>
                <w:rFonts w:cs="EUAlbertina"/>
                <w:color w:val="19161B"/>
                <w:lang w:val="it-IT" w:eastAsia="it-IT"/>
              </w:rPr>
            </w:pPr>
            <w:r w:rsidRPr="00237EFA">
              <w:rPr>
                <w:rFonts w:cs="EUAlbertina"/>
                <w:bCs/>
                <w:color w:val="19161B"/>
                <w:lang w:val="it-IT" w:eastAsia="it-IT"/>
              </w:rPr>
              <w:t xml:space="preserve">L’entità deve fornire un’informativa che consenta agli utilizzatori del bilancio consolidato: </w:t>
            </w:r>
          </w:p>
        </w:tc>
        <w:tc>
          <w:tcPr>
            <w:tcW w:w="575" w:type="dxa"/>
            <w:tcMar>
              <w:left w:w="85" w:type="dxa"/>
              <w:right w:w="85" w:type="dxa"/>
            </w:tcMar>
            <w:vAlign w:val="center"/>
          </w:tcPr>
          <w:p w:rsidR="004300E2" w:rsidRPr="00422617" w:rsidRDefault="004300E2" w:rsidP="004300E2">
            <w:pPr>
              <w:jc w:val="center"/>
              <w:rPr>
                <w:lang w:val="it-IT"/>
              </w:rPr>
            </w:pPr>
          </w:p>
        </w:tc>
        <w:tc>
          <w:tcPr>
            <w:tcW w:w="567" w:type="dxa"/>
            <w:tcMar>
              <w:left w:w="108" w:type="dxa"/>
            </w:tcMar>
            <w:vAlign w:val="center"/>
          </w:tcPr>
          <w:p w:rsidR="004300E2" w:rsidRPr="00422617" w:rsidRDefault="004300E2" w:rsidP="004300E2">
            <w:pPr>
              <w:jc w:val="center"/>
              <w:rPr>
                <w:lang w:val="it-IT"/>
              </w:rPr>
            </w:pPr>
          </w:p>
        </w:tc>
        <w:tc>
          <w:tcPr>
            <w:tcW w:w="567" w:type="dxa"/>
            <w:tcMar>
              <w:left w:w="108" w:type="dxa"/>
            </w:tcMar>
            <w:vAlign w:val="center"/>
          </w:tcPr>
          <w:p w:rsidR="004300E2" w:rsidRPr="00422617" w:rsidRDefault="004300E2" w:rsidP="004300E2">
            <w:pPr>
              <w:jc w:val="center"/>
              <w:rPr>
                <w:lang w:val="it-IT"/>
              </w:rPr>
            </w:pPr>
          </w:p>
        </w:tc>
      </w:tr>
      <w:tr w:rsidR="00D26424" w:rsidRPr="00422617"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237EFA" w:rsidRDefault="00D26424" w:rsidP="004300E2">
            <w:pPr>
              <w:overflowPunct/>
              <w:spacing w:before="60" w:line="240" w:lineRule="auto"/>
              <w:ind w:left="316" w:hanging="316"/>
              <w:jc w:val="left"/>
              <w:textAlignment w:val="auto"/>
              <w:rPr>
                <w:rFonts w:cs="EUAlbertina"/>
                <w:bCs/>
                <w:color w:val="19161B"/>
                <w:lang w:val="it-IT" w:eastAsia="it-IT"/>
              </w:rPr>
            </w:pPr>
            <w:r w:rsidRPr="00237EFA">
              <w:rPr>
                <w:rFonts w:cs="EUAlbertina"/>
                <w:color w:val="19161B"/>
                <w:lang w:val="it-IT" w:eastAsia="it-IT"/>
              </w:rPr>
              <w:t xml:space="preserve">(a) </w:t>
            </w:r>
            <w:r>
              <w:rPr>
                <w:rFonts w:cs="EUAlbertina"/>
                <w:color w:val="19161B"/>
                <w:lang w:val="it-IT" w:eastAsia="it-IT"/>
              </w:rPr>
              <w:tab/>
            </w:r>
            <w:r w:rsidRPr="00F67788">
              <w:rPr>
                <w:rFonts w:cs="EUAlbertina"/>
                <w:color w:val="19161B"/>
                <w:lang w:val="it-IT" w:eastAsia="it-IT"/>
              </w:rPr>
              <w:t>di comprendere:</w:t>
            </w:r>
          </w:p>
        </w:tc>
        <w:tc>
          <w:tcPr>
            <w:tcW w:w="575" w:type="dxa"/>
            <w:tcMar>
              <w:left w:w="85" w:type="dxa"/>
              <w:right w:w="85" w:type="dxa"/>
            </w:tcMar>
            <w:vAlign w:val="center"/>
          </w:tcPr>
          <w:p w:rsidR="00D26424" w:rsidRPr="00422617"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422617"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422617"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F67788" w:rsidRDefault="00D26424" w:rsidP="004300E2">
            <w:pPr>
              <w:overflowPunct/>
              <w:spacing w:after="0" w:line="240" w:lineRule="auto"/>
              <w:ind w:left="602" w:hanging="284"/>
              <w:jc w:val="left"/>
              <w:textAlignment w:val="auto"/>
              <w:rPr>
                <w:rFonts w:cs="EUAlbertina"/>
                <w:color w:val="19161B"/>
                <w:lang w:val="it-IT" w:eastAsia="it-IT"/>
              </w:rPr>
            </w:pPr>
            <w:r w:rsidRPr="00237EFA">
              <w:rPr>
                <w:rFonts w:cs="EUAlbertina"/>
                <w:color w:val="19161B"/>
                <w:lang w:val="it-IT" w:eastAsia="it-IT"/>
              </w:rPr>
              <w:t xml:space="preserve">(i) </w:t>
            </w:r>
            <w:r w:rsidRPr="00237EFA">
              <w:rPr>
                <w:rFonts w:cs="EUAlbertina"/>
                <w:color w:val="19161B"/>
                <w:lang w:val="it-IT" w:eastAsia="it-IT"/>
              </w:rPr>
              <w:tab/>
            </w:r>
            <w:r w:rsidRPr="00237EFA">
              <w:rPr>
                <w:rFonts w:cs="EUAlbertina"/>
                <w:bCs/>
                <w:color w:val="19161B"/>
                <w:lang w:val="it-IT" w:eastAsia="it-IT"/>
              </w:rPr>
              <w:t>la c</w:t>
            </w:r>
            <w:r>
              <w:rPr>
                <w:rFonts w:cs="EUAlbertina"/>
                <w:bCs/>
                <w:color w:val="19161B"/>
                <w:lang w:val="it-IT" w:eastAsia="it-IT"/>
              </w:rPr>
              <w:t xml:space="preserve">omposizione del gruppo; e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F67788" w:rsidRDefault="00D26424" w:rsidP="00AA1560">
            <w:pPr>
              <w:overflowPunct/>
              <w:ind w:left="602" w:hanging="284"/>
              <w:textAlignment w:val="auto"/>
              <w:rPr>
                <w:rFonts w:cs="EUAlbertina"/>
                <w:color w:val="19161B"/>
                <w:lang w:val="it-IT" w:eastAsia="it-IT"/>
              </w:rPr>
            </w:pPr>
            <w:r w:rsidRPr="00237EFA">
              <w:rPr>
                <w:rFonts w:cs="EUAlbertina"/>
                <w:color w:val="19161B"/>
                <w:lang w:val="it-IT" w:eastAsia="it-IT"/>
              </w:rPr>
              <w:t xml:space="preserve">(ii) </w:t>
            </w:r>
            <w:r w:rsidRPr="00237EFA">
              <w:rPr>
                <w:rFonts w:cs="EUAlbertina"/>
                <w:color w:val="19161B"/>
                <w:lang w:val="it-IT" w:eastAsia="it-IT"/>
              </w:rPr>
              <w:tab/>
            </w:r>
            <w:r w:rsidRPr="00237EFA">
              <w:rPr>
                <w:rFonts w:cs="EUAlbertina"/>
                <w:bCs/>
                <w:color w:val="19161B"/>
                <w:lang w:val="it-IT" w:eastAsia="it-IT"/>
              </w:rPr>
              <w:t>l’interessenza delle partecipazioni di minoranza nelle attività e nei flussi fina</w:t>
            </w:r>
            <w:r>
              <w:rPr>
                <w:rFonts w:cs="EUAlbertina"/>
                <w:bCs/>
                <w:color w:val="19161B"/>
                <w:lang w:val="it-IT" w:eastAsia="it-IT"/>
              </w:rPr>
              <w:t>nziari del gruppo (vedi punto 152</w:t>
            </w:r>
            <w:r w:rsidRPr="00237EFA">
              <w:rPr>
                <w:rFonts w:cs="EUAlbertina"/>
                <w:bCs/>
                <w:color w:val="19161B"/>
                <w:lang w:val="it-IT" w:eastAsia="it-IT"/>
              </w:rPr>
              <w:t xml:space="preserve">); e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422617" w:rsidTr="00D26424">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F67788" w:rsidRDefault="00D26424" w:rsidP="004300E2">
            <w:pPr>
              <w:overflowPunct/>
              <w:spacing w:before="60" w:line="240" w:lineRule="auto"/>
              <w:ind w:left="316" w:hanging="316"/>
              <w:jc w:val="left"/>
              <w:textAlignment w:val="auto"/>
              <w:rPr>
                <w:rFonts w:cs="EUAlbertina"/>
                <w:color w:val="19161B"/>
                <w:lang w:val="it-IT" w:eastAsia="it-IT"/>
              </w:rPr>
            </w:pPr>
            <w:r w:rsidRPr="00237EFA">
              <w:rPr>
                <w:rFonts w:cs="EUAlbertina"/>
                <w:color w:val="19161B"/>
                <w:lang w:val="it-IT" w:eastAsia="it-IT"/>
              </w:rPr>
              <w:t xml:space="preserve">(b) </w:t>
            </w:r>
            <w:r>
              <w:rPr>
                <w:rFonts w:cs="EUAlbertina"/>
                <w:color w:val="19161B"/>
                <w:lang w:val="it-IT" w:eastAsia="it-IT"/>
              </w:rPr>
              <w:tab/>
            </w:r>
            <w:r w:rsidRPr="00237EFA">
              <w:rPr>
                <w:rFonts w:cs="EUAlbertina"/>
                <w:bCs/>
                <w:color w:val="19161B"/>
                <w:lang w:val="it-IT" w:eastAsia="it-IT"/>
              </w:rPr>
              <w:t xml:space="preserve">di valutare: </w:t>
            </w:r>
          </w:p>
        </w:tc>
        <w:tc>
          <w:tcPr>
            <w:tcW w:w="575" w:type="dxa"/>
            <w:tcMar>
              <w:left w:w="85" w:type="dxa"/>
              <w:right w:w="85" w:type="dxa"/>
            </w:tcMar>
            <w:vAlign w:val="center"/>
          </w:tcPr>
          <w:p w:rsidR="00D26424" w:rsidRPr="004F5A62"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F67788"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F67788"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F67788" w:rsidRDefault="00D26424" w:rsidP="004300E2">
            <w:pPr>
              <w:overflowPunct/>
              <w:spacing w:before="0" w:after="0" w:line="240" w:lineRule="auto"/>
              <w:ind w:left="602" w:hanging="284"/>
              <w:textAlignment w:val="auto"/>
              <w:rPr>
                <w:rFonts w:cs="EUAlbertina"/>
                <w:color w:val="19161B"/>
                <w:lang w:val="it-IT" w:eastAsia="it-IT"/>
              </w:rPr>
            </w:pPr>
            <w:r w:rsidRPr="00237EFA">
              <w:rPr>
                <w:rFonts w:cs="EUAlbertina"/>
                <w:color w:val="19161B"/>
                <w:lang w:val="it-IT" w:eastAsia="it-IT"/>
              </w:rPr>
              <w:t xml:space="preserve">(i) </w:t>
            </w:r>
            <w:r w:rsidRPr="00237EFA">
              <w:rPr>
                <w:rFonts w:cs="EUAlbertina"/>
                <w:color w:val="19161B"/>
                <w:lang w:val="it-IT" w:eastAsia="it-IT"/>
              </w:rPr>
              <w:tab/>
            </w:r>
            <w:r w:rsidRPr="00237EFA">
              <w:rPr>
                <w:rFonts w:cs="EUAlbertina"/>
                <w:bCs/>
                <w:color w:val="19161B"/>
                <w:lang w:val="it-IT" w:eastAsia="it-IT"/>
              </w:rPr>
              <w:t>la natura e la misura di restrizioni significative alla propria capacità di accedere alle attività, o di utilizzarle, e di estinguere le pass</w:t>
            </w:r>
            <w:r>
              <w:rPr>
                <w:rFonts w:cs="EUAlbertina"/>
                <w:bCs/>
                <w:color w:val="19161B"/>
                <w:lang w:val="it-IT" w:eastAsia="it-IT"/>
              </w:rPr>
              <w:t>ività, del gruppo (vedi punto 154</w:t>
            </w:r>
            <w:r w:rsidRPr="00237EFA">
              <w:rPr>
                <w:rFonts w:cs="EUAlbertina"/>
                <w:bCs/>
                <w:color w:val="19161B"/>
                <w:lang w:val="it-IT" w:eastAsia="it-IT"/>
              </w:rPr>
              <w:t xml:space="preserve">);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237EFA" w:rsidRDefault="00D26424" w:rsidP="004300E2">
            <w:pPr>
              <w:overflowPunct/>
              <w:spacing w:before="0" w:after="0" w:line="240" w:lineRule="auto"/>
              <w:ind w:left="602" w:hanging="284"/>
              <w:textAlignment w:val="auto"/>
              <w:rPr>
                <w:rFonts w:cs="EUAlbertina"/>
                <w:bCs/>
                <w:color w:val="19161B"/>
                <w:lang w:val="it-IT" w:eastAsia="it-IT"/>
              </w:rPr>
            </w:pPr>
            <w:r w:rsidRPr="00237EFA">
              <w:rPr>
                <w:rFonts w:cs="EUAlbertina"/>
                <w:color w:val="19161B"/>
                <w:lang w:val="it-IT" w:eastAsia="it-IT"/>
              </w:rPr>
              <w:t xml:space="preserve">(ii) </w:t>
            </w:r>
            <w:r w:rsidRPr="00237EFA">
              <w:rPr>
                <w:rFonts w:cs="EUAlbertina"/>
                <w:color w:val="19161B"/>
                <w:lang w:val="it-IT" w:eastAsia="it-IT"/>
              </w:rPr>
              <w:tab/>
            </w:r>
            <w:r w:rsidRPr="00F67788">
              <w:rPr>
                <w:rFonts w:cs="EUAlbertina"/>
                <w:color w:val="19161B"/>
                <w:lang w:val="it-IT" w:eastAsia="it-IT"/>
              </w:rPr>
              <w:t>la natura, e le variazioni, dei rischi associati alle proprie interessenze in entità strutturate consolida</w:t>
            </w:r>
            <w:r>
              <w:rPr>
                <w:rFonts w:cs="EUAlbertina"/>
                <w:color w:val="19161B"/>
                <w:lang w:val="it-IT" w:eastAsia="it-IT"/>
              </w:rPr>
              <w:t>te (vedi punti 155-157</w:t>
            </w:r>
            <w:r w:rsidRPr="00F67788">
              <w:rPr>
                <w:rFonts w:cs="EUAlbertina"/>
                <w:color w:val="19161B"/>
                <w:lang w:val="it-IT" w:eastAsia="it-IT"/>
              </w:rPr>
              <w:t xml:space="preserve">); </w:t>
            </w:r>
            <w:r w:rsidRPr="00F67788">
              <w:rPr>
                <w:rFonts w:cs="EUAlbertina"/>
                <w:color w:val="19161B"/>
                <w:lang w:val="it-IT" w:eastAsia="it-IT"/>
              </w:rPr>
              <w:tab/>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F67788" w:rsidRDefault="00D26424" w:rsidP="004300E2">
            <w:pPr>
              <w:overflowPunct/>
              <w:spacing w:before="0" w:after="0" w:line="240" w:lineRule="auto"/>
              <w:ind w:left="602" w:hanging="284"/>
              <w:textAlignment w:val="auto"/>
              <w:rPr>
                <w:rFonts w:cs="EUAlbertina"/>
                <w:color w:val="19161B"/>
                <w:lang w:val="it-IT" w:eastAsia="it-IT"/>
              </w:rPr>
            </w:pPr>
            <w:r w:rsidRPr="00237EFA">
              <w:rPr>
                <w:rFonts w:cs="EUAlbertina"/>
                <w:color w:val="19161B"/>
                <w:lang w:val="it-IT" w:eastAsia="it-IT"/>
              </w:rPr>
              <w:t xml:space="preserve">(iii) </w:t>
            </w:r>
            <w:r w:rsidRPr="00237EFA">
              <w:rPr>
                <w:rFonts w:cs="EUAlbertina"/>
                <w:color w:val="19161B"/>
                <w:lang w:val="it-IT" w:eastAsia="it-IT"/>
              </w:rPr>
              <w:tab/>
            </w:r>
            <w:r w:rsidRPr="00237EFA">
              <w:rPr>
                <w:rFonts w:cs="EUAlbertina"/>
                <w:bCs/>
                <w:color w:val="19161B"/>
                <w:lang w:val="it-IT" w:eastAsia="it-IT"/>
              </w:rPr>
              <w:t>le conseguenze delle variazioni nella sua interessenza partecipativa in una controllata non risultanti in una perd</w:t>
            </w:r>
            <w:r>
              <w:rPr>
                <w:rFonts w:cs="EUAlbertina"/>
                <w:bCs/>
                <w:color w:val="19161B"/>
                <w:lang w:val="it-IT" w:eastAsia="it-IT"/>
              </w:rPr>
              <w:t>ita del controllo (vedi punto 159</w:t>
            </w:r>
            <w:r w:rsidRPr="00237EFA">
              <w:rPr>
                <w:rFonts w:cs="EUAlbertina"/>
                <w:bCs/>
                <w:color w:val="19161B"/>
                <w:lang w:val="it-IT" w:eastAsia="it-IT"/>
              </w:rPr>
              <w:t xml:space="preserve">); e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237EFA" w:rsidRDefault="00D26424" w:rsidP="004300E2">
            <w:pPr>
              <w:overflowPunct/>
              <w:spacing w:before="0" w:after="0" w:line="240" w:lineRule="auto"/>
              <w:ind w:left="602" w:hanging="284"/>
              <w:textAlignment w:val="auto"/>
              <w:rPr>
                <w:rFonts w:cs="EUAlbertina"/>
                <w:bCs/>
                <w:color w:val="19161B"/>
                <w:lang w:val="it-IT" w:eastAsia="it-IT"/>
              </w:rPr>
            </w:pPr>
            <w:r w:rsidRPr="00237EFA">
              <w:rPr>
                <w:rFonts w:cs="EUAlbertina"/>
                <w:color w:val="19161B"/>
                <w:lang w:val="it-IT" w:eastAsia="it-IT"/>
              </w:rPr>
              <w:t xml:space="preserve">(iv) </w:t>
            </w:r>
            <w:r w:rsidRPr="00237EFA">
              <w:rPr>
                <w:rFonts w:cs="EUAlbertina"/>
                <w:color w:val="19161B"/>
                <w:lang w:val="it-IT" w:eastAsia="it-IT"/>
              </w:rPr>
              <w:tab/>
            </w:r>
            <w:r w:rsidRPr="00F67788">
              <w:rPr>
                <w:rFonts w:cs="EUAlbertina"/>
                <w:color w:val="19161B"/>
                <w:lang w:val="it-IT" w:eastAsia="it-IT"/>
              </w:rPr>
              <w:t>le conseguenze derivanti dalla perdita del controllo di una controllata nel cor</w:t>
            </w:r>
            <w:r>
              <w:rPr>
                <w:rFonts w:cs="EUAlbertina"/>
                <w:color w:val="19161B"/>
                <w:lang w:val="it-IT" w:eastAsia="it-IT"/>
              </w:rPr>
              <w:t>so dell'esercizio (vedi punto 160</w:t>
            </w:r>
            <w:r w:rsidRPr="00F67788">
              <w:rPr>
                <w:rFonts w:cs="EUAlbertina"/>
                <w:color w:val="19161B"/>
                <w:lang w:val="it-IT" w:eastAsia="it-IT"/>
              </w:rPr>
              <w:t>).</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rPr>
                <w:lang w:val="it-IT"/>
              </w:rPr>
            </w:pPr>
            <w:r w:rsidRPr="00237EFA">
              <w:rPr>
                <w:sz w:val="12"/>
                <w:szCs w:val="12"/>
                <w:lang w:val="it-IT"/>
              </w:rPr>
              <w:t>IFRS 12.11</w:t>
            </w:r>
          </w:p>
        </w:tc>
        <w:tc>
          <w:tcPr>
            <w:tcW w:w="7079" w:type="dxa"/>
            <w:tcMar>
              <w:left w:w="108" w:type="dxa"/>
            </w:tcMar>
          </w:tcPr>
          <w:p w:rsidR="004300E2" w:rsidRPr="00B87569" w:rsidRDefault="004300E2" w:rsidP="00003D7F">
            <w:pPr>
              <w:overflowPunct/>
              <w:textAlignment w:val="auto"/>
              <w:rPr>
                <w:rFonts w:cs="EUAlbertina"/>
                <w:color w:val="19161B"/>
                <w:lang w:val="it-IT" w:eastAsia="it-IT"/>
              </w:rPr>
            </w:pPr>
            <w:r w:rsidRPr="00237EFA">
              <w:rPr>
                <w:rFonts w:cs="EUAlbertina"/>
                <w:color w:val="19161B"/>
                <w:lang w:val="it-IT" w:eastAsia="it-IT"/>
              </w:rPr>
              <w:t xml:space="preserve">Quando il bilancio di una controllata utilizzato nella preparazione del bilancio consolidato è riferito a una data o a un periodo diverso da quello del bilancio consolidato (vedere paragrafi B92 e B93 dell’IFRS 10), un’entità deve indicare: </w:t>
            </w:r>
          </w:p>
        </w:tc>
        <w:tc>
          <w:tcPr>
            <w:tcW w:w="575" w:type="dxa"/>
            <w:tcMar>
              <w:left w:w="85" w:type="dxa"/>
              <w:right w:w="85" w:type="dxa"/>
            </w:tcMar>
            <w:vAlign w:val="center"/>
          </w:tcPr>
          <w:p w:rsidR="004300E2" w:rsidRPr="004F5A62" w:rsidRDefault="004300E2" w:rsidP="004300E2">
            <w:pPr>
              <w:jc w:val="center"/>
              <w:rPr>
                <w:lang w:val="it-IT"/>
              </w:rPr>
            </w:pPr>
          </w:p>
          <w:p w:rsidR="004300E2" w:rsidRPr="004F5A62" w:rsidRDefault="004300E2" w:rsidP="004300E2">
            <w:pPr>
              <w:jc w:val="center"/>
              <w:rPr>
                <w:lang w:val="it-IT"/>
              </w:rPr>
            </w:pPr>
          </w:p>
          <w:p w:rsidR="004300E2" w:rsidRPr="00A32A16" w:rsidRDefault="004300E2" w:rsidP="004300E2">
            <w:pPr>
              <w:rPr>
                <w:lang w:val="it-IT"/>
              </w:rPr>
            </w:pPr>
          </w:p>
        </w:tc>
        <w:tc>
          <w:tcPr>
            <w:tcW w:w="567" w:type="dxa"/>
            <w:tcMar>
              <w:left w:w="108" w:type="dxa"/>
            </w:tcMar>
            <w:vAlign w:val="center"/>
          </w:tcPr>
          <w:p w:rsidR="004300E2" w:rsidRPr="00B87569" w:rsidRDefault="004300E2" w:rsidP="004300E2">
            <w:pPr>
              <w:jc w:val="center"/>
              <w:rPr>
                <w:lang w:val="it-IT"/>
              </w:rPr>
            </w:pPr>
          </w:p>
          <w:p w:rsidR="004300E2" w:rsidRPr="00B87569" w:rsidRDefault="004300E2" w:rsidP="004300E2">
            <w:pPr>
              <w:jc w:val="center"/>
              <w:rPr>
                <w:lang w:val="it-IT"/>
              </w:rPr>
            </w:pPr>
          </w:p>
          <w:p w:rsidR="004300E2" w:rsidRPr="00A32A16" w:rsidRDefault="004300E2" w:rsidP="004300E2">
            <w:pPr>
              <w:rPr>
                <w:lang w:val="it-IT"/>
              </w:rPr>
            </w:pPr>
          </w:p>
        </w:tc>
        <w:tc>
          <w:tcPr>
            <w:tcW w:w="567" w:type="dxa"/>
            <w:tcMar>
              <w:left w:w="108" w:type="dxa"/>
            </w:tcMar>
            <w:vAlign w:val="center"/>
          </w:tcPr>
          <w:p w:rsidR="004300E2" w:rsidRPr="00B87569" w:rsidRDefault="004300E2" w:rsidP="004300E2">
            <w:pPr>
              <w:jc w:val="center"/>
              <w:rPr>
                <w:lang w:val="it-IT"/>
              </w:rPr>
            </w:pPr>
          </w:p>
          <w:p w:rsidR="004300E2" w:rsidRPr="00B87569" w:rsidRDefault="004300E2" w:rsidP="004300E2">
            <w:pPr>
              <w:jc w:val="center"/>
              <w:rPr>
                <w:lang w:val="it-IT"/>
              </w:rPr>
            </w:pPr>
          </w:p>
          <w:p w:rsidR="004300E2" w:rsidRPr="00A32A16" w:rsidRDefault="004300E2" w:rsidP="004300E2">
            <w:pPr>
              <w:rPr>
                <w:lang w:val="it-IT"/>
              </w:rPr>
            </w:pP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237EFA" w:rsidRDefault="00D26424" w:rsidP="00003D7F">
            <w:pPr>
              <w:overflowPunct/>
              <w:spacing w:before="60" w:after="60"/>
              <w:ind w:left="316" w:hanging="316"/>
              <w:jc w:val="left"/>
              <w:textAlignment w:val="auto"/>
              <w:rPr>
                <w:rFonts w:cs="EUAlbertina"/>
                <w:color w:val="19161B"/>
                <w:lang w:val="it-IT" w:eastAsia="it-IT"/>
              </w:rPr>
            </w:pPr>
            <w:r w:rsidRPr="00237EFA">
              <w:rPr>
                <w:rFonts w:cs="EUAlbertina"/>
                <w:color w:val="19161B"/>
                <w:lang w:val="it-IT" w:eastAsia="it-IT"/>
              </w:rPr>
              <w:t xml:space="preserve">(a) </w:t>
            </w:r>
            <w:r>
              <w:rPr>
                <w:rFonts w:cs="EUAlbertina"/>
                <w:color w:val="19161B"/>
                <w:lang w:val="it-IT" w:eastAsia="it-IT"/>
              </w:rPr>
              <w:tab/>
            </w:r>
            <w:r w:rsidRPr="00237EFA">
              <w:rPr>
                <w:rFonts w:cs="EUAlbertina"/>
                <w:color w:val="19161B"/>
                <w:lang w:val="it-IT" w:eastAsia="it-IT"/>
              </w:rPr>
              <w:t xml:space="preserve">la data di chiusura dell’esercizio a cui si riferisce il bilancio di quella controllata e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237EFA" w:rsidRDefault="00D26424" w:rsidP="00003D7F">
            <w:pPr>
              <w:overflowPunct/>
              <w:spacing w:before="60" w:after="60"/>
              <w:ind w:left="316" w:hanging="316"/>
              <w:jc w:val="left"/>
              <w:textAlignment w:val="auto"/>
              <w:rPr>
                <w:rFonts w:cs="EUAlbertina"/>
                <w:color w:val="19161B"/>
                <w:lang w:val="it-IT" w:eastAsia="it-IT"/>
              </w:rPr>
            </w:pPr>
            <w:r w:rsidRPr="00237EFA">
              <w:rPr>
                <w:rFonts w:cs="EUAlbertina"/>
                <w:color w:val="19161B"/>
                <w:lang w:val="it-IT" w:eastAsia="it-IT"/>
              </w:rPr>
              <w:t xml:space="preserve">(b) </w:t>
            </w:r>
            <w:r>
              <w:rPr>
                <w:rFonts w:cs="EUAlbertina"/>
                <w:color w:val="19161B"/>
                <w:lang w:val="it-IT" w:eastAsia="it-IT"/>
              </w:rPr>
              <w:tab/>
            </w:r>
            <w:r w:rsidRPr="00237EFA">
              <w:rPr>
                <w:rFonts w:cs="EUAlbertina"/>
                <w:color w:val="19161B"/>
                <w:lang w:val="it-IT" w:eastAsia="it-IT"/>
              </w:rPr>
              <w:t>il motivo dell’utilizzo di una data o di un esercizio diverso.</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rPr>
                <w:lang w:val="it-IT"/>
              </w:rPr>
            </w:pPr>
            <w:r w:rsidRPr="00237EFA">
              <w:rPr>
                <w:sz w:val="12"/>
                <w:szCs w:val="12"/>
                <w:lang w:val="it-IT"/>
              </w:rPr>
              <w:t>IFRS 12.12</w:t>
            </w:r>
          </w:p>
        </w:tc>
        <w:tc>
          <w:tcPr>
            <w:tcW w:w="7079" w:type="dxa"/>
            <w:tcMar>
              <w:left w:w="108" w:type="dxa"/>
            </w:tcMar>
          </w:tcPr>
          <w:p w:rsidR="004300E2" w:rsidRPr="00237EFA" w:rsidRDefault="004300E2" w:rsidP="00003D7F">
            <w:pPr>
              <w:overflowPunct/>
              <w:textAlignment w:val="auto"/>
              <w:rPr>
                <w:rFonts w:cs="EUAlbertina"/>
                <w:color w:val="19161B"/>
                <w:lang w:val="it-IT" w:eastAsia="it-IT"/>
              </w:rPr>
            </w:pPr>
            <w:r w:rsidRPr="00237EFA">
              <w:rPr>
                <w:rFonts w:cs="EUAlbertina"/>
                <w:color w:val="19161B"/>
                <w:lang w:val="it-IT" w:eastAsia="it-IT"/>
              </w:rPr>
              <w:t xml:space="preserve">Per comprendere </w:t>
            </w:r>
            <w:r w:rsidRPr="00237EFA">
              <w:rPr>
                <w:rFonts w:cs="EUAlbertina"/>
                <w:bCs/>
                <w:color w:val="19161B"/>
                <w:lang w:val="it-IT" w:eastAsia="it-IT"/>
              </w:rPr>
              <w:t xml:space="preserve">l’interessenza che le partecipazioni di minoranza hanno nelle attività e nei flussi finanziari del gruppo, </w:t>
            </w:r>
            <w:r w:rsidRPr="00237EFA">
              <w:rPr>
                <w:rFonts w:cs="EUAlbertina"/>
                <w:color w:val="19161B"/>
                <w:lang w:val="it-IT" w:eastAsia="it-IT"/>
              </w:rPr>
              <w:t xml:space="preserve">un'entità deve indicare per ciascuna delle sue controllate con partecipazioni di minoranza significative per l'entità che redige il bilancio: </w:t>
            </w:r>
          </w:p>
        </w:tc>
        <w:tc>
          <w:tcPr>
            <w:tcW w:w="575" w:type="dxa"/>
            <w:tcMar>
              <w:left w:w="85" w:type="dxa"/>
              <w:right w:w="85" w:type="dxa"/>
            </w:tcMar>
          </w:tcPr>
          <w:p w:rsidR="004300E2" w:rsidRPr="00A32A16" w:rsidRDefault="004300E2" w:rsidP="004300E2">
            <w:pPr>
              <w:rPr>
                <w:lang w:val="it-IT"/>
              </w:rPr>
            </w:pPr>
          </w:p>
        </w:tc>
        <w:tc>
          <w:tcPr>
            <w:tcW w:w="567" w:type="dxa"/>
            <w:tcMar>
              <w:left w:w="108" w:type="dxa"/>
            </w:tcMar>
          </w:tcPr>
          <w:p w:rsidR="004300E2" w:rsidRPr="00A32A16" w:rsidRDefault="004300E2" w:rsidP="004300E2">
            <w:pPr>
              <w:rPr>
                <w:lang w:val="it-IT"/>
              </w:rPr>
            </w:pPr>
          </w:p>
        </w:tc>
        <w:tc>
          <w:tcPr>
            <w:tcW w:w="567" w:type="dxa"/>
            <w:tcMar>
              <w:left w:w="108" w:type="dxa"/>
            </w:tcMar>
          </w:tcPr>
          <w:p w:rsidR="004300E2" w:rsidRPr="00A32A16" w:rsidRDefault="004300E2" w:rsidP="004300E2">
            <w:pPr>
              <w:rPr>
                <w:lang w:val="it-IT"/>
              </w:rPr>
            </w:pP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237EFA" w:rsidRDefault="00D26424" w:rsidP="00003D7F">
            <w:pPr>
              <w:overflowPunct/>
              <w:spacing w:before="0" w:after="0"/>
              <w:ind w:left="318" w:hanging="318"/>
              <w:textAlignment w:val="auto"/>
              <w:rPr>
                <w:rFonts w:cs="EUAlbertina"/>
                <w:color w:val="19161B"/>
                <w:lang w:val="it-IT" w:eastAsia="it-IT"/>
              </w:rPr>
            </w:pPr>
            <w:r w:rsidRPr="00237EFA">
              <w:rPr>
                <w:rFonts w:cs="EUAlbertina"/>
                <w:color w:val="19161B"/>
                <w:lang w:val="it-IT" w:eastAsia="it-IT"/>
              </w:rPr>
              <w:t xml:space="preserve">(a) </w:t>
            </w:r>
            <w:r w:rsidRPr="00237EFA">
              <w:rPr>
                <w:rFonts w:cs="EUAlbertina"/>
                <w:color w:val="19161B"/>
                <w:lang w:val="it-IT" w:eastAsia="it-IT"/>
              </w:rPr>
              <w:tab/>
              <w:t xml:space="preserve">la ragione sociale della controllata;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237EFA" w:rsidRDefault="00D26424" w:rsidP="00003D7F">
            <w:pPr>
              <w:overflowPunct/>
              <w:spacing w:before="0" w:after="0"/>
              <w:ind w:left="318" w:hanging="318"/>
              <w:textAlignment w:val="auto"/>
              <w:rPr>
                <w:rFonts w:cs="EUAlbertina"/>
                <w:color w:val="19161B"/>
                <w:lang w:val="it-IT" w:eastAsia="it-IT"/>
              </w:rPr>
            </w:pPr>
            <w:r w:rsidRPr="00237EFA">
              <w:rPr>
                <w:rFonts w:cs="EUAlbertina"/>
                <w:color w:val="19161B"/>
                <w:lang w:val="it-IT" w:eastAsia="it-IT"/>
              </w:rPr>
              <w:t xml:space="preserve">(b) </w:t>
            </w:r>
            <w:r w:rsidRPr="00237EFA">
              <w:rPr>
                <w:rFonts w:cs="EUAlbertina"/>
                <w:color w:val="19161B"/>
                <w:lang w:val="it-IT" w:eastAsia="it-IT"/>
              </w:rPr>
              <w:tab/>
              <w:t xml:space="preserve">la sede operativa principale (e la sede legale, se diversa dalla sede operativa principale) della controllata;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237EFA" w:rsidRDefault="00D26424" w:rsidP="00003D7F">
            <w:pPr>
              <w:overflowPunct/>
              <w:spacing w:before="0" w:after="0"/>
              <w:ind w:left="318" w:hanging="318"/>
              <w:textAlignment w:val="auto"/>
              <w:rPr>
                <w:rFonts w:cs="EUAlbertina"/>
                <w:color w:val="19161B"/>
                <w:lang w:val="it-IT" w:eastAsia="it-IT"/>
              </w:rPr>
            </w:pPr>
            <w:r w:rsidRPr="00237EFA">
              <w:rPr>
                <w:rFonts w:cs="EUAlbertina"/>
                <w:color w:val="19161B"/>
                <w:lang w:val="it-IT" w:eastAsia="it-IT"/>
              </w:rPr>
              <w:t xml:space="preserve">(c) </w:t>
            </w:r>
            <w:r w:rsidRPr="00237EFA">
              <w:rPr>
                <w:rFonts w:cs="EUAlbertina"/>
                <w:color w:val="19161B"/>
                <w:lang w:val="it-IT" w:eastAsia="it-IT"/>
              </w:rPr>
              <w:tab/>
              <w:t xml:space="preserve">la quota delle interessenze partecipative detenuta dalle partecipazioni di minoranza;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237EFA" w:rsidRDefault="00D26424" w:rsidP="00003D7F">
            <w:pPr>
              <w:overflowPunct/>
              <w:spacing w:before="0" w:after="0"/>
              <w:ind w:left="318" w:hanging="318"/>
              <w:textAlignment w:val="auto"/>
              <w:rPr>
                <w:rFonts w:cs="EUAlbertina"/>
                <w:color w:val="19161B"/>
                <w:lang w:val="it-IT" w:eastAsia="it-IT"/>
              </w:rPr>
            </w:pPr>
            <w:r w:rsidRPr="00237EFA">
              <w:rPr>
                <w:rFonts w:cs="EUAlbertina"/>
                <w:color w:val="19161B"/>
                <w:lang w:val="it-IT" w:eastAsia="it-IT"/>
              </w:rPr>
              <w:t xml:space="preserve">(d) </w:t>
            </w:r>
            <w:r w:rsidRPr="00237EFA">
              <w:rPr>
                <w:rFonts w:cs="EUAlbertina"/>
                <w:color w:val="19161B"/>
                <w:lang w:val="it-IT" w:eastAsia="it-IT"/>
              </w:rPr>
              <w:tab/>
              <w:t xml:space="preserve">la quota parte dei diritti di voto detenuta dalle partecipazioni di minoranza, se diversa dalla quota di interessenze partecipative detenuta;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237EFA" w:rsidRDefault="00D26424" w:rsidP="00003D7F">
            <w:pPr>
              <w:overflowPunct/>
              <w:spacing w:before="0" w:after="0"/>
              <w:ind w:left="318" w:hanging="318"/>
              <w:textAlignment w:val="auto"/>
              <w:rPr>
                <w:rFonts w:cs="EUAlbertina"/>
                <w:color w:val="19161B"/>
                <w:lang w:val="it-IT" w:eastAsia="it-IT"/>
              </w:rPr>
            </w:pPr>
            <w:r w:rsidRPr="00237EFA">
              <w:rPr>
                <w:rFonts w:cs="EUAlbertina"/>
                <w:color w:val="19161B"/>
                <w:lang w:val="it-IT" w:eastAsia="it-IT"/>
              </w:rPr>
              <w:t xml:space="preserve">(e) </w:t>
            </w:r>
            <w:r w:rsidRPr="00237EFA">
              <w:rPr>
                <w:rFonts w:cs="EUAlbertina"/>
                <w:color w:val="19161B"/>
                <w:lang w:val="it-IT" w:eastAsia="it-IT"/>
              </w:rPr>
              <w:tab/>
              <w:t xml:space="preserve">l’utile o perdita attribuito alle partecipazioni di minoranza della controllata nel corso dell'esercizio;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237EFA" w:rsidRDefault="00D26424" w:rsidP="00003D7F">
            <w:pPr>
              <w:overflowPunct/>
              <w:spacing w:before="0" w:after="0"/>
              <w:ind w:left="318" w:hanging="318"/>
              <w:textAlignment w:val="auto"/>
              <w:rPr>
                <w:rFonts w:cs="EUAlbertina"/>
                <w:color w:val="19161B"/>
                <w:lang w:val="it-IT" w:eastAsia="it-IT"/>
              </w:rPr>
            </w:pPr>
            <w:r w:rsidRPr="00237EFA">
              <w:rPr>
                <w:rFonts w:cs="EUAlbertina"/>
                <w:color w:val="19161B"/>
                <w:lang w:val="it-IT" w:eastAsia="it-IT"/>
              </w:rPr>
              <w:t xml:space="preserve">(f) </w:t>
            </w:r>
            <w:r w:rsidRPr="00237EFA">
              <w:rPr>
                <w:rFonts w:cs="EUAlbertina"/>
                <w:color w:val="19161B"/>
                <w:lang w:val="it-IT" w:eastAsia="it-IT"/>
              </w:rPr>
              <w:tab/>
              <w:t xml:space="preserve">le partecipazioni di minoranza della controllata accumulate alla data di chiusura dell’esercizio;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237EFA" w:rsidRDefault="00D26424" w:rsidP="00003D7F">
            <w:pPr>
              <w:overflowPunct/>
              <w:spacing w:before="0" w:after="0"/>
              <w:ind w:left="318" w:hanging="318"/>
              <w:textAlignment w:val="auto"/>
              <w:rPr>
                <w:rFonts w:cs="EUAlbertina"/>
                <w:color w:val="19161B"/>
                <w:lang w:val="it-IT" w:eastAsia="it-IT"/>
              </w:rPr>
            </w:pPr>
            <w:r w:rsidRPr="00237EFA">
              <w:rPr>
                <w:rFonts w:cs="EUAlbertina"/>
                <w:color w:val="19161B"/>
                <w:lang w:val="it-IT" w:eastAsia="it-IT"/>
              </w:rPr>
              <w:t xml:space="preserve">(g) </w:t>
            </w:r>
            <w:r w:rsidRPr="00237EFA">
              <w:rPr>
                <w:rFonts w:cs="EUAlbertina"/>
                <w:color w:val="19161B"/>
                <w:lang w:val="it-IT" w:eastAsia="it-IT"/>
              </w:rPr>
              <w:tab/>
              <w:t>un riepilogo dei dati economico-finanziari della controllata (vedi punto successivo).</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rPr>
                <w:lang w:val="it-IT"/>
              </w:rPr>
            </w:pPr>
            <w:r w:rsidRPr="00237EFA">
              <w:rPr>
                <w:sz w:val="12"/>
                <w:szCs w:val="12"/>
                <w:lang w:val="it-IT"/>
              </w:rPr>
              <w:t>IFRS 12.B10</w:t>
            </w:r>
          </w:p>
        </w:tc>
        <w:tc>
          <w:tcPr>
            <w:tcW w:w="7079" w:type="dxa"/>
            <w:tcMar>
              <w:left w:w="108" w:type="dxa"/>
            </w:tcMar>
          </w:tcPr>
          <w:p w:rsidR="004300E2" w:rsidRPr="00237EFA" w:rsidRDefault="004300E2" w:rsidP="00003D7F">
            <w:pPr>
              <w:overflowPunct/>
              <w:spacing w:before="60" w:after="60"/>
              <w:textAlignment w:val="auto"/>
              <w:rPr>
                <w:rFonts w:cs="EUAlbertina"/>
                <w:color w:val="19161B"/>
                <w:lang w:val="it-IT" w:eastAsia="it-IT"/>
              </w:rPr>
            </w:pPr>
            <w:r w:rsidRPr="00237EFA">
              <w:rPr>
                <w:rFonts w:cs="EUAlbertina"/>
                <w:color w:val="19161B"/>
                <w:lang w:val="it-IT" w:eastAsia="it-IT"/>
              </w:rPr>
              <w:t xml:space="preserve">Per ciascuna controllata che detiene partecipazioni di minoranza rilevanti per l’entità che redige il bilancio, un’entità deve indicare: </w:t>
            </w:r>
          </w:p>
        </w:tc>
        <w:tc>
          <w:tcPr>
            <w:tcW w:w="575" w:type="dxa"/>
            <w:tcMar>
              <w:left w:w="85" w:type="dxa"/>
              <w:right w:w="85" w:type="dxa"/>
            </w:tcMar>
            <w:vAlign w:val="center"/>
          </w:tcPr>
          <w:p w:rsidR="004300E2" w:rsidRPr="00E158BA" w:rsidRDefault="004300E2" w:rsidP="004300E2">
            <w:pPr>
              <w:jc w:val="center"/>
              <w:rPr>
                <w:lang w:val="it-IT"/>
              </w:rPr>
            </w:pPr>
          </w:p>
          <w:p w:rsidR="004300E2" w:rsidRPr="00A32A16" w:rsidRDefault="004300E2" w:rsidP="004300E2">
            <w:pPr>
              <w:rPr>
                <w:lang w:val="it-IT"/>
              </w:rPr>
            </w:pPr>
          </w:p>
        </w:tc>
        <w:tc>
          <w:tcPr>
            <w:tcW w:w="567" w:type="dxa"/>
            <w:tcMar>
              <w:left w:w="108" w:type="dxa"/>
            </w:tcMar>
            <w:vAlign w:val="center"/>
          </w:tcPr>
          <w:p w:rsidR="004300E2" w:rsidRPr="00E158BA" w:rsidRDefault="004300E2" w:rsidP="004300E2">
            <w:pPr>
              <w:jc w:val="center"/>
              <w:rPr>
                <w:lang w:val="it-IT"/>
              </w:rPr>
            </w:pPr>
          </w:p>
          <w:p w:rsidR="004300E2" w:rsidRPr="00A32A16" w:rsidRDefault="004300E2" w:rsidP="004300E2">
            <w:pPr>
              <w:rPr>
                <w:lang w:val="it-IT"/>
              </w:rPr>
            </w:pPr>
          </w:p>
        </w:tc>
        <w:tc>
          <w:tcPr>
            <w:tcW w:w="567" w:type="dxa"/>
            <w:tcMar>
              <w:left w:w="108" w:type="dxa"/>
            </w:tcMar>
            <w:vAlign w:val="center"/>
          </w:tcPr>
          <w:p w:rsidR="004300E2" w:rsidRPr="00E158BA" w:rsidRDefault="004300E2" w:rsidP="004300E2">
            <w:pPr>
              <w:jc w:val="center"/>
              <w:rPr>
                <w:lang w:val="it-IT"/>
              </w:rPr>
            </w:pPr>
          </w:p>
          <w:p w:rsidR="004300E2" w:rsidRPr="00A32A16" w:rsidRDefault="004300E2" w:rsidP="004300E2">
            <w:pPr>
              <w:rPr>
                <w:lang w:val="it-IT"/>
              </w:rPr>
            </w:pP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237EFA" w:rsidRDefault="00D26424" w:rsidP="00003D7F">
            <w:pPr>
              <w:overflowPunct/>
              <w:spacing w:before="60" w:after="60"/>
              <w:ind w:left="316" w:hanging="316"/>
              <w:jc w:val="left"/>
              <w:textAlignment w:val="auto"/>
              <w:rPr>
                <w:rFonts w:cs="EUAlbertina"/>
                <w:color w:val="19161B"/>
                <w:lang w:val="it-IT" w:eastAsia="it-IT"/>
              </w:rPr>
            </w:pPr>
            <w:r w:rsidRPr="00237EFA">
              <w:rPr>
                <w:rFonts w:cs="EUAlbertina"/>
                <w:color w:val="19161B"/>
                <w:lang w:val="it-IT" w:eastAsia="it-IT"/>
              </w:rPr>
              <w:t>(a)</w:t>
            </w:r>
            <w:r w:rsidRPr="00237EFA">
              <w:rPr>
                <w:rFonts w:cs="EUAlbertina"/>
                <w:color w:val="19161B"/>
                <w:lang w:val="it-IT" w:eastAsia="it-IT"/>
              </w:rPr>
              <w:tab/>
              <w:t>i dividendi corrisposti alle partecipazioni di minoranza;</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237EFA" w:rsidRDefault="00D26424" w:rsidP="00003D7F">
            <w:pPr>
              <w:overflowPunct/>
              <w:ind w:left="318" w:hanging="318"/>
              <w:textAlignment w:val="auto"/>
              <w:rPr>
                <w:rFonts w:cs="EUAlbertina"/>
                <w:color w:val="19161B"/>
                <w:lang w:val="it-IT" w:eastAsia="it-IT"/>
              </w:rPr>
            </w:pPr>
            <w:r w:rsidRPr="00237EFA">
              <w:rPr>
                <w:rFonts w:cs="EUAlbertina"/>
                <w:color w:val="19161B"/>
                <w:lang w:val="it-IT" w:eastAsia="it-IT"/>
              </w:rPr>
              <w:t>(b) un riepilogo dei dati economico-finanziari relativi ad attività, passività, utile o perdita d'esercizio e flussi finanziari della controllata, che consenta agli utilizzatori di comprendere l’interessenza che le partecipazioni di minoranza hanno nelle attività e nei flussi finanziari del gruppo. Tali informazioni potrebbero comprendere, per esempio, le attività e le passività correnti e non correnti, i ricavi, l’utile o la perdita d’esercizio e il totale conto economico complessivo.</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rPr>
                <w:lang w:val="it-IT"/>
              </w:rPr>
            </w:pPr>
            <w:r w:rsidRPr="00237EFA">
              <w:rPr>
                <w:sz w:val="12"/>
                <w:szCs w:val="12"/>
                <w:lang w:val="it-IT"/>
              </w:rPr>
              <w:t>IFRS 12.13</w:t>
            </w:r>
          </w:p>
        </w:tc>
        <w:tc>
          <w:tcPr>
            <w:tcW w:w="7079" w:type="dxa"/>
            <w:tcMar>
              <w:left w:w="108" w:type="dxa"/>
            </w:tcMar>
          </w:tcPr>
          <w:p w:rsidR="004300E2" w:rsidRPr="00237EFA" w:rsidRDefault="004300E2" w:rsidP="00003D7F">
            <w:pPr>
              <w:overflowPunct/>
              <w:spacing w:before="60" w:after="60"/>
              <w:textAlignment w:val="auto"/>
              <w:rPr>
                <w:rFonts w:cs="EUAlbertina"/>
                <w:color w:val="19161B"/>
                <w:lang w:val="it-IT" w:eastAsia="it-IT"/>
              </w:rPr>
            </w:pPr>
            <w:r w:rsidRPr="00237EFA">
              <w:rPr>
                <w:rFonts w:cs="EUAlbertina"/>
                <w:color w:val="19161B"/>
                <w:lang w:val="it-IT" w:eastAsia="it-IT"/>
              </w:rPr>
              <w:t xml:space="preserve">Per valutare </w:t>
            </w:r>
            <w:r w:rsidRPr="00237EFA">
              <w:rPr>
                <w:rFonts w:cs="EUAlbertina"/>
                <w:bCs/>
                <w:color w:val="19161B"/>
                <w:lang w:val="it-IT" w:eastAsia="it-IT"/>
              </w:rPr>
              <w:t>la natura e la misura di restrizioni significative alla propria capacità di accedere alle attività, o di utilizzarle, e di estinguere le passività, del gruppo, l</w:t>
            </w:r>
            <w:r w:rsidRPr="00237EFA">
              <w:rPr>
                <w:rFonts w:cs="EUAlbertina"/>
                <w:color w:val="19161B"/>
                <w:lang w:val="it-IT" w:eastAsia="it-IT"/>
              </w:rPr>
              <w:t xml:space="preserve">'entità deve indicare: </w:t>
            </w:r>
          </w:p>
        </w:tc>
        <w:tc>
          <w:tcPr>
            <w:tcW w:w="575" w:type="dxa"/>
            <w:tcMar>
              <w:left w:w="85" w:type="dxa"/>
              <w:right w:w="85" w:type="dxa"/>
            </w:tcMar>
          </w:tcPr>
          <w:p w:rsidR="004300E2" w:rsidRPr="00A32A16" w:rsidRDefault="004300E2" w:rsidP="004300E2">
            <w:pPr>
              <w:rPr>
                <w:lang w:val="it-IT"/>
              </w:rPr>
            </w:pPr>
          </w:p>
        </w:tc>
        <w:tc>
          <w:tcPr>
            <w:tcW w:w="567" w:type="dxa"/>
            <w:tcMar>
              <w:left w:w="108" w:type="dxa"/>
            </w:tcMar>
          </w:tcPr>
          <w:p w:rsidR="004300E2" w:rsidRPr="00A32A16" w:rsidRDefault="004300E2" w:rsidP="004300E2">
            <w:pPr>
              <w:rPr>
                <w:lang w:val="it-IT"/>
              </w:rPr>
            </w:pPr>
          </w:p>
        </w:tc>
        <w:tc>
          <w:tcPr>
            <w:tcW w:w="567" w:type="dxa"/>
            <w:tcMar>
              <w:left w:w="108" w:type="dxa"/>
            </w:tcMar>
          </w:tcPr>
          <w:p w:rsidR="004300E2" w:rsidRPr="00A32A16" w:rsidRDefault="004300E2" w:rsidP="004300E2">
            <w:pPr>
              <w:rPr>
                <w:lang w:val="it-IT"/>
              </w:rPr>
            </w:pPr>
          </w:p>
        </w:tc>
      </w:tr>
      <w:tr w:rsidR="00D26424" w:rsidRPr="008129DA" w:rsidTr="00D26424">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237EFA" w:rsidRDefault="00D26424" w:rsidP="00003D7F">
            <w:pPr>
              <w:overflowPunct/>
              <w:spacing w:before="60" w:after="60"/>
              <w:ind w:left="316" w:hanging="316"/>
              <w:textAlignment w:val="auto"/>
              <w:rPr>
                <w:rFonts w:cs="EUAlbertina"/>
                <w:color w:val="19161B"/>
                <w:lang w:val="it-IT" w:eastAsia="it-IT"/>
              </w:rPr>
            </w:pPr>
            <w:r w:rsidRPr="00237EFA">
              <w:rPr>
                <w:rFonts w:cs="EUAlbertina"/>
                <w:color w:val="19161B"/>
                <w:lang w:val="it-IT" w:eastAsia="it-IT"/>
              </w:rPr>
              <w:t xml:space="preserve">(a) </w:t>
            </w:r>
            <w:r w:rsidRPr="00237EFA">
              <w:rPr>
                <w:rFonts w:cs="EUAlbertina"/>
                <w:color w:val="19161B"/>
                <w:lang w:val="it-IT" w:eastAsia="it-IT"/>
              </w:rPr>
              <w:tab/>
              <w:t>le restrizioni significative (per esempio restrizioni legali, contrattuali e normative) alla sua capacità di accedere alle attività o di utilizzarle e di estinguere le passività del gruppo, quali:</w:t>
            </w:r>
          </w:p>
        </w:tc>
        <w:tc>
          <w:tcPr>
            <w:tcW w:w="575" w:type="dxa"/>
            <w:tcMar>
              <w:left w:w="85" w:type="dxa"/>
              <w:right w:w="85" w:type="dxa"/>
            </w:tcMar>
            <w:vAlign w:val="center"/>
          </w:tcPr>
          <w:p w:rsidR="00D26424" w:rsidRPr="004F5A62"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A2AB9"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A2AB9"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237EFA" w:rsidRDefault="00D26424" w:rsidP="00003D7F">
            <w:pPr>
              <w:overflowPunct/>
              <w:ind w:left="602" w:hanging="284"/>
              <w:textAlignment w:val="auto"/>
              <w:rPr>
                <w:rFonts w:cs="EUAlbertina"/>
                <w:color w:val="19161B"/>
                <w:lang w:val="it-IT" w:eastAsia="it-IT"/>
              </w:rPr>
            </w:pPr>
            <w:r w:rsidRPr="00237EFA">
              <w:rPr>
                <w:rFonts w:cs="EUAlbertina"/>
                <w:color w:val="19161B"/>
                <w:lang w:val="it-IT" w:eastAsia="it-IT"/>
              </w:rPr>
              <w:t xml:space="preserve">(i) </w:t>
            </w:r>
            <w:r w:rsidRPr="00237EFA">
              <w:rPr>
                <w:rFonts w:cs="EUAlbertina"/>
                <w:color w:val="19161B"/>
                <w:lang w:val="it-IT" w:eastAsia="it-IT"/>
              </w:rPr>
              <w:tab/>
              <w:t xml:space="preserve">quelle che limitano la capacità di una controllante o delle sue controllate di trasferire disponibilità liquide o altre attività ad (oppure da) altre entità nel gruppo;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237EFA" w:rsidRDefault="00D26424" w:rsidP="00003D7F">
            <w:pPr>
              <w:overflowPunct/>
              <w:spacing w:before="60" w:after="60"/>
              <w:ind w:left="600" w:hanging="284"/>
              <w:textAlignment w:val="auto"/>
              <w:rPr>
                <w:rFonts w:cs="EUAlbertina"/>
                <w:color w:val="19161B"/>
                <w:lang w:val="it-IT" w:eastAsia="it-IT"/>
              </w:rPr>
            </w:pPr>
            <w:r w:rsidRPr="00237EFA">
              <w:rPr>
                <w:rFonts w:cs="EUAlbertina"/>
                <w:color w:val="19161B"/>
                <w:lang w:val="it-IT" w:eastAsia="it-IT"/>
              </w:rPr>
              <w:t xml:space="preserve">(ii) </w:t>
            </w:r>
            <w:r w:rsidRPr="00237EFA">
              <w:rPr>
                <w:rFonts w:cs="EUAlbertina"/>
                <w:color w:val="19161B"/>
                <w:lang w:val="it-IT" w:eastAsia="it-IT"/>
              </w:rPr>
              <w:tab/>
              <w:t xml:space="preserve">garanzie o altre disposizioni che possono limitare i dividendi e le altre distribuzioni di capitale corrisposte, oppure i prestiti e le anticipazioni concessi o rimborsati ad (o da) altre entità nel gruppo;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237EFA" w:rsidRDefault="00D26424" w:rsidP="004300E2">
            <w:pPr>
              <w:overflowPunct/>
              <w:spacing w:before="60" w:after="60" w:line="240" w:lineRule="auto"/>
              <w:ind w:left="316" w:hanging="316"/>
              <w:textAlignment w:val="auto"/>
              <w:rPr>
                <w:rFonts w:cs="EUAlbertina"/>
                <w:color w:val="19161B"/>
                <w:lang w:val="it-IT" w:eastAsia="it-IT"/>
              </w:rPr>
            </w:pPr>
            <w:r w:rsidRPr="00237EFA">
              <w:rPr>
                <w:rFonts w:cs="EUAlbertina"/>
                <w:color w:val="19161B"/>
                <w:lang w:val="it-IT" w:eastAsia="it-IT"/>
              </w:rPr>
              <w:t xml:space="preserve">(b) </w:t>
            </w:r>
            <w:r w:rsidRPr="00237EFA">
              <w:rPr>
                <w:rFonts w:cs="EUAlbertina"/>
                <w:color w:val="19161B"/>
                <w:lang w:val="it-IT" w:eastAsia="it-IT"/>
              </w:rPr>
              <w:tab/>
              <w:t xml:space="preserve">la natura e la misura in cui i diritti di protezione di partecipazioni di minoranza possono limitare significativamente la capacità dell’entità di accedere alle attività, o di utilizzarle, e di estinguere le passività del gruppo (come quando una controllante è tenuta ad estinguere le passività di una controllata prima di estinguere le proprie passività, oppure è necessaria l’approvazione da parte dei possessori di partecipazioni di minoranza per accedere alle attività o estinguere le passività di una controllata);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237EFA" w:rsidRDefault="00D26424" w:rsidP="004300E2">
            <w:pPr>
              <w:overflowPunct/>
              <w:spacing w:before="60" w:after="60" w:line="240" w:lineRule="auto"/>
              <w:ind w:left="316" w:hanging="316"/>
              <w:textAlignment w:val="auto"/>
              <w:rPr>
                <w:rFonts w:cs="EUAlbertina"/>
                <w:color w:val="19161B"/>
                <w:lang w:val="it-IT" w:eastAsia="it-IT"/>
              </w:rPr>
            </w:pPr>
            <w:r w:rsidRPr="00237EFA">
              <w:rPr>
                <w:rFonts w:cs="EUAlbertina"/>
                <w:color w:val="19161B"/>
                <w:lang w:val="it-IT" w:eastAsia="it-IT"/>
              </w:rPr>
              <w:t xml:space="preserve">(c) </w:t>
            </w:r>
            <w:r w:rsidRPr="00237EFA">
              <w:rPr>
                <w:rFonts w:cs="EUAlbertina"/>
                <w:color w:val="19161B"/>
                <w:lang w:val="it-IT" w:eastAsia="it-IT"/>
              </w:rPr>
              <w:tab/>
              <w:t>i valori contabili nel bilancio consolidato delle attività e delle passività a cui si applicano tali restrizioni.</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pStyle w:val="Numeroelenco"/>
              <w:ind w:left="0" w:firstLine="57"/>
              <w:rPr>
                <w:lang w:val="it-IT"/>
              </w:rPr>
            </w:pPr>
          </w:p>
        </w:tc>
        <w:tc>
          <w:tcPr>
            <w:tcW w:w="851" w:type="dxa"/>
            <w:tcMar>
              <w:left w:w="108" w:type="dxa"/>
              <w:right w:w="0" w:type="dxa"/>
            </w:tcMar>
          </w:tcPr>
          <w:p w:rsidR="00D26424" w:rsidRPr="008A0F36" w:rsidRDefault="00D26424" w:rsidP="004300E2">
            <w:pPr>
              <w:rPr>
                <w:lang w:val="it-IT"/>
              </w:rPr>
            </w:pPr>
            <w:r w:rsidRPr="00237EFA">
              <w:rPr>
                <w:sz w:val="12"/>
                <w:szCs w:val="12"/>
                <w:lang w:val="it-IT"/>
              </w:rPr>
              <w:t>IFRS 12.14</w:t>
            </w:r>
          </w:p>
        </w:tc>
        <w:tc>
          <w:tcPr>
            <w:tcW w:w="7079" w:type="dxa"/>
            <w:tcMar>
              <w:left w:w="108" w:type="dxa"/>
            </w:tcMar>
          </w:tcPr>
          <w:p w:rsidR="00D26424" w:rsidRPr="00237EFA" w:rsidRDefault="00D26424" w:rsidP="004300E2">
            <w:pPr>
              <w:overflowPunct/>
              <w:spacing w:before="60" w:after="60" w:line="240" w:lineRule="auto"/>
              <w:textAlignment w:val="auto"/>
              <w:rPr>
                <w:rFonts w:cs="EUAlbertina"/>
                <w:color w:val="19161B"/>
                <w:lang w:val="it-IT" w:eastAsia="it-IT"/>
              </w:rPr>
            </w:pPr>
            <w:r w:rsidRPr="00237EFA">
              <w:rPr>
                <w:rFonts w:cs="EUAlbertina"/>
                <w:color w:val="19161B"/>
                <w:lang w:val="it-IT" w:eastAsia="it-IT"/>
              </w:rPr>
              <w:t xml:space="preserve">Un’entità deve indicare i termini degli accordi contrattuali che potrebbero prevedere che la controllante o le sue controllate forniscano sostegno finanziario a un’entità strutturata consolidata, inclusi gli eventi o le circostanze che potrebbero esporre l’entità che redige il bilancio a una perdita (per esempio, condizioni di liquidità o rating di credito associati ad obbligazioni per l’acquisto di attività dell’entità strutturata o il fornire sostegno finanziario).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rPr>
                <w:lang w:val="it-IT"/>
              </w:rPr>
            </w:pPr>
            <w:r w:rsidRPr="00237EFA">
              <w:rPr>
                <w:sz w:val="12"/>
                <w:szCs w:val="12"/>
                <w:lang w:val="it-IT"/>
              </w:rPr>
              <w:t>IFRS 12.15</w:t>
            </w:r>
          </w:p>
        </w:tc>
        <w:tc>
          <w:tcPr>
            <w:tcW w:w="7079" w:type="dxa"/>
            <w:tcMar>
              <w:left w:w="108" w:type="dxa"/>
            </w:tcMar>
          </w:tcPr>
          <w:p w:rsidR="004300E2" w:rsidRPr="00237EFA" w:rsidRDefault="004300E2" w:rsidP="004300E2">
            <w:pPr>
              <w:overflowPunct/>
              <w:spacing w:before="60" w:after="60" w:line="240" w:lineRule="auto"/>
              <w:textAlignment w:val="auto"/>
              <w:rPr>
                <w:rFonts w:cs="EUAlbertina"/>
                <w:color w:val="19161B"/>
                <w:lang w:val="it-IT" w:eastAsia="it-IT"/>
              </w:rPr>
            </w:pPr>
            <w:r w:rsidRPr="00237EFA">
              <w:rPr>
                <w:rFonts w:cs="EUAlbertina"/>
                <w:color w:val="19161B"/>
                <w:lang w:val="it-IT" w:eastAsia="it-IT"/>
              </w:rPr>
              <w:t xml:space="preserve">Se, nel corso dell'esercizio, una controllante o una delle sue controllate, senza essere obbligata dal contratto, abbia fornito sostegno finanziario o di altro tipo a un’entità strutturata consolidata (per esempio acquisto di attività o di strumenti emessi dall’entità strutturata), l’entità deve indicare: </w:t>
            </w:r>
          </w:p>
        </w:tc>
        <w:tc>
          <w:tcPr>
            <w:tcW w:w="575" w:type="dxa"/>
            <w:tcMar>
              <w:left w:w="85" w:type="dxa"/>
              <w:right w:w="85" w:type="dxa"/>
            </w:tcMar>
            <w:vAlign w:val="center"/>
          </w:tcPr>
          <w:p w:rsidR="004300E2" w:rsidRPr="009D6AE4" w:rsidRDefault="004300E2" w:rsidP="004300E2">
            <w:pPr>
              <w:jc w:val="center"/>
              <w:rPr>
                <w:lang w:val="it-IT"/>
              </w:rPr>
            </w:pPr>
          </w:p>
        </w:tc>
        <w:tc>
          <w:tcPr>
            <w:tcW w:w="567" w:type="dxa"/>
            <w:tcMar>
              <w:left w:w="108" w:type="dxa"/>
            </w:tcMar>
            <w:vAlign w:val="center"/>
          </w:tcPr>
          <w:p w:rsidR="004300E2" w:rsidRPr="009D6AE4" w:rsidRDefault="004300E2" w:rsidP="004300E2">
            <w:pPr>
              <w:jc w:val="center"/>
              <w:rPr>
                <w:lang w:val="it-IT"/>
              </w:rPr>
            </w:pPr>
          </w:p>
        </w:tc>
        <w:tc>
          <w:tcPr>
            <w:tcW w:w="567" w:type="dxa"/>
            <w:tcMar>
              <w:left w:w="108" w:type="dxa"/>
            </w:tcMar>
            <w:vAlign w:val="center"/>
          </w:tcPr>
          <w:p w:rsidR="004300E2" w:rsidRPr="009D6AE4" w:rsidRDefault="004300E2" w:rsidP="004300E2">
            <w:pPr>
              <w:jc w:val="center"/>
              <w:rPr>
                <w:lang w:val="it-IT"/>
              </w:rPr>
            </w:pP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237EFA" w:rsidRDefault="00D26424" w:rsidP="004300E2">
            <w:pPr>
              <w:overflowPunct/>
              <w:spacing w:before="60" w:after="60" w:line="240" w:lineRule="auto"/>
              <w:ind w:left="316" w:hanging="316"/>
              <w:textAlignment w:val="auto"/>
              <w:rPr>
                <w:rFonts w:cs="EUAlbertina"/>
                <w:color w:val="19161B"/>
                <w:lang w:val="it-IT" w:eastAsia="it-IT"/>
              </w:rPr>
            </w:pPr>
            <w:r w:rsidRPr="00237EFA">
              <w:rPr>
                <w:rFonts w:cs="EUAlbertina"/>
                <w:color w:val="19161B"/>
                <w:lang w:val="it-IT" w:eastAsia="it-IT"/>
              </w:rPr>
              <w:t xml:space="preserve">(a) </w:t>
            </w:r>
            <w:r w:rsidRPr="00237EFA">
              <w:rPr>
                <w:rFonts w:cs="EUAlbertina"/>
                <w:color w:val="19161B"/>
                <w:lang w:val="it-IT" w:eastAsia="it-IT"/>
              </w:rPr>
              <w:tab/>
              <w:t>il tipo e l’entità del sostegno fornito, incluse le situazioni in cui la controllante o le sue controllate abbiano assistito l'entità strutturata nell'ottenimento del sostegno finanziario, 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237EFA" w:rsidRDefault="00D26424" w:rsidP="004300E2">
            <w:pPr>
              <w:overflowPunct/>
              <w:spacing w:before="60" w:after="60" w:line="240" w:lineRule="auto"/>
              <w:ind w:left="316" w:hanging="316"/>
              <w:textAlignment w:val="auto"/>
              <w:rPr>
                <w:rFonts w:cs="EUAlbertina"/>
                <w:color w:val="19161B"/>
                <w:lang w:val="it-IT" w:eastAsia="it-IT"/>
              </w:rPr>
            </w:pPr>
            <w:r w:rsidRPr="00237EFA">
              <w:rPr>
                <w:rFonts w:cs="EUAlbertina"/>
                <w:color w:val="19161B"/>
                <w:lang w:val="it-IT" w:eastAsia="it-IT"/>
              </w:rPr>
              <w:t xml:space="preserve">(b) </w:t>
            </w:r>
            <w:r>
              <w:rPr>
                <w:rFonts w:cs="EUAlbertina"/>
                <w:color w:val="19161B"/>
                <w:lang w:val="it-IT" w:eastAsia="it-IT"/>
              </w:rPr>
              <w:tab/>
            </w:r>
            <w:r w:rsidRPr="00237EFA">
              <w:rPr>
                <w:rFonts w:cs="EUAlbertina"/>
                <w:color w:val="19161B"/>
                <w:lang w:val="it-IT" w:eastAsia="it-IT"/>
              </w:rPr>
              <w:t>i motivi per aver fornito il sostegno.</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pStyle w:val="Numeroelenco"/>
              <w:ind w:left="0" w:firstLine="57"/>
              <w:rPr>
                <w:lang w:val="it-IT"/>
              </w:rPr>
            </w:pPr>
          </w:p>
        </w:tc>
        <w:tc>
          <w:tcPr>
            <w:tcW w:w="851" w:type="dxa"/>
            <w:tcMar>
              <w:left w:w="108" w:type="dxa"/>
              <w:right w:w="0" w:type="dxa"/>
            </w:tcMar>
          </w:tcPr>
          <w:p w:rsidR="00D26424" w:rsidRPr="008A0F36" w:rsidRDefault="00D26424" w:rsidP="004300E2">
            <w:pPr>
              <w:rPr>
                <w:lang w:val="it-IT"/>
              </w:rPr>
            </w:pPr>
            <w:r w:rsidRPr="00237EFA">
              <w:rPr>
                <w:sz w:val="12"/>
                <w:szCs w:val="12"/>
                <w:lang w:val="it-IT"/>
              </w:rPr>
              <w:t>IFRS 12.16</w:t>
            </w:r>
          </w:p>
        </w:tc>
        <w:tc>
          <w:tcPr>
            <w:tcW w:w="7079" w:type="dxa"/>
            <w:tcMar>
              <w:left w:w="108" w:type="dxa"/>
            </w:tcMar>
          </w:tcPr>
          <w:p w:rsidR="00D26424" w:rsidRPr="00237EFA" w:rsidRDefault="00D26424" w:rsidP="004300E2">
            <w:pPr>
              <w:overflowPunct/>
              <w:spacing w:before="60" w:after="60" w:line="240" w:lineRule="auto"/>
              <w:textAlignment w:val="auto"/>
              <w:rPr>
                <w:rFonts w:cs="EUAlbertina"/>
                <w:color w:val="19161B"/>
                <w:lang w:val="it-IT" w:eastAsia="it-IT"/>
              </w:rPr>
            </w:pPr>
            <w:r w:rsidRPr="00237EFA">
              <w:rPr>
                <w:rFonts w:cs="EUAlbertina"/>
                <w:color w:val="19161B"/>
                <w:lang w:val="it-IT" w:eastAsia="it-IT"/>
              </w:rPr>
              <w:t xml:space="preserve">Se, nel corso dell'esercizio, una controllante o una delle sue controllate ha, senza essere obbligata dal contratto, fornito sostegno finanziario o di altro tipo a un’entità strutturata precedentemente non consolidata e tale sostegno ha determinato il controllo dell’entità strutturata da parte dell’entità, l’entità deve fornire una spiegazione dei fattori determinanti per addivenire a tale decisione.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pStyle w:val="Numeroelenco"/>
              <w:ind w:left="0" w:firstLine="57"/>
              <w:rPr>
                <w:lang w:val="it-IT"/>
              </w:rPr>
            </w:pPr>
          </w:p>
        </w:tc>
        <w:tc>
          <w:tcPr>
            <w:tcW w:w="851" w:type="dxa"/>
            <w:tcMar>
              <w:left w:w="108" w:type="dxa"/>
              <w:right w:w="0" w:type="dxa"/>
            </w:tcMar>
          </w:tcPr>
          <w:p w:rsidR="00D26424" w:rsidRPr="008A0F36" w:rsidRDefault="00D26424" w:rsidP="004300E2">
            <w:pPr>
              <w:rPr>
                <w:lang w:val="it-IT"/>
              </w:rPr>
            </w:pPr>
            <w:r w:rsidRPr="00237EFA">
              <w:rPr>
                <w:sz w:val="12"/>
                <w:szCs w:val="12"/>
                <w:lang w:val="it-IT"/>
              </w:rPr>
              <w:t>IFRS 12.17</w:t>
            </w:r>
          </w:p>
        </w:tc>
        <w:tc>
          <w:tcPr>
            <w:tcW w:w="7079" w:type="dxa"/>
            <w:tcMar>
              <w:left w:w="108" w:type="dxa"/>
            </w:tcMar>
          </w:tcPr>
          <w:p w:rsidR="00D26424" w:rsidRPr="00237EFA" w:rsidRDefault="00D26424" w:rsidP="004300E2">
            <w:pPr>
              <w:overflowPunct/>
              <w:spacing w:before="60" w:after="60" w:line="240" w:lineRule="auto"/>
              <w:textAlignment w:val="auto"/>
              <w:rPr>
                <w:rFonts w:cs="EUAlbertina"/>
                <w:color w:val="19161B"/>
                <w:lang w:val="it-IT" w:eastAsia="it-IT"/>
              </w:rPr>
            </w:pPr>
            <w:r w:rsidRPr="00237EFA">
              <w:rPr>
                <w:rFonts w:cs="EUAlbertina"/>
                <w:color w:val="19161B"/>
                <w:lang w:val="it-IT" w:eastAsia="it-IT"/>
              </w:rPr>
              <w:t xml:space="preserve">Un’entità deve indicare l’attuale intenzione di fornire sostegno finanziario o di altro tipo a un’entità strutturata consolidata, inclusa l'intenzione di assistere l’entità strutturata nell’ottenimento del sostegno finanziario.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pStyle w:val="Numeroelenco"/>
              <w:ind w:left="0" w:firstLine="57"/>
              <w:rPr>
                <w:lang w:val="it-IT"/>
              </w:rPr>
            </w:pPr>
          </w:p>
        </w:tc>
        <w:tc>
          <w:tcPr>
            <w:tcW w:w="851" w:type="dxa"/>
            <w:tcMar>
              <w:left w:w="108" w:type="dxa"/>
              <w:right w:w="0" w:type="dxa"/>
            </w:tcMar>
          </w:tcPr>
          <w:p w:rsidR="00D26424" w:rsidRPr="00237EFA" w:rsidRDefault="00D26424" w:rsidP="004300E2">
            <w:pPr>
              <w:pStyle w:val="IAS"/>
              <w:spacing w:before="20" w:line="220" w:lineRule="exact"/>
              <w:rPr>
                <w:sz w:val="12"/>
                <w:szCs w:val="12"/>
                <w:lang w:val="it-IT"/>
              </w:rPr>
            </w:pPr>
            <w:r w:rsidRPr="00237EFA">
              <w:rPr>
                <w:sz w:val="12"/>
                <w:szCs w:val="12"/>
                <w:lang w:val="it-IT"/>
              </w:rPr>
              <w:t>IFRS 12.18</w:t>
            </w:r>
          </w:p>
        </w:tc>
        <w:tc>
          <w:tcPr>
            <w:tcW w:w="7079" w:type="dxa"/>
            <w:tcMar>
              <w:left w:w="108" w:type="dxa"/>
            </w:tcMar>
          </w:tcPr>
          <w:p w:rsidR="00D26424" w:rsidRPr="00237EFA" w:rsidRDefault="00D26424" w:rsidP="004300E2">
            <w:pPr>
              <w:overflowPunct/>
              <w:spacing w:before="60" w:after="60" w:line="240" w:lineRule="auto"/>
              <w:textAlignment w:val="auto"/>
              <w:rPr>
                <w:rFonts w:cs="EUAlbertina"/>
                <w:color w:val="19161B"/>
                <w:lang w:val="it-IT" w:eastAsia="it-IT"/>
              </w:rPr>
            </w:pPr>
            <w:r w:rsidRPr="00237EFA">
              <w:rPr>
                <w:rFonts w:cs="EUAlbertina"/>
                <w:color w:val="19161B"/>
                <w:lang w:val="it-IT" w:eastAsia="it-IT"/>
              </w:rPr>
              <w:t>Per valutare le c</w:t>
            </w:r>
            <w:r w:rsidRPr="00237EFA">
              <w:rPr>
                <w:rFonts w:cs="EUAlbertina"/>
                <w:bCs/>
                <w:color w:val="19161B"/>
                <w:lang w:val="it-IT" w:eastAsia="it-IT"/>
              </w:rPr>
              <w:t>onseguenze delle modifiche nell’interessenza partecipativa della controllante in una controllata che non comportino una perdita del controllo, u</w:t>
            </w:r>
            <w:r w:rsidRPr="00237EFA">
              <w:rPr>
                <w:rFonts w:cs="EUAlbertina"/>
                <w:color w:val="19161B"/>
                <w:lang w:val="it-IT" w:eastAsia="it-IT"/>
              </w:rPr>
              <w:t xml:space="preserve">n’entità deve presentare un prospetto che illustri gli effetti sul patrimonio netto attribuibile ai soci della controllante, di qualsiasi modifica nella propria interessenza partecipativa in una controllata che non comporti la perdita del controllo.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237EFA" w:rsidRDefault="004300E2" w:rsidP="004300E2">
            <w:pPr>
              <w:pStyle w:val="IAS"/>
              <w:spacing w:before="20" w:line="220" w:lineRule="exact"/>
              <w:rPr>
                <w:sz w:val="12"/>
                <w:szCs w:val="12"/>
                <w:lang w:val="it-IT"/>
              </w:rPr>
            </w:pPr>
            <w:r w:rsidRPr="00237EFA">
              <w:rPr>
                <w:sz w:val="12"/>
                <w:szCs w:val="12"/>
                <w:lang w:val="it-IT"/>
              </w:rPr>
              <w:t>IFRS 12.19</w:t>
            </w:r>
          </w:p>
        </w:tc>
        <w:tc>
          <w:tcPr>
            <w:tcW w:w="7079" w:type="dxa"/>
            <w:tcMar>
              <w:left w:w="108" w:type="dxa"/>
            </w:tcMar>
          </w:tcPr>
          <w:p w:rsidR="004300E2" w:rsidRPr="0021304E" w:rsidRDefault="004300E2" w:rsidP="004300E2">
            <w:pPr>
              <w:overflowPunct/>
              <w:spacing w:before="60" w:after="0" w:line="240" w:lineRule="auto"/>
              <w:textAlignment w:val="auto"/>
              <w:rPr>
                <w:rFonts w:cs="EUAlbertina"/>
                <w:color w:val="19161B"/>
                <w:lang w:val="it-IT" w:eastAsia="it-IT"/>
              </w:rPr>
            </w:pPr>
            <w:r w:rsidRPr="00237EFA">
              <w:rPr>
                <w:rFonts w:cs="EUAlbertina"/>
                <w:color w:val="19161B"/>
                <w:lang w:val="it-IT" w:eastAsia="it-IT"/>
              </w:rPr>
              <w:t xml:space="preserve">Per valutare le </w:t>
            </w:r>
            <w:r w:rsidRPr="00237EFA">
              <w:rPr>
                <w:rFonts w:cs="EUAlbertina"/>
                <w:bCs/>
                <w:color w:val="19161B"/>
                <w:lang w:val="it-IT" w:eastAsia="it-IT"/>
              </w:rPr>
              <w:t>conseguenze derivanti dalla perdita del controllo di una controllata nel corso dell'esercizio, u</w:t>
            </w:r>
            <w:r w:rsidRPr="00237EFA">
              <w:rPr>
                <w:rFonts w:cs="EUAlbertina"/>
                <w:color w:val="19161B"/>
                <w:lang w:val="it-IT" w:eastAsia="it-IT"/>
              </w:rPr>
              <w:t xml:space="preserve">n’entità deve indicare l’utile o la perdita d’esercizio calcolati secondo quanto previsto nel paragrafo 25 dell'IFRS 10, e: </w:t>
            </w:r>
          </w:p>
        </w:tc>
        <w:tc>
          <w:tcPr>
            <w:tcW w:w="575" w:type="dxa"/>
            <w:tcMar>
              <w:left w:w="85" w:type="dxa"/>
              <w:right w:w="85" w:type="dxa"/>
            </w:tcMar>
            <w:vAlign w:val="center"/>
          </w:tcPr>
          <w:p w:rsidR="004300E2" w:rsidRPr="009D6AE4" w:rsidRDefault="004300E2" w:rsidP="004300E2">
            <w:pPr>
              <w:jc w:val="center"/>
              <w:rPr>
                <w:lang w:val="it-IT"/>
              </w:rPr>
            </w:pPr>
          </w:p>
        </w:tc>
        <w:tc>
          <w:tcPr>
            <w:tcW w:w="567" w:type="dxa"/>
            <w:tcMar>
              <w:left w:w="108" w:type="dxa"/>
            </w:tcMar>
            <w:vAlign w:val="center"/>
          </w:tcPr>
          <w:p w:rsidR="004300E2" w:rsidRPr="009D6AE4" w:rsidRDefault="004300E2" w:rsidP="004300E2">
            <w:pPr>
              <w:jc w:val="center"/>
              <w:rPr>
                <w:lang w:val="it-IT"/>
              </w:rPr>
            </w:pPr>
          </w:p>
        </w:tc>
        <w:tc>
          <w:tcPr>
            <w:tcW w:w="567" w:type="dxa"/>
            <w:tcMar>
              <w:left w:w="108" w:type="dxa"/>
            </w:tcMar>
            <w:vAlign w:val="center"/>
          </w:tcPr>
          <w:p w:rsidR="004300E2" w:rsidRPr="009D6AE4" w:rsidRDefault="004300E2" w:rsidP="004300E2">
            <w:pPr>
              <w:jc w:val="center"/>
              <w:rPr>
                <w:lang w:val="it-IT"/>
              </w:rPr>
            </w:pP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237EFA" w:rsidRDefault="00D26424" w:rsidP="003B4450">
            <w:pPr>
              <w:overflowPunct/>
              <w:spacing w:before="0" w:line="240" w:lineRule="auto"/>
              <w:ind w:left="318" w:hanging="284"/>
              <w:textAlignment w:val="auto"/>
              <w:rPr>
                <w:rFonts w:cs="EUAlbertina"/>
                <w:color w:val="19161B"/>
                <w:lang w:val="it-IT" w:eastAsia="it-IT"/>
              </w:rPr>
            </w:pPr>
            <w:r w:rsidRPr="00237EFA">
              <w:rPr>
                <w:rFonts w:cs="EUAlbertina"/>
                <w:color w:val="19161B"/>
                <w:lang w:val="it-IT" w:eastAsia="it-IT"/>
              </w:rPr>
              <w:t xml:space="preserve">(a) </w:t>
            </w:r>
            <w:r w:rsidRPr="00237EFA">
              <w:rPr>
                <w:rFonts w:cs="EUAlbertina"/>
                <w:color w:val="19161B"/>
                <w:lang w:val="it-IT" w:eastAsia="it-IT"/>
              </w:rPr>
              <w:tab/>
              <w:t xml:space="preserve">la parte di tale utile o perdita attribuibile a qualsiasi partecipazione mantenuta nella ex controllata al rispettivo </w:t>
            </w:r>
            <w:r w:rsidRPr="00237EFA">
              <w:rPr>
                <w:rFonts w:cs="EUAlbertina"/>
                <w:i/>
                <w:iCs/>
                <w:color w:val="19161B"/>
                <w:lang w:val="it-IT" w:eastAsia="it-IT"/>
              </w:rPr>
              <w:t xml:space="preserve">fair value </w:t>
            </w:r>
            <w:r w:rsidRPr="00237EFA">
              <w:rPr>
                <w:rFonts w:cs="EUAlbertina"/>
                <w:color w:val="19161B"/>
                <w:lang w:val="it-IT" w:eastAsia="it-IT"/>
              </w:rPr>
              <w:t xml:space="preserve">alla data della perdita del controllo; e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rPr>
                <w:lang w:val="it-IT"/>
              </w:rPr>
            </w:pPr>
          </w:p>
        </w:tc>
        <w:tc>
          <w:tcPr>
            <w:tcW w:w="7079" w:type="dxa"/>
            <w:tcMar>
              <w:left w:w="108" w:type="dxa"/>
            </w:tcMar>
          </w:tcPr>
          <w:p w:rsidR="00D26424" w:rsidRPr="0021304E" w:rsidRDefault="00D26424" w:rsidP="003B4450">
            <w:pPr>
              <w:overflowPunct/>
              <w:spacing w:before="0" w:line="240" w:lineRule="auto"/>
              <w:ind w:left="318" w:hanging="284"/>
              <w:textAlignment w:val="auto"/>
              <w:rPr>
                <w:rFonts w:cs="EUAlbertina"/>
                <w:color w:val="19161B"/>
                <w:lang w:val="it-IT" w:eastAsia="it-IT"/>
              </w:rPr>
            </w:pPr>
            <w:r w:rsidRPr="0021304E">
              <w:rPr>
                <w:rFonts w:cs="EUAlbertina"/>
                <w:color w:val="19161B"/>
                <w:lang w:val="it-IT" w:eastAsia="it-IT"/>
              </w:rPr>
              <w:t xml:space="preserve">(b) </w:t>
            </w:r>
            <w:r w:rsidRPr="0021304E">
              <w:rPr>
                <w:rFonts w:cs="EUAlbertina"/>
                <w:color w:val="19161B"/>
                <w:lang w:val="it-IT" w:eastAsia="it-IT"/>
              </w:rPr>
              <w:tab/>
              <w:t>le voci dell’utile/(perdita) d'esercizio in cui sono rilevati la perdita o l'utile (se non esposti separatamente).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Numeroelenco"/>
              <w:numPr>
                <w:ilvl w:val="0"/>
                <w:numId w:val="0"/>
              </w:numPr>
              <w:ind w:left="57"/>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Pr="009427EC" w:rsidRDefault="004300E2" w:rsidP="004300E2">
            <w:pPr>
              <w:rPr>
                <w:highlight w:val="yellow"/>
                <w:lang w:val="it-IT"/>
              </w:rPr>
            </w:pPr>
            <w:r w:rsidRPr="00237EFA">
              <w:rPr>
                <w:rFonts w:cs="EUAlbertina"/>
                <w:b/>
                <w:bCs/>
                <w:color w:val="19161B"/>
                <w:lang w:val="it-IT"/>
              </w:rPr>
              <w:t>Partecipazioni in accordi a controllo congiunto e società collegate</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237EFA">
              <w:rPr>
                <w:sz w:val="12"/>
                <w:szCs w:val="12"/>
                <w:lang w:val="it-IT"/>
              </w:rPr>
              <w:t>IFRS 12.20</w:t>
            </w:r>
          </w:p>
        </w:tc>
        <w:tc>
          <w:tcPr>
            <w:tcW w:w="7079" w:type="dxa"/>
            <w:tcMar>
              <w:left w:w="108" w:type="dxa"/>
            </w:tcMar>
          </w:tcPr>
          <w:p w:rsidR="004300E2" w:rsidRPr="00F2135E" w:rsidRDefault="004300E2" w:rsidP="004300E2">
            <w:pPr>
              <w:overflowPunct/>
              <w:spacing w:before="60" w:after="60" w:line="240" w:lineRule="auto"/>
              <w:jc w:val="left"/>
              <w:textAlignment w:val="auto"/>
              <w:rPr>
                <w:rFonts w:cs="EUAlbertina"/>
                <w:color w:val="19161B"/>
                <w:lang w:val="it-IT" w:eastAsia="it-IT"/>
              </w:rPr>
            </w:pPr>
            <w:r w:rsidRPr="00237EFA">
              <w:rPr>
                <w:rFonts w:cs="EUAlbertina"/>
                <w:bCs/>
                <w:color w:val="19161B"/>
                <w:lang w:val="it-IT" w:eastAsia="it-IT"/>
              </w:rPr>
              <w:t xml:space="preserve">L’entità deve fornire un’informativa che consenta agli utilizzatori del bilancio di valutare: </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D26424" w:rsidRPr="008129DA" w:rsidTr="00940A6F">
        <w:trPr>
          <w:cantSplit/>
        </w:trPr>
        <w:tc>
          <w:tcPr>
            <w:tcW w:w="567" w:type="dxa"/>
            <w:tcMar>
              <w:left w:w="108" w:type="dxa"/>
            </w:tcMar>
          </w:tcPr>
          <w:p w:rsidR="00D26424" w:rsidRPr="008A0F36" w:rsidRDefault="00D26424" w:rsidP="004300E2">
            <w:pPr>
              <w:pStyle w:val="Numeroelenco"/>
              <w:numPr>
                <w:ilvl w:val="0"/>
                <w:numId w:val="0"/>
              </w:numPr>
              <w:ind w:left="57"/>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F2135E" w:rsidRDefault="00D26424" w:rsidP="004300E2">
            <w:pPr>
              <w:overflowPunct/>
              <w:spacing w:before="60" w:line="240" w:lineRule="auto"/>
              <w:ind w:left="318" w:hanging="318"/>
              <w:textAlignment w:val="auto"/>
              <w:rPr>
                <w:rFonts w:cs="EUAlbertina"/>
                <w:color w:val="19161B"/>
                <w:lang w:val="it-IT" w:eastAsia="it-IT"/>
              </w:rPr>
            </w:pPr>
            <w:r w:rsidRPr="00237EFA">
              <w:rPr>
                <w:rFonts w:cs="EUAlbertina"/>
                <w:color w:val="19161B"/>
                <w:lang w:val="it-IT" w:eastAsia="it-IT"/>
              </w:rPr>
              <w:t xml:space="preserve">(a) </w:t>
            </w:r>
            <w:r w:rsidRPr="00237EFA">
              <w:rPr>
                <w:rFonts w:cs="EUAlbertina"/>
                <w:color w:val="19161B"/>
                <w:lang w:val="it-IT" w:eastAsia="it-IT"/>
              </w:rPr>
              <w:tab/>
            </w:r>
            <w:r w:rsidRPr="00237EFA">
              <w:rPr>
                <w:rFonts w:cs="EUAlbertina"/>
                <w:bCs/>
                <w:color w:val="19161B"/>
                <w:lang w:val="it-IT" w:eastAsia="it-IT"/>
              </w:rPr>
              <w:t>la natura, la misura e gli effetti economico-finanziari delle proprie interessenze in accordi a controllo congiunto e in società collegate, inclusi la natura e gli effetti della propria relazione contrattuale con gli altri investitori che esercitano il controllo congiunto, o un’influenza notevole, su un’attività economica nell’ambito di u</w:t>
            </w:r>
            <w:r>
              <w:rPr>
                <w:rFonts w:cs="EUAlbertina"/>
                <w:bCs/>
                <w:color w:val="19161B"/>
                <w:lang w:val="it-IT" w:eastAsia="it-IT"/>
              </w:rPr>
              <w:t xml:space="preserve"> </w:t>
            </w:r>
            <w:r w:rsidRPr="00237EFA">
              <w:rPr>
                <w:rFonts w:cs="EUAlbertina"/>
                <w:bCs/>
                <w:color w:val="19161B"/>
                <w:lang w:val="it-IT" w:eastAsia="it-IT"/>
              </w:rPr>
              <w:t xml:space="preserve">n accordo a controllo congiunto o su una </w:t>
            </w:r>
            <w:r>
              <w:rPr>
                <w:rFonts w:cs="EUAlbertina"/>
                <w:bCs/>
                <w:color w:val="19161B"/>
                <w:lang w:val="it-IT" w:eastAsia="it-IT"/>
              </w:rPr>
              <w:t>società collegata (vedi punti 162-163</w:t>
            </w:r>
            <w:r w:rsidRPr="00237EFA">
              <w:rPr>
                <w:rFonts w:cs="EUAlbertina"/>
                <w:bCs/>
                <w:color w:val="19161B"/>
                <w:lang w:val="it-IT" w:eastAsia="it-IT"/>
              </w:rPr>
              <w:t xml:space="preserve">); e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pStyle w:val="Numeroelenco"/>
              <w:numPr>
                <w:ilvl w:val="0"/>
                <w:numId w:val="0"/>
              </w:numPr>
              <w:ind w:left="57"/>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4300E2">
            <w:pPr>
              <w:overflowPunct/>
              <w:spacing w:after="60" w:line="240" w:lineRule="auto"/>
              <w:ind w:left="318" w:hanging="318"/>
              <w:textAlignment w:val="auto"/>
              <w:rPr>
                <w:rFonts w:cs="EUAlbertina"/>
                <w:bCs/>
                <w:color w:val="19161B"/>
                <w:lang w:val="it-IT" w:eastAsia="it-IT"/>
              </w:rPr>
            </w:pPr>
            <w:r w:rsidRPr="00237EFA">
              <w:rPr>
                <w:rFonts w:cs="EUAlbertina"/>
                <w:color w:val="19161B"/>
                <w:lang w:val="it-IT" w:eastAsia="it-IT"/>
              </w:rPr>
              <w:t xml:space="preserve">(b) </w:t>
            </w:r>
            <w:r w:rsidRPr="00237EFA">
              <w:rPr>
                <w:rFonts w:cs="EUAlbertina"/>
                <w:color w:val="19161B"/>
                <w:lang w:val="it-IT" w:eastAsia="it-IT"/>
              </w:rPr>
              <w:tab/>
            </w:r>
            <w:r w:rsidRPr="00F2135E">
              <w:rPr>
                <w:rFonts w:cs="EUAlbertina"/>
                <w:color w:val="19161B"/>
                <w:lang w:val="it-IT" w:eastAsia="it-IT"/>
              </w:rPr>
              <w:t xml:space="preserve">la natura e le variazioni dei rischi associati alle proprie interessenze in </w:t>
            </w:r>
            <w:r w:rsidRPr="000F56BA">
              <w:rPr>
                <w:rFonts w:cs="EUAlbertina"/>
                <w:i/>
                <w:color w:val="19161B"/>
                <w:lang w:val="it-IT" w:eastAsia="it-IT"/>
              </w:rPr>
              <w:t>joint venture</w:t>
            </w:r>
            <w:r w:rsidRPr="00F2135E">
              <w:rPr>
                <w:rFonts w:cs="EUAlbertina"/>
                <w:color w:val="19161B"/>
                <w:lang w:val="it-IT" w:eastAsia="it-IT"/>
              </w:rPr>
              <w:t xml:space="preserve"> e </w:t>
            </w:r>
            <w:r>
              <w:rPr>
                <w:rFonts w:cs="EUAlbertina"/>
                <w:color w:val="19161B"/>
                <w:lang w:val="it-IT" w:eastAsia="it-IT"/>
              </w:rPr>
              <w:t>società collegate (vedi punto 164</w:t>
            </w:r>
            <w:r w:rsidRPr="00F2135E">
              <w:rPr>
                <w:rFonts w:cs="EUAlbertina"/>
                <w:color w:val="19161B"/>
                <w:lang w:val="it-IT" w:eastAsia="it-IT"/>
              </w:rPr>
              <w:t>).</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D1A28"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237EFA">
              <w:rPr>
                <w:sz w:val="12"/>
                <w:szCs w:val="12"/>
                <w:lang w:val="it-IT"/>
              </w:rPr>
              <w:t>IFRS 12.21</w:t>
            </w:r>
          </w:p>
        </w:tc>
        <w:tc>
          <w:tcPr>
            <w:tcW w:w="7079" w:type="dxa"/>
            <w:tcMar>
              <w:left w:w="108" w:type="dxa"/>
            </w:tcMar>
          </w:tcPr>
          <w:p w:rsidR="004300E2" w:rsidRPr="0092568D" w:rsidRDefault="004300E2" w:rsidP="004300E2">
            <w:pPr>
              <w:overflowPunct/>
              <w:spacing w:before="60" w:after="60" w:line="240" w:lineRule="auto"/>
              <w:jc w:val="left"/>
              <w:textAlignment w:val="auto"/>
              <w:rPr>
                <w:rFonts w:cs="EUAlbertina"/>
                <w:color w:val="19161B"/>
                <w:lang w:val="it-IT" w:eastAsia="it-IT"/>
              </w:rPr>
            </w:pPr>
            <w:r w:rsidRPr="00237EFA">
              <w:rPr>
                <w:rFonts w:cs="EUAlbertina"/>
                <w:color w:val="19161B"/>
                <w:lang w:val="it-IT" w:eastAsia="it-IT"/>
              </w:rPr>
              <w:t xml:space="preserve">L'entità deve indicare: </w:t>
            </w:r>
          </w:p>
        </w:tc>
        <w:tc>
          <w:tcPr>
            <w:tcW w:w="575" w:type="dxa"/>
            <w:tcMar>
              <w:left w:w="85" w:type="dxa"/>
              <w:right w:w="85" w:type="dxa"/>
            </w:tcMar>
            <w:vAlign w:val="center"/>
          </w:tcPr>
          <w:p w:rsidR="004300E2" w:rsidRDefault="004300E2" w:rsidP="004300E2">
            <w:pPr>
              <w:jc w:val="center"/>
            </w:pPr>
          </w:p>
        </w:tc>
        <w:tc>
          <w:tcPr>
            <w:tcW w:w="567" w:type="dxa"/>
            <w:tcMar>
              <w:left w:w="108" w:type="dxa"/>
            </w:tcMar>
            <w:vAlign w:val="center"/>
          </w:tcPr>
          <w:p w:rsidR="004300E2" w:rsidRDefault="004300E2" w:rsidP="004300E2">
            <w:pPr>
              <w:jc w:val="center"/>
            </w:pPr>
          </w:p>
        </w:tc>
        <w:tc>
          <w:tcPr>
            <w:tcW w:w="567" w:type="dxa"/>
            <w:tcMar>
              <w:left w:w="108" w:type="dxa"/>
            </w:tcMar>
            <w:vAlign w:val="center"/>
          </w:tcPr>
          <w:p w:rsidR="004300E2" w:rsidRDefault="004300E2" w:rsidP="004300E2">
            <w:pPr>
              <w:jc w:val="center"/>
            </w:pPr>
          </w:p>
        </w:tc>
      </w:tr>
      <w:tr w:rsidR="00D26424" w:rsidRPr="008129DA" w:rsidTr="00940A6F">
        <w:trPr>
          <w:cantSplit/>
        </w:trPr>
        <w:tc>
          <w:tcPr>
            <w:tcW w:w="567" w:type="dxa"/>
            <w:tcMar>
              <w:left w:w="108" w:type="dxa"/>
            </w:tcMar>
          </w:tcPr>
          <w:p w:rsidR="00D26424" w:rsidRPr="008A0F36" w:rsidRDefault="00D26424" w:rsidP="004300E2">
            <w:pPr>
              <w:pStyle w:val="Numeroelenco"/>
              <w:numPr>
                <w:ilvl w:val="0"/>
                <w:numId w:val="0"/>
              </w:numPr>
              <w:ind w:left="57"/>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4300E2">
            <w:pPr>
              <w:overflowPunct/>
              <w:spacing w:before="60" w:after="0" w:line="240" w:lineRule="auto"/>
              <w:ind w:left="318" w:hanging="284"/>
              <w:textAlignment w:val="auto"/>
              <w:rPr>
                <w:rFonts w:cs="EUAlbertina"/>
                <w:color w:val="19161B"/>
                <w:lang w:val="it-IT" w:eastAsia="it-IT"/>
              </w:rPr>
            </w:pPr>
            <w:r w:rsidRPr="00237EFA">
              <w:rPr>
                <w:rFonts w:cs="EUAlbertina"/>
                <w:color w:val="19161B"/>
                <w:lang w:val="it-IT" w:eastAsia="it-IT"/>
              </w:rPr>
              <w:t xml:space="preserve">(a) </w:t>
            </w:r>
            <w:r w:rsidRPr="00237EFA">
              <w:rPr>
                <w:rFonts w:cs="EUAlbertina"/>
                <w:color w:val="19161B"/>
                <w:lang w:val="it-IT" w:eastAsia="it-IT"/>
              </w:rPr>
              <w:tab/>
              <w:t>per ciascun accordo a controllo congiunto e società collegata che siano rilevanti per l'</w:t>
            </w:r>
            <w:r>
              <w:rPr>
                <w:rFonts w:cs="EUAlbertina"/>
                <w:color w:val="19161B"/>
                <w:lang w:val="it-IT" w:eastAsia="it-IT"/>
              </w:rPr>
              <w:t xml:space="preserve">entità che redige il bilancio: </w:t>
            </w:r>
          </w:p>
        </w:tc>
        <w:tc>
          <w:tcPr>
            <w:tcW w:w="575" w:type="dxa"/>
            <w:tcMar>
              <w:left w:w="85" w:type="dxa"/>
              <w:right w:w="85" w:type="dxa"/>
            </w:tcMar>
            <w:vAlign w:val="center"/>
          </w:tcPr>
          <w:p w:rsidR="00D26424" w:rsidRPr="00DC690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DC690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DC690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pStyle w:val="Numeroelenco"/>
              <w:numPr>
                <w:ilvl w:val="0"/>
                <w:numId w:val="0"/>
              </w:numPr>
              <w:ind w:left="57"/>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4300E2">
            <w:pPr>
              <w:overflowPunct/>
              <w:spacing w:before="0" w:after="0" w:line="240" w:lineRule="auto"/>
              <w:ind w:left="602" w:hanging="284"/>
              <w:textAlignment w:val="auto"/>
              <w:rPr>
                <w:rFonts w:cs="EUAlbertina"/>
                <w:color w:val="19161B"/>
                <w:lang w:val="it-IT" w:eastAsia="it-IT"/>
              </w:rPr>
            </w:pPr>
            <w:r w:rsidRPr="00237EFA">
              <w:rPr>
                <w:rFonts w:cs="EUAlbertina"/>
                <w:color w:val="19161B"/>
                <w:lang w:val="it-IT" w:eastAsia="it-IT"/>
              </w:rPr>
              <w:t xml:space="preserve">(i) </w:t>
            </w:r>
            <w:r w:rsidRPr="00237EFA">
              <w:rPr>
                <w:rFonts w:cs="EUAlbertina"/>
                <w:color w:val="19161B"/>
                <w:lang w:val="it-IT" w:eastAsia="it-IT"/>
              </w:rPr>
              <w:tab/>
              <w:t>la ragione sociale dell’accordo a controllo congiu</w:t>
            </w:r>
            <w:r>
              <w:rPr>
                <w:rFonts w:cs="EUAlbertina"/>
                <w:color w:val="19161B"/>
                <w:lang w:val="it-IT" w:eastAsia="it-IT"/>
              </w:rPr>
              <w:t xml:space="preserve">nto o della società collegata;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pStyle w:val="Numeroelenco"/>
              <w:numPr>
                <w:ilvl w:val="0"/>
                <w:numId w:val="0"/>
              </w:numPr>
              <w:ind w:left="57"/>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4300E2">
            <w:pPr>
              <w:overflowPunct/>
              <w:spacing w:after="40" w:line="240" w:lineRule="auto"/>
              <w:ind w:left="602" w:hanging="284"/>
              <w:textAlignment w:val="auto"/>
              <w:rPr>
                <w:rFonts w:cs="EUAlbertina"/>
                <w:color w:val="19161B"/>
                <w:lang w:val="it-IT" w:eastAsia="it-IT"/>
              </w:rPr>
            </w:pPr>
            <w:r w:rsidRPr="00237EFA">
              <w:rPr>
                <w:rFonts w:cs="EUAlbertina"/>
                <w:color w:val="19161B"/>
                <w:lang w:val="it-IT" w:eastAsia="it-IT"/>
              </w:rPr>
              <w:t xml:space="preserve">(ii) </w:t>
            </w:r>
            <w:r w:rsidRPr="00237EFA">
              <w:rPr>
                <w:rFonts w:cs="EUAlbertina"/>
                <w:color w:val="19161B"/>
                <w:lang w:val="it-IT" w:eastAsia="it-IT"/>
              </w:rPr>
              <w:tab/>
              <w:t>la natura della relazione dell’entità con l’accordo a controllo congiunto o società collegata (descrivendo, per esempio, la natura delle attività dell’accordo a controllo congiunto o della società collegata e se essi sono strategici</w:t>
            </w:r>
            <w:r>
              <w:rPr>
                <w:rFonts w:cs="EUAlbertina"/>
                <w:color w:val="19161B"/>
                <w:lang w:val="it-IT" w:eastAsia="it-IT"/>
              </w:rPr>
              <w:t xml:space="preserve"> per le attività dell’entità);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pStyle w:val="Numeroelenco"/>
              <w:numPr>
                <w:ilvl w:val="0"/>
                <w:numId w:val="0"/>
              </w:numPr>
              <w:ind w:left="57"/>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4300E2">
            <w:pPr>
              <w:overflowPunct/>
              <w:spacing w:after="40" w:line="240" w:lineRule="auto"/>
              <w:ind w:left="602" w:hanging="284"/>
              <w:textAlignment w:val="auto"/>
              <w:rPr>
                <w:rFonts w:cs="EUAlbertina"/>
                <w:color w:val="19161B"/>
                <w:lang w:val="it-IT" w:eastAsia="it-IT"/>
              </w:rPr>
            </w:pPr>
            <w:r w:rsidRPr="00237EFA">
              <w:rPr>
                <w:rFonts w:cs="EUAlbertina"/>
                <w:color w:val="19161B"/>
                <w:lang w:val="it-IT" w:eastAsia="it-IT"/>
              </w:rPr>
              <w:t xml:space="preserve">(iii) </w:t>
            </w:r>
            <w:r w:rsidRPr="00237EFA">
              <w:rPr>
                <w:rFonts w:cs="EUAlbertina"/>
                <w:color w:val="19161B"/>
                <w:lang w:val="it-IT" w:eastAsia="it-IT"/>
              </w:rPr>
              <w:tab/>
              <w:t>la sede operativa principale (e la sede legale, se applicabile e se diversa dalla sede operativa principale) dell’accordo a controllo congiu</w:t>
            </w:r>
            <w:r>
              <w:rPr>
                <w:rFonts w:cs="EUAlbertina"/>
                <w:color w:val="19161B"/>
                <w:lang w:val="it-IT" w:eastAsia="it-IT"/>
              </w:rPr>
              <w:t xml:space="preserve">nto o della società collegata;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pStyle w:val="Numeroelenco"/>
              <w:numPr>
                <w:ilvl w:val="0"/>
                <w:numId w:val="0"/>
              </w:numPr>
              <w:ind w:left="57"/>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4300E2">
            <w:pPr>
              <w:overflowPunct/>
              <w:spacing w:after="60" w:line="240" w:lineRule="auto"/>
              <w:ind w:left="602" w:hanging="284"/>
              <w:textAlignment w:val="auto"/>
              <w:rPr>
                <w:rFonts w:cs="EUAlbertina"/>
                <w:color w:val="19161B"/>
                <w:lang w:val="it-IT" w:eastAsia="it-IT"/>
              </w:rPr>
            </w:pPr>
            <w:r w:rsidRPr="00237EFA">
              <w:rPr>
                <w:rFonts w:cs="EUAlbertina"/>
                <w:color w:val="19161B"/>
                <w:lang w:val="it-IT" w:eastAsia="it-IT"/>
              </w:rPr>
              <w:t xml:space="preserve">(iv) </w:t>
            </w:r>
            <w:r w:rsidRPr="00237EFA">
              <w:rPr>
                <w:rFonts w:cs="EUAlbertina"/>
                <w:color w:val="19161B"/>
                <w:lang w:val="it-IT" w:eastAsia="it-IT"/>
              </w:rPr>
              <w:tab/>
              <w:t xml:space="preserve">la quota di interessenza partecipativa o la quota partecipativa detenuta dall'entità e, se diversa, la quota parte dei diritti di voto detenuti (se applicabile);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D26424">
        <w:trPr>
          <w:cantSplit/>
        </w:trPr>
        <w:tc>
          <w:tcPr>
            <w:tcW w:w="567" w:type="dxa"/>
            <w:tcMar>
              <w:left w:w="108" w:type="dxa"/>
            </w:tcMar>
          </w:tcPr>
          <w:p w:rsidR="00D26424" w:rsidRPr="008A0F36" w:rsidRDefault="00D26424" w:rsidP="004300E2">
            <w:pPr>
              <w:pStyle w:val="Numeroelenco"/>
              <w:numPr>
                <w:ilvl w:val="0"/>
                <w:numId w:val="0"/>
              </w:numPr>
              <w:ind w:left="57"/>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4300E2">
            <w:pPr>
              <w:overflowPunct/>
              <w:spacing w:before="60" w:after="0" w:line="240" w:lineRule="auto"/>
              <w:ind w:left="318" w:hanging="284"/>
              <w:textAlignment w:val="auto"/>
              <w:rPr>
                <w:rFonts w:cs="EUAlbertina"/>
                <w:color w:val="19161B"/>
                <w:lang w:val="it-IT" w:eastAsia="it-IT"/>
              </w:rPr>
            </w:pPr>
            <w:r w:rsidRPr="00237EFA">
              <w:rPr>
                <w:rFonts w:cs="EUAlbertina"/>
                <w:color w:val="19161B"/>
                <w:lang w:val="it-IT" w:eastAsia="it-IT"/>
              </w:rPr>
              <w:t xml:space="preserve">(b) </w:t>
            </w:r>
            <w:r w:rsidRPr="00237EFA">
              <w:rPr>
                <w:rFonts w:cs="EUAlbertina"/>
                <w:color w:val="19161B"/>
                <w:lang w:val="it-IT" w:eastAsia="it-IT"/>
              </w:rPr>
              <w:tab/>
              <w:t xml:space="preserve">per ciascuna </w:t>
            </w:r>
            <w:r w:rsidRPr="000F56BA">
              <w:rPr>
                <w:rFonts w:cs="EUAlbertina"/>
                <w:i/>
                <w:color w:val="19161B"/>
                <w:lang w:val="it-IT" w:eastAsia="it-IT"/>
              </w:rPr>
              <w:t>joint venture</w:t>
            </w:r>
            <w:r w:rsidRPr="00237EFA">
              <w:rPr>
                <w:rFonts w:cs="EUAlbertina"/>
                <w:color w:val="19161B"/>
                <w:lang w:val="it-IT" w:eastAsia="it-IT"/>
              </w:rPr>
              <w:t xml:space="preserve"> e società collegata rilevante per l'entità che redige il bilancio: </w:t>
            </w:r>
          </w:p>
        </w:tc>
        <w:tc>
          <w:tcPr>
            <w:tcW w:w="575" w:type="dxa"/>
            <w:tcMar>
              <w:left w:w="85" w:type="dxa"/>
              <w:right w:w="85" w:type="dxa"/>
            </w:tcMar>
            <w:vAlign w:val="center"/>
          </w:tcPr>
          <w:p w:rsidR="00D26424" w:rsidRPr="004F5A62"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B26EB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B26EB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pStyle w:val="Numeroelenco"/>
              <w:numPr>
                <w:ilvl w:val="0"/>
                <w:numId w:val="0"/>
              </w:numPr>
              <w:ind w:left="57"/>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3B4450">
            <w:pPr>
              <w:overflowPunct/>
              <w:spacing w:after="0" w:line="240" w:lineRule="auto"/>
              <w:ind w:left="602" w:hanging="284"/>
              <w:textAlignment w:val="auto"/>
              <w:rPr>
                <w:rFonts w:cs="EUAlbertina"/>
                <w:color w:val="19161B"/>
                <w:lang w:val="it-IT" w:eastAsia="it-IT"/>
              </w:rPr>
            </w:pPr>
            <w:r w:rsidRPr="00237EFA">
              <w:rPr>
                <w:rFonts w:cs="EUAlbertina"/>
                <w:color w:val="19161B"/>
                <w:lang w:val="it-IT" w:eastAsia="it-IT"/>
              </w:rPr>
              <w:t xml:space="preserve">(i) </w:t>
            </w:r>
            <w:r>
              <w:rPr>
                <w:rFonts w:cs="EUAlbertina"/>
                <w:color w:val="19161B"/>
                <w:lang w:val="it-IT" w:eastAsia="it-IT"/>
              </w:rPr>
              <w:tab/>
            </w:r>
            <w:r w:rsidRPr="00237EFA">
              <w:rPr>
                <w:rFonts w:cs="EUAlbertina"/>
                <w:color w:val="19161B"/>
                <w:lang w:val="it-IT" w:eastAsia="it-IT"/>
              </w:rPr>
              <w:t xml:space="preserve">se la partecipazione nella </w:t>
            </w:r>
            <w:r w:rsidRPr="00237EFA">
              <w:rPr>
                <w:rFonts w:cs="EUAlbertina"/>
                <w:i/>
                <w:color w:val="19161B"/>
                <w:lang w:val="it-IT" w:eastAsia="it-IT"/>
              </w:rPr>
              <w:t>joint venture</w:t>
            </w:r>
            <w:r w:rsidRPr="00237EFA">
              <w:rPr>
                <w:rFonts w:cs="EUAlbertina"/>
                <w:color w:val="19161B"/>
                <w:lang w:val="it-IT" w:eastAsia="it-IT"/>
              </w:rPr>
              <w:t xml:space="preserve"> o società collegata è valutata applicando il metodo del patrimonio netto o al </w:t>
            </w:r>
            <w:r w:rsidRPr="00237EFA">
              <w:rPr>
                <w:rFonts w:cs="EUAlbertina"/>
                <w:i/>
                <w:color w:val="19161B"/>
                <w:lang w:val="it-IT" w:eastAsia="it-IT"/>
              </w:rPr>
              <w:t>fair value</w:t>
            </w:r>
            <w:r w:rsidRPr="00237EFA">
              <w:rPr>
                <w:rFonts w:cs="EUAlbertina"/>
                <w:color w:val="19161B"/>
                <w:lang w:val="it-IT" w:eastAsia="it-IT"/>
              </w:rPr>
              <w:t xml:space="preserve">;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pStyle w:val="Numeroelenco"/>
              <w:numPr>
                <w:ilvl w:val="0"/>
                <w:numId w:val="0"/>
              </w:numPr>
              <w:ind w:left="57"/>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3B4450">
            <w:pPr>
              <w:overflowPunct/>
              <w:spacing w:line="240" w:lineRule="exact"/>
              <w:ind w:left="602" w:hanging="284"/>
              <w:textAlignment w:val="auto"/>
              <w:rPr>
                <w:rFonts w:cs="EUAlbertina"/>
                <w:color w:val="19161B"/>
                <w:lang w:val="it-IT" w:eastAsia="it-IT"/>
              </w:rPr>
            </w:pPr>
            <w:r w:rsidRPr="00237EFA">
              <w:rPr>
                <w:rFonts w:cs="EUAlbertina"/>
                <w:color w:val="19161B"/>
                <w:lang w:val="it-IT" w:eastAsia="it-IT"/>
              </w:rPr>
              <w:t xml:space="preserve">(ii) un riepilogo dei dati economico-finanziari sulla </w:t>
            </w:r>
            <w:r w:rsidRPr="000F56BA">
              <w:rPr>
                <w:rFonts w:cs="EUAlbertina"/>
                <w:i/>
                <w:color w:val="19161B"/>
                <w:lang w:val="it-IT" w:eastAsia="it-IT"/>
              </w:rPr>
              <w:t>joint venture</w:t>
            </w:r>
            <w:r w:rsidRPr="00237EFA">
              <w:rPr>
                <w:rFonts w:cs="EUAlbertina"/>
                <w:color w:val="19161B"/>
                <w:lang w:val="it-IT" w:eastAsia="it-IT"/>
              </w:rPr>
              <w:t xml:space="preserve"> o società collegata secondo quanto specificato nei paragrafi B12 e B</w:t>
            </w:r>
            <w:r>
              <w:rPr>
                <w:rFonts w:cs="EUAlbertina"/>
                <w:color w:val="19161B"/>
                <w:lang w:val="it-IT" w:eastAsia="it-IT"/>
              </w:rPr>
              <w:t>13 dell’IFRS 12 (vedere punti 163 e 164</w:t>
            </w:r>
            <w:r w:rsidRPr="00237EFA">
              <w:rPr>
                <w:rFonts w:cs="EUAlbertina"/>
                <w:color w:val="19161B"/>
                <w:lang w:val="it-IT" w:eastAsia="it-IT"/>
              </w:rPr>
              <w:t xml:space="preserve">);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pStyle w:val="Numeroelenco"/>
              <w:numPr>
                <w:ilvl w:val="0"/>
                <w:numId w:val="0"/>
              </w:numPr>
              <w:ind w:left="57"/>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4300E2">
            <w:pPr>
              <w:overflowPunct/>
              <w:spacing w:before="0" w:after="0" w:line="240" w:lineRule="auto"/>
              <w:ind w:left="602" w:hanging="284"/>
              <w:textAlignment w:val="auto"/>
              <w:rPr>
                <w:rFonts w:cs="EUAlbertina"/>
                <w:color w:val="19161B"/>
                <w:lang w:val="it-IT" w:eastAsia="it-IT"/>
              </w:rPr>
            </w:pPr>
            <w:r w:rsidRPr="00237EFA">
              <w:rPr>
                <w:rFonts w:cs="EUAlbertina"/>
                <w:color w:val="19161B"/>
                <w:lang w:val="it-IT" w:eastAsia="it-IT"/>
              </w:rPr>
              <w:t xml:space="preserve">(iii) se la </w:t>
            </w:r>
            <w:r w:rsidRPr="00237EFA">
              <w:rPr>
                <w:rFonts w:cs="EUAlbertina"/>
                <w:i/>
                <w:color w:val="19161B"/>
                <w:lang w:val="it-IT" w:eastAsia="it-IT"/>
              </w:rPr>
              <w:t>joint venture</w:t>
            </w:r>
            <w:r w:rsidRPr="00237EFA">
              <w:rPr>
                <w:rFonts w:cs="EUAlbertina"/>
                <w:color w:val="19161B"/>
                <w:lang w:val="it-IT" w:eastAsia="it-IT"/>
              </w:rPr>
              <w:t xml:space="preserve"> o la società collegata sono contabilizzate con il metodo del patrimonio netto, il </w:t>
            </w:r>
            <w:r w:rsidRPr="00237EFA">
              <w:rPr>
                <w:rFonts w:cs="EUAlbertina"/>
                <w:i/>
                <w:color w:val="19161B"/>
                <w:lang w:val="it-IT" w:eastAsia="it-IT"/>
              </w:rPr>
              <w:t>fair value</w:t>
            </w:r>
            <w:r w:rsidRPr="00237EFA">
              <w:rPr>
                <w:rFonts w:cs="EUAlbertina"/>
                <w:color w:val="19161B"/>
                <w:lang w:val="it-IT" w:eastAsia="it-IT"/>
              </w:rPr>
              <w:t xml:space="preserve"> della partecipazione nella </w:t>
            </w:r>
            <w:r w:rsidRPr="00237EFA">
              <w:rPr>
                <w:rFonts w:cs="EUAlbertina"/>
                <w:i/>
                <w:color w:val="19161B"/>
                <w:lang w:val="it-IT" w:eastAsia="it-IT"/>
              </w:rPr>
              <w:t>joint venture</w:t>
            </w:r>
            <w:r w:rsidRPr="00237EFA">
              <w:rPr>
                <w:rFonts w:cs="EUAlbertina"/>
                <w:color w:val="19161B"/>
                <w:lang w:val="it-IT" w:eastAsia="it-IT"/>
              </w:rPr>
              <w:t xml:space="preserve"> o società collegata, se esiste un prezzo di mercato quotato per la partecipazione;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D26424">
        <w:trPr>
          <w:cantSplit/>
        </w:trPr>
        <w:tc>
          <w:tcPr>
            <w:tcW w:w="567" w:type="dxa"/>
            <w:tcMar>
              <w:left w:w="108" w:type="dxa"/>
            </w:tcMar>
          </w:tcPr>
          <w:p w:rsidR="00D26424" w:rsidRPr="008A0F36" w:rsidRDefault="00D26424" w:rsidP="004300E2">
            <w:pPr>
              <w:pStyle w:val="Numeroelenco"/>
              <w:numPr>
                <w:ilvl w:val="0"/>
                <w:numId w:val="0"/>
              </w:numPr>
              <w:ind w:left="57"/>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3B4450">
            <w:pPr>
              <w:overflowPunct/>
              <w:spacing w:line="240" w:lineRule="exact"/>
              <w:ind w:left="318" w:hanging="318"/>
              <w:textAlignment w:val="auto"/>
              <w:rPr>
                <w:rFonts w:cs="EUAlbertina"/>
                <w:color w:val="19161B"/>
                <w:lang w:val="it-IT" w:eastAsia="it-IT"/>
              </w:rPr>
            </w:pPr>
            <w:r w:rsidRPr="00237EFA">
              <w:rPr>
                <w:rFonts w:cs="EUAlbertina"/>
                <w:color w:val="19161B"/>
                <w:lang w:val="it-IT" w:eastAsia="it-IT"/>
              </w:rPr>
              <w:t xml:space="preserve">(c) </w:t>
            </w:r>
            <w:r w:rsidRPr="00237EFA">
              <w:rPr>
                <w:rFonts w:cs="EUAlbertina"/>
                <w:color w:val="19161B"/>
                <w:lang w:val="it-IT" w:eastAsia="it-IT"/>
              </w:rPr>
              <w:tab/>
              <w:t>le informazioni economico-finanziarie secondo quanto specificato nel paragrafo</w:t>
            </w:r>
            <w:r>
              <w:rPr>
                <w:rFonts w:cs="EUAlbertina"/>
                <w:color w:val="19161B"/>
                <w:lang w:val="it-IT" w:eastAsia="it-IT"/>
              </w:rPr>
              <w:t xml:space="preserve"> B16 dell’IFRS 12 (vedi punti 165</w:t>
            </w:r>
            <w:r w:rsidRPr="00237EFA">
              <w:rPr>
                <w:rFonts w:cs="EUAlbertina"/>
                <w:color w:val="19161B"/>
                <w:lang w:val="it-IT" w:eastAsia="it-IT"/>
              </w:rPr>
              <w:t xml:space="preserve">) sulle partecipazioni dell'entità in </w:t>
            </w:r>
            <w:r w:rsidRPr="00237EFA">
              <w:rPr>
                <w:rFonts w:cs="EUAlbertina"/>
                <w:i/>
                <w:color w:val="19161B"/>
                <w:lang w:val="it-IT" w:eastAsia="it-IT"/>
              </w:rPr>
              <w:t>joint venture</w:t>
            </w:r>
            <w:r w:rsidRPr="00237EFA">
              <w:rPr>
                <w:rFonts w:cs="EUAlbertina"/>
                <w:color w:val="19161B"/>
                <w:lang w:val="it-IT" w:eastAsia="it-IT"/>
              </w:rPr>
              <w:t xml:space="preserve"> e società collegate non rilevanti singolarmente: </w:t>
            </w:r>
          </w:p>
        </w:tc>
        <w:tc>
          <w:tcPr>
            <w:tcW w:w="575" w:type="dxa"/>
            <w:tcMar>
              <w:left w:w="85" w:type="dxa"/>
              <w:right w:w="85" w:type="dxa"/>
            </w:tcMar>
            <w:vAlign w:val="center"/>
          </w:tcPr>
          <w:p w:rsidR="00D26424" w:rsidRPr="004F5A62"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B26EB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B26EB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pStyle w:val="Numeroelenco"/>
              <w:numPr>
                <w:ilvl w:val="0"/>
                <w:numId w:val="0"/>
              </w:numPr>
              <w:ind w:left="57"/>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4300E2">
            <w:pPr>
              <w:overflowPunct/>
              <w:spacing w:before="0" w:after="0" w:line="240" w:lineRule="auto"/>
              <w:ind w:left="602" w:hanging="284"/>
              <w:jc w:val="left"/>
              <w:textAlignment w:val="auto"/>
              <w:rPr>
                <w:rFonts w:cs="EUAlbertina"/>
                <w:color w:val="19161B"/>
                <w:lang w:val="it-IT" w:eastAsia="it-IT"/>
              </w:rPr>
            </w:pPr>
            <w:r w:rsidRPr="00237EFA">
              <w:rPr>
                <w:rFonts w:cs="EUAlbertina"/>
                <w:color w:val="19161B"/>
                <w:lang w:val="it-IT" w:eastAsia="it-IT"/>
              </w:rPr>
              <w:t xml:space="preserve">(i) </w:t>
            </w:r>
            <w:r>
              <w:rPr>
                <w:rFonts w:cs="EUAlbertina"/>
                <w:color w:val="19161B"/>
                <w:lang w:val="it-IT" w:eastAsia="it-IT"/>
              </w:rPr>
              <w:tab/>
            </w:r>
            <w:r w:rsidRPr="00237EFA">
              <w:rPr>
                <w:rFonts w:cs="EUAlbertina"/>
                <w:color w:val="19161B"/>
                <w:lang w:val="it-IT" w:eastAsia="it-IT"/>
              </w:rPr>
              <w:t xml:space="preserve">cumulativamente, nel caso di </w:t>
            </w:r>
            <w:r w:rsidRPr="000F56BA">
              <w:rPr>
                <w:rFonts w:cs="EUAlbertina"/>
                <w:i/>
                <w:color w:val="19161B"/>
                <w:lang w:val="it-IT" w:eastAsia="it-IT"/>
              </w:rPr>
              <w:t>joint venture</w:t>
            </w:r>
            <w:r w:rsidRPr="00237EFA">
              <w:rPr>
                <w:rFonts w:cs="EUAlbertina"/>
                <w:color w:val="19161B"/>
                <w:lang w:val="it-IT" w:eastAsia="it-IT"/>
              </w:rPr>
              <w:t xml:space="preserve"> irrilevanti singolarmente e, separatamente,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pStyle w:val="Numeroelenco"/>
              <w:numPr>
                <w:ilvl w:val="0"/>
                <w:numId w:val="0"/>
              </w:numPr>
              <w:ind w:left="57"/>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4300E2">
            <w:pPr>
              <w:overflowPunct/>
              <w:spacing w:before="0" w:after="0" w:line="240" w:lineRule="auto"/>
              <w:ind w:left="602" w:hanging="284"/>
              <w:jc w:val="left"/>
              <w:textAlignment w:val="auto"/>
              <w:rPr>
                <w:rFonts w:cs="EUAlbertina"/>
                <w:color w:val="19161B"/>
                <w:lang w:val="it-IT" w:eastAsia="it-IT"/>
              </w:rPr>
            </w:pPr>
            <w:r w:rsidRPr="00237EFA">
              <w:rPr>
                <w:rFonts w:cs="EUAlbertina"/>
                <w:color w:val="19161B"/>
                <w:lang w:val="it-IT" w:eastAsia="it-IT"/>
              </w:rPr>
              <w:t xml:space="preserve">(ii) </w:t>
            </w:r>
            <w:r>
              <w:rPr>
                <w:rFonts w:cs="EUAlbertina"/>
                <w:color w:val="19161B"/>
                <w:lang w:val="it-IT" w:eastAsia="it-IT"/>
              </w:rPr>
              <w:tab/>
            </w:r>
            <w:r w:rsidRPr="00237EFA">
              <w:rPr>
                <w:rFonts w:cs="EUAlbertina"/>
                <w:color w:val="19161B"/>
                <w:lang w:val="it-IT" w:eastAsia="it-IT"/>
              </w:rPr>
              <w:t>cumulativamente per tutte le società collegate irrilevanti singolarmente.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497D32">
        <w:trPr>
          <w:cantSplit/>
        </w:trPr>
        <w:tc>
          <w:tcPr>
            <w:tcW w:w="567" w:type="dxa"/>
            <w:tcMar>
              <w:left w:w="108" w:type="dxa"/>
            </w:tcMar>
          </w:tcPr>
          <w:p w:rsidR="004300E2" w:rsidRPr="008A0F36" w:rsidRDefault="004300E2" w:rsidP="004300E2">
            <w:pPr>
              <w:pStyle w:val="Numeroelenco"/>
              <w:numPr>
                <w:ilvl w:val="0"/>
                <w:numId w:val="0"/>
              </w:numPr>
              <w:ind w:left="57"/>
              <w:rPr>
                <w:lang w:val="it-IT"/>
              </w:rPr>
            </w:pPr>
          </w:p>
        </w:tc>
        <w:tc>
          <w:tcPr>
            <w:tcW w:w="851" w:type="dxa"/>
            <w:tcMar>
              <w:left w:w="108" w:type="dxa"/>
              <w:right w:w="0" w:type="dxa"/>
            </w:tcMar>
          </w:tcPr>
          <w:p w:rsidR="004300E2" w:rsidRPr="008A0F36" w:rsidRDefault="004300E2" w:rsidP="004300E2">
            <w:pPr>
              <w:pStyle w:val="IAS"/>
              <w:rPr>
                <w:lang w:val="it-IT"/>
              </w:rPr>
            </w:pPr>
            <w:r>
              <w:rPr>
                <w:sz w:val="12"/>
                <w:szCs w:val="12"/>
                <w:lang w:val="it-IT"/>
              </w:rPr>
              <w:t>IFRS 12.21A</w:t>
            </w:r>
          </w:p>
        </w:tc>
        <w:tc>
          <w:tcPr>
            <w:tcW w:w="7079" w:type="dxa"/>
            <w:shd w:val="clear" w:color="auto" w:fill="D9D9D9" w:themeFill="background1" w:themeFillShade="D9"/>
            <w:tcMar>
              <w:left w:w="108" w:type="dxa"/>
            </w:tcMar>
          </w:tcPr>
          <w:p w:rsidR="004300E2" w:rsidRPr="001723C8" w:rsidRDefault="004300E2" w:rsidP="00003D7F">
            <w:pPr>
              <w:pStyle w:val="Paragarfobordato"/>
              <w:rPr>
                <w:rStyle w:val="Enfasicorsivo"/>
                <w:i w:val="0"/>
              </w:rPr>
            </w:pPr>
            <w:r w:rsidRPr="001723C8">
              <w:rPr>
                <w:rStyle w:val="Enfasicorsivo"/>
                <w:i w:val="0"/>
              </w:rPr>
              <w:t xml:space="preserve">Se l’entità si qualifica come un’entità di investimento </w:t>
            </w:r>
            <w:r>
              <w:rPr>
                <w:rStyle w:val="Enfasicorsivo"/>
                <w:i w:val="0"/>
              </w:rPr>
              <w:t>(vedi punti 1</w:t>
            </w:r>
            <w:r w:rsidR="00D20202">
              <w:rPr>
                <w:rStyle w:val="Enfasicorsivo"/>
                <w:i w:val="0"/>
              </w:rPr>
              <w:t>79</w:t>
            </w:r>
            <w:r>
              <w:rPr>
                <w:rStyle w:val="Enfasicorsivo"/>
                <w:i w:val="0"/>
              </w:rPr>
              <w:t>-19</w:t>
            </w:r>
            <w:r w:rsidR="00D20202">
              <w:rPr>
                <w:rStyle w:val="Enfasicorsivo"/>
                <w:i w:val="0"/>
              </w:rPr>
              <w:t>1</w:t>
            </w:r>
            <w:r>
              <w:rPr>
                <w:rStyle w:val="Enfasicorsivo"/>
                <w:i w:val="0"/>
              </w:rPr>
              <w:t xml:space="preserve">) </w:t>
            </w:r>
            <w:r w:rsidRPr="001723C8">
              <w:rPr>
                <w:rStyle w:val="Enfasicorsivo"/>
                <w:i w:val="0"/>
              </w:rPr>
              <w:t>non deve fornire le informazioni integrative richieste dai paragrafi 21(b)–21(c) dell’IFRS 12, riportate nel precedente punto.</w:t>
            </w:r>
          </w:p>
        </w:tc>
        <w:tc>
          <w:tcPr>
            <w:tcW w:w="575" w:type="dxa"/>
            <w:tcMar>
              <w:left w:w="85" w:type="dxa"/>
              <w:right w:w="85" w:type="dxa"/>
            </w:tcMar>
            <w:vAlign w:val="center"/>
          </w:tcPr>
          <w:p w:rsidR="004300E2" w:rsidRPr="00DC6901" w:rsidRDefault="004300E2" w:rsidP="004300E2">
            <w:pPr>
              <w:jc w:val="center"/>
              <w:rPr>
                <w:lang w:val="it-IT"/>
              </w:rPr>
            </w:pPr>
          </w:p>
        </w:tc>
        <w:tc>
          <w:tcPr>
            <w:tcW w:w="567" w:type="dxa"/>
            <w:tcMar>
              <w:left w:w="108" w:type="dxa"/>
            </w:tcMar>
            <w:vAlign w:val="center"/>
          </w:tcPr>
          <w:p w:rsidR="004300E2" w:rsidRPr="00DC6901" w:rsidRDefault="004300E2" w:rsidP="004300E2">
            <w:pPr>
              <w:jc w:val="center"/>
              <w:rPr>
                <w:lang w:val="it-IT"/>
              </w:rPr>
            </w:pPr>
          </w:p>
        </w:tc>
        <w:tc>
          <w:tcPr>
            <w:tcW w:w="567" w:type="dxa"/>
            <w:tcMar>
              <w:left w:w="108" w:type="dxa"/>
            </w:tcMar>
            <w:vAlign w:val="center"/>
          </w:tcPr>
          <w:p w:rsidR="004300E2" w:rsidRPr="00DC6901" w:rsidRDefault="004300E2" w:rsidP="004300E2">
            <w:pPr>
              <w:jc w:val="center"/>
              <w:rPr>
                <w:lang w:val="it-IT"/>
              </w:rPr>
            </w:pP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237EFA">
              <w:rPr>
                <w:sz w:val="12"/>
                <w:szCs w:val="12"/>
                <w:lang w:val="it-IT"/>
              </w:rPr>
              <w:t>IFRS 12.B12</w:t>
            </w:r>
          </w:p>
        </w:tc>
        <w:tc>
          <w:tcPr>
            <w:tcW w:w="7079" w:type="dxa"/>
            <w:tcMar>
              <w:left w:w="108" w:type="dxa"/>
            </w:tcMar>
          </w:tcPr>
          <w:p w:rsidR="004300E2" w:rsidRPr="006B57C7" w:rsidRDefault="004300E2" w:rsidP="00C27FBB">
            <w:pPr>
              <w:overflowPunct/>
              <w:spacing w:before="60" w:after="60"/>
              <w:textAlignment w:val="auto"/>
              <w:rPr>
                <w:rFonts w:cs="EUAlbertina"/>
                <w:color w:val="19161B"/>
                <w:lang w:val="it-IT" w:eastAsia="it-IT"/>
              </w:rPr>
            </w:pPr>
            <w:r w:rsidRPr="00237EFA">
              <w:rPr>
                <w:rFonts w:cs="EUAlbertina"/>
                <w:color w:val="19161B"/>
                <w:lang w:val="it-IT" w:eastAsia="it-IT"/>
              </w:rPr>
              <w:t xml:space="preserve">Per ciascuna </w:t>
            </w:r>
            <w:r w:rsidRPr="00237EFA">
              <w:rPr>
                <w:rFonts w:cs="EUAlbertina"/>
                <w:i/>
                <w:color w:val="19161B"/>
                <w:lang w:val="it-IT" w:eastAsia="it-IT"/>
              </w:rPr>
              <w:t>joint venture</w:t>
            </w:r>
            <w:r w:rsidRPr="00237EFA">
              <w:rPr>
                <w:rFonts w:cs="EUAlbertina"/>
                <w:color w:val="19161B"/>
                <w:lang w:val="it-IT" w:eastAsia="it-IT"/>
              </w:rPr>
              <w:t xml:space="preserve"> e società collegata rilevante per l'entità che redige il bilancio, un’entità deve indicare: </w:t>
            </w:r>
          </w:p>
        </w:tc>
        <w:tc>
          <w:tcPr>
            <w:tcW w:w="575" w:type="dxa"/>
            <w:tcMar>
              <w:left w:w="85" w:type="dxa"/>
              <w:right w:w="85"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C27FBB">
            <w:pPr>
              <w:overflowPunct/>
              <w:spacing w:before="60" w:after="60"/>
              <w:ind w:left="316" w:hanging="316"/>
              <w:jc w:val="left"/>
              <w:textAlignment w:val="auto"/>
              <w:rPr>
                <w:rFonts w:cs="EUAlbertina"/>
                <w:color w:val="19161B"/>
                <w:lang w:val="it-IT" w:eastAsia="it-IT"/>
              </w:rPr>
            </w:pPr>
            <w:r w:rsidRPr="00237EFA">
              <w:rPr>
                <w:rFonts w:cs="EUAlbertina"/>
                <w:color w:val="19161B"/>
                <w:lang w:val="it-IT" w:eastAsia="it-IT"/>
              </w:rPr>
              <w:t>(a)</w:t>
            </w:r>
            <w:r w:rsidRPr="00237EFA">
              <w:rPr>
                <w:rFonts w:cs="EUAlbertina"/>
                <w:color w:val="19161B"/>
                <w:lang w:val="it-IT" w:eastAsia="it-IT"/>
              </w:rPr>
              <w:tab/>
              <w:t xml:space="preserve">i dividendi percepiti dalla </w:t>
            </w:r>
            <w:r w:rsidRPr="00237EFA">
              <w:rPr>
                <w:rFonts w:cs="EUAlbertina"/>
                <w:i/>
                <w:color w:val="19161B"/>
                <w:lang w:val="it-IT" w:eastAsia="it-IT"/>
              </w:rPr>
              <w:t>joint venture</w:t>
            </w:r>
            <w:r w:rsidRPr="00237EFA">
              <w:rPr>
                <w:rFonts w:cs="EUAlbertina"/>
                <w:color w:val="19161B"/>
                <w:lang w:val="it-IT" w:eastAsia="it-IT"/>
              </w:rPr>
              <w:t xml:space="preserve"> o società collegata;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D26424">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C27FBB">
            <w:pPr>
              <w:overflowPunct/>
              <w:spacing w:before="60" w:after="0"/>
              <w:ind w:left="318" w:hanging="318"/>
              <w:textAlignment w:val="auto"/>
              <w:rPr>
                <w:rFonts w:cs="EUAlbertina"/>
                <w:color w:val="19161B"/>
                <w:lang w:val="it-IT" w:eastAsia="it-IT"/>
              </w:rPr>
            </w:pPr>
            <w:r w:rsidRPr="00237EFA">
              <w:rPr>
                <w:rFonts w:cs="EUAlbertina"/>
                <w:color w:val="19161B"/>
                <w:lang w:val="it-IT" w:eastAsia="it-IT"/>
              </w:rPr>
              <w:t>(b)</w:t>
            </w:r>
            <w:r w:rsidRPr="00237EFA">
              <w:rPr>
                <w:rFonts w:cs="EUAlbertina"/>
                <w:color w:val="19161B"/>
                <w:lang w:val="it-IT" w:eastAsia="it-IT"/>
              </w:rPr>
              <w:tab/>
              <w:t xml:space="preserve"> un riepilogo dei dati economico-finanziari della </w:t>
            </w:r>
            <w:r w:rsidRPr="00237EFA">
              <w:rPr>
                <w:rFonts w:cs="EUAlbertina"/>
                <w:i/>
                <w:color w:val="19161B"/>
                <w:lang w:val="it-IT" w:eastAsia="it-IT"/>
              </w:rPr>
              <w:t>joint venture</w:t>
            </w:r>
            <w:r w:rsidRPr="00237EFA">
              <w:rPr>
                <w:rFonts w:cs="EUAlbertina"/>
                <w:color w:val="19161B"/>
                <w:lang w:val="it-IT" w:eastAsia="it-IT"/>
              </w:rPr>
              <w:t xml:space="preserve"> o società collegata, che comprenda, a titolo esemplificativo: </w:t>
            </w:r>
          </w:p>
        </w:tc>
        <w:tc>
          <w:tcPr>
            <w:tcW w:w="575" w:type="dxa"/>
            <w:tcMar>
              <w:left w:w="85" w:type="dxa"/>
              <w:right w:w="85" w:type="dxa"/>
            </w:tcMar>
            <w:vAlign w:val="center"/>
          </w:tcPr>
          <w:p w:rsidR="00D26424" w:rsidRPr="004F5A62"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6B57C7"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6B57C7"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361A3"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C27FBB">
            <w:pPr>
              <w:overflowPunct/>
              <w:spacing w:before="0" w:after="0"/>
              <w:ind w:left="743" w:hanging="425"/>
              <w:jc w:val="left"/>
              <w:textAlignment w:val="auto"/>
              <w:rPr>
                <w:rFonts w:cs="EUAlbertina"/>
                <w:color w:val="19161B"/>
                <w:lang w:val="it-IT" w:eastAsia="it-IT"/>
              </w:rPr>
            </w:pPr>
            <w:r w:rsidRPr="00237EFA">
              <w:rPr>
                <w:rFonts w:cs="EUAlbertina"/>
                <w:color w:val="19161B"/>
                <w:lang w:val="it-IT" w:eastAsia="it-IT"/>
              </w:rPr>
              <w:t>(i)</w:t>
            </w:r>
            <w:r w:rsidRPr="00237EFA">
              <w:rPr>
                <w:rFonts w:cs="EUAlbertina"/>
                <w:color w:val="19161B"/>
                <w:lang w:val="it-IT" w:eastAsia="it-IT"/>
              </w:rPr>
              <w:tab/>
              <w:t>attività correnti;</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361A3"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C27FBB">
            <w:pPr>
              <w:overflowPunct/>
              <w:spacing w:before="0" w:after="0"/>
              <w:ind w:left="743" w:hanging="425"/>
              <w:jc w:val="left"/>
              <w:textAlignment w:val="auto"/>
              <w:rPr>
                <w:rFonts w:cs="EUAlbertina"/>
                <w:color w:val="19161B"/>
                <w:lang w:val="it-IT" w:eastAsia="it-IT"/>
              </w:rPr>
            </w:pPr>
            <w:r w:rsidRPr="00237EFA">
              <w:rPr>
                <w:rFonts w:cs="EUAlbertina"/>
                <w:color w:val="19161B"/>
                <w:lang w:val="it-IT" w:eastAsia="it-IT"/>
              </w:rPr>
              <w:t xml:space="preserve">(ii) </w:t>
            </w:r>
            <w:r w:rsidRPr="00237EFA">
              <w:rPr>
                <w:rFonts w:cs="EUAlbertina"/>
                <w:color w:val="19161B"/>
                <w:lang w:val="it-IT" w:eastAsia="it-IT"/>
              </w:rPr>
              <w:tab/>
              <w:t>attività non correnti;</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361A3"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C27FBB">
            <w:pPr>
              <w:overflowPunct/>
              <w:spacing w:before="0" w:after="0"/>
              <w:ind w:left="743" w:hanging="425"/>
              <w:jc w:val="left"/>
              <w:textAlignment w:val="auto"/>
              <w:rPr>
                <w:rFonts w:cs="EUAlbertina"/>
                <w:color w:val="19161B"/>
                <w:lang w:val="it-IT" w:eastAsia="it-IT"/>
              </w:rPr>
            </w:pPr>
            <w:r w:rsidRPr="00237EFA">
              <w:rPr>
                <w:rFonts w:cs="EUAlbertina"/>
                <w:color w:val="19161B"/>
                <w:lang w:val="it-IT" w:eastAsia="it-IT"/>
              </w:rPr>
              <w:t>(iii)</w:t>
            </w:r>
            <w:r w:rsidRPr="00237EFA">
              <w:rPr>
                <w:rFonts w:cs="EUAlbertina"/>
                <w:color w:val="19161B"/>
                <w:lang w:val="it-IT" w:eastAsia="it-IT"/>
              </w:rPr>
              <w:tab/>
              <w:t xml:space="preserve"> passività correnti;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361A3"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C27FBB">
            <w:pPr>
              <w:overflowPunct/>
              <w:spacing w:before="0" w:after="0"/>
              <w:ind w:left="743" w:hanging="425"/>
              <w:jc w:val="left"/>
              <w:textAlignment w:val="auto"/>
              <w:rPr>
                <w:rFonts w:cs="EUAlbertina"/>
                <w:color w:val="19161B"/>
                <w:lang w:val="it-IT" w:eastAsia="it-IT"/>
              </w:rPr>
            </w:pPr>
            <w:r w:rsidRPr="00237EFA">
              <w:rPr>
                <w:rFonts w:cs="EUAlbertina"/>
                <w:color w:val="19161B"/>
                <w:lang w:val="it-IT" w:eastAsia="it-IT"/>
              </w:rPr>
              <w:t>(iv)</w:t>
            </w:r>
            <w:r w:rsidRPr="00237EFA">
              <w:rPr>
                <w:rFonts w:cs="EUAlbertina"/>
                <w:color w:val="19161B"/>
                <w:lang w:val="it-IT" w:eastAsia="it-IT"/>
              </w:rPr>
              <w:tab/>
              <w:t xml:space="preserve"> passività non correnti;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361A3"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C27FBB">
            <w:pPr>
              <w:overflowPunct/>
              <w:spacing w:before="0" w:after="0"/>
              <w:ind w:left="743" w:hanging="425"/>
              <w:jc w:val="left"/>
              <w:textAlignment w:val="auto"/>
              <w:rPr>
                <w:rFonts w:cs="EUAlbertina"/>
                <w:color w:val="19161B"/>
                <w:lang w:val="it-IT" w:eastAsia="it-IT"/>
              </w:rPr>
            </w:pPr>
            <w:r w:rsidRPr="00237EFA">
              <w:rPr>
                <w:rFonts w:cs="EUAlbertina"/>
                <w:color w:val="19161B"/>
                <w:lang w:val="it-IT" w:eastAsia="it-IT"/>
              </w:rPr>
              <w:t xml:space="preserve">(v) </w:t>
            </w:r>
            <w:r w:rsidRPr="00237EFA">
              <w:rPr>
                <w:rFonts w:cs="EUAlbertina"/>
                <w:color w:val="19161B"/>
                <w:lang w:val="it-IT" w:eastAsia="it-IT"/>
              </w:rPr>
              <w:tab/>
              <w:t xml:space="preserve">ricavi;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C27FBB">
            <w:pPr>
              <w:overflowPunct/>
              <w:spacing w:before="0" w:after="0"/>
              <w:ind w:left="743" w:hanging="425"/>
              <w:jc w:val="left"/>
              <w:textAlignment w:val="auto"/>
              <w:rPr>
                <w:rFonts w:cs="EUAlbertina"/>
                <w:color w:val="19161B"/>
                <w:lang w:val="it-IT" w:eastAsia="it-IT"/>
              </w:rPr>
            </w:pPr>
            <w:r w:rsidRPr="00237EFA">
              <w:rPr>
                <w:rFonts w:cs="EUAlbertina"/>
                <w:color w:val="19161B"/>
                <w:lang w:val="it-IT" w:eastAsia="it-IT"/>
              </w:rPr>
              <w:t>(vi)</w:t>
            </w:r>
            <w:r w:rsidRPr="00237EFA">
              <w:rPr>
                <w:rFonts w:cs="EUAlbertina"/>
                <w:color w:val="19161B"/>
                <w:lang w:val="it-IT" w:eastAsia="it-IT"/>
              </w:rPr>
              <w:tab/>
              <w:t xml:space="preserve">utile/(perdita) derivante da attività operative in esercizio;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C27FBB">
            <w:pPr>
              <w:overflowPunct/>
              <w:spacing w:before="0" w:after="0"/>
              <w:ind w:left="743" w:hanging="425"/>
              <w:textAlignment w:val="auto"/>
              <w:rPr>
                <w:rFonts w:cs="EUAlbertina"/>
                <w:color w:val="19161B"/>
                <w:lang w:val="it-IT" w:eastAsia="it-IT"/>
              </w:rPr>
            </w:pPr>
            <w:r w:rsidRPr="00237EFA">
              <w:rPr>
                <w:rFonts w:cs="EUAlbertina"/>
                <w:color w:val="19161B"/>
                <w:lang w:val="it-IT" w:eastAsia="it-IT"/>
              </w:rPr>
              <w:t>(vii)</w:t>
            </w:r>
            <w:r w:rsidRPr="00237EFA">
              <w:rPr>
                <w:rFonts w:cs="EUAlbertina"/>
                <w:color w:val="19161B"/>
                <w:lang w:val="it-IT" w:eastAsia="it-IT"/>
              </w:rPr>
              <w:tab/>
              <w:t xml:space="preserve">plusvalenza o minusvalenza, al netto degli oneri fiscali, delle attività operative cessate;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C27FBB">
            <w:pPr>
              <w:overflowPunct/>
              <w:spacing w:before="0"/>
              <w:ind w:left="743" w:hanging="425"/>
              <w:jc w:val="left"/>
              <w:textAlignment w:val="auto"/>
              <w:rPr>
                <w:rFonts w:cs="EUAlbertina"/>
                <w:color w:val="19161B"/>
                <w:lang w:val="it-IT" w:eastAsia="it-IT"/>
              </w:rPr>
            </w:pPr>
            <w:r w:rsidRPr="00237EFA">
              <w:rPr>
                <w:rFonts w:cs="EUAlbertina"/>
                <w:color w:val="19161B"/>
                <w:lang w:val="it-IT" w:eastAsia="it-IT"/>
              </w:rPr>
              <w:t>(viii)</w:t>
            </w:r>
            <w:r w:rsidRPr="00237EFA">
              <w:rPr>
                <w:rFonts w:cs="EUAlbertina"/>
                <w:color w:val="19161B"/>
                <w:lang w:val="it-IT" w:eastAsia="it-IT"/>
              </w:rPr>
              <w:tab/>
              <w:t xml:space="preserve">altre componenti di conto economico complessivo;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C27FBB">
            <w:pPr>
              <w:overflowPunct/>
              <w:spacing w:before="0" w:after="0"/>
              <w:ind w:left="743" w:hanging="425"/>
              <w:jc w:val="left"/>
              <w:textAlignment w:val="auto"/>
              <w:rPr>
                <w:rFonts w:cs="EUAlbertina"/>
                <w:color w:val="19161B"/>
                <w:lang w:val="it-IT" w:eastAsia="it-IT"/>
              </w:rPr>
            </w:pPr>
            <w:r w:rsidRPr="00237EFA">
              <w:rPr>
                <w:rFonts w:cs="EUAlbertina"/>
                <w:color w:val="19161B"/>
                <w:lang w:val="it-IT" w:eastAsia="it-IT"/>
              </w:rPr>
              <w:t>(ix)</w:t>
            </w:r>
            <w:r w:rsidRPr="00237EFA">
              <w:rPr>
                <w:rFonts w:cs="EUAlbertina"/>
                <w:color w:val="19161B"/>
                <w:lang w:val="it-IT" w:eastAsia="it-IT"/>
              </w:rPr>
              <w:tab/>
              <w:t>totale conto economico complessivo.</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237EFA">
              <w:rPr>
                <w:sz w:val="12"/>
                <w:szCs w:val="12"/>
                <w:lang w:val="it-IT"/>
              </w:rPr>
              <w:t>IFRS 12.B13</w:t>
            </w:r>
          </w:p>
        </w:tc>
        <w:tc>
          <w:tcPr>
            <w:tcW w:w="7079" w:type="dxa"/>
            <w:tcMar>
              <w:left w:w="108" w:type="dxa"/>
            </w:tcMar>
          </w:tcPr>
          <w:p w:rsidR="004300E2" w:rsidRPr="00237EFA" w:rsidRDefault="004300E2" w:rsidP="00C27FBB">
            <w:pPr>
              <w:overflowPunct/>
              <w:spacing w:before="60" w:after="60"/>
              <w:textAlignment w:val="auto"/>
              <w:rPr>
                <w:rFonts w:cs="EUAlbertina"/>
                <w:color w:val="19161B"/>
                <w:lang w:val="it-IT" w:eastAsia="it-IT"/>
              </w:rPr>
            </w:pPr>
            <w:r w:rsidRPr="00237EFA">
              <w:rPr>
                <w:rFonts w:cs="EUAlbertina"/>
                <w:color w:val="19161B"/>
                <w:lang w:val="it-IT" w:eastAsia="it-IT"/>
              </w:rPr>
              <w:t xml:space="preserve">Oltre al riepilogo dei dati economico-finanziari disposto dal paragrafo B12 (vedi punto precedente), per ciascuna </w:t>
            </w:r>
            <w:r w:rsidRPr="00237EFA">
              <w:rPr>
                <w:rFonts w:cs="EUAlbertina"/>
                <w:i/>
                <w:color w:val="19161B"/>
                <w:lang w:val="it-IT" w:eastAsia="it-IT"/>
              </w:rPr>
              <w:t>joint venture</w:t>
            </w:r>
            <w:r w:rsidRPr="00237EFA">
              <w:rPr>
                <w:rFonts w:cs="EUAlbertina"/>
                <w:color w:val="19161B"/>
                <w:lang w:val="it-IT" w:eastAsia="it-IT"/>
              </w:rPr>
              <w:t xml:space="preserve"> relativa all’entità che redige il bilancio, un’entità deve indicare l’ammontare di: </w:t>
            </w:r>
          </w:p>
        </w:tc>
        <w:tc>
          <w:tcPr>
            <w:tcW w:w="575" w:type="dxa"/>
            <w:tcMar>
              <w:left w:w="85" w:type="dxa"/>
              <w:right w:w="85" w:type="dxa"/>
            </w:tcMar>
            <w:vAlign w:val="center"/>
          </w:tcPr>
          <w:p w:rsidR="004300E2" w:rsidRPr="00B720B7" w:rsidRDefault="004300E2" w:rsidP="004300E2">
            <w:pPr>
              <w:jc w:val="center"/>
              <w:rPr>
                <w:lang w:val="it-IT"/>
              </w:rPr>
            </w:pPr>
          </w:p>
        </w:tc>
        <w:tc>
          <w:tcPr>
            <w:tcW w:w="567" w:type="dxa"/>
            <w:tcMar>
              <w:left w:w="108" w:type="dxa"/>
            </w:tcMar>
            <w:vAlign w:val="center"/>
          </w:tcPr>
          <w:p w:rsidR="004300E2" w:rsidRPr="00B720B7" w:rsidRDefault="004300E2" w:rsidP="004300E2">
            <w:pPr>
              <w:jc w:val="center"/>
              <w:rPr>
                <w:lang w:val="it-IT"/>
              </w:rPr>
            </w:pPr>
          </w:p>
        </w:tc>
        <w:tc>
          <w:tcPr>
            <w:tcW w:w="567" w:type="dxa"/>
            <w:tcMar>
              <w:left w:w="108" w:type="dxa"/>
            </w:tcMar>
            <w:vAlign w:val="center"/>
          </w:tcPr>
          <w:p w:rsidR="004300E2" w:rsidRPr="00B720B7" w:rsidRDefault="004300E2" w:rsidP="004300E2">
            <w:pPr>
              <w:jc w:val="center"/>
              <w:rPr>
                <w:lang w:val="it-IT"/>
              </w:rPr>
            </w:pP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C27FBB">
            <w:pPr>
              <w:overflowPunct/>
              <w:spacing w:before="60" w:after="60"/>
              <w:ind w:left="255" w:hanging="255"/>
              <w:jc w:val="left"/>
              <w:textAlignment w:val="auto"/>
              <w:rPr>
                <w:rFonts w:cs="EUAlbertina"/>
                <w:color w:val="19161B"/>
                <w:lang w:val="it-IT" w:eastAsia="it-IT"/>
              </w:rPr>
            </w:pPr>
            <w:r w:rsidRPr="00237EFA">
              <w:rPr>
                <w:rFonts w:cs="EUAlbertina"/>
                <w:color w:val="19161B"/>
                <w:lang w:val="it-IT" w:eastAsia="it-IT"/>
              </w:rPr>
              <w:t>(a)</w:t>
            </w:r>
            <w:r w:rsidRPr="00237EFA">
              <w:rPr>
                <w:rFonts w:cs="EUAlbertina"/>
                <w:color w:val="19161B"/>
                <w:lang w:val="it-IT" w:eastAsia="it-IT"/>
              </w:rPr>
              <w:tab/>
              <w:t xml:space="preserve">disponibilità liquide e mezzi equivalenti inclusi nel paragrafo B12(b)(i);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C27FBB">
            <w:pPr>
              <w:overflowPunct/>
              <w:spacing w:before="60" w:after="60"/>
              <w:ind w:left="255" w:hanging="255"/>
              <w:jc w:val="left"/>
              <w:textAlignment w:val="auto"/>
              <w:rPr>
                <w:rFonts w:cs="EUAlbertina"/>
                <w:color w:val="19161B"/>
                <w:lang w:val="it-IT" w:eastAsia="it-IT"/>
              </w:rPr>
            </w:pPr>
            <w:r w:rsidRPr="00237EFA">
              <w:rPr>
                <w:rFonts w:cs="EUAlbertina"/>
                <w:color w:val="19161B"/>
                <w:lang w:val="it-IT" w:eastAsia="it-IT"/>
              </w:rPr>
              <w:t>(b)</w:t>
            </w:r>
            <w:r w:rsidRPr="00237EFA">
              <w:rPr>
                <w:rFonts w:cs="EUAlbertina"/>
                <w:color w:val="19161B"/>
                <w:lang w:val="it-IT" w:eastAsia="it-IT"/>
              </w:rPr>
              <w:tab/>
              <w:t xml:space="preserve">passività finanziarie correnti (esclusi debiti commerciali e altri debiti e accantonamenti) incluse nel paragrafo B12(b)(iii);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C27FBB">
            <w:pPr>
              <w:overflowPunct/>
              <w:spacing w:before="60" w:after="60"/>
              <w:ind w:left="255" w:hanging="255"/>
              <w:jc w:val="left"/>
              <w:textAlignment w:val="auto"/>
              <w:rPr>
                <w:rFonts w:cs="EUAlbertina"/>
                <w:color w:val="19161B"/>
                <w:lang w:val="it-IT" w:eastAsia="it-IT"/>
              </w:rPr>
            </w:pPr>
            <w:r w:rsidRPr="00237EFA">
              <w:rPr>
                <w:rFonts w:cs="EUAlbertina"/>
                <w:color w:val="19161B"/>
                <w:lang w:val="it-IT" w:eastAsia="it-IT"/>
              </w:rPr>
              <w:t>(c)</w:t>
            </w:r>
            <w:r w:rsidRPr="00237EFA">
              <w:rPr>
                <w:rFonts w:cs="EUAlbertina"/>
                <w:color w:val="19161B"/>
                <w:lang w:val="it-IT" w:eastAsia="it-IT"/>
              </w:rPr>
              <w:tab/>
              <w:t xml:space="preserve">passività finanziarie non correnti (esclusi debiti commerciali e altri debiti e accantonamenti) incluse nel paragrafo B12(b)(iv);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C902D7"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C27FBB">
            <w:pPr>
              <w:overflowPunct/>
              <w:spacing w:before="60" w:after="60"/>
              <w:ind w:left="255" w:hanging="255"/>
              <w:jc w:val="left"/>
              <w:textAlignment w:val="auto"/>
              <w:rPr>
                <w:rFonts w:cs="EUAlbertina"/>
                <w:color w:val="19161B"/>
                <w:lang w:val="it-IT" w:eastAsia="it-IT"/>
              </w:rPr>
            </w:pPr>
            <w:r w:rsidRPr="00237EFA">
              <w:rPr>
                <w:rFonts w:cs="EUAlbertina"/>
                <w:color w:val="19161B"/>
                <w:lang w:val="it-IT" w:eastAsia="it-IT"/>
              </w:rPr>
              <w:t xml:space="preserve">(d) </w:t>
            </w:r>
            <w:r w:rsidRPr="00237EFA">
              <w:rPr>
                <w:rFonts w:cs="EUAlbertina"/>
                <w:color w:val="19161B"/>
                <w:lang w:val="it-IT" w:eastAsia="it-IT"/>
              </w:rPr>
              <w:tab/>
              <w:t xml:space="preserve">svalutazioni e ammortamenti; </w:t>
            </w:r>
            <w:r w:rsidRPr="00237EFA">
              <w:rPr>
                <w:rFonts w:cs="EUAlbertina"/>
                <w:color w:val="19161B"/>
                <w:lang w:val="it-IT" w:eastAsia="it-IT"/>
              </w:rPr>
              <w:tab/>
            </w:r>
            <w:r w:rsidRPr="00237EFA">
              <w:rPr>
                <w:rFonts w:cs="EUAlbertina"/>
                <w:color w:val="19161B"/>
                <w:lang w:val="it-IT" w:eastAsia="it-IT"/>
              </w:rPr>
              <w:tab/>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C902D7"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C27FBB">
            <w:pPr>
              <w:overflowPunct/>
              <w:spacing w:before="60" w:after="60"/>
              <w:ind w:left="255" w:hanging="255"/>
              <w:jc w:val="left"/>
              <w:textAlignment w:val="auto"/>
              <w:rPr>
                <w:rFonts w:cs="EUAlbertina"/>
                <w:color w:val="19161B"/>
                <w:lang w:val="it-IT" w:eastAsia="it-IT"/>
              </w:rPr>
            </w:pPr>
            <w:r w:rsidRPr="00237EFA">
              <w:rPr>
                <w:rFonts w:cs="EUAlbertina"/>
                <w:color w:val="19161B"/>
                <w:lang w:val="it-IT" w:eastAsia="it-IT"/>
              </w:rPr>
              <w:t>(e)</w:t>
            </w:r>
            <w:r w:rsidRPr="00237EFA">
              <w:rPr>
                <w:rFonts w:cs="EUAlbertina"/>
                <w:color w:val="19161B"/>
                <w:lang w:val="it-IT" w:eastAsia="it-IT"/>
              </w:rPr>
              <w:tab/>
              <w:t xml:space="preserve">interessi attivi; </w:t>
            </w:r>
            <w:r w:rsidRPr="00237EFA">
              <w:rPr>
                <w:rFonts w:cs="EUAlbertina"/>
                <w:color w:val="19161B"/>
                <w:lang w:val="it-IT" w:eastAsia="it-IT"/>
              </w:rPr>
              <w:tab/>
            </w:r>
            <w:r w:rsidRPr="00237EFA">
              <w:rPr>
                <w:rFonts w:cs="EUAlbertina"/>
                <w:color w:val="19161B"/>
                <w:lang w:val="it-IT" w:eastAsia="it-IT"/>
              </w:rPr>
              <w:tab/>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C902D7"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C27FBB">
            <w:pPr>
              <w:overflowPunct/>
              <w:spacing w:before="60" w:after="60"/>
              <w:ind w:left="255" w:hanging="255"/>
              <w:jc w:val="left"/>
              <w:textAlignment w:val="auto"/>
              <w:rPr>
                <w:rFonts w:cs="EUAlbertina"/>
                <w:color w:val="19161B"/>
                <w:lang w:val="it-IT" w:eastAsia="it-IT"/>
              </w:rPr>
            </w:pPr>
            <w:r w:rsidRPr="00237EFA">
              <w:rPr>
                <w:rFonts w:cs="EUAlbertina"/>
                <w:color w:val="19161B"/>
                <w:lang w:val="it-IT" w:eastAsia="it-IT"/>
              </w:rPr>
              <w:t>(f)</w:t>
            </w:r>
            <w:r w:rsidRPr="00237EFA">
              <w:rPr>
                <w:rFonts w:cs="EUAlbertina"/>
                <w:color w:val="19161B"/>
                <w:lang w:val="it-IT" w:eastAsia="it-IT"/>
              </w:rPr>
              <w:tab/>
              <w:t xml:space="preserve">interessi passivi;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C27FBB">
            <w:pPr>
              <w:overflowPunct/>
              <w:spacing w:before="60" w:after="60"/>
              <w:ind w:left="255" w:hanging="255"/>
              <w:jc w:val="left"/>
              <w:textAlignment w:val="auto"/>
              <w:rPr>
                <w:rFonts w:cs="EUAlbertina"/>
                <w:color w:val="19161B"/>
                <w:lang w:val="it-IT" w:eastAsia="it-IT"/>
              </w:rPr>
            </w:pPr>
            <w:r w:rsidRPr="00237EFA">
              <w:rPr>
                <w:rFonts w:cs="EUAlbertina"/>
                <w:color w:val="19161B"/>
                <w:lang w:val="it-IT" w:eastAsia="it-IT"/>
              </w:rPr>
              <w:t>(g)</w:t>
            </w:r>
            <w:r w:rsidRPr="00237EFA">
              <w:rPr>
                <w:rFonts w:cs="EUAlbertina"/>
                <w:color w:val="19161B"/>
                <w:lang w:val="it-IT" w:eastAsia="it-IT"/>
              </w:rPr>
              <w:tab/>
              <w:t>imposte sul reddito o proventi fiscali.</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rPr>
                <w:lang w:val="it-IT"/>
              </w:rPr>
            </w:pPr>
          </w:p>
        </w:tc>
        <w:tc>
          <w:tcPr>
            <w:tcW w:w="851" w:type="dxa"/>
            <w:tcMar>
              <w:left w:w="108" w:type="dxa"/>
              <w:right w:w="0" w:type="dxa"/>
            </w:tcMar>
          </w:tcPr>
          <w:p w:rsidR="004300E2" w:rsidRPr="008A0F36" w:rsidRDefault="004300E2" w:rsidP="004300E2">
            <w:pPr>
              <w:pStyle w:val="IAS"/>
              <w:rPr>
                <w:lang w:val="it-IT"/>
              </w:rPr>
            </w:pPr>
            <w:r w:rsidRPr="00237EFA">
              <w:rPr>
                <w:sz w:val="12"/>
                <w:szCs w:val="12"/>
                <w:lang w:val="it-IT"/>
              </w:rPr>
              <w:t>IFRS 12.B1</w:t>
            </w:r>
            <w:r>
              <w:rPr>
                <w:sz w:val="12"/>
                <w:szCs w:val="12"/>
                <w:lang w:val="it-IT"/>
              </w:rPr>
              <w:t>4</w:t>
            </w:r>
          </w:p>
        </w:tc>
        <w:tc>
          <w:tcPr>
            <w:tcW w:w="7079" w:type="dxa"/>
            <w:tcMar>
              <w:left w:w="108" w:type="dxa"/>
            </w:tcMar>
          </w:tcPr>
          <w:p w:rsidR="004300E2" w:rsidRPr="00237EFA" w:rsidRDefault="004300E2" w:rsidP="004300E2">
            <w:pPr>
              <w:pStyle w:val="Commentiriquadro"/>
              <w:rPr>
                <w:lang w:val="it-IT" w:eastAsia="it-IT"/>
              </w:rPr>
            </w:pPr>
            <w:r w:rsidRPr="00237EFA">
              <w:rPr>
                <w:lang w:val="it-IT" w:eastAsia="it-IT"/>
              </w:rPr>
              <w:t>Il riepilogo dei dati economico-finanziari presentato secondo quanto disposto dai pa</w:t>
            </w:r>
            <w:r>
              <w:rPr>
                <w:lang w:val="it-IT" w:eastAsia="it-IT"/>
              </w:rPr>
              <w:t>ragrafi B12 e B13 (vedi punti 16</w:t>
            </w:r>
            <w:r w:rsidR="00D20202">
              <w:rPr>
                <w:lang w:val="it-IT" w:eastAsia="it-IT"/>
              </w:rPr>
              <w:t>3</w:t>
            </w:r>
            <w:r>
              <w:rPr>
                <w:lang w:val="it-IT" w:eastAsia="it-IT"/>
              </w:rPr>
              <w:t xml:space="preserve"> e 16</w:t>
            </w:r>
            <w:r w:rsidR="00D20202">
              <w:rPr>
                <w:lang w:val="it-IT" w:eastAsia="it-IT"/>
              </w:rPr>
              <w:t>4</w:t>
            </w:r>
            <w:r w:rsidRPr="00237EFA">
              <w:rPr>
                <w:lang w:val="it-IT" w:eastAsia="it-IT"/>
              </w:rPr>
              <w:t xml:space="preserve">) riguarda gli importi inclusi nel bilancio redatto in conformità agli IFRS della </w:t>
            </w:r>
            <w:r w:rsidRPr="00237EFA">
              <w:rPr>
                <w:i/>
                <w:iCs/>
                <w:lang w:val="it-IT" w:eastAsia="it-IT"/>
              </w:rPr>
              <w:t xml:space="preserve">joint venture </w:t>
            </w:r>
            <w:r w:rsidRPr="00237EFA">
              <w:rPr>
                <w:lang w:val="it-IT" w:eastAsia="it-IT"/>
              </w:rPr>
              <w:t xml:space="preserve">o società collegata (e non la quota di tali importi posseduta dall’entità). Se l’entità contabilizza la propria partecipazione nella </w:t>
            </w:r>
            <w:r w:rsidRPr="00237EFA">
              <w:rPr>
                <w:i/>
                <w:iCs/>
                <w:lang w:val="it-IT" w:eastAsia="it-IT"/>
              </w:rPr>
              <w:t xml:space="preserve">joint venture </w:t>
            </w:r>
            <w:r w:rsidRPr="00237EFA">
              <w:rPr>
                <w:lang w:val="it-IT" w:eastAsia="it-IT"/>
              </w:rPr>
              <w:t xml:space="preserve">o società collegata applicando il metodo del patrimonio netto: </w:t>
            </w:r>
          </w:p>
          <w:p w:rsidR="004300E2" w:rsidRPr="00237EFA" w:rsidRDefault="004300E2" w:rsidP="004300E2">
            <w:pPr>
              <w:pStyle w:val="Commentiriquadro"/>
              <w:numPr>
                <w:ilvl w:val="0"/>
                <w:numId w:val="229"/>
              </w:numPr>
              <w:rPr>
                <w:lang w:val="it-IT" w:eastAsia="it-IT"/>
              </w:rPr>
            </w:pPr>
            <w:r w:rsidRPr="00237EFA">
              <w:rPr>
                <w:lang w:val="it-IT" w:eastAsia="it-IT"/>
              </w:rPr>
              <w:t xml:space="preserve">gli importi inclusi nel bilancio della </w:t>
            </w:r>
            <w:r w:rsidRPr="00237EFA">
              <w:rPr>
                <w:i/>
                <w:iCs/>
                <w:lang w:val="it-IT" w:eastAsia="it-IT"/>
              </w:rPr>
              <w:t xml:space="preserve">joint venture </w:t>
            </w:r>
            <w:r w:rsidRPr="00237EFA">
              <w:rPr>
                <w:lang w:val="it-IT" w:eastAsia="it-IT"/>
              </w:rPr>
              <w:t xml:space="preserve">o società collegata redatto in conformità agli IFRS devono essere rettificati per riflettere le rettifiche apportate dall’entità quando applica il metodo del patrimonio netto, come per esempio le rettifiche del </w:t>
            </w:r>
            <w:r w:rsidRPr="00237EFA">
              <w:rPr>
                <w:i/>
                <w:iCs/>
                <w:lang w:val="it-IT" w:eastAsia="it-IT"/>
              </w:rPr>
              <w:t xml:space="preserve">fair value </w:t>
            </w:r>
            <w:r w:rsidRPr="00237EFA">
              <w:rPr>
                <w:lang w:val="it-IT" w:eastAsia="it-IT"/>
              </w:rPr>
              <w:t xml:space="preserve">apportate al momento dell’acquisizione e le rettifiche dovute a differenze nelle politiche contabili; </w:t>
            </w:r>
          </w:p>
          <w:p w:rsidR="004300E2" w:rsidRPr="00237EFA" w:rsidRDefault="004300E2" w:rsidP="004300E2">
            <w:pPr>
              <w:pStyle w:val="Commentiriquadro"/>
              <w:numPr>
                <w:ilvl w:val="0"/>
                <w:numId w:val="229"/>
              </w:numPr>
              <w:rPr>
                <w:lang w:val="it-IT" w:eastAsia="it-IT"/>
              </w:rPr>
            </w:pPr>
            <w:r w:rsidRPr="00237EFA">
              <w:rPr>
                <w:lang w:val="it-IT" w:eastAsia="it-IT"/>
              </w:rPr>
              <w:t xml:space="preserve">l’entità deve fornire una riconciliazione tra il riepilogo dei dati economico-finanziari presentato e il valore contabile della propria partecipazione nella </w:t>
            </w:r>
            <w:r w:rsidRPr="00237EFA">
              <w:rPr>
                <w:i/>
                <w:iCs/>
                <w:lang w:val="it-IT" w:eastAsia="it-IT"/>
              </w:rPr>
              <w:t>joint venture</w:t>
            </w:r>
            <w:r w:rsidRPr="00237EFA">
              <w:rPr>
                <w:iCs/>
                <w:lang w:val="it-IT" w:eastAsia="it-IT"/>
              </w:rPr>
              <w:t xml:space="preserve"> </w:t>
            </w:r>
            <w:r w:rsidRPr="00237EFA">
              <w:rPr>
                <w:lang w:val="it-IT" w:eastAsia="it-IT"/>
              </w:rPr>
              <w:t>o società collegata.</w:t>
            </w:r>
          </w:p>
        </w:tc>
        <w:tc>
          <w:tcPr>
            <w:tcW w:w="575" w:type="dxa"/>
            <w:tcMar>
              <w:left w:w="85" w:type="dxa"/>
              <w:right w:w="85" w:type="dxa"/>
            </w:tcMar>
            <w:vAlign w:val="center"/>
          </w:tcPr>
          <w:p w:rsidR="004300E2" w:rsidRPr="00B720B7" w:rsidRDefault="004300E2" w:rsidP="004300E2">
            <w:pPr>
              <w:jc w:val="center"/>
              <w:rPr>
                <w:lang w:val="it-IT"/>
              </w:rPr>
            </w:pPr>
          </w:p>
        </w:tc>
        <w:tc>
          <w:tcPr>
            <w:tcW w:w="567" w:type="dxa"/>
            <w:tcMar>
              <w:left w:w="108" w:type="dxa"/>
            </w:tcMar>
            <w:vAlign w:val="center"/>
          </w:tcPr>
          <w:p w:rsidR="004300E2" w:rsidRPr="00B720B7" w:rsidRDefault="004300E2" w:rsidP="004300E2">
            <w:pPr>
              <w:jc w:val="center"/>
              <w:rPr>
                <w:lang w:val="it-IT"/>
              </w:rPr>
            </w:pPr>
          </w:p>
        </w:tc>
        <w:tc>
          <w:tcPr>
            <w:tcW w:w="567" w:type="dxa"/>
            <w:tcMar>
              <w:left w:w="108" w:type="dxa"/>
            </w:tcMar>
            <w:vAlign w:val="center"/>
          </w:tcPr>
          <w:p w:rsidR="004300E2" w:rsidRPr="00B720B7" w:rsidRDefault="004300E2" w:rsidP="004300E2">
            <w:pPr>
              <w:jc w:val="center"/>
              <w:rPr>
                <w:lang w:val="it-IT"/>
              </w:rPr>
            </w:pPr>
          </w:p>
        </w:tc>
      </w:tr>
      <w:tr w:rsidR="004300E2" w:rsidRPr="00A44ECD" w:rsidTr="00940A6F">
        <w:trPr>
          <w:cantSplit/>
        </w:trPr>
        <w:tc>
          <w:tcPr>
            <w:tcW w:w="567" w:type="dxa"/>
            <w:tcMar>
              <w:left w:w="108" w:type="dxa"/>
            </w:tcMar>
          </w:tcPr>
          <w:p w:rsidR="004300E2" w:rsidRPr="008A0F36" w:rsidRDefault="004300E2" w:rsidP="004300E2">
            <w:pPr>
              <w:rPr>
                <w:lang w:val="it-IT"/>
              </w:rPr>
            </w:pPr>
          </w:p>
        </w:tc>
        <w:tc>
          <w:tcPr>
            <w:tcW w:w="851" w:type="dxa"/>
            <w:tcMar>
              <w:left w:w="108" w:type="dxa"/>
              <w:right w:w="0" w:type="dxa"/>
            </w:tcMar>
          </w:tcPr>
          <w:p w:rsidR="004300E2" w:rsidRPr="008A0F36" w:rsidRDefault="004300E2" w:rsidP="004300E2">
            <w:pPr>
              <w:pStyle w:val="IAS"/>
              <w:rPr>
                <w:lang w:val="it-IT"/>
              </w:rPr>
            </w:pPr>
            <w:r w:rsidRPr="00237EFA">
              <w:rPr>
                <w:sz w:val="12"/>
                <w:szCs w:val="12"/>
                <w:lang w:val="it-IT"/>
              </w:rPr>
              <w:t>IFRS 12.B1</w:t>
            </w:r>
            <w:r>
              <w:rPr>
                <w:sz w:val="12"/>
                <w:szCs w:val="12"/>
                <w:lang w:val="it-IT"/>
              </w:rPr>
              <w:t>5</w:t>
            </w:r>
          </w:p>
        </w:tc>
        <w:tc>
          <w:tcPr>
            <w:tcW w:w="7079" w:type="dxa"/>
            <w:tcMar>
              <w:left w:w="108" w:type="dxa"/>
            </w:tcMar>
          </w:tcPr>
          <w:p w:rsidR="004300E2" w:rsidRPr="00237EFA" w:rsidRDefault="004300E2" w:rsidP="004300E2">
            <w:pPr>
              <w:pStyle w:val="Commentiriquadro"/>
              <w:rPr>
                <w:lang w:val="it-IT" w:eastAsia="it-IT"/>
              </w:rPr>
            </w:pPr>
            <w:r w:rsidRPr="00237EFA">
              <w:rPr>
                <w:lang w:val="it-IT" w:eastAsia="it-IT"/>
              </w:rPr>
              <w:t>Un’entità può presentare il riepilogo dei dati economico-finanziari richiesto dai pa</w:t>
            </w:r>
            <w:r>
              <w:rPr>
                <w:lang w:val="it-IT" w:eastAsia="it-IT"/>
              </w:rPr>
              <w:t>ragrafi B12 e B13 (vedi punti 16</w:t>
            </w:r>
            <w:r w:rsidR="00D20202">
              <w:rPr>
                <w:lang w:val="it-IT" w:eastAsia="it-IT"/>
              </w:rPr>
              <w:t>3</w:t>
            </w:r>
            <w:r>
              <w:rPr>
                <w:lang w:val="it-IT" w:eastAsia="it-IT"/>
              </w:rPr>
              <w:t xml:space="preserve"> e 16</w:t>
            </w:r>
            <w:r w:rsidR="00D20202">
              <w:rPr>
                <w:lang w:val="it-IT" w:eastAsia="it-IT"/>
              </w:rPr>
              <w:t>4</w:t>
            </w:r>
            <w:r w:rsidRPr="00237EFA">
              <w:rPr>
                <w:lang w:val="it-IT" w:eastAsia="it-IT"/>
              </w:rPr>
              <w:t xml:space="preserve">) sulla base del bilancio della </w:t>
            </w:r>
            <w:r w:rsidRPr="00237EFA">
              <w:rPr>
                <w:i/>
                <w:iCs/>
                <w:lang w:val="it-IT" w:eastAsia="it-IT"/>
              </w:rPr>
              <w:t>joint venture</w:t>
            </w:r>
            <w:r w:rsidRPr="00237EFA">
              <w:rPr>
                <w:iCs/>
                <w:lang w:val="it-IT" w:eastAsia="it-IT"/>
              </w:rPr>
              <w:t xml:space="preserve"> </w:t>
            </w:r>
            <w:r w:rsidRPr="00237EFA">
              <w:rPr>
                <w:lang w:val="it-IT" w:eastAsia="it-IT"/>
              </w:rPr>
              <w:t xml:space="preserve">o società collegata se: </w:t>
            </w:r>
          </w:p>
          <w:p w:rsidR="004300E2" w:rsidRPr="00237EFA" w:rsidRDefault="004300E2" w:rsidP="004300E2">
            <w:pPr>
              <w:pStyle w:val="Commentiriquadro"/>
              <w:rPr>
                <w:lang w:val="it-IT" w:eastAsia="it-IT"/>
              </w:rPr>
            </w:pPr>
            <w:r w:rsidRPr="00237EFA">
              <w:rPr>
                <w:lang w:val="it-IT" w:eastAsia="it-IT"/>
              </w:rPr>
              <w:t xml:space="preserve">(a) l’entità valuta al </w:t>
            </w:r>
            <w:r w:rsidRPr="00237EFA">
              <w:rPr>
                <w:i/>
                <w:iCs/>
                <w:lang w:val="it-IT" w:eastAsia="it-IT"/>
              </w:rPr>
              <w:t xml:space="preserve">fair value </w:t>
            </w:r>
            <w:r w:rsidRPr="00237EFA">
              <w:rPr>
                <w:lang w:val="it-IT" w:eastAsia="it-IT"/>
              </w:rPr>
              <w:t xml:space="preserve">la propria partecipazione nella </w:t>
            </w:r>
            <w:r w:rsidRPr="00237EFA">
              <w:rPr>
                <w:i/>
                <w:iCs/>
                <w:lang w:val="it-IT" w:eastAsia="it-IT"/>
              </w:rPr>
              <w:t xml:space="preserve">joint venture </w:t>
            </w:r>
            <w:r w:rsidRPr="00237EFA">
              <w:rPr>
                <w:lang w:val="it-IT" w:eastAsia="it-IT"/>
              </w:rPr>
              <w:t xml:space="preserve">o società collegata, secondo quanto disposto dallo IAS 28; e </w:t>
            </w:r>
          </w:p>
          <w:p w:rsidR="004300E2" w:rsidRPr="00237EFA" w:rsidRDefault="004300E2" w:rsidP="004300E2">
            <w:pPr>
              <w:pStyle w:val="Commentiriquadro"/>
              <w:rPr>
                <w:lang w:val="it-IT" w:eastAsia="it-IT"/>
              </w:rPr>
            </w:pPr>
            <w:r w:rsidRPr="00237EFA">
              <w:rPr>
                <w:lang w:val="it-IT" w:eastAsia="it-IT"/>
              </w:rPr>
              <w:t xml:space="preserve">(b) la </w:t>
            </w:r>
            <w:r w:rsidRPr="00237EFA">
              <w:rPr>
                <w:i/>
                <w:iCs/>
                <w:lang w:val="it-IT" w:eastAsia="it-IT"/>
              </w:rPr>
              <w:t xml:space="preserve">joint venture </w:t>
            </w:r>
            <w:r w:rsidRPr="00237EFA">
              <w:rPr>
                <w:lang w:val="it-IT" w:eastAsia="it-IT"/>
              </w:rPr>
              <w:t>o società collegata non redige il bilancio in base agli IFRS e una tale redazione del bilancio non sarebbe fattibile o determinerebbe costi non dovuti.</w:t>
            </w:r>
          </w:p>
          <w:p w:rsidR="004300E2" w:rsidRPr="00237EFA" w:rsidRDefault="004300E2" w:rsidP="004300E2">
            <w:pPr>
              <w:pStyle w:val="Commentiriquadro"/>
              <w:rPr>
                <w:lang w:val="it-IT" w:eastAsia="it-IT"/>
              </w:rPr>
            </w:pPr>
            <w:r w:rsidRPr="00237EFA">
              <w:rPr>
                <w:lang w:val="it-IT" w:eastAsia="it-IT"/>
              </w:rPr>
              <w:t>In tal caso, l’entità deve indicare il criterio in base al quale è stato predisposto il riepilogo dei dati economico- finanziari.</w:t>
            </w:r>
          </w:p>
        </w:tc>
        <w:tc>
          <w:tcPr>
            <w:tcW w:w="575" w:type="dxa"/>
            <w:tcMar>
              <w:left w:w="85" w:type="dxa"/>
              <w:right w:w="85" w:type="dxa"/>
            </w:tcMar>
            <w:vAlign w:val="center"/>
          </w:tcPr>
          <w:p w:rsidR="004300E2" w:rsidRPr="00B720B7" w:rsidRDefault="004300E2" w:rsidP="004300E2">
            <w:pPr>
              <w:jc w:val="center"/>
              <w:rPr>
                <w:lang w:val="it-IT"/>
              </w:rPr>
            </w:pPr>
          </w:p>
        </w:tc>
        <w:tc>
          <w:tcPr>
            <w:tcW w:w="567" w:type="dxa"/>
            <w:tcMar>
              <w:left w:w="108" w:type="dxa"/>
            </w:tcMar>
            <w:vAlign w:val="center"/>
          </w:tcPr>
          <w:p w:rsidR="004300E2" w:rsidRPr="00B720B7" w:rsidRDefault="004300E2" w:rsidP="004300E2">
            <w:pPr>
              <w:jc w:val="center"/>
              <w:rPr>
                <w:lang w:val="it-IT"/>
              </w:rPr>
            </w:pPr>
          </w:p>
        </w:tc>
        <w:tc>
          <w:tcPr>
            <w:tcW w:w="567" w:type="dxa"/>
            <w:tcMar>
              <w:left w:w="108" w:type="dxa"/>
            </w:tcMar>
            <w:vAlign w:val="center"/>
          </w:tcPr>
          <w:p w:rsidR="004300E2" w:rsidRPr="00B720B7" w:rsidRDefault="004300E2" w:rsidP="004300E2">
            <w:pPr>
              <w:jc w:val="center"/>
              <w:rPr>
                <w:lang w:val="it-IT"/>
              </w:rPr>
            </w:pP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237EFA" w:rsidRDefault="004300E2" w:rsidP="004300E2">
            <w:pPr>
              <w:pStyle w:val="IAS"/>
              <w:spacing w:before="20" w:line="220" w:lineRule="exact"/>
              <w:rPr>
                <w:sz w:val="12"/>
                <w:szCs w:val="12"/>
                <w:lang w:val="it-IT"/>
              </w:rPr>
            </w:pPr>
            <w:r w:rsidRPr="00237EFA">
              <w:rPr>
                <w:sz w:val="12"/>
                <w:szCs w:val="12"/>
                <w:lang w:val="it-IT"/>
              </w:rPr>
              <w:t>IFRS 12.B16</w:t>
            </w:r>
          </w:p>
        </w:tc>
        <w:tc>
          <w:tcPr>
            <w:tcW w:w="7079" w:type="dxa"/>
            <w:tcMar>
              <w:left w:w="108" w:type="dxa"/>
            </w:tcMar>
          </w:tcPr>
          <w:p w:rsidR="004300E2" w:rsidRPr="003E42A0" w:rsidRDefault="004300E2" w:rsidP="004300E2">
            <w:pPr>
              <w:overflowPunct/>
              <w:spacing w:before="60" w:after="60" w:line="240" w:lineRule="auto"/>
              <w:textAlignment w:val="auto"/>
              <w:rPr>
                <w:rFonts w:cs="EUAlbertina"/>
                <w:color w:val="19161B"/>
                <w:lang w:val="it-IT" w:eastAsia="it-IT"/>
              </w:rPr>
            </w:pPr>
            <w:r w:rsidRPr="00237EFA">
              <w:rPr>
                <w:rFonts w:cs="EUAlbertina"/>
                <w:color w:val="19161B"/>
                <w:lang w:val="it-IT" w:eastAsia="it-IT"/>
              </w:rPr>
              <w:t xml:space="preserve">Un’entità deve indicare il valore contabile complessivo delle proprie partecipazioni in tutte le </w:t>
            </w:r>
            <w:r w:rsidRPr="00237EFA">
              <w:rPr>
                <w:rFonts w:cs="EUAlbertina"/>
                <w:i/>
                <w:color w:val="19161B"/>
                <w:lang w:val="it-IT" w:eastAsia="it-IT"/>
              </w:rPr>
              <w:t>joint venture</w:t>
            </w:r>
            <w:r w:rsidRPr="00237EFA">
              <w:rPr>
                <w:rFonts w:cs="EUAlbertina"/>
                <w:color w:val="19161B"/>
                <w:lang w:val="it-IT" w:eastAsia="it-IT"/>
              </w:rPr>
              <w:t xml:space="preserve"> o società collegate singolarmente irrilevanti e contabilizzate con il metodo del patrimonio netto. Un’entità deve anche indicare separatamente l'importo aggregato della propria quota di tali </w:t>
            </w:r>
            <w:r w:rsidRPr="00237EFA">
              <w:rPr>
                <w:rFonts w:cs="EUAlbertina"/>
                <w:i/>
                <w:color w:val="19161B"/>
                <w:lang w:val="it-IT" w:eastAsia="it-IT"/>
              </w:rPr>
              <w:t>joint venture</w:t>
            </w:r>
            <w:r w:rsidRPr="00237EFA">
              <w:rPr>
                <w:rFonts w:cs="EUAlbertina"/>
                <w:color w:val="19161B"/>
                <w:lang w:val="it-IT" w:eastAsia="it-IT"/>
              </w:rPr>
              <w:t xml:space="preserve"> o società collegate: </w:t>
            </w:r>
          </w:p>
        </w:tc>
        <w:tc>
          <w:tcPr>
            <w:tcW w:w="575" w:type="dxa"/>
            <w:tcMar>
              <w:left w:w="85" w:type="dxa"/>
              <w:right w:w="85"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237EFA" w:rsidRDefault="00D26424" w:rsidP="004300E2">
            <w:pPr>
              <w:pStyle w:val="IAS"/>
              <w:spacing w:before="20" w:line="220" w:lineRule="exact"/>
              <w:rPr>
                <w:sz w:val="12"/>
                <w:szCs w:val="12"/>
                <w:lang w:val="it-IT"/>
              </w:rPr>
            </w:pPr>
          </w:p>
        </w:tc>
        <w:tc>
          <w:tcPr>
            <w:tcW w:w="7079" w:type="dxa"/>
            <w:tcMar>
              <w:left w:w="108" w:type="dxa"/>
            </w:tcMar>
          </w:tcPr>
          <w:p w:rsidR="00D26424" w:rsidRPr="00237EFA" w:rsidRDefault="00D26424" w:rsidP="004300E2">
            <w:pPr>
              <w:overflowPunct/>
              <w:spacing w:before="60" w:after="60" w:line="240" w:lineRule="auto"/>
              <w:jc w:val="left"/>
              <w:textAlignment w:val="auto"/>
              <w:rPr>
                <w:rFonts w:cs="EUAlbertina"/>
                <w:color w:val="19161B"/>
                <w:lang w:val="it-IT" w:eastAsia="it-IT"/>
              </w:rPr>
            </w:pPr>
            <w:r w:rsidRPr="00237EFA">
              <w:rPr>
                <w:rFonts w:cs="EUAlbertina"/>
                <w:color w:val="19161B"/>
                <w:lang w:val="it-IT" w:eastAsia="it-IT"/>
              </w:rPr>
              <w:t xml:space="preserve">(a) utile/(perdita) derivante da attività operative in esercizio;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237EFA" w:rsidRDefault="00D26424" w:rsidP="004300E2">
            <w:pPr>
              <w:pStyle w:val="IAS"/>
              <w:spacing w:before="20" w:line="220" w:lineRule="exact"/>
              <w:rPr>
                <w:sz w:val="12"/>
                <w:szCs w:val="12"/>
                <w:lang w:val="it-IT"/>
              </w:rPr>
            </w:pPr>
          </w:p>
        </w:tc>
        <w:tc>
          <w:tcPr>
            <w:tcW w:w="7079" w:type="dxa"/>
            <w:tcMar>
              <w:left w:w="108" w:type="dxa"/>
            </w:tcMar>
          </w:tcPr>
          <w:p w:rsidR="00D26424" w:rsidRPr="00237EFA" w:rsidRDefault="00D26424" w:rsidP="004300E2">
            <w:pPr>
              <w:overflowPunct/>
              <w:spacing w:before="60" w:after="60" w:line="240" w:lineRule="auto"/>
              <w:jc w:val="left"/>
              <w:textAlignment w:val="auto"/>
              <w:rPr>
                <w:rFonts w:cs="EUAlbertina"/>
                <w:color w:val="19161B"/>
                <w:lang w:val="it-IT" w:eastAsia="it-IT"/>
              </w:rPr>
            </w:pPr>
            <w:r w:rsidRPr="00237EFA">
              <w:rPr>
                <w:rFonts w:cs="EUAlbertina"/>
                <w:color w:val="19161B"/>
                <w:lang w:val="it-IT" w:eastAsia="it-IT"/>
              </w:rPr>
              <w:t xml:space="preserve">(b) plusvalenza o minusvalenza, al netto degli oneri fiscali, delle attività operative cessate;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237EFA" w:rsidRDefault="00D26424" w:rsidP="004300E2">
            <w:pPr>
              <w:pStyle w:val="IAS"/>
              <w:spacing w:before="20" w:line="220" w:lineRule="exact"/>
              <w:rPr>
                <w:sz w:val="12"/>
                <w:szCs w:val="12"/>
                <w:lang w:val="it-IT"/>
              </w:rPr>
            </w:pPr>
          </w:p>
        </w:tc>
        <w:tc>
          <w:tcPr>
            <w:tcW w:w="7079" w:type="dxa"/>
            <w:tcMar>
              <w:left w:w="108" w:type="dxa"/>
            </w:tcMar>
          </w:tcPr>
          <w:p w:rsidR="00D26424" w:rsidRPr="00237EFA" w:rsidRDefault="00D26424" w:rsidP="004300E2">
            <w:pPr>
              <w:overflowPunct/>
              <w:spacing w:before="60" w:after="60" w:line="240" w:lineRule="auto"/>
              <w:jc w:val="left"/>
              <w:textAlignment w:val="auto"/>
              <w:rPr>
                <w:rFonts w:cs="EUAlbertina"/>
                <w:color w:val="19161B"/>
                <w:lang w:val="it-IT" w:eastAsia="it-IT"/>
              </w:rPr>
            </w:pPr>
            <w:r w:rsidRPr="00237EFA">
              <w:rPr>
                <w:rFonts w:cs="EUAlbertina"/>
                <w:color w:val="19161B"/>
                <w:lang w:val="it-IT" w:eastAsia="it-IT"/>
              </w:rPr>
              <w:t xml:space="preserve">(c) altre componenti di conto economico complessivo;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237EFA" w:rsidRDefault="00D26424" w:rsidP="004300E2">
            <w:pPr>
              <w:pStyle w:val="IAS"/>
              <w:spacing w:before="20" w:line="220" w:lineRule="exact"/>
              <w:rPr>
                <w:sz w:val="12"/>
                <w:szCs w:val="12"/>
                <w:lang w:val="it-IT"/>
              </w:rPr>
            </w:pPr>
          </w:p>
        </w:tc>
        <w:tc>
          <w:tcPr>
            <w:tcW w:w="7079" w:type="dxa"/>
            <w:tcMar>
              <w:left w:w="108" w:type="dxa"/>
            </w:tcMar>
          </w:tcPr>
          <w:p w:rsidR="00D26424" w:rsidRPr="00237EFA" w:rsidRDefault="00D26424" w:rsidP="004300E2">
            <w:pPr>
              <w:overflowPunct/>
              <w:spacing w:before="60" w:after="60" w:line="240" w:lineRule="auto"/>
              <w:jc w:val="left"/>
              <w:textAlignment w:val="auto"/>
              <w:rPr>
                <w:rFonts w:cs="EUAlbertina"/>
                <w:color w:val="19161B"/>
                <w:lang w:val="it-IT" w:eastAsia="it-IT"/>
              </w:rPr>
            </w:pPr>
            <w:r w:rsidRPr="00237EFA">
              <w:rPr>
                <w:rFonts w:cs="EUAlbertina"/>
                <w:color w:val="19161B"/>
                <w:lang w:val="it-IT" w:eastAsia="it-IT"/>
              </w:rPr>
              <w:t xml:space="preserve">(d) totale conto economico complessivo.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D26424">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237EFA" w:rsidRDefault="00D26424" w:rsidP="004300E2">
            <w:pPr>
              <w:pStyle w:val="IAS"/>
              <w:spacing w:before="20" w:line="220" w:lineRule="exact"/>
              <w:rPr>
                <w:sz w:val="12"/>
                <w:szCs w:val="12"/>
                <w:lang w:val="it-IT"/>
              </w:rPr>
            </w:pPr>
          </w:p>
        </w:tc>
        <w:tc>
          <w:tcPr>
            <w:tcW w:w="7079" w:type="dxa"/>
            <w:tcMar>
              <w:left w:w="108" w:type="dxa"/>
            </w:tcMar>
          </w:tcPr>
          <w:p w:rsidR="00D26424" w:rsidRPr="00237EFA" w:rsidRDefault="00D26424" w:rsidP="00A23AAF">
            <w:pPr>
              <w:overflowPunct/>
              <w:spacing w:before="60" w:after="60" w:line="240" w:lineRule="auto"/>
              <w:textAlignment w:val="auto"/>
              <w:rPr>
                <w:rFonts w:cs="EUAlbertina"/>
                <w:color w:val="19161B"/>
                <w:lang w:val="it-IT" w:eastAsia="it-IT"/>
              </w:rPr>
            </w:pPr>
            <w:r w:rsidRPr="00237EFA">
              <w:rPr>
                <w:rFonts w:cs="EUAlbertina"/>
                <w:color w:val="19161B"/>
                <w:lang w:val="it-IT" w:eastAsia="it-IT"/>
              </w:rPr>
              <w:t xml:space="preserve">Un’entità fornisce le informazioni integrative separatamente per le </w:t>
            </w:r>
            <w:r w:rsidRPr="00237EFA">
              <w:rPr>
                <w:rFonts w:cs="EUAlbertina"/>
                <w:i/>
                <w:color w:val="19161B"/>
                <w:lang w:val="it-IT" w:eastAsia="it-IT"/>
              </w:rPr>
              <w:t>joint venture</w:t>
            </w:r>
            <w:r w:rsidRPr="00237EFA">
              <w:rPr>
                <w:rFonts w:cs="EUAlbertina"/>
                <w:color w:val="19161B"/>
                <w:lang w:val="it-IT" w:eastAsia="it-IT"/>
              </w:rPr>
              <w:t xml:space="preserve"> e per le società collegate.</w:t>
            </w:r>
          </w:p>
        </w:tc>
        <w:tc>
          <w:tcPr>
            <w:tcW w:w="575" w:type="dxa"/>
            <w:tcMar>
              <w:left w:w="85" w:type="dxa"/>
              <w:right w:w="85" w:type="dxa"/>
            </w:tcMar>
            <w:vAlign w:val="center"/>
          </w:tcPr>
          <w:p w:rsidR="00D26424" w:rsidRPr="004F5A62"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3E42A0"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3E42A0"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361A3"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237EFA" w:rsidRDefault="004300E2" w:rsidP="004300E2">
            <w:pPr>
              <w:pStyle w:val="IAS"/>
              <w:spacing w:before="20" w:line="220" w:lineRule="exact"/>
              <w:rPr>
                <w:sz w:val="12"/>
                <w:szCs w:val="12"/>
                <w:lang w:val="it-IT"/>
              </w:rPr>
            </w:pPr>
            <w:r w:rsidRPr="00237EFA">
              <w:rPr>
                <w:sz w:val="12"/>
                <w:szCs w:val="12"/>
                <w:lang w:val="it-IT"/>
              </w:rPr>
              <w:t>IFRS 12.22</w:t>
            </w:r>
          </w:p>
        </w:tc>
        <w:tc>
          <w:tcPr>
            <w:tcW w:w="7079" w:type="dxa"/>
            <w:tcMar>
              <w:left w:w="108" w:type="dxa"/>
            </w:tcMar>
          </w:tcPr>
          <w:p w:rsidR="004300E2" w:rsidRPr="00353E07" w:rsidRDefault="004300E2" w:rsidP="00C27FBB">
            <w:pPr>
              <w:overflowPunct/>
              <w:spacing w:line="240" w:lineRule="exact"/>
              <w:jc w:val="left"/>
              <w:textAlignment w:val="auto"/>
              <w:rPr>
                <w:rFonts w:cs="EUAlbertina"/>
                <w:color w:val="19161B"/>
                <w:lang w:val="it-IT" w:eastAsia="it-IT"/>
              </w:rPr>
            </w:pPr>
            <w:r w:rsidRPr="00237EFA">
              <w:rPr>
                <w:rFonts w:cs="EUAlbertina"/>
                <w:color w:val="19161B"/>
                <w:lang w:val="it-IT" w:eastAsia="it-IT"/>
              </w:rPr>
              <w:t xml:space="preserve">Un’entità deve indicare: </w:t>
            </w:r>
          </w:p>
        </w:tc>
        <w:tc>
          <w:tcPr>
            <w:tcW w:w="575" w:type="dxa"/>
            <w:tcMar>
              <w:left w:w="85" w:type="dxa"/>
              <w:right w:w="85" w:type="dxa"/>
            </w:tcMar>
          </w:tcPr>
          <w:p w:rsidR="004300E2" w:rsidRPr="00A32A16" w:rsidRDefault="004300E2" w:rsidP="004300E2">
            <w:pPr>
              <w:rPr>
                <w:lang w:val="it-IT"/>
              </w:rPr>
            </w:pPr>
          </w:p>
        </w:tc>
        <w:tc>
          <w:tcPr>
            <w:tcW w:w="567" w:type="dxa"/>
            <w:tcMar>
              <w:left w:w="108" w:type="dxa"/>
            </w:tcMar>
          </w:tcPr>
          <w:p w:rsidR="004300E2" w:rsidRPr="00A32A16" w:rsidRDefault="004300E2" w:rsidP="004300E2">
            <w:pPr>
              <w:jc w:val="center"/>
              <w:rPr>
                <w:lang w:val="it-IT"/>
              </w:rPr>
            </w:pPr>
          </w:p>
        </w:tc>
        <w:tc>
          <w:tcPr>
            <w:tcW w:w="567" w:type="dxa"/>
            <w:tcMar>
              <w:left w:w="108" w:type="dxa"/>
            </w:tcMar>
          </w:tcPr>
          <w:p w:rsidR="004300E2" w:rsidRPr="00A32A16" w:rsidRDefault="004300E2" w:rsidP="004300E2">
            <w:pPr>
              <w:jc w:val="center"/>
              <w:rPr>
                <w:lang w:val="it-IT"/>
              </w:rPr>
            </w:pP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C27FBB">
            <w:pPr>
              <w:overflowPunct/>
              <w:spacing w:line="240" w:lineRule="exact"/>
              <w:ind w:left="316" w:hanging="316"/>
              <w:textAlignment w:val="auto"/>
              <w:rPr>
                <w:rFonts w:cs="EUAlbertina"/>
                <w:color w:val="19161B"/>
                <w:lang w:val="it-IT" w:eastAsia="it-IT"/>
              </w:rPr>
            </w:pPr>
            <w:r w:rsidRPr="00237EFA">
              <w:rPr>
                <w:rFonts w:cs="EUAlbertina"/>
                <w:color w:val="19161B"/>
                <w:lang w:val="it-IT" w:eastAsia="it-IT"/>
              </w:rPr>
              <w:t xml:space="preserve">(a) </w:t>
            </w:r>
            <w:r w:rsidRPr="00237EFA">
              <w:rPr>
                <w:rFonts w:cs="EUAlbertina"/>
                <w:color w:val="19161B"/>
                <w:lang w:val="it-IT" w:eastAsia="it-IT"/>
              </w:rPr>
              <w:tab/>
              <w:t xml:space="preserve">la natura e la misura di qualsiasi restrizione significativa (per esempio, come risultato di accordi di finanziamento, disposizioni regolamentari o accordi contrattuali tra investitori con controllo congiunto o influenza notevole su una </w:t>
            </w:r>
            <w:r w:rsidRPr="00237EFA">
              <w:rPr>
                <w:rFonts w:cs="EUAlbertina"/>
                <w:i/>
                <w:iCs/>
                <w:color w:val="19161B"/>
                <w:lang w:val="it-IT" w:eastAsia="it-IT"/>
              </w:rPr>
              <w:t xml:space="preserve">joint venture </w:t>
            </w:r>
            <w:r w:rsidRPr="00237EFA">
              <w:rPr>
                <w:rFonts w:cs="EUAlbertina"/>
                <w:color w:val="19161B"/>
                <w:lang w:val="it-IT" w:eastAsia="it-IT"/>
              </w:rPr>
              <w:t xml:space="preserve">o una società collegata) alla capacità delle </w:t>
            </w:r>
            <w:r w:rsidRPr="00237EFA">
              <w:rPr>
                <w:rFonts w:cs="EUAlbertina"/>
                <w:i/>
                <w:iCs/>
                <w:color w:val="19161B"/>
                <w:lang w:val="it-IT" w:eastAsia="it-IT"/>
              </w:rPr>
              <w:t xml:space="preserve">joint venture </w:t>
            </w:r>
            <w:r w:rsidRPr="00237EFA">
              <w:rPr>
                <w:rFonts w:cs="EUAlbertina"/>
                <w:color w:val="19161B"/>
                <w:lang w:val="it-IT" w:eastAsia="it-IT"/>
              </w:rPr>
              <w:t xml:space="preserve">o delle società collegate di trasferire fondi all’entità sotto forma di dividendi, di rimborsi di prestiti o di anticipazioni effettuati dall’entità;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D26424">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C27FBB">
            <w:pPr>
              <w:overflowPunct/>
              <w:spacing w:line="240" w:lineRule="exact"/>
              <w:ind w:left="316" w:hanging="316"/>
              <w:textAlignment w:val="auto"/>
              <w:rPr>
                <w:rFonts w:cs="EUAlbertina"/>
                <w:color w:val="19161B"/>
                <w:lang w:val="it-IT" w:eastAsia="it-IT"/>
              </w:rPr>
            </w:pPr>
            <w:r w:rsidRPr="00237EFA">
              <w:rPr>
                <w:rFonts w:cs="EUAlbertina"/>
                <w:color w:val="19161B"/>
                <w:lang w:val="it-IT" w:eastAsia="it-IT"/>
              </w:rPr>
              <w:t xml:space="preserve">(b) </w:t>
            </w:r>
            <w:r w:rsidRPr="00237EFA">
              <w:rPr>
                <w:rFonts w:cs="EUAlbertina"/>
                <w:color w:val="19161B"/>
                <w:lang w:val="it-IT" w:eastAsia="it-IT"/>
              </w:rPr>
              <w:tab/>
              <w:t xml:space="preserve">quando il bilancio di una </w:t>
            </w:r>
            <w:r w:rsidRPr="00237EFA">
              <w:rPr>
                <w:rFonts w:cs="EUAlbertina"/>
                <w:i/>
                <w:iCs/>
                <w:color w:val="19161B"/>
                <w:lang w:val="it-IT" w:eastAsia="it-IT"/>
              </w:rPr>
              <w:t xml:space="preserve">joint venture </w:t>
            </w:r>
            <w:r w:rsidRPr="00237EFA">
              <w:rPr>
                <w:rFonts w:cs="EUAlbertina"/>
                <w:color w:val="19161B"/>
                <w:lang w:val="it-IT" w:eastAsia="it-IT"/>
              </w:rPr>
              <w:t xml:space="preserve">o società collegata utilizzato nell’applicazione del metodo del patrimonio netto è riferito a un esercizio diverso da quello dell’entità: </w:t>
            </w:r>
          </w:p>
        </w:tc>
        <w:tc>
          <w:tcPr>
            <w:tcW w:w="575" w:type="dxa"/>
            <w:tcMar>
              <w:left w:w="85" w:type="dxa"/>
              <w:right w:w="85" w:type="dxa"/>
            </w:tcMar>
            <w:vAlign w:val="center"/>
          </w:tcPr>
          <w:p w:rsidR="00D26424" w:rsidRPr="004F5A62"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353E07"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353E07"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C27FBB">
            <w:pPr>
              <w:overflowPunct/>
              <w:spacing w:line="240" w:lineRule="exact"/>
              <w:ind w:left="600" w:hanging="284"/>
              <w:textAlignment w:val="auto"/>
              <w:rPr>
                <w:rFonts w:cs="EUAlbertina"/>
                <w:color w:val="19161B"/>
                <w:lang w:val="it-IT" w:eastAsia="it-IT"/>
              </w:rPr>
            </w:pPr>
            <w:r w:rsidRPr="00237EFA">
              <w:rPr>
                <w:rFonts w:cs="EUAlbertina"/>
                <w:color w:val="19161B"/>
                <w:lang w:val="it-IT" w:eastAsia="it-IT"/>
              </w:rPr>
              <w:t xml:space="preserve">(i) </w:t>
            </w:r>
            <w:r w:rsidRPr="00237EFA">
              <w:rPr>
                <w:rFonts w:cs="EUAlbertina"/>
                <w:color w:val="19161B"/>
                <w:lang w:val="it-IT" w:eastAsia="it-IT"/>
              </w:rPr>
              <w:tab/>
              <w:t xml:space="preserve">la data di chiusura dell’esercizio a cui si riferisce il bilancio di quella </w:t>
            </w:r>
            <w:r w:rsidRPr="00237EFA">
              <w:rPr>
                <w:rFonts w:cs="EUAlbertina"/>
                <w:i/>
                <w:iCs/>
                <w:color w:val="19161B"/>
                <w:lang w:val="it-IT" w:eastAsia="it-IT"/>
              </w:rPr>
              <w:t xml:space="preserve">joint venture </w:t>
            </w:r>
            <w:r w:rsidRPr="00237EFA">
              <w:rPr>
                <w:rFonts w:cs="EUAlbertina"/>
                <w:color w:val="19161B"/>
                <w:lang w:val="it-IT" w:eastAsia="it-IT"/>
              </w:rPr>
              <w:t xml:space="preserve">o società collegata; e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C27FBB">
            <w:pPr>
              <w:overflowPunct/>
              <w:spacing w:line="240" w:lineRule="exact"/>
              <w:ind w:left="600" w:hanging="284"/>
              <w:jc w:val="left"/>
              <w:textAlignment w:val="auto"/>
              <w:rPr>
                <w:rFonts w:cs="EUAlbertina"/>
                <w:color w:val="19161B"/>
                <w:lang w:val="it-IT" w:eastAsia="it-IT"/>
              </w:rPr>
            </w:pPr>
            <w:r w:rsidRPr="00237EFA">
              <w:rPr>
                <w:rFonts w:cs="EUAlbertina"/>
                <w:color w:val="19161B"/>
                <w:lang w:val="it-IT" w:eastAsia="it-IT"/>
              </w:rPr>
              <w:t xml:space="preserve">(ii) </w:t>
            </w:r>
            <w:r w:rsidRPr="00237EFA">
              <w:rPr>
                <w:rFonts w:cs="EUAlbertina"/>
                <w:color w:val="19161B"/>
                <w:lang w:val="it-IT" w:eastAsia="it-IT"/>
              </w:rPr>
              <w:tab/>
              <w:t xml:space="preserve">il motivo dell’utilizzo di una data o di un esercizio diverso;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C27FBB">
            <w:pPr>
              <w:overflowPunct/>
              <w:spacing w:line="240" w:lineRule="exact"/>
              <w:ind w:left="316" w:hanging="316"/>
              <w:textAlignment w:val="auto"/>
              <w:rPr>
                <w:rFonts w:cs="EUAlbertina"/>
                <w:color w:val="19161B"/>
                <w:lang w:val="it-IT" w:eastAsia="it-IT"/>
              </w:rPr>
            </w:pPr>
            <w:r w:rsidRPr="00237EFA">
              <w:rPr>
                <w:rFonts w:cs="EUAlbertina"/>
                <w:color w:val="19161B"/>
                <w:lang w:val="it-IT" w:eastAsia="it-IT"/>
              </w:rPr>
              <w:t xml:space="preserve">(c) </w:t>
            </w:r>
            <w:r w:rsidRPr="00237EFA">
              <w:rPr>
                <w:rFonts w:cs="EUAlbertina"/>
                <w:color w:val="19161B"/>
                <w:lang w:val="it-IT" w:eastAsia="it-IT"/>
              </w:rPr>
              <w:tab/>
              <w:t xml:space="preserve">la quota non rilevata delle perdite di una </w:t>
            </w:r>
            <w:r w:rsidRPr="000F56BA">
              <w:rPr>
                <w:rFonts w:cs="EUAlbertina"/>
                <w:i/>
                <w:color w:val="19161B"/>
                <w:lang w:val="it-IT" w:eastAsia="it-IT"/>
              </w:rPr>
              <w:t>joint venture</w:t>
            </w:r>
            <w:r w:rsidRPr="00237EFA">
              <w:rPr>
                <w:rFonts w:cs="EUAlbertina"/>
                <w:color w:val="19161B"/>
                <w:lang w:val="it-IT" w:eastAsia="it-IT"/>
              </w:rPr>
              <w:t xml:space="preserve"> o società collegata, relative all’esercizio e cumulative, se l'entità ha cessato di rilevare la propria quota di perdite della </w:t>
            </w:r>
            <w:r w:rsidRPr="000F56BA">
              <w:rPr>
                <w:rFonts w:cs="EUAlbertina"/>
                <w:i/>
                <w:color w:val="19161B"/>
                <w:lang w:val="it-IT" w:eastAsia="it-IT"/>
              </w:rPr>
              <w:t>joint venture</w:t>
            </w:r>
            <w:r w:rsidRPr="00237EFA">
              <w:rPr>
                <w:rFonts w:cs="EUAlbertina"/>
                <w:color w:val="19161B"/>
                <w:lang w:val="it-IT" w:eastAsia="it-IT"/>
              </w:rPr>
              <w:t xml:space="preserve"> o della società collegata quando applica il metodo del patrimonio netto.</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87BC2"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237EFA" w:rsidRDefault="004300E2" w:rsidP="004300E2">
            <w:pPr>
              <w:pStyle w:val="IAS"/>
              <w:spacing w:before="20" w:line="220" w:lineRule="exact"/>
              <w:rPr>
                <w:sz w:val="12"/>
                <w:szCs w:val="12"/>
                <w:lang w:val="it-IT"/>
              </w:rPr>
            </w:pPr>
            <w:r w:rsidRPr="00237EFA">
              <w:rPr>
                <w:sz w:val="12"/>
                <w:szCs w:val="12"/>
                <w:lang w:val="it-IT"/>
              </w:rPr>
              <w:t>IFRS 12.23</w:t>
            </w:r>
          </w:p>
        </w:tc>
        <w:tc>
          <w:tcPr>
            <w:tcW w:w="7079" w:type="dxa"/>
            <w:tcMar>
              <w:left w:w="108" w:type="dxa"/>
            </w:tcMar>
          </w:tcPr>
          <w:p w:rsidR="004300E2" w:rsidRPr="00BA1AD3" w:rsidRDefault="004300E2" w:rsidP="004300E2">
            <w:pPr>
              <w:overflowPunct/>
              <w:spacing w:before="60" w:after="60" w:line="240" w:lineRule="auto"/>
              <w:jc w:val="left"/>
              <w:textAlignment w:val="auto"/>
              <w:rPr>
                <w:rFonts w:cs="EUAlbertina"/>
                <w:color w:val="19161B"/>
                <w:lang w:val="it-IT" w:eastAsia="it-IT"/>
              </w:rPr>
            </w:pPr>
            <w:r w:rsidRPr="00237EFA">
              <w:rPr>
                <w:rFonts w:cs="EUAlbertina"/>
                <w:color w:val="19161B"/>
                <w:lang w:val="it-IT" w:eastAsia="it-IT"/>
              </w:rPr>
              <w:t xml:space="preserve">L'entità deve indicare: </w:t>
            </w:r>
          </w:p>
        </w:tc>
        <w:tc>
          <w:tcPr>
            <w:tcW w:w="575" w:type="dxa"/>
            <w:tcMar>
              <w:left w:w="85" w:type="dxa"/>
              <w:right w:w="85" w:type="dxa"/>
            </w:tcMar>
            <w:vAlign w:val="center"/>
          </w:tcPr>
          <w:p w:rsidR="004300E2" w:rsidRDefault="004300E2" w:rsidP="004300E2">
            <w:pPr>
              <w:jc w:val="center"/>
            </w:pPr>
          </w:p>
        </w:tc>
        <w:tc>
          <w:tcPr>
            <w:tcW w:w="567" w:type="dxa"/>
            <w:tcMar>
              <w:left w:w="108" w:type="dxa"/>
            </w:tcMar>
            <w:vAlign w:val="center"/>
          </w:tcPr>
          <w:p w:rsidR="004300E2" w:rsidRDefault="004300E2" w:rsidP="004300E2">
            <w:pPr>
              <w:jc w:val="center"/>
            </w:pPr>
          </w:p>
        </w:tc>
        <w:tc>
          <w:tcPr>
            <w:tcW w:w="567" w:type="dxa"/>
            <w:tcMar>
              <w:left w:w="108" w:type="dxa"/>
            </w:tcMar>
            <w:vAlign w:val="center"/>
          </w:tcPr>
          <w:p w:rsidR="004300E2" w:rsidRDefault="004300E2" w:rsidP="004300E2">
            <w:pPr>
              <w:jc w:val="center"/>
            </w:pP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237EFA" w:rsidRDefault="00D26424" w:rsidP="004300E2">
            <w:pPr>
              <w:pStyle w:val="IAS"/>
              <w:spacing w:before="20" w:line="220" w:lineRule="exact"/>
              <w:rPr>
                <w:sz w:val="12"/>
                <w:szCs w:val="12"/>
                <w:lang w:val="it-IT"/>
              </w:rPr>
            </w:pPr>
          </w:p>
        </w:tc>
        <w:tc>
          <w:tcPr>
            <w:tcW w:w="7079" w:type="dxa"/>
            <w:tcMar>
              <w:left w:w="108" w:type="dxa"/>
            </w:tcMar>
          </w:tcPr>
          <w:p w:rsidR="00D26424" w:rsidRPr="00BA1AD3" w:rsidRDefault="00D26424" w:rsidP="003B4450">
            <w:pPr>
              <w:pStyle w:val="Paragrafoelenco"/>
              <w:numPr>
                <w:ilvl w:val="0"/>
                <w:numId w:val="245"/>
              </w:numPr>
              <w:overflowPunct/>
              <w:ind w:left="318" w:hanging="284"/>
              <w:textAlignment w:val="auto"/>
              <w:rPr>
                <w:rFonts w:cs="EUAlbertina"/>
                <w:color w:val="19161B"/>
                <w:lang w:val="it-IT" w:eastAsia="it-IT"/>
              </w:rPr>
            </w:pPr>
            <w:r w:rsidRPr="00237EFA">
              <w:rPr>
                <w:rFonts w:cs="EUAlbertina"/>
                <w:color w:val="19161B"/>
                <w:lang w:val="it-IT" w:eastAsia="it-IT"/>
              </w:rPr>
              <w:t xml:space="preserve">i propri impegni nelle </w:t>
            </w:r>
            <w:r w:rsidRPr="00237EFA">
              <w:rPr>
                <w:rFonts w:cs="EUAlbertina"/>
                <w:i/>
                <w:iCs/>
                <w:color w:val="19161B"/>
                <w:lang w:val="it-IT" w:eastAsia="it-IT"/>
              </w:rPr>
              <w:t xml:space="preserve">joint venture </w:t>
            </w:r>
            <w:r w:rsidRPr="00237EFA">
              <w:rPr>
                <w:rFonts w:cs="EUAlbertina"/>
                <w:color w:val="19161B"/>
                <w:lang w:val="it-IT" w:eastAsia="it-IT"/>
              </w:rPr>
              <w:t xml:space="preserve">separatamente dall’ammontare di tutti gli altri impegni, secondo quanto specificato nei paragrafi B18–B20 dell’IFRS 12 (vedere punto successivo);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237EFA" w:rsidRDefault="00D26424" w:rsidP="004300E2">
            <w:pPr>
              <w:pStyle w:val="IAS"/>
              <w:spacing w:before="20" w:line="220" w:lineRule="exact"/>
              <w:rPr>
                <w:sz w:val="12"/>
                <w:szCs w:val="12"/>
                <w:lang w:val="it-IT"/>
              </w:rPr>
            </w:pPr>
          </w:p>
        </w:tc>
        <w:tc>
          <w:tcPr>
            <w:tcW w:w="7079" w:type="dxa"/>
            <w:tcMar>
              <w:left w:w="108" w:type="dxa"/>
            </w:tcMar>
          </w:tcPr>
          <w:p w:rsidR="00D26424" w:rsidRPr="00BA1AD3" w:rsidRDefault="00D26424" w:rsidP="004300E2">
            <w:pPr>
              <w:pStyle w:val="Paragrafoelenco"/>
              <w:numPr>
                <w:ilvl w:val="0"/>
                <w:numId w:val="245"/>
              </w:numPr>
              <w:overflowPunct/>
              <w:spacing w:before="60" w:after="60" w:line="240" w:lineRule="auto"/>
              <w:ind w:left="317" w:hanging="283"/>
              <w:textAlignment w:val="auto"/>
              <w:rPr>
                <w:rFonts w:cs="EUAlbertina"/>
                <w:color w:val="19161B"/>
                <w:lang w:val="it-IT" w:eastAsia="it-IT"/>
              </w:rPr>
            </w:pPr>
            <w:r w:rsidRPr="00BA1AD3">
              <w:rPr>
                <w:rFonts w:cs="EUAlbertina"/>
                <w:color w:val="19161B"/>
                <w:lang w:val="it-IT" w:eastAsia="it-IT"/>
              </w:rPr>
              <w:t xml:space="preserve">in conformità allo IAS 37 </w:t>
            </w:r>
            <w:r w:rsidRPr="00BA1AD3">
              <w:rPr>
                <w:rFonts w:cs="EUAlbertina"/>
                <w:i/>
                <w:iCs/>
                <w:color w:val="19161B"/>
                <w:lang w:val="it-IT" w:eastAsia="it-IT"/>
              </w:rPr>
              <w:t xml:space="preserve">Accantonamenti, passività e attività potenziali, </w:t>
            </w:r>
            <w:r w:rsidRPr="00BA1AD3">
              <w:rPr>
                <w:rFonts w:cs="EUAlbertina"/>
                <w:color w:val="19161B"/>
                <w:lang w:val="it-IT" w:eastAsia="it-IT"/>
              </w:rPr>
              <w:t xml:space="preserve">a meno che la probabilità di perdita non sia remota, le passività potenziali relative alle proprie interessenze in </w:t>
            </w:r>
            <w:r w:rsidRPr="00BA1AD3">
              <w:rPr>
                <w:rFonts w:cs="EUAlbertina"/>
                <w:i/>
                <w:iCs/>
                <w:color w:val="19161B"/>
                <w:lang w:val="it-IT" w:eastAsia="it-IT"/>
              </w:rPr>
              <w:t xml:space="preserve">joint venture </w:t>
            </w:r>
            <w:r w:rsidRPr="00BA1AD3">
              <w:rPr>
                <w:rFonts w:cs="EUAlbertina"/>
                <w:color w:val="19161B"/>
                <w:lang w:val="it-IT" w:eastAsia="it-IT"/>
              </w:rPr>
              <w:t xml:space="preserve">o società collegate (inclusa la propria quota di passività potenziali condivise con altri investitori aventi il controllo congiunto o influenza significativa sulle </w:t>
            </w:r>
            <w:r w:rsidRPr="00BA1AD3">
              <w:rPr>
                <w:rFonts w:cs="EUAlbertina"/>
                <w:i/>
                <w:iCs/>
                <w:color w:val="19161B"/>
                <w:lang w:val="it-IT" w:eastAsia="it-IT"/>
              </w:rPr>
              <w:t xml:space="preserve">joint venture </w:t>
            </w:r>
            <w:r w:rsidRPr="00BA1AD3">
              <w:rPr>
                <w:rFonts w:cs="EUAlbertina"/>
                <w:color w:val="19161B"/>
                <w:lang w:val="it-IT" w:eastAsia="it-IT"/>
              </w:rPr>
              <w:t>o società collegate), separatamente dall’importo di altre passività potenziali.</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D26424">
        <w:trPr>
          <w:cantSplit/>
        </w:trPr>
        <w:tc>
          <w:tcPr>
            <w:tcW w:w="567" w:type="dxa"/>
            <w:tcMar>
              <w:left w:w="108" w:type="dxa"/>
            </w:tcMar>
          </w:tcPr>
          <w:p w:rsidR="00D26424" w:rsidRPr="008A0F36" w:rsidRDefault="00D26424" w:rsidP="004300E2">
            <w:pPr>
              <w:pStyle w:val="Numeroelenco"/>
              <w:ind w:left="0" w:firstLine="57"/>
              <w:rPr>
                <w:lang w:val="it-IT"/>
              </w:rPr>
            </w:pPr>
          </w:p>
        </w:tc>
        <w:tc>
          <w:tcPr>
            <w:tcW w:w="851" w:type="dxa"/>
            <w:tcMar>
              <w:left w:w="108" w:type="dxa"/>
              <w:right w:w="0" w:type="dxa"/>
            </w:tcMar>
          </w:tcPr>
          <w:p w:rsidR="00D26424" w:rsidRPr="00237EFA" w:rsidRDefault="00D26424" w:rsidP="004300E2">
            <w:pPr>
              <w:pStyle w:val="IAS"/>
              <w:spacing w:before="20" w:line="220" w:lineRule="exact"/>
              <w:rPr>
                <w:sz w:val="12"/>
                <w:szCs w:val="12"/>
                <w:lang w:val="it-IT"/>
              </w:rPr>
            </w:pPr>
            <w:r w:rsidRPr="00237EFA">
              <w:rPr>
                <w:sz w:val="12"/>
                <w:szCs w:val="12"/>
                <w:lang w:val="it-IT"/>
              </w:rPr>
              <w:t>IFRS 12.B.18</w:t>
            </w:r>
          </w:p>
        </w:tc>
        <w:tc>
          <w:tcPr>
            <w:tcW w:w="7079" w:type="dxa"/>
            <w:tcMar>
              <w:left w:w="108" w:type="dxa"/>
            </w:tcMar>
          </w:tcPr>
          <w:p w:rsidR="00D26424" w:rsidRPr="00237EFA" w:rsidRDefault="00D26424" w:rsidP="004300E2">
            <w:pPr>
              <w:overflowPunct/>
              <w:spacing w:before="60" w:after="60" w:line="240" w:lineRule="auto"/>
              <w:textAlignment w:val="auto"/>
              <w:rPr>
                <w:rFonts w:cs="EUAlbertina"/>
                <w:color w:val="19161B"/>
                <w:lang w:val="it-IT" w:eastAsia="it-IT"/>
              </w:rPr>
            </w:pPr>
            <w:r w:rsidRPr="00237EFA">
              <w:rPr>
                <w:rFonts w:cs="EUAlbertina"/>
                <w:color w:val="19161B"/>
                <w:lang w:val="it-IT" w:eastAsia="it-IT"/>
              </w:rPr>
              <w:t xml:space="preserve">Un’entità deve indicare gli impegni totali assunti ma non rilevati alla data di riferimento del bilancio (inclusa la propria parte di impegni presi congiuntamente con altri investitori aventi il controllo congiunto di una </w:t>
            </w:r>
            <w:r w:rsidRPr="00237EFA">
              <w:rPr>
                <w:rFonts w:cs="EUAlbertina"/>
                <w:i/>
                <w:color w:val="19161B"/>
                <w:lang w:val="it-IT" w:eastAsia="it-IT"/>
              </w:rPr>
              <w:t>joint venture</w:t>
            </w:r>
            <w:r w:rsidRPr="00237EFA">
              <w:rPr>
                <w:rFonts w:cs="EUAlbertina"/>
                <w:color w:val="19161B"/>
                <w:lang w:val="it-IT" w:eastAsia="it-IT"/>
              </w:rPr>
              <w:t xml:space="preserve">) relativi alle proprie partecipazioni in </w:t>
            </w:r>
            <w:r w:rsidRPr="00237EFA">
              <w:rPr>
                <w:rFonts w:cs="EUAlbertina"/>
                <w:i/>
                <w:color w:val="19161B"/>
                <w:lang w:val="it-IT" w:eastAsia="it-IT"/>
              </w:rPr>
              <w:t>joint venture</w:t>
            </w:r>
            <w:r w:rsidRPr="00237EFA">
              <w:rPr>
                <w:rFonts w:cs="EUAlbertina"/>
                <w:color w:val="19161B"/>
                <w:lang w:val="it-IT" w:eastAsia="it-IT"/>
              </w:rPr>
              <w:t xml:space="preserve">. Gli impegni sono quelli che possono determinare uscite future di flussi finanziari o di altre risorse. </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rPr>
                <w:lang w:val="it-IT"/>
              </w:rPr>
            </w:pPr>
          </w:p>
        </w:tc>
        <w:tc>
          <w:tcPr>
            <w:tcW w:w="851" w:type="dxa"/>
            <w:tcMar>
              <w:left w:w="108" w:type="dxa"/>
              <w:right w:w="0" w:type="dxa"/>
            </w:tcMar>
          </w:tcPr>
          <w:p w:rsidR="004300E2" w:rsidRPr="00237EFA" w:rsidRDefault="004300E2" w:rsidP="004300E2">
            <w:pPr>
              <w:pStyle w:val="IAS"/>
              <w:spacing w:before="20" w:line="220" w:lineRule="exact"/>
              <w:rPr>
                <w:sz w:val="12"/>
                <w:szCs w:val="12"/>
                <w:lang w:val="it-IT"/>
              </w:rPr>
            </w:pPr>
            <w:r w:rsidRPr="00237EFA">
              <w:rPr>
                <w:sz w:val="12"/>
                <w:szCs w:val="12"/>
                <w:lang w:val="it-IT"/>
              </w:rPr>
              <w:t>IFRS 12.B19</w:t>
            </w:r>
          </w:p>
        </w:tc>
        <w:tc>
          <w:tcPr>
            <w:tcW w:w="7079" w:type="dxa"/>
            <w:tcMar>
              <w:left w:w="108" w:type="dxa"/>
            </w:tcMar>
          </w:tcPr>
          <w:p w:rsidR="004300E2" w:rsidRPr="00237EFA" w:rsidRDefault="004300E2" w:rsidP="004300E2">
            <w:pPr>
              <w:pStyle w:val="Commentiriquadro"/>
              <w:rPr>
                <w:lang w:val="it-IT" w:eastAsia="it-IT"/>
              </w:rPr>
            </w:pPr>
            <w:r w:rsidRPr="00237EFA">
              <w:rPr>
                <w:lang w:val="it-IT" w:eastAsia="it-IT"/>
              </w:rPr>
              <w:t xml:space="preserve">Gli impegni non rilevati che possono determinare uscite future di flussi finanziari o di altre risorse comprendono: </w:t>
            </w:r>
          </w:p>
          <w:p w:rsidR="004300E2" w:rsidRPr="00237EFA" w:rsidRDefault="004300E2" w:rsidP="004300E2">
            <w:pPr>
              <w:pStyle w:val="Commentiriquadro"/>
              <w:rPr>
                <w:lang w:val="it-IT" w:eastAsia="it-IT"/>
              </w:rPr>
            </w:pPr>
            <w:r w:rsidRPr="00237EFA">
              <w:rPr>
                <w:lang w:val="it-IT" w:eastAsia="it-IT"/>
              </w:rPr>
              <w:t xml:space="preserve">(a) gli impegni non rilevati per assicurare fondi o risorse in conseguenza, per esempio, di: </w:t>
            </w:r>
          </w:p>
          <w:p w:rsidR="004300E2" w:rsidRPr="00237EFA" w:rsidRDefault="004300E2" w:rsidP="004300E2">
            <w:pPr>
              <w:pStyle w:val="Commentiriquadro"/>
              <w:ind w:left="458" w:hanging="282"/>
              <w:rPr>
                <w:lang w:val="it-IT" w:eastAsia="it-IT"/>
              </w:rPr>
            </w:pPr>
            <w:r>
              <w:rPr>
                <w:lang w:val="it-IT" w:eastAsia="it-IT"/>
              </w:rPr>
              <w:tab/>
            </w:r>
            <w:r w:rsidRPr="00237EFA">
              <w:rPr>
                <w:lang w:val="it-IT" w:eastAsia="it-IT"/>
              </w:rPr>
              <w:t xml:space="preserve">(i) </w:t>
            </w:r>
            <w:r>
              <w:rPr>
                <w:lang w:val="it-IT" w:eastAsia="it-IT"/>
              </w:rPr>
              <w:tab/>
            </w:r>
            <w:r w:rsidRPr="00237EFA">
              <w:rPr>
                <w:lang w:val="it-IT" w:eastAsia="it-IT"/>
              </w:rPr>
              <w:t xml:space="preserve">costituzione o di accordi di acquisizione di una </w:t>
            </w:r>
            <w:r w:rsidRPr="00237EFA">
              <w:rPr>
                <w:i/>
                <w:lang w:val="it-IT" w:eastAsia="it-IT"/>
              </w:rPr>
              <w:t>joint venture</w:t>
            </w:r>
            <w:r w:rsidRPr="00237EFA">
              <w:rPr>
                <w:lang w:val="it-IT" w:eastAsia="it-IT"/>
              </w:rPr>
              <w:t xml:space="preserve"> (che, per esempio richiedono a un’entità di</w:t>
            </w:r>
            <w:r>
              <w:rPr>
                <w:lang w:val="it-IT" w:eastAsia="it-IT"/>
              </w:rPr>
              <w:t xml:space="preserve"> </w:t>
            </w:r>
            <w:r w:rsidRPr="00237EFA">
              <w:rPr>
                <w:lang w:val="it-IT" w:eastAsia="it-IT"/>
              </w:rPr>
              <w:t xml:space="preserve">conferire fondi per un periodo predeterminato); </w:t>
            </w:r>
          </w:p>
          <w:p w:rsidR="004300E2" w:rsidRPr="00237EFA" w:rsidRDefault="004300E2" w:rsidP="004300E2">
            <w:pPr>
              <w:pStyle w:val="Commentiriquadro"/>
              <w:ind w:left="458" w:hanging="282"/>
              <w:rPr>
                <w:lang w:val="it-IT" w:eastAsia="it-IT"/>
              </w:rPr>
            </w:pPr>
            <w:r>
              <w:rPr>
                <w:lang w:val="it-IT" w:eastAsia="it-IT"/>
              </w:rPr>
              <w:tab/>
            </w:r>
            <w:r w:rsidRPr="00237EFA">
              <w:rPr>
                <w:lang w:val="it-IT" w:eastAsia="it-IT"/>
              </w:rPr>
              <w:t xml:space="preserve">(ii) progetti ad alta intensità di capitale intrapresi da una joint </w:t>
            </w:r>
            <w:r w:rsidRPr="00237EFA">
              <w:rPr>
                <w:i/>
                <w:lang w:val="it-IT" w:eastAsia="it-IT"/>
              </w:rPr>
              <w:t>venture</w:t>
            </w:r>
            <w:r w:rsidRPr="00237EFA">
              <w:rPr>
                <w:lang w:val="it-IT" w:eastAsia="it-IT"/>
              </w:rPr>
              <w:t xml:space="preserve">; </w:t>
            </w:r>
          </w:p>
          <w:p w:rsidR="004300E2" w:rsidRPr="00237EFA" w:rsidRDefault="004300E2" w:rsidP="004300E2">
            <w:pPr>
              <w:pStyle w:val="Commentiriquadro"/>
              <w:ind w:left="458" w:hanging="282"/>
              <w:rPr>
                <w:lang w:val="it-IT" w:eastAsia="it-IT"/>
              </w:rPr>
            </w:pPr>
            <w:r>
              <w:rPr>
                <w:lang w:val="it-IT" w:eastAsia="it-IT"/>
              </w:rPr>
              <w:tab/>
            </w:r>
            <w:r w:rsidRPr="00237EFA">
              <w:rPr>
                <w:lang w:val="it-IT" w:eastAsia="it-IT"/>
              </w:rPr>
              <w:t xml:space="preserve">(iii) obbligazioni di acquisto incondizionate, comprendenti approvvigionamento di attrezzature, rimanenze o servizi che un'entità è tenuta ad acquistare da una </w:t>
            </w:r>
            <w:r w:rsidRPr="00237EFA">
              <w:rPr>
                <w:i/>
                <w:lang w:val="it-IT" w:eastAsia="it-IT"/>
              </w:rPr>
              <w:t>joint venture</w:t>
            </w:r>
            <w:r w:rsidRPr="00237EFA">
              <w:rPr>
                <w:lang w:val="it-IT" w:eastAsia="it-IT"/>
              </w:rPr>
              <w:t xml:space="preserve">, o per conto di essa; </w:t>
            </w:r>
          </w:p>
          <w:p w:rsidR="004300E2" w:rsidRPr="00237EFA" w:rsidRDefault="004300E2" w:rsidP="004300E2">
            <w:pPr>
              <w:pStyle w:val="Commentiriquadro"/>
              <w:ind w:left="458" w:hanging="282"/>
              <w:rPr>
                <w:lang w:val="it-IT" w:eastAsia="it-IT"/>
              </w:rPr>
            </w:pPr>
            <w:r>
              <w:rPr>
                <w:lang w:val="it-IT" w:eastAsia="it-IT"/>
              </w:rPr>
              <w:tab/>
            </w:r>
            <w:r w:rsidRPr="00237EFA">
              <w:rPr>
                <w:lang w:val="it-IT" w:eastAsia="it-IT"/>
              </w:rPr>
              <w:t xml:space="preserve">(iv) impegni non rilevati per erogare finanziamenti o assicurare altra tipologia di sostegno finanziario a una </w:t>
            </w:r>
            <w:r w:rsidRPr="00237EFA">
              <w:rPr>
                <w:i/>
                <w:lang w:val="it-IT" w:eastAsia="it-IT"/>
              </w:rPr>
              <w:t>joint venture</w:t>
            </w:r>
            <w:r w:rsidRPr="00237EFA">
              <w:rPr>
                <w:lang w:val="it-IT" w:eastAsia="it-IT"/>
              </w:rPr>
              <w:t xml:space="preserve">; </w:t>
            </w:r>
          </w:p>
          <w:p w:rsidR="004300E2" w:rsidRPr="00237EFA" w:rsidRDefault="004300E2" w:rsidP="004300E2">
            <w:pPr>
              <w:pStyle w:val="Commentiriquadro"/>
              <w:ind w:left="458" w:hanging="282"/>
              <w:rPr>
                <w:lang w:val="it-IT" w:eastAsia="it-IT"/>
              </w:rPr>
            </w:pPr>
            <w:r>
              <w:rPr>
                <w:lang w:val="it-IT" w:eastAsia="it-IT"/>
              </w:rPr>
              <w:tab/>
            </w:r>
            <w:r w:rsidRPr="00237EFA">
              <w:rPr>
                <w:lang w:val="it-IT" w:eastAsia="it-IT"/>
              </w:rPr>
              <w:t xml:space="preserve">(v) impegni non rilevati per conferire risorse in una </w:t>
            </w:r>
            <w:r w:rsidRPr="00237EFA">
              <w:rPr>
                <w:i/>
                <w:lang w:val="it-IT" w:eastAsia="it-IT"/>
              </w:rPr>
              <w:t>joint venture</w:t>
            </w:r>
            <w:r w:rsidRPr="00237EFA">
              <w:rPr>
                <w:lang w:val="it-IT" w:eastAsia="it-IT"/>
              </w:rPr>
              <w:t xml:space="preserve">, quali attività o servizi; </w:t>
            </w:r>
          </w:p>
          <w:p w:rsidR="004300E2" w:rsidRPr="00237EFA" w:rsidRDefault="004300E2" w:rsidP="004300E2">
            <w:pPr>
              <w:pStyle w:val="Commentiriquadro"/>
              <w:ind w:left="458" w:hanging="282"/>
              <w:rPr>
                <w:lang w:val="it-IT" w:eastAsia="it-IT"/>
              </w:rPr>
            </w:pPr>
            <w:r>
              <w:rPr>
                <w:lang w:val="it-IT" w:eastAsia="it-IT"/>
              </w:rPr>
              <w:tab/>
            </w:r>
            <w:r w:rsidRPr="00237EFA">
              <w:rPr>
                <w:lang w:val="it-IT" w:eastAsia="it-IT"/>
              </w:rPr>
              <w:t xml:space="preserve">(vi) altri impegni non rilevati non annullabili relativi a una </w:t>
            </w:r>
            <w:r w:rsidRPr="00237EFA">
              <w:rPr>
                <w:i/>
                <w:lang w:val="it-IT" w:eastAsia="it-IT"/>
              </w:rPr>
              <w:t>joint venture</w:t>
            </w:r>
            <w:r w:rsidRPr="00237EFA">
              <w:rPr>
                <w:lang w:val="it-IT" w:eastAsia="it-IT"/>
              </w:rPr>
              <w:t xml:space="preserve">; </w:t>
            </w:r>
          </w:p>
          <w:p w:rsidR="004300E2" w:rsidRPr="00237EFA" w:rsidRDefault="004300E2" w:rsidP="004300E2">
            <w:pPr>
              <w:pStyle w:val="Commentiriquadro"/>
              <w:ind w:left="458" w:hanging="282"/>
              <w:rPr>
                <w:rFonts w:cs="EUAlbertina"/>
                <w:color w:val="19161B"/>
                <w:lang w:val="it-IT" w:eastAsia="it-IT"/>
              </w:rPr>
            </w:pPr>
            <w:r w:rsidRPr="00237EFA">
              <w:rPr>
                <w:lang w:val="it-IT" w:eastAsia="it-IT"/>
              </w:rPr>
              <w:t xml:space="preserve">(b) impegni non rilevati per acquisire un’interessenza partecipativa di un’altra parte (o una parte di tale interessenza partecipativa) in una </w:t>
            </w:r>
            <w:r w:rsidRPr="00237EFA">
              <w:rPr>
                <w:i/>
                <w:lang w:val="it-IT" w:eastAsia="it-IT"/>
              </w:rPr>
              <w:t>joint venture</w:t>
            </w:r>
            <w:r w:rsidRPr="00237EFA">
              <w:rPr>
                <w:lang w:val="it-IT" w:eastAsia="it-IT"/>
              </w:rPr>
              <w:t xml:space="preserve">, se un particolare evento si verifica o non si verifica in futuro. </w:t>
            </w:r>
          </w:p>
        </w:tc>
        <w:tc>
          <w:tcPr>
            <w:tcW w:w="575" w:type="dxa"/>
            <w:tcMar>
              <w:left w:w="85" w:type="dxa"/>
              <w:right w:w="85" w:type="dxa"/>
            </w:tcMar>
            <w:vAlign w:val="center"/>
          </w:tcPr>
          <w:p w:rsidR="004300E2" w:rsidRPr="00887BC2" w:rsidRDefault="004300E2" w:rsidP="004300E2">
            <w:pPr>
              <w:jc w:val="center"/>
              <w:rPr>
                <w:lang w:val="it-IT"/>
              </w:rPr>
            </w:pPr>
          </w:p>
        </w:tc>
        <w:tc>
          <w:tcPr>
            <w:tcW w:w="567" w:type="dxa"/>
            <w:tcMar>
              <w:left w:w="108" w:type="dxa"/>
            </w:tcMar>
            <w:vAlign w:val="center"/>
          </w:tcPr>
          <w:p w:rsidR="004300E2" w:rsidRPr="00887BC2" w:rsidRDefault="004300E2" w:rsidP="004300E2">
            <w:pPr>
              <w:jc w:val="center"/>
              <w:rPr>
                <w:lang w:val="it-IT"/>
              </w:rPr>
            </w:pPr>
          </w:p>
        </w:tc>
        <w:tc>
          <w:tcPr>
            <w:tcW w:w="567" w:type="dxa"/>
            <w:tcMar>
              <w:left w:w="108" w:type="dxa"/>
            </w:tcMar>
            <w:vAlign w:val="center"/>
          </w:tcPr>
          <w:p w:rsidR="004300E2" w:rsidRPr="00887BC2" w:rsidRDefault="004300E2" w:rsidP="004300E2">
            <w:pPr>
              <w:jc w:val="center"/>
              <w:rPr>
                <w:lang w:val="it-IT"/>
              </w:rPr>
            </w:pPr>
          </w:p>
        </w:tc>
      </w:tr>
      <w:tr w:rsidR="004300E2" w:rsidRPr="00A44ECD" w:rsidTr="00940A6F">
        <w:trPr>
          <w:cantSplit/>
        </w:trPr>
        <w:tc>
          <w:tcPr>
            <w:tcW w:w="567" w:type="dxa"/>
            <w:tcMar>
              <w:left w:w="108" w:type="dxa"/>
            </w:tcMar>
          </w:tcPr>
          <w:p w:rsidR="004300E2" w:rsidRPr="008A0F36" w:rsidRDefault="004300E2" w:rsidP="004300E2">
            <w:pPr>
              <w:rPr>
                <w:lang w:val="it-IT"/>
              </w:rPr>
            </w:pPr>
          </w:p>
        </w:tc>
        <w:tc>
          <w:tcPr>
            <w:tcW w:w="851" w:type="dxa"/>
            <w:tcMar>
              <w:left w:w="108" w:type="dxa"/>
              <w:right w:w="0" w:type="dxa"/>
            </w:tcMar>
          </w:tcPr>
          <w:p w:rsidR="004300E2" w:rsidRPr="00237EFA" w:rsidRDefault="004300E2" w:rsidP="004300E2">
            <w:pPr>
              <w:pStyle w:val="IAS"/>
              <w:spacing w:before="20" w:line="220" w:lineRule="exact"/>
              <w:rPr>
                <w:sz w:val="12"/>
                <w:szCs w:val="12"/>
                <w:lang w:val="it-IT"/>
              </w:rPr>
            </w:pPr>
            <w:r w:rsidRPr="00237EFA">
              <w:rPr>
                <w:sz w:val="12"/>
                <w:szCs w:val="12"/>
                <w:lang w:val="it-IT"/>
              </w:rPr>
              <w:t>IFRS 12.B20</w:t>
            </w:r>
          </w:p>
        </w:tc>
        <w:tc>
          <w:tcPr>
            <w:tcW w:w="7079" w:type="dxa"/>
            <w:tcMar>
              <w:left w:w="108" w:type="dxa"/>
            </w:tcMar>
          </w:tcPr>
          <w:p w:rsidR="004300E2" w:rsidRPr="00237EFA" w:rsidRDefault="004300E2" w:rsidP="004300E2">
            <w:pPr>
              <w:pStyle w:val="Commentiriquadro"/>
              <w:rPr>
                <w:lang w:val="it-IT" w:eastAsia="it-IT"/>
              </w:rPr>
            </w:pPr>
            <w:r w:rsidRPr="00237EFA">
              <w:rPr>
                <w:lang w:val="it-IT" w:eastAsia="it-IT"/>
              </w:rPr>
              <w:t xml:space="preserve">I requisiti e gli esempi di cui ai paragrafi B18 e B19 illustrano alcune tipologie dell’informativa richiesta dal paragrafo 18 dello IAS 24 </w:t>
            </w:r>
            <w:r w:rsidRPr="00FB4B6E">
              <w:rPr>
                <w:i/>
                <w:lang w:val="it-IT" w:eastAsia="it-IT"/>
              </w:rPr>
              <w:t>Informativa di bilancio sulle operazioni con parti collegate.</w:t>
            </w:r>
          </w:p>
        </w:tc>
        <w:tc>
          <w:tcPr>
            <w:tcW w:w="575" w:type="dxa"/>
            <w:tcMar>
              <w:left w:w="85" w:type="dxa"/>
              <w:right w:w="85" w:type="dxa"/>
            </w:tcMar>
            <w:vAlign w:val="center"/>
          </w:tcPr>
          <w:p w:rsidR="004300E2" w:rsidRPr="00887BC2" w:rsidRDefault="004300E2" w:rsidP="004300E2">
            <w:pPr>
              <w:jc w:val="center"/>
              <w:rPr>
                <w:lang w:val="it-IT"/>
              </w:rPr>
            </w:pPr>
          </w:p>
        </w:tc>
        <w:tc>
          <w:tcPr>
            <w:tcW w:w="567" w:type="dxa"/>
            <w:tcMar>
              <w:left w:w="108" w:type="dxa"/>
            </w:tcMar>
            <w:vAlign w:val="center"/>
          </w:tcPr>
          <w:p w:rsidR="004300E2" w:rsidRPr="00887BC2" w:rsidRDefault="004300E2" w:rsidP="004300E2">
            <w:pPr>
              <w:jc w:val="center"/>
              <w:rPr>
                <w:lang w:val="it-IT"/>
              </w:rPr>
            </w:pPr>
          </w:p>
        </w:tc>
        <w:tc>
          <w:tcPr>
            <w:tcW w:w="567" w:type="dxa"/>
            <w:tcMar>
              <w:left w:w="108" w:type="dxa"/>
            </w:tcMar>
            <w:vAlign w:val="center"/>
          </w:tcPr>
          <w:p w:rsidR="004300E2" w:rsidRPr="00887BC2" w:rsidRDefault="004300E2" w:rsidP="004300E2">
            <w:pPr>
              <w:jc w:val="center"/>
              <w:rPr>
                <w:lang w:val="it-IT"/>
              </w:rPr>
            </w:pPr>
          </w:p>
        </w:tc>
      </w:tr>
      <w:tr w:rsidR="004300E2" w:rsidRPr="00A44ECD" w:rsidTr="00940A6F">
        <w:trPr>
          <w:cantSplit/>
        </w:trPr>
        <w:tc>
          <w:tcPr>
            <w:tcW w:w="567" w:type="dxa"/>
            <w:tcMar>
              <w:left w:w="108" w:type="dxa"/>
            </w:tcMar>
          </w:tcPr>
          <w:p w:rsidR="004300E2" w:rsidRPr="008A0F36" w:rsidRDefault="004300E2" w:rsidP="004300E2">
            <w:pPr>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Pr="00EE3DEB" w:rsidRDefault="004300E2" w:rsidP="004300E2">
            <w:pPr>
              <w:pStyle w:val="Rientro1"/>
              <w:ind w:left="33" w:hanging="33"/>
              <w:jc w:val="left"/>
              <w:rPr>
                <w:rStyle w:val="Enfasigrassetto"/>
              </w:rPr>
            </w:pPr>
            <w:r w:rsidRPr="00EE3DEB">
              <w:rPr>
                <w:rStyle w:val="Enfasigrassetto"/>
              </w:rPr>
              <w:t>Interessenze in entità strutturate non consolidate</w:t>
            </w:r>
          </w:p>
        </w:tc>
        <w:tc>
          <w:tcPr>
            <w:tcW w:w="575" w:type="dxa"/>
            <w:tcMar>
              <w:left w:w="85" w:type="dxa"/>
              <w:right w:w="85" w:type="dxa"/>
            </w:tcMar>
            <w:vAlign w:val="center"/>
          </w:tcPr>
          <w:p w:rsidR="004300E2" w:rsidRPr="00887BC2" w:rsidRDefault="004300E2" w:rsidP="004300E2">
            <w:pPr>
              <w:jc w:val="center"/>
              <w:rPr>
                <w:lang w:val="it-IT"/>
              </w:rPr>
            </w:pPr>
          </w:p>
        </w:tc>
        <w:tc>
          <w:tcPr>
            <w:tcW w:w="567" w:type="dxa"/>
            <w:tcMar>
              <w:left w:w="108" w:type="dxa"/>
            </w:tcMar>
            <w:vAlign w:val="center"/>
          </w:tcPr>
          <w:p w:rsidR="004300E2" w:rsidRPr="00887BC2" w:rsidRDefault="004300E2" w:rsidP="004300E2">
            <w:pPr>
              <w:jc w:val="center"/>
              <w:rPr>
                <w:lang w:val="it-IT"/>
              </w:rPr>
            </w:pPr>
          </w:p>
        </w:tc>
        <w:tc>
          <w:tcPr>
            <w:tcW w:w="567" w:type="dxa"/>
            <w:tcMar>
              <w:left w:w="108" w:type="dxa"/>
            </w:tcMar>
            <w:vAlign w:val="center"/>
          </w:tcPr>
          <w:p w:rsidR="004300E2" w:rsidRPr="00887BC2" w:rsidRDefault="004300E2" w:rsidP="004300E2">
            <w:pPr>
              <w:jc w:val="center"/>
              <w:rPr>
                <w:lang w:val="it-IT"/>
              </w:rPr>
            </w:pP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237EFA" w:rsidRDefault="004300E2" w:rsidP="004300E2">
            <w:pPr>
              <w:pStyle w:val="IAS"/>
              <w:rPr>
                <w:sz w:val="12"/>
                <w:szCs w:val="12"/>
                <w:lang w:val="it-IT"/>
              </w:rPr>
            </w:pPr>
            <w:r w:rsidRPr="00237EFA">
              <w:rPr>
                <w:sz w:val="12"/>
                <w:szCs w:val="12"/>
                <w:lang w:val="it-IT"/>
              </w:rPr>
              <w:t>IFRS 12.24</w:t>
            </w:r>
          </w:p>
          <w:p w:rsidR="004300E2" w:rsidRPr="00237EFA" w:rsidRDefault="004300E2" w:rsidP="004300E2">
            <w:pPr>
              <w:pStyle w:val="IAS"/>
              <w:spacing w:before="20" w:line="220" w:lineRule="exact"/>
              <w:rPr>
                <w:sz w:val="12"/>
                <w:szCs w:val="12"/>
                <w:lang w:val="it-IT"/>
              </w:rPr>
            </w:pPr>
            <w:r w:rsidRPr="00237EFA">
              <w:rPr>
                <w:sz w:val="12"/>
                <w:szCs w:val="12"/>
                <w:lang w:val="it-IT"/>
              </w:rPr>
              <w:t>IFRS 12.25</w:t>
            </w:r>
          </w:p>
        </w:tc>
        <w:tc>
          <w:tcPr>
            <w:tcW w:w="7079" w:type="dxa"/>
            <w:tcMar>
              <w:left w:w="108" w:type="dxa"/>
            </w:tcMar>
          </w:tcPr>
          <w:p w:rsidR="004300E2" w:rsidRPr="00757616" w:rsidRDefault="004300E2" w:rsidP="004300E2">
            <w:pPr>
              <w:overflowPunct/>
              <w:spacing w:before="60" w:after="60" w:line="240" w:lineRule="auto"/>
              <w:jc w:val="left"/>
              <w:textAlignment w:val="auto"/>
              <w:rPr>
                <w:rFonts w:cs="EUAlbertina"/>
                <w:bCs/>
                <w:color w:val="19161B"/>
                <w:lang w:val="it-IT" w:eastAsia="it-IT"/>
              </w:rPr>
            </w:pPr>
            <w:r w:rsidRPr="00237EFA">
              <w:rPr>
                <w:rFonts w:cs="EUAlbertina"/>
                <w:bCs/>
                <w:color w:val="19161B"/>
                <w:lang w:val="it-IT" w:eastAsia="it-IT"/>
              </w:rPr>
              <w:t xml:space="preserve">L’entità deve fornire un’informativa che consenta agli utilizzatori del bilancio: </w:t>
            </w:r>
          </w:p>
        </w:tc>
        <w:tc>
          <w:tcPr>
            <w:tcW w:w="575" w:type="dxa"/>
            <w:tcMar>
              <w:left w:w="85" w:type="dxa"/>
              <w:right w:w="85" w:type="dxa"/>
            </w:tcMar>
            <w:vAlign w:val="center"/>
          </w:tcPr>
          <w:p w:rsidR="004300E2" w:rsidRPr="00887BC2" w:rsidRDefault="004300E2" w:rsidP="004300E2">
            <w:pPr>
              <w:jc w:val="center"/>
              <w:rPr>
                <w:lang w:val="it-IT"/>
              </w:rPr>
            </w:pPr>
          </w:p>
        </w:tc>
        <w:tc>
          <w:tcPr>
            <w:tcW w:w="567" w:type="dxa"/>
            <w:tcMar>
              <w:left w:w="108" w:type="dxa"/>
            </w:tcMar>
            <w:vAlign w:val="center"/>
          </w:tcPr>
          <w:p w:rsidR="004300E2" w:rsidRPr="00887BC2" w:rsidRDefault="004300E2" w:rsidP="004300E2">
            <w:pPr>
              <w:jc w:val="center"/>
              <w:rPr>
                <w:lang w:val="it-IT"/>
              </w:rPr>
            </w:pPr>
          </w:p>
        </w:tc>
        <w:tc>
          <w:tcPr>
            <w:tcW w:w="567" w:type="dxa"/>
            <w:tcMar>
              <w:left w:w="108" w:type="dxa"/>
            </w:tcMar>
            <w:vAlign w:val="center"/>
          </w:tcPr>
          <w:p w:rsidR="004300E2" w:rsidRPr="00887BC2" w:rsidRDefault="004300E2" w:rsidP="004300E2">
            <w:pPr>
              <w:jc w:val="center"/>
              <w:rPr>
                <w:lang w:val="it-IT"/>
              </w:rPr>
            </w:pP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237EFA" w:rsidRDefault="00D26424" w:rsidP="004300E2">
            <w:pPr>
              <w:pStyle w:val="IAS"/>
              <w:rPr>
                <w:sz w:val="12"/>
                <w:szCs w:val="12"/>
                <w:lang w:val="it-IT"/>
              </w:rPr>
            </w:pPr>
          </w:p>
        </w:tc>
        <w:tc>
          <w:tcPr>
            <w:tcW w:w="7079" w:type="dxa"/>
            <w:tcMar>
              <w:left w:w="108" w:type="dxa"/>
            </w:tcMar>
          </w:tcPr>
          <w:p w:rsidR="00D26424" w:rsidRPr="00237EFA" w:rsidRDefault="00D26424" w:rsidP="00A23AAF">
            <w:pPr>
              <w:overflowPunct/>
              <w:spacing w:before="60" w:after="60" w:line="240" w:lineRule="auto"/>
              <w:ind w:left="317" w:hanging="317"/>
              <w:textAlignment w:val="auto"/>
              <w:rPr>
                <w:rFonts w:cs="EUAlbertina"/>
                <w:bCs/>
                <w:color w:val="19161B"/>
                <w:lang w:val="it-IT" w:eastAsia="it-IT"/>
              </w:rPr>
            </w:pPr>
            <w:r>
              <w:rPr>
                <w:rFonts w:cs="EUAlbertina"/>
                <w:bCs/>
                <w:color w:val="19161B"/>
                <w:lang w:val="it-IT" w:eastAsia="it-IT"/>
              </w:rPr>
              <w:t>(a)</w:t>
            </w:r>
            <w:r w:rsidRPr="00237EFA">
              <w:rPr>
                <w:rFonts w:cs="EUAlbertina"/>
                <w:bCs/>
                <w:color w:val="19161B"/>
                <w:lang w:val="it-IT" w:eastAsia="it-IT"/>
              </w:rPr>
              <w:tab/>
              <w:t>di comprendere la natura e la misura delle sue interessenze in entità strutturat</w:t>
            </w:r>
            <w:r>
              <w:rPr>
                <w:rFonts w:cs="EUAlbertina"/>
                <w:bCs/>
                <w:color w:val="19161B"/>
                <w:lang w:val="it-IT" w:eastAsia="it-IT"/>
              </w:rPr>
              <w:t>e non consolidate (vedi punti 170-172</w:t>
            </w:r>
            <w:r w:rsidRPr="00237EFA">
              <w:rPr>
                <w:rFonts w:cs="EUAlbertina"/>
                <w:bCs/>
                <w:color w:val="19161B"/>
                <w:lang w:val="it-IT" w:eastAsia="it-IT"/>
              </w:rPr>
              <w:t xml:space="preserve">), e </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237EFA" w:rsidRDefault="00D26424" w:rsidP="004300E2">
            <w:pPr>
              <w:pStyle w:val="IAS"/>
              <w:rPr>
                <w:sz w:val="12"/>
                <w:szCs w:val="12"/>
                <w:lang w:val="it-IT"/>
              </w:rPr>
            </w:pPr>
          </w:p>
        </w:tc>
        <w:tc>
          <w:tcPr>
            <w:tcW w:w="7079" w:type="dxa"/>
            <w:tcMar>
              <w:left w:w="108" w:type="dxa"/>
            </w:tcMar>
          </w:tcPr>
          <w:p w:rsidR="00D26424" w:rsidRPr="00237EFA" w:rsidRDefault="00D26424" w:rsidP="004300E2">
            <w:pPr>
              <w:overflowPunct/>
              <w:spacing w:before="60" w:after="60" w:line="240" w:lineRule="auto"/>
              <w:ind w:left="317" w:hanging="317"/>
              <w:textAlignment w:val="auto"/>
              <w:rPr>
                <w:rFonts w:cs="EUAlbertina"/>
                <w:bCs/>
                <w:color w:val="19161B"/>
                <w:lang w:val="it-IT" w:eastAsia="it-IT"/>
              </w:rPr>
            </w:pPr>
            <w:r>
              <w:rPr>
                <w:rFonts w:cs="EUAlbertina"/>
                <w:bCs/>
                <w:color w:val="19161B"/>
                <w:lang w:val="it-IT" w:eastAsia="it-IT"/>
              </w:rPr>
              <w:t>(b)</w:t>
            </w:r>
            <w:r w:rsidRPr="00237EFA">
              <w:rPr>
                <w:rFonts w:cs="EUAlbertina"/>
                <w:bCs/>
                <w:color w:val="19161B"/>
                <w:lang w:val="it-IT" w:eastAsia="it-IT"/>
              </w:rPr>
              <w:tab/>
              <w:t>di valutare la natura, e le variazioni, dei rischi associati alle sue interessenze in entità strutturate non cons</w:t>
            </w:r>
            <w:r>
              <w:rPr>
                <w:rFonts w:cs="EUAlbertina"/>
                <w:bCs/>
                <w:color w:val="19161B"/>
                <w:lang w:val="it-IT" w:eastAsia="it-IT"/>
              </w:rPr>
              <w:t>olidate (vedi punti 173-175</w:t>
            </w:r>
            <w:r w:rsidRPr="00237EFA">
              <w:rPr>
                <w:rFonts w:cs="EUAlbertina"/>
                <w:bCs/>
                <w:color w:val="19161B"/>
                <w:lang w:val="it-IT" w:eastAsia="it-IT"/>
              </w:rPr>
              <w:t>), includendo anche le esposizioni di un'entità ai rischi derivanti dal coinvolgimento in entità strutturate non consolidate negli esercizi precedenti (per esempio, sponsorizzando l'entità strutturata), anche se, alla data di riferimento del bilancio, l’entità non ha più alcun tipo di coinvolgimento contrattuale con l’entità strutturata.</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rPr>
                <w:lang w:val="it-IT"/>
              </w:rPr>
            </w:pPr>
          </w:p>
        </w:tc>
        <w:tc>
          <w:tcPr>
            <w:tcW w:w="851" w:type="dxa"/>
            <w:tcMar>
              <w:left w:w="108" w:type="dxa"/>
              <w:right w:w="0" w:type="dxa"/>
            </w:tcMar>
          </w:tcPr>
          <w:p w:rsidR="004300E2" w:rsidRDefault="004300E2" w:rsidP="004300E2">
            <w:pPr>
              <w:pStyle w:val="IAS"/>
              <w:spacing w:after="40"/>
              <w:rPr>
                <w:sz w:val="12"/>
                <w:szCs w:val="12"/>
                <w:lang w:val="it-IT"/>
              </w:rPr>
            </w:pPr>
            <w:r>
              <w:rPr>
                <w:sz w:val="12"/>
                <w:szCs w:val="12"/>
                <w:lang w:val="it-IT"/>
              </w:rPr>
              <w:t>IFRS 12.25A</w:t>
            </w:r>
          </w:p>
        </w:tc>
        <w:tc>
          <w:tcPr>
            <w:tcW w:w="7079" w:type="dxa"/>
            <w:tcMar>
              <w:left w:w="108" w:type="dxa"/>
            </w:tcMar>
          </w:tcPr>
          <w:p w:rsidR="004300E2" w:rsidRPr="00FE6E24" w:rsidRDefault="004300E2" w:rsidP="004300E2">
            <w:pPr>
              <w:pStyle w:val="Commentiriquadro"/>
              <w:rPr>
                <w:rStyle w:val="Enfasicorsivo"/>
                <w:i w:val="0"/>
                <w:iCs w:val="0"/>
                <w:lang w:val="it-IT"/>
              </w:rPr>
            </w:pPr>
            <w:r w:rsidRPr="00FE6E24">
              <w:rPr>
                <w:rStyle w:val="Enfasicorsivo"/>
                <w:i w:val="0"/>
                <w:lang w:val="it-IT"/>
              </w:rPr>
              <w:t xml:space="preserve">Se l’entità si qualifica come un’entità di investimento </w:t>
            </w:r>
            <w:r>
              <w:rPr>
                <w:rStyle w:val="Enfasicorsivo"/>
                <w:i w:val="0"/>
                <w:lang w:val="it-IT"/>
              </w:rPr>
              <w:t>(vedi punti 1</w:t>
            </w:r>
            <w:r w:rsidR="00D20202">
              <w:rPr>
                <w:rStyle w:val="Enfasicorsivo"/>
                <w:i w:val="0"/>
                <w:lang w:val="it-IT"/>
              </w:rPr>
              <w:t>79</w:t>
            </w:r>
            <w:r>
              <w:rPr>
                <w:rStyle w:val="Enfasicorsivo"/>
                <w:i w:val="0"/>
                <w:lang w:val="it-IT"/>
              </w:rPr>
              <w:t>-19</w:t>
            </w:r>
            <w:r w:rsidR="00D20202">
              <w:rPr>
                <w:rStyle w:val="Enfasicorsivo"/>
                <w:i w:val="0"/>
                <w:lang w:val="it-IT"/>
              </w:rPr>
              <w:t>1</w:t>
            </w:r>
            <w:r>
              <w:rPr>
                <w:rStyle w:val="Enfasicorsivo"/>
                <w:i w:val="0"/>
                <w:lang w:val="it-IT"/>
              </w:rPr>
              <w:t xml:space="preserve">) </w:t>
            </w:r>
            <w:r w:rsidRPr="00FE6E24">
              <w:rPr>
                <w:rStyle w:val="Enfasicorsivo"/>
                <w:i w:val="0"/>
                <w:lang w:val="it-IT"/>
              </w:rPr>
              <w:t>non è tenuta a fornire le informazioni integrative richieste dal paragrafo 24 dell’IFRS 12 (vedi punto precedente) per le entità strutturate non consolidate che essa controlla e per la quale presenta le informazioni integrative richieste dai p</w:t>
            </w:r>
            <w:r>
              <w:rPr>
                <w:rStyle w:val="Enfasicorsivo"/>
                <w:i w:val="0"/>
                <w:lang w:val="it-IT"/>
              </w:rPr>
              <w:t>aragrafi 19A–19G (vedi punti 18</w:t>
            </w:r>
            <w:r w:rsidR="00D20202">
              <w:rPr>
                <w:rStyle w:val="Enfasicorsivo"/>
                <w:i w:val="0"/>
                <w:lang w:val="it-IT"/>
              </w:rPr>
              <w:t>3</w:t>
            </w:r>
            <w:r>
              <w:rPr>
                <w:rStyle w:val="Enfasicorsivo"/>
                <w:i w:val="0"/>
                <w:lang w:val="it-IT"/>
              </w:rPr>
              <w:t>-1</w:t>
            </w:r>
            <w:r w:rsidR="00D20202">
              <w:rPr>
                <w:rStyle w:val="Enfasicorsivo"/>
                <w:i w:val="0"/>
                <w:lang w:val="it-IT"/>
              </w:rPr>
              <w:t>89</w:t>
            </w:r>
            <w:r w:rsidRPr="00FE6E24">
              <w:rPr>
                <w:rStyle w:val="Enfasicorsivo"/>
                <w:i w:val="0"/>
                <w:lang w:val="it-IT"/>
              </w:rPr>
              <w:t>).</w:t>
            </w:r>
          </w:p>
        </w:tc>
        <w:tc>
          <w:tcPr>
            <w:tcW w:w="575" w:type="dxa"/>
            <w:tcMar>
              <w:left w:w="85" w:type="dxa"/>
              <w:right w:w="85" w:type="dxa"/>
            </w:tcMar>
            <w:vAlign w:val="center"/>
          </w:tcPr>
          <w:p w:rsidR="004300E2" w:rsidRPr="00090BE7" w:rsidDel="004F6336" w:rsidRDefault="004300E2" w:rsidP="004300E2">
            <w:pPr>
              <w:spacing w:before="40" w:after="40"/>
              <w:jc w:val="center"/>
              <w:rPr>
                <w:lang w:val="it-IT"/>
              </w:rPr>
            </w:pPr>
          </w:p>
        </w:tc>
        <w:tc>
          <w:tcPr>
            <w:tcW w:w="567" w:type="dxa"/>
            <w:tcMar>
              <w:left w:w="108" w:type="dxa"/>
            </w:tcMar>
            <w:vAlign w:val="center"/>
          </w:tcPr>
          <w:p w:rsidR="004300E2" w:rsidRPr="00090BE7" w:rsidDel="004F6336" w:rsidRDefault="004300E2" w:rsidP="004300E2">
            <w:pPr>
              <w:spacing w:before="40" w:after="40"/>
              <w:jc w:val="center"/>
              <w:rPr>
                <w:lang w:val="it-IT"/>
              </w:rPr>
            </w:pPr>
          </w:p>
        </w:tc>
        <w:tc>
          <w:tcPr>
            <w:tcW w:w="567" w:type="dxa"/>
            <w:tcMar>
              <w:left w:w="108" w:type="dxa"/>
            </w:tcMar>
            <w:vAlign w:val="center"/>
          </w:tcPr>
          <w:p w:rsidR="004300E2" w:rsidRPr="00090BE7" w:rsidDel="004F6336" w:rsidRDefault="004300E2" w:rsidP="004300E2">
            <w:pPr>
              <w:spacing w:before="40" w:after="40"/>
              <w:jc w:val="center"/>
              <w:rPr>
                <w:lang w:val="it-IT"/>
              </w:rPr>
            </w:pPr>
          </w:p>
        </w:tc>
      </w:tr>
      <w:tr w:rsidR="00D26424" w:rsidRPr="008129DA" w:rsidTr="00940A6F">
        <w:trPr>
          <w:cantSplit/>
        </w:trPr>
        <w:tc>
          <w:tcPr>
            <w:tcW w:w="567" w:type="dxa"/>
            <w:tcMar>
              <w:left w:w="108" w:type="dxa"/>
            </w:tcMar>
          </w:tcPr>
          <w:p w:rsidR="00D26424" w:rsidRPr="008A0F36" w:rsidRDefault="00D26424" w:rsidP="004300E2">
            <w:pPr>
              <w:pStyle w:val="Numeroelenco"/>
              <w:ind w:left="0" w:firstLine="57"/>
              <w:rPr>
                <w:lang w:val="it-IT"/>
              </w:rPr>
            </w:pPr>
          </w:p>
        </w:tc>
        <w:tc>
          <w:tcPr>
            <w:tcW w:w="851" w:type="dxa"/>
            <w:tcMar>
              <w:left w:w="108" w:type="dxa"/>
              <w:right w:w="0" w:type="dxa"/>
            </w:tcMar>
          </w:tcPr>
          <w:p w:rsidR="00D26424" w:rsidRPr="00237EFA" w:rsidRDefault="00D26424" w:rsidP="004300E2">
            <w:pPr>
              <w:pStyle w:val="IAS"/>
              <w:rPr>
                <w:sz w:val="12"/>
                <w:szCs w:val="12"/>
                <w:lang w:val="it-IT"/>
              </w:rPr>
            </w:pPr>
            <w:r w:rsidRPr="00237EFA">
              <w:rPr>
                <w:sz w:val="12"/>
                <w:szCs w:val="12"/>
                <w:lang w:val="it-IT"/>
              </w:rPr>
              <w:t>IFRS 12.26</w:t>
            </w:r>
          </w:p>
        </w:tc>
        <w:tc>
          <w:tcPr>
            <w:tcW w:w="7079" w:type="dxa"/>
            <w:tcMar>
              <w:left w:w="108" w:type="dxa"/>
            </w:tcMar>
          </w:tcPr>
          <w:p w:rsidR="00D26424" w:rsidRPr="00237EFA" w:rsidRDefault="00D26424" w:rsidP="003A5BB7">
            <w:pPr>
              <w:overflowPunct/>
              <w:textAlignment w:val="auto"/>
              <w:rPr>
                <w:rFonts w:cs="EUAlbertina"/>
                <w:bCs/>
                <w:color w:val="19161B"/>
                <w:lang w:val="it-IT" w:eastAsia="it-IT"/>
              </w:rPr>
            </w:pPr>
            <w:r w:rsidRPr="00237EFA">
              <w:rPr>
                <w:rFonts w:cs="EUAlbertina"/>
                <w:color w:val="19161B"/>
                <w:lang w:val="it-IT" w:eastAsia="it-IT"/>
              </w:rPr>
              <w:t xml:space="preserve">Un’entità deve fornire informazioni di carattere qualitativo e quantitativo sulle proprie interessenze in entità strutturate non consolidate tra cui, a titolo esemplificativo, la natura, lo scopo, le dimensioni e le attività dell’entità strutturata, nonché le sue modalità di finanziamento.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237EFA" w:rsidRDefault="004300E2" w:rsidP="004300E2">
            <w:pPr>
              <w:pStyle w:val="IAS"/>
              <w:rPr>
                <w:sz w:val="12"/>
                <w:szCs w:val="12"/>
                <w:lang w:val="it-IT"/>
              </w:rPr>
            </w:pPr>
            <w:r w:rsidRPr="00237EFA">
              <w:rPr>
                <w:sz w:val="12"/>
                <w:szCs w:val="12"/>
                <w:lang w:val="it-IT"/>
              </w:rPr>
              <w:t>IFRS 12.27</w:t>
            </w:r>
          </w:p>
        </w:tc>
        <w:tc>
          <w:tcPr>
            <w:tcW w:w="7079" w:type="dxa"/>
            <w:tcMar>
              <w:left w:w="108" w:type="dxa"/>
            </w:tcMar>
          </w:tcPr>
          <w:p w:rsidR="004300E2" w:rsidRPr="00E74619" w:rsidRDefault="004300E2" w:rsidP="003B4450">
            <w:pPr>
              <w:overflowPunct/>
              <w:textAlignment w:val="auto"/>
              <w:rPr>
                <w:rFonts w:cs="EUAlbertina"/>
                <w:color w:val="19161B"/>
                <w:lang w:val="it-IT" w:eastAsia="it-IT"/>
              </w:rPr>
            </w:pPr>
            <w:r w:rsidRPr="00237EFA">
              <w:rPr>
                <w:rFonts w:cs="EUAlbertina"/>
                <w:color w:val="19161B"/>
                <w:lang w:val="it-IT" w:eastAsia="it-IT"/>
              </w:rPr>
              <w:t>Se un’entità ha sponsorizzato un’entità strutturata non consolidata per la quale non fornisce le inf</w:t>
            </w:r>
            <w:r>
              <w:rPr>
                <w:rFonts w:cs="EUAlbertina"/>
                <w:color w:val="19161B"/>
                <w:lang w:val="it-IT" w:eastAsia="it-IT"/>
              </w:rPr>
              <w:t>ormazioni richieste dal punto 17</w:t>
            </w:r>
            <w:r w:rsidR="00D20202">
              <w:rPr>
                <w:rFonts w:cs="EUAlbertina"/>
                <w:color w:val="19161B"/>
                <w:lang w:val="it-IT" w:eastAsia="it-IT"/>
              </w:rPr>
              <w:t>3</w:t>
            </w:r>
            <w:r w:rsidRPr="00237EFA">
              <w:rPr>
                <w:rFonts w:cs="EUAlbertina"/>
                <w:color w:val="19161B"/>
                <w:lang w:val="it-IT" w:eastAsia="it-IT"/>
              </w:rPr>
              <w:t xml:space="preserve"> (per esempio, perché alla data di riferimento del bilancio non detiene una partecipazione nell’entità), deve indicare: </w:t>
            </w:r>
          </w:p>
        </w:tc>
        <w:tc>
          <w:tcPr>
            <w:tcW w:w="575" w:type="dxa"/>
            <w:tcMar>
              <w:left w:w="85" w:type="dxa"/>
              <w:right w:w="85" w:type="dxa"/>
            </w:tcMar>
          </w:tcPr>
          <w:p w:rsidR="004300E2" w:rsidRPr="00A32A16" w:rsidRDefault="004300E2" w:rsidP="004300E2">
            <w:pPr>
              <w:rPr>
                <w:lang w:val="it-IT"/>
              </w:rPr>
            </w:pPr>
          </w:p>
        </w:tc>
        <w:tc>
          <w:tcPr>
            <w:tcW w:w="567" w:type="dxa"/>
            <w:tcMar>
              <w:left w:w="108" w:type="dxa"/>
            </w:tcMar>
          </w:tcPr>
          <w:p w:rsidR="004300E2" w:rsidRPr="00A32A16" w:rsidRDefault="004300E2" w:rsidP="004300E2">
            <w:pPr>
              <w:rPr>
                <w:lang w:val="it-IT"/>
              </w:rPr>
            </w:pPr>
          </w:p>
        </w:tc>
        <w:tc>
          <w:tcPr>
            <w:tcW w:w="567" w:type="dxa"/>
            <w:tcMar>
              <w:left w:w="108" w:type="dxa"/>
            </w:tcMar>
          </w:tcPr>
          <w:p w:rsidR="004300E2" w:rsidRPr="00A32A16" w:rsidRDefault="004300E2" w:rsidP="004300E2">
            <w:pPr>
              <w:rPr>
                <w:lang w:val="it-IT"/>
              </w:rPr>
            </w:pP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4300E2">
            <w:pPr>
              <w:overflowPunct/>
              <w:spacing w:before="60" w:after="60" w:line="240" w:lineRule="auto"/>
              <w:ind w:left="316" w:hanging="316"/>
              <w:textAlignment w:val="auto"/>
              <w:rPr>
                <w:rFonts w:cs="EUAlbertina"/>
                <w:color w:val="19161B"/>
                <w:lang w:val="it-IT" w:eastAsia="it-IT"/>
              </w:rPr>
            </w:pPr>
            <w:r w:rsidRPr="00237EFA">
              <w:rPr>
                <w:rFonts w:cs="EUAlbertina"/>
                <w:color w:val="19161B"/>
                <w:lang w:val="it-IT" w:eastAsia="it-IT"/>
              </w:rPr>
              <w:t xml:space="preserve">(a) </w:t>
            </w:r>
            <w:r w:rsidRPr="00237EFA">
              <w:rPr>
                <w:rFonts w:cs="EUAlbertina"/>
                <w:color w:val="19161B"/>
                <w:lang w:val="it-IT" w:eastAsia="it-IT"/>
              </w:rPr>
              <w:tab/>
              <w:t xml:space="preserve">le modalità con cui ha stabilito quali entità strutturate sponsorizzare;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4300E2">
            <w:pPr>
              <w:overflowPunct/>
              <w:spacing w:before="60" w:after="60" w:line="240" w:lineRule="auto"/>
              <w:ind w:left="316" w:hanging="316"/>
              <w:textAlignment w:val="auto"/>
              <w:rPr>
                <w:rFonts w:cs="EUAlbertina"/>
                <w:color w:val="19161B"/>
                <w:lang w:val="it-IT" w:eastAsia="it-IT"/>
              </w:rPr>
            </w:pPr>
            <w:r w:rsidRPr="00237EFA">
              <w:rPr>
                <w:rFonts w:cs="EUAlbertina"/>
                <w:color w:val="19161B"/>
                <w:lang w:val="it-IT" w:eastAsia="it-IT"/>
              </w:rPr>
              <w:t xml:space="preserve">(b) </w:t>
            </w:r>
            <w:r w:rsidRPr="00237EFA">
              <w:rPr>
                <w:rFonts w:cs="EUAlbertina"/>
                <w:color w:val="19161B"/>
                <w:lang w:val="it-IT" w:eastAsia="it-IT"/>
              </w:rPr>
              <w:tab/>
            </w:r>
            <w:r w:rsidRPr="00FB4B6E">
              <w:rPr>
                <w:rFonts w:cs="EUAlbertina"/>
                <w:iCs/>
                <w:color w:val="19161B"/>
                <w:lang w:val="it-IT" w:eastAsia="it-IT"/>
              </w:rPr>
              <w:t>i ricavi percepiti da tali entità strutturate</w:t>
            </w:r>
            <w:r w:rsidRPr="00237EFA">
              <w:rPr>
                <w:rFonts w:cs="EUAlbertina"/>
                <w:i/>
                <w:iCs/>
                <w:color w:val="19161B"/>
                <w:lang w:val="it-IT" w:eastAsia="it-IT"/>
              </w:rPr>
              <w:t xml:space="preserve"> </w:t>
            </w:r>
            <w:r w:rsidRPr="00237EFA">
              <w:rPr>
                <w:rFonts w:cs="EUAlbertina"/>
                <w:color w:val="19161B"/>
                <w:lang w:val="it-IT" w:eastAsia="it-IT"/>
              </w:rPr>
              <w:t>nel corso dell’esercizio di riferimento, inclusa una descrizione delle tipologie di ricavi presentate; 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4300E2">
            <w:pPr>
              <w:overflowPunct/>
              <w:spacing w:before="60" w:after="60" w:line="240" w:lineRule="auto"/>
              <w:ind w:left="316" w:hanging="316"/>
              <w:textAlignment w:val="auto"/>
              <w:rPr>
                <w:rFonts w:cs="EUAlbertina"/>
                <w:color w:val="19161B"/>
                <w:lang w:val="it-IT" w:eastAsia="it-IT"/>
              </w:rPr>
            </w:pPr>
            <w:r w:rsidRPr="00237EFA">
              <w:rPr>
                <w:rFonts w:cs="EUAlbertina"/>
                <w:color w:val="19161B"/>
                <w:lang w:val="it-IT" w:eastAsia="it-IT"/>
              </w:rPr>
              <w:t xml:space="preserve">(c) </w:t>
            </w:r>
            <w:r w:rsidRPr="00237EFA">
              <w:rPr>
                <w:rFonts w:cs="EUAlbertina"/>
                <w:color w:val="19161B"/>
                <w:lang w:val="it-IT" w:eastAsia="it-IT"/>
              </w:rPr>
              <w:tab/>
              <w:t>il valore contabile (al momento del trasferimento) di tutte le attività trasferite a tali entità strutturate nel corso dell’esercizio di riferimento.</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pStyle w:val="Numeroelenco"/>
              <w:ind w:left="0" w:firstLine="57"/>
              <w:rPr>
                <w:lang w:val="it-IT"/>
              </w:rPr>
            </w:pPr>
          </w:p>
        </w:tc>
        <w:tc>
          <w:tcPr>
            <w:tcW w:w="851" w:type="dxa"/>
            <w:tcMar>
              <w:left w:w="108" w:type="dxa"/>
              <w:right w:w="0" w:type="dxa"/>
            </w:tcMar>
          </w:tcPr>
          <w:p w:rsidR="00D26424" w:rsidRPr="00237EFA" w:rsidRDefault="00D26424" w:rsidP="004300E2">
            <w:pPr>
              <w:pStyle w:val="IAS"/>
              <w:rPr>
                <w:sz w:val="12"/>
                <w:szCs w:val="12"/>
                <w:lang w:val="it-IT"/>
              </w:rPr>
            </w:pPr>
            <w:r w:rsidRPr="00237EFA">
              <w:rPr>
                <w:sz w:val="12"/>
                <w:szCs w:val="12"/>
                <w:lang w:val="it-IT"/>
              </w:rPr>
              <w:t>IFRS 12.28</w:t>
            </w:r>
          </w:p>
        </w:tc>
        <w:tc>
          <w:tcPr>
            <w:tcW w:w="7079" w:type="dxa"/>
            <w:tcMar>
              <w:left w:w="108" w:type="dxa"/>
            </w:tcMar>
          </w:tcPr>
          <w:p w:rsidR="00D26424" w:rsidRPr="00237EFA" w:rsidRDefault="00D26424" w:rsidP="00A23AAF">
            <w:pPr>
              <w:overflowPunct/>
              <w:spacing w:before="60" w:after="60" w:line="240" w:lineRule="auto"/>
              <w:textAlignment w:val="auto"/>
              <w:rPr>
                <w:rFonts w:cs="EUAlbertina"/>
                <w:bCs/>
                <w:color w:val="19161B"/>
                <w:lang w:val="it-IT" w:eastAsia="it-IT"/>
              </w:rPr>
            </w:pPr>
            <w:r w:rsidRPr="00237EFA">
              <w:rPr>
                <w:rFonts w:cs="EUAlbertina"/>
                <w:color w:val="19161B"/>
                <w:lang w:val="it-IT" w:eastAsia="it-IT"/>
              </w:rPr>
              <w:t xml:space="preserve">Un’entità deve esporre le informazioni di cui ai paragrafi 27(b) e (c) in </w:t>
            </w:r>
            <w:r>
              <w:rPr>
                <w:rFonts w:cs="EUAlbertina"/>
                <w:color w:val="19161B"/>
                <w:lang w:val="it-IT" w:eastAsia="it-IT"/>
              </w:rPr>
              <w:t>formato tabellare (vedi punto 171</w:t>
            </w:r>
            <w:r w:rsidRPr="00237EFA">
              <w:rPr>
                <w:rFonts w:cs="EUAlbertina"/>
                <w:color w:val="19161B"/>
                <w:lang w:val="it-IT" w:eastAsia="it-IT"/>
              </w:rPr>
              <w:t>), sempre che un formato diverso non sia più idoneo, e classificare le proprie attività di sponsorizzazione in categorie pertinenti (vedere paragrafi B2–B6 dell’IFRS 12).</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237EFA" w:rsidRDefault="004300E2" w:rsidP="004300E2">
            <w:pPr>
              <w:pStyle w:val="IAS"/>
              <w:rPr>
                <w:sz w:val="12"/>
                <w:szCs w:val="12"/>
                <w:lang w:val="it-IT"/>
              </w:rPr>
            </w:pPr>
            <w:r w:rsidRPr="00237EFA">
              <w:rPr>
                <w:sz w:val="12"/>
                <w:szCs w:val="12"/>
                <w:lang w:val="it-IT"/>
              </w:rPr>
              <w:t>IFRS 12.29</w:t>
            </w:r>
          </w:p>
        </w:tc>
        <w:tc>
          <w:tcPr>
            <w:tcW w:w="7079" w:type="dxa"/>
            <w:tcMar>
              <w:left w:w="108" w:type="dxa"/>
            </w:tcMar>
          </w:tcPr>
          <w:p w:rsidR="004300E2" w:rsidRPr="00237EFA" w:rsidRDefault="004300E2" w:rsidP="004300E2">
            <w:pPr>
              <w:overflowPunct/>
              <w:spacing w:line="240" w:lineRule="auto"/>
              <w:ind w:left="33"/>
              <w:textAlignment w:val="auto"/>
              <w:rPr>
                <w:rFonts w:cs="EUAlbertina"/>
                <w:color w:val="19161B"/>
                <w:lang w:val="it-IT" w:eastAsia="it-IT"/>
              </w:rPr>
            </w:pPr>
            <w:r w:rsidRPr="00237EFA">
              <w:rPr>
                <w:rFonts w:cs="EUAlbertina"/>
                <w:color w:val="19161B"/>
                <w:lang w:val="it-IT" w:eastAsia="it-IT"/>
              </w:rPr>
              <w:t xml:space="preserve">Un’entità deve indicare in formato tabellare, sempre che non sia più idoneo un altro formato, un riepilogo: </w:t>
            </w:r>
          </w:p>
        </w:tc>
        <w:tc>
          <w:tcPr>
            <w:tcW w:w="575" w:type="dxa"/>
            <w:tcMar>
              <w:left w:w="85" w:type="dxa"/>
              <w:right w:w="85" w:type="dxa"/>
            </w:tcMar>
          </w:tcPr>
          <w:p w:rsidR="004300E2" w:rsidRPr="00A32A16" w:rsidRDefault="004300E2" w:rsidP="004300E2">
            <w:pPr>
              <w:rPr>
                <w:lang w:val="it-IT"/>
              </w:rPr>
            </w:pPr>
          </w:p>
        </w:tc>
        <w:tc>
          <w:tcPr>
            <w:tcW w:w="567" w:type="dxa"/>
            <w:tcMar>
              <w:left w:w="108" w:type="dxa"/>
            </w:tcMar>
          </w:tcPr>
          <w:p w:rsidR="004300E2" w:rsidRPr="00A32A16" w:rsidRDefault="004300E2" w:rsidP="004300E2">
            <w:pPr>
              <w:rPr>
                <w:lang w:val="it-IT"/>
              </w:rPr>
            </w:pPr>
          </w:p>
        </w:tc>
        <w:tc>
          <w:tcPr>
            <w:tcW w:w="567" w:type="dxa"/>
            <w:tcMar>
              <w:left w:w="108" w:type="dxa"/>
            </w:tcMar>
          </w:tcPr>
          <w:p w:rsidR="004300E2" w:rsidRPr="00A32A16" w:rsidRDefault="004300E2" w:rsidP="004300E2">
            <w:pPr>
              <w:rPr>
                <w:lang w:val="it-IT"/>
              </w:rPr>
            </w:pP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237EFA" w:rsidRDefault="00D26424" w:rsidP="004300E2">
            <w:pPr>
              <w:pStyle w:val="IAS"/>
              <w:rPr>
                <w:sz w:val="12"/>
                <w:szCs w:val="12"/>
                <w:lang w:val="it-IT"/>
              </w:rPr>
            </w:pPr>
          </w:p>
        </w:tc>
        <w:tc>
          <w:tcPr>
            <w:tcW w:w="7079" w:type="dxa"/>
            <w:tcMar>
              <w:left w:w="108" w:type="dxa"/>
            </w:tcMar>
          </w:tcPr>
          <w:p w:rsidR="00D26424" w:rsidRPr="00237EFA" w:rsidRDefault="00D26424" w:rsidP="004300E2">
            <w:pPr>
              <w:overflowPunct/>
              <w:spacing w:line="240" w:lineRule="auto"/>
              <w:ind w:left="316" w:hanging="316"/>
              <w:textAlignment w:val="auto"/>
              <w:rPr>
                <w:rFonts w:cs="EUAlbertina"/>
                <w:color w:val="19161B"/>
                <w:lang w:val="it-IT" w:eastAsia="it-IT"/>
              </w:rPr>
            </w:pPr>
            <w:r w:rsidRPr="00237EFA">
              <w:rPr>
                <w:rFonts w:cs="EUAlbertina"/>
                <w:color w:val="19161B"/>
                <w:lang w:val="it-IT" w:eastAsia="it-IT"/>
              </w:rPr>
              <w:t xml:space="preserve">(a) </w:t>
            </w:r>
            <w:r w:rsidRPr="00237EFA">
              <w:rPr>
                <w:rFonts w:cs="EUAlbertina"/>
                <w:color w:val="19161B"/>
                <w:lang w:val="it-IT" w:eastAsia="it-IT"/>
              </w:rPr>
              <w:tab/>
              <w:t xml:space="preserve">dei valori contabili delle attività e passività rilevate in bilancio, relativi alle proprie partecipazioni in entità strutturate non consolidate;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237EFA" w:rsidRDefault="00D26424" w:rsidP="004300E2">
            <w:pPr>
              <w:pStyle w:val="IAS"/>
              <w:rPr>
                <w:sz w:val="12"/>
                <w:szCs w:val="12"/>
                <w:lang w:val="it-IT"/>
              </w:rPr>
            </w:pPr>
          </w:p>
        </w:tc>
        <w:tc>
          <w:tcPr>
            <w:tcW w:w="7079" w:type="dxa"/>
            <w:tcMar>
              <w:left w:w="108" w:type="dxa"/>
            </w:tcMar>
          </w:tcPr>
          <w:p w:rsidR="00D26424" w:rsidRPr="00237EFA" w:rsidRDefault="00D26424" w:rsidP="004300E2">
            <w:pPr>
              <w:overflowPunct/>
              <w:spacing w:line="240" w:lineRule="auto"/>
              <w:ind w:left="316" w:hanging="316"/>
              <w:textAlignment w:val="auto"/>
              <w:rPr>
                <w:rFonts w:cs="EUAlbertina"/>
                <w:color w:val="19161B"/>
                <w:lang w:val="it-IT" w:eastAsia="it-IT"/>
              </w:rPr>
            </w:pPr>
            <w:r w:rsidRPr="00237EFA">
              <w:rPr>
                <w:rFonts w:cs="EUAlbertina"/>
                <w:color w:val="19161B"/>
                <w:lang w:val="it-IT" w:eastAsia="it-IT"/>
              </w:rPr>
              <w:t xml:space="preserve">(b) </w:t>
            </w:r>
            <w:r w:rsidRPr="00237EFA">
              <w:rPr>
                <w:rFonts w:cs="EUAlbertina"/>
                <w:color w:val="19161B"/>
                <w:lang w:val="it-IT" w:eastAsia="it-IT"/>
              </w:rPr>
              <w:tab/>
              <w:t xml:space="preserve">delle voci in cui sono rilevate, nel prospetto della situazione patrimoniale-finanziaria, tali attività e passività;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237EFA" w:rsidRDefault="00D26424" w:rsidP="004300E2">
            <w:pPr>
              <w:pStyle w:val="IAS"/>
              <w:rPr>
                <w:sz w:val="12"/>
                <w:szCs w:val="12"/>
                <w:lang w:val="it-IT"/>
              </w:rPr>
            </w:pPr>
          </w:p>
        </w:tc>
        <w:tc>
          <w:tcPr>
            <w:tcW w:w="7079" w:type="dxa"/>
            <w:tcMar>
              <w:left w:w="108" w:type="dxa"/>
            </w:tcMar>
          </w:tcPr>
          <w:p w:rsidR="00D26424" w:rsidRPr="00237EFA" w:rsidRDefault="00D26424" w:rsidP="004300E2">
            <w:pPr>
              <w:overflowPunct/>
              <w:spacing w:line="240" w:lineRule="auto"/>
              <w:ind w:left="316" w:hanging="316"/>
              <w:textAlignment w:val="auto"/>
              <w:rPr>
                <w:rFonts w:cs="EUAlbertina"/>
                <w:color w:val="19161B"/>
                <w:lang w:val="it-IT" w:eastAsia="it-IT"/>
              </w:rPr>
            </w:pPr>
            <w:r>
              <w:rPr>
                <w:rFonts w:cs="EUAlbertina"/>
                <w:color w:val="19161B"/>
                <w:lang w:val="it-IT" w:eastAsia="it-IT"/>
              </w:rPr>
              <w:t>(c)</w:t>
            </w:r>
            <w:r w:rsidRPr="00237EFA">
              <w:rPr>
                <w:rFonts w:cs="EUAlbertina"/>
                <w:color w:val="19161B"/>
                <w:lang w:val="it-IT" w:eastAsia="it-IT"/>
              </w:rPr>
              <w:tab/>
              <w:t>dell'ammontare che meglio rappresenta la massima esposizione dell'entità alla perdita derivante dalle sue interessenze in entità strutturate non consolidate, incluse le modalità di determinazione della massima esposizione al rischio di perdita. Se un’entità non riesce a quantificare la propria esposizione massima al rischio di perdita derivante dalle proprie interessenze in entità strutturate non consolidate, deve indicare tale fatto e le ragioni;</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237EFA" w:rsidRDefault="00D26424" w:rsidP="004300E2">
            <w:pPr>
              <w:pStyle w:val="IAS"/>
              <w:rPr>
                <w:sz w:val="12"/>
                <w:szCs w:val="12"/>
                <w:lang w:val="it-IT"/>
              </w:rPr>
            </w:pPr>
          </w:p>
        </w:tc>
        <w:tc>
          <w:tcPr>
            <w:tcW w:w="7079" w:type="dxa"/>
            <w:tcMar>
              <w:left w:w="108" w:type="dxa"/>
            </w:tcMar>
          </w:tcPr>
          <w:p w:rsidR="00D26424" w:rsidRPr="00237EFA" w:rsidRDefault="00D26424" w:rsidP="004300E2">
            <w:pPr>
              <w:overflowPunct/>
              <w:spacing w:line="240" w:lineRule="auto"/>
              <w:ind w:left="316" w:hanging="316"/>
              <w:textAlignment w:val="auto"/>
              <w:rPr>
                <w:rFonts w:cs="EUAlbertina"/>
                <w:color w:val="19161B"/>
                <w:lang w:val="it-IT" w:eastAsia="it-IT"/>
              </w:rPr>
            </w:pPr>
            <w:r>
              <w:rPr>
                <w:rFonts w:cs="EUAlbertina"/>
                <w:color w:val="19161B"/>
                <w:lang w:val="it-IT" w:eastAsia="it-IT"/>
              </w:rPr>
              <w:t>(d)</w:t>
            </w:r>
            <w:r>
              <w:rPr>
                <w:rFonts w:cs="EUAlbertina"/>
                <w:color w:val="19161B"/>
                <w:lang w:val="it-IT" w:eastAsia="it-IT"/>
              </w:rPr>
              <w:tab/>
            </w:r>
            <w:r w:rsidRPr="00237EFA">
              <w:rPr>
                <w:rFonts w:cs="EUAlbertina"/>
                <w:color w:val="19161B"/>
                <w:lang w:val="it-IT" w:eastAsia="it-IT"/>
              </w:rPr>
              <w:t>di un confronto dei valori contabili delle attività e passività dell’entità relativi alle proprie interessenze in entità strutturate non consolidate e l'esposizione massima dell'entità al rischio di perdita derivante da tali entità.</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237EFA" w:rsidRDefault="004300E2" w:rsidP="004300E2">
            <w:pPr>
              <w:pStyle w:val="IAS"/>
              <w:rPr>
                <w:sz w:val="12"/>
                <w:szCs w:val="12"/>
                <w:lang w:val="it-IT"/>
              </w:rPr>
            </w:pPr>
            <w:r w:rsidRPr="00237EFA">
              <w:rPr>
                <w:sz w:val="12"/>
                <w:szCs w:val="12"/>
                <w:lang w:val="it-IT"/>
              </w:rPr>
              <w:t>IFRS 12.30</w:t>
            </w:r>
          </w:p>
        </w:tc>
        <w:tc>
          <w:tcPr>
            <w:tcW w:w="7079" w:type="dxa"/>
            <w:tcMar>
              <w:left w:w="108" w:type="dxa"/>
            </w:tcMar>
          </w:tcPr>
          <w:p w:rsidR="004300E2" w:rsidRPr="00237EFA" w:rsidRDefault="004300E2" w:rsidP="004300E2">
            <w:pPr>
              <w:overflowPunct/>
              <w:spacing w:line="240" w:lineRule="auto"/>
              <w:textAlignment w:val="auto"/>
              <w:rPr>
                <w:rFonts w:cs="EUAlbertina"/>
                <w:color w:val="19161B"/>
                <w:lang w:val="it-IT" w:eastAsia="it-IT"/>
              </w:rPr>
            </w:pPr>
            <w:r w:rsidRPr="00237EFA">
              <w:rPr>
                <w:rFonts w:cs="EUAlbertina"/>
                <w:color w:val="19161B"/>
                <w:lang w:val="it-IT" w:eastAsia="it-IT"/>
              </w:rPr>
              <w:t xml:space="preserve">Se, nel corso dell’esercizio di riferimento, un’entità ha fornito sostegno finanziario o di altro tipo a un’entità strutturata non consolidata, senza avere alcuna obbligazione contrattuale in tal senso, e in tale entità deteneva o detiene una interessenza (per esempio, acquisto di attività dell’entità strutturata o strumenti emessi dalla stessa), deve indicare: </w:t>
            </w:r>
          </w:p>
        </w:tc>
        <w:tc>
          <w:tcPr>
            <w:tcW w:w="575" w:type="dxa"/>
            <w:tcMar>
              <w:left w:w="85" w:type="dxa"/>
              <w:right w:w="85" w:type="dxa"/>
            </w:tcMar>
          </w:tcPr>
          <w:p w:rsidR="004300E2" w:rsidRPr="005C4B62" w:rsidRDefault="004300E2" w:rsidP="004300E2">
            <w:pPr>
              <w:jc w:val="center"/>
              <w:rPr>
                <w:lang w:val="it-IT"/>
              </w:rPr>
            </w:pPr>
          </w:p>
        </w:tc>
        <w:tc>
          <w:tcPr>
            <w:tcW w:w="567" w:type="dxa"/>
            <w:tcMar>
              <w:left w:w="108" w:type="dxa"/>
            </w:tcMar>
          </w:tcPr>
          <w:p w:rsidR="004300E2" w:rsidRPr="005C4B62" w:rsidRDefault="004300E2" w:rsidP="004300E2">
            <w:pPr>
              <w:jc w:val="center"/>
              <w:rPr>
                <w:lang w:val="it-IT"/>
              </w:rPr>
            </w:pPr>
          </w:p>
        </w:tc>
        <w:tc>
          <w:tcPr>
            <w:tcW w:w="567" w:type="dxa"/>
            <w:tcMar>
              <w:left w:w="108" w:type="dxa"/>
            </w:tcMar>
          </w:tcPr>
          <w:p w:rsidR="004300E2" w:rsidRPr="005C4B62" w:rsidRDefault="004300E2" w:rsidP="004300E2">
            <w:pPr>
              <w:jc w:val="center"/>
              <w:rPr>
                <w:lang w:val="it-IT"/>
              </w:rPr>
            </w:pP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237EFA" w:rsidRDefault="00D26424" w:rsidP="004300E2">
            <w:pPr>
              <w:pStyle w:val="IAS"/>
              <w:rPr>
                <w:sz w:val="12"/>
                <w:szCs w:val="12"/>
                <w:lang w:val="it-IT"/>
              </w:rPr>
            </w:pPr>
          </w:p>
        </w:tc>
        <w:tc>
          <w:tcPr>
            <w:tcW w:w="7079" w:type="dxa"/>
            <w:tcMar>
              <w:left w:w="108" w:type="dxa"/>
            </w:tcMar>
          </w:tcPr>
          <w:p w:rsidR="00D26424" w:rsidRPr="00237EFA" w:rsidRDefault="00D26424" w:rsidP="004300E2">
            <w:pPr>
              <w:overflowPunct/>
              <w:spacing w:line="240" w:lineRule="auto"/>
              <w:ind w:left="316" w:hanging="316"/>
              <w:textAlignment w:val="auto"/>
              <w:rPr>
                <w:rFonts w:cs="EUAlbertina"/>
                <w:color w:val="19161B"/>
                <w:lang w:val="it-IT" w:eastAsia="it-IT"/>
              </w:rPr>
            </w:pPr>
            <w:r w:rsidRPr="00237EFA">
              <w:rPr>
                <w:rFonts w:cs="EUAlbertina"/>
                <w:color w:val="19161B"/>
                <w:lang w:val="it-IT" w:eastAsia="it-IT"/>
              </w:rPr>
              <w:t xml:space="preserve">(a) </w:t>
            </w:r>
            <w:r w:rsidRPr="00237EFA">
              <w:rPr>
                <w:rFonts w:cs="EUAlbertina"/>
                <w:color w:val="19161B"/>
                <w:lang w:val="it-IT" w:eastAsia="it-IT"/>
              </w:rPr>
              <w:tab/>
              <w:t xml:space="preserve">la tipologia e l’ammontare del sostegno fornito, incluse le situazioni in cui l’entità abbia assistito l'entità strutturata nell'ottenimento del sostegno finanziario; e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237EFA" w:rsidRDefault="00D26424" w:rsidP="004300E2">
            <w:pPr>
              <w:pStyle w:val="IAS"/>
              <w:rPr>
                <w:sz w:val="12"/>
                <w:szCs w:val="12"/>
                <w:lang w:val="it-IT"/>
              </w:rPr>
            </w:pPr>
          </w:p>
        </w:tc>
        <w:tc>
          <w:tcPr>
            <w:tcW w:w="7079" w:type="dxa"/>
            <w:tcMar>
              <w:left w:w="108" w:type="dxa"/>
            </w:tcMar>
          </w:tcPr>
          <w:p w:rsidR="00D26424" w:rsidRPr="00237EFA" w:rsidRDefault="00D26424" w:rsidP="004300E2">
            <w:pPr>
              <w:overflowPunct/>
              <w:spacing w:line="240" w:lineRule="auto"/>
              <w:ind w:left="316" w:hanging="316"/>
              <w:textAlignment w:val="auto"/>
              <w:rPr>
                <w:rFonts w:cs="EUAlbertina"/>
                <w:color w:val="19161B"/>
                <w:lang w:val="it-IT" w:eastAsia="it-IT"/>
              </w:rPr>
            </w:pPr>
            <w:r w:rsidRPr="00237EFA">
              <w:rPr>
                <w:rFonts w:cs="EUAlbertina"/>
                <w:color w:val="19161B"/>
                <w:lang w:val="it-IT" w:eastAsia="it-IT"/>
              </w:rPr>
              <w:t xml:space="preserve">(b) </w:t>
            </w:r>
            <w:r w:rsidRPr="00237EFA">
              <w:rPr>
                <w:rFonts w:cs="EUAlbertina"/>
                <w:color w:val="19161B"/>
                <w:lang w:val="it-IT" w:eastAsia="it-IT"/>
              </w:rPr>
              <w:tab/>
              <w:t>i motivi per aver fornito tale sostegno.</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pStyle w:val="Numeroelenco"/>
              <w:ind w:left="0" w:firstLine="57"/>
              <w:rPr>
                <w:lang w:val="it-IT"/>
              </w:rPr>
            </w:pPr>
          </w:p>
        </w:tc>
        <w:tc>
          <w:tcPr>
            <w:tcW w:w="851" w:type="dxa"/>
            <w:tcMar>
              <w:left w:w="108" w:type="dxa"/>
              <w:right w:w="0" w:type="dxa"/>
            </w:tcMar>
          </w:tcPr>
          <w:p w:rsidR="00D26424" w:rsidRPr="00237EFA" w:rsidRDefault="00D26424" w:rsidP="004300E2">
            <w:pPr>
              <w:pStyle w:val="IAS"/>
              <w:rPr>
                <w:sz w:val="12"/>
                <w:szCs w:val="12"/>
                <w:lang w:val="it-IT"/>
              </w:rPr>
            </w:pPr>
            <w:r w:rsidRPr="00237EFA">
              <w:rPr>
                <w:sz w:val="12"/>
                <w:szCs w:val="12"/>
                <w:lang w:val="it-IT"/>
              </w:rPr>
              <w:t>IFRS 12.31</w:t>
            </w:r>
          </w:p>
        </w:tc>
        <w:tc>
          <w:tcPr>
            <w:tcW w:w="7079" w:type="dxa"/>
            <w:tcMar>
              <w:left w:w="108" w:type="dxa"/>
            </w:tcMar>
          </w:tcPr>
          <w:p w:rsidR="00D26424" w:rsidRPr="00237EFA" w:rsidRDefault="00D26424" w:rsidP="004300E2">
            <w:pPr>
              <w:overflowPunct/>
              <w:spacing w:line="240" w:lineRule="auto"/>
              <w:textAlignment w:val="auto"/>
              <w:rPr>
                <w:rFonts w:cs="EUAlbertina"/>
                <w:color w:val="19161B"/>
                <w:lang w:val="it-IT" w:eastAsia="it-IT"/>
              </w:rPr>
            </w:pPr>
            <w:r w:rsidRPr="00237EFA">
              <w:rPr>
                <w:rFonts w:cs="EUAlbertina"/>
                <w:color w:val="19161B"/>
                <w:lang w:val="it-IT" w:eastAsia="it-IT"/>
              </w:rPr>
              <w:t>Un’entità deve indicare l’intenzione attuale di fornire sostegno finanziario o di altro tipo a un’entità strutturata non consolidata, inclusa l’intenzione di assistere l’entità strutturata nell’ottenimento del sostegno finanziario.</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237EFA">
              <w:rPr>
                <w:sz w:val="12"/>
                <w:szCs w:val="12"/>
                <w:lang w:val="it-IT"/>
              </w:rPr>
              <w:t>IFRS 12.B25,</w:t>
            </w:r>
            <w:r w:rsidRPr="00237EFA">
              <w:rPr>
                <w:sz w:val="12"/>
                <w:szCs w:val="12"/>
                <w:lang w:val="it-IT"/>
              </w:rPr>
              <w:br/>
              <w:t>IFRS 12.B26</w:t>
            </w:r>
          </w:p>
        </w:tc>
        <w:tc>
          <w:tcPr>
            <w:tcW w:w="7079" w:type="dxa"/>
            <w:tcMar>
              <w:left w:w="108" w:type="dxa"/>
            </w:tcMar>
          </w:tcPr>
          <w:p w:rsidR="004300E2" w:rsidRPr="00237EFA" w:rsidRDefault="004300E2" w:rsidP="004300E2">
            <w:pPr>
              <w:overflowPunct/>
              <w:spacing w:before="60" w:after="60" w:line="240" w:lineRule="auto"/>
              <w:textAlignment w:val="auto"/>
              <w:rPr>
                <w:rFonts w:cs="EUAlbertina"/>
                <w:color w:val="19161B"/>
                <w:lang w:val="it-IT" w:eastAsia="it-IT"/>
              </w:rPr>
            </w:pPr>
            <w:r w:rsidRPr="00237EFA">
              <w:rPr>
                <w:rFonts w:cs="EUAlbertina"/>
                <w:color w:val="19161B"/>
                <w:lang w:val="it-IT" w:eastAsia="it-IT"/>
              </w:rPr>
              <w:t>Oltre alle inf</w:t>
            </w:r>
            <w:r>
              <w:rPr>
                <w:rFonts w:cs="EUAlbertina"/>
                <w:color w:val="19161B"/>
                <w:lang w:val="it-IT" w:eastAsia="it-IT"/>
              </w:rPr>
              <w:t>ormazioni richieste dai punti 17</w:t>
            </w:r>
            <w:r w:rsidR="00D20202">
              <w:rPr>
                <w:rFonts w:cs="EUAlbertina"/>
                <w:color w:val="19161B"/>
                <w:lang w:val="it-IT" w:eastAsia="it-IT"/>
              </w:rPr>
              <w:t>3</w:t>
            </w:r>
            <w:r>
              <w:rPr>
                <w:rFonts w:cs="EUAlbertina"/>
                <w:color w:val="19161B"/>
                <w:lang w:val="it-IT" w:eastAsia="it-IT"/>
              </w:rPr>
              <w:t>-17</w:t>
            </w:r>
            <w:r w:rsidR="00D20202">
              <w:rPr>
                <w:rFonts w:cs="EUAlbertina"/>
                <w:color w:val="19161B"/>
                <w:lang w:val="it-IT" w:eastAsia="it-IT"/>
              </w:rPr>
              <w:t>5</w:t>
            </w:r>
            <w:r w:rsidRPr="00237EFA">
              <w:rPr>
                <w:rFonts w:cs="EUAlbertina"/>
                <w:color w:val="19161B"/>
                <w:lang w:val="it-IT" w:eastAsia="it-IT"/>
              </w:rPr>
              <w:t xml:space="preserve">, un’entità deve fornire ulteriori informazioni necessarie per soddisfare il requisito informativo di cui al paragrafo 24(b) dell’IFRS 12. Esempi di informazioni aggiuntive che, a seconda delle circostanze, potrebbero essere rilevanti per una valutazione dei rischi a cui l’entità è esposta quando detiene una partecipazione in un'entità strutturata non consolidata sono: </w:t>
            </w:r>
          </w:p>
        </w:tc>
        <w:tc>
          <w:tcPr>
            <w:tcW w:w="575" w:type="dxa"/>
            <w:tcMar>
              <w:left w:w="85" w:type="dxa"/>
              <w:right w:w="85" w:type="dxa"/>
            </w:tcMar>
            <w:vAlign w:val="center"/>
          </w:tcPr>
          <w:p w:rsidR="004300E2" w:rsidRPr="00F07A07" w:rsidRDefault="004300E2" w:rsidP="004300E2">
            <w:pPr>
              <w:jc w:val="center"/>
              <w:rPr>
                <w:lang w:val="it-IT"/>
              </w:rPr>
            </w:pPr>
          </w:p>
        </w:tc>
        <w:tc>
          <w:tcPr>
            <w:tcW w:w="567" w:type="dxa"/>
            <w:tcMar>
              <w:left w:w="108" w:type="dxa"/>
            </w:tcMar>
            <w:vAlign w:val="center"/>
          </w:tcPr>
          <w:p w:rsidR="004300E2" w:rsidRPr="00F07A07" w:rsidRDefault="004300E2" w:rsidP="004300E2">
            <w:pPr>
              <w:jc w:val="center"/>
              <w:rPr>
                <w:lang w:val="it-IT"/>
              </w:rPr>
            </w:pPr>
          </w:p>
        </w:tc>
        <w:tc>
          <w:tcPr>
            <w:tcW w:w="567" w:type="dxa"/>
            <w:tcMar>
              <w:left w:w="108" w:type="dxa"/>
            </w:tcMar>
            <w:vAlign w:val="center"/>
          </w:tcPr>
          <w:p w:rsidR="004300E2" w:rsidRPr="00F07A07" w:rsidRDefault="004300E2" w:rsidP="004300E2">
            <w:pPr>
              <w:jc w:val="center"/>
              <w:rPr>
                <w:lang w:val="it-IT"/>
              </w:rPr>
            </w:pPr>
          </w:p>
        </w:tc>
      </w:tr>
      <w:tr w:rsidR="00D26424" w:rsidRPr="008129DA" w:rsidTr="00940A6F">
        <w:trPr>
          <w:cantSplit/>
        </w:trPr>
        <w:tc>
          <w:tcPr>
            <w:tcW w:w="567" w:type="dxa"/>
            <w:tcMar>
              <w:left w:w="108" w:type="dxa"/>
            </w:tcMar>
          </w:tcPr>
          <w:p w:rsidR="00D26424" w:rsidRPr="008A0F36" w:rsidRDefault="00D26424" w:rsidP="004300E2">
            <w:pPr>
              <w:pStyle w:val="Numeroelenco"/>
              <w:numPr>
                <w:ilvl w:val="0"/>
                <w:numId w:val="0"/>
              </w:numPr>
              <w:ind w:left="57"/>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4300E2">
            <w:pPr>
              <w:overflowPunct/>
              <w:spacing w:before="60" w:after="0" w:line="240" w:lineRule="auto"/>
              <w:ind w:left="318" w:hanging="318"/>
              <w:textAlignment w:val="auto"/>
              <w:rPr>
                <w:rFonts w:cs="EUAlbertina"/>
                <w:color w:val="19161B"/>
                <w:lang w:val="it-IT" w:eastAsia="it-IT"/>
              </w:rPr>
            </w:pPr>
            <w:r w:rsidRPr="00237EFA">
              <w:rPr>
                <w:rFonts w:cs="EUAlbertina"/>
                <w:color w:val="19161B"/>
                <w:lang w:val="it-IT" w:eastAsia="it-IT"/>
              </w:rPr>
              <w:t xml:space="preserve">(a) </w:t>
            </w:r>
            <w:r w:rsidRPr="00237EFA">
              <w:rPr>
                <w:rFonts w:cs="EUAlbertina"/>
                <w:color w:val="19161B"/>
                <w:lang w:val="it-IT" w:eastAsia="it-IT"/>
              </w:rPr>
              <w:tab/>
              <w:t xml:space="preserve">i termini di un accordo che potrebbe richiedere all’entità di fornire sostegno finanziario a un’entità strutturata non consolidata (per esempio, accordi per la fornitura di liquidità o eventi creditizi che determinato il rating associati a obbligazioni per l’acquisto di attività dell’entità strutturata o per la fornitura di sostegno finanziario), tra cui: </w:t>
            </w:r>
          </w:p>
        </w:tc>
        <w:tc>
          <w:tcPr>
            <w:tcW w:w="575" w:type="dxa"/>
            <w:tcMar>
              <w:left w:w="85" w:type="dxa"/>
              <w:right w:w="85" w:type="dxa"/>
            </w:tcMar>
            <w:vAlign w:val="center"/>
          </w:tcPr>
          <w:p w:rsidR="00D26424" w:rsidRPr="00F07A07"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F07A07"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F07A07"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pStyle w:val="Numeroelenco"/>
              <w:numPr>
                <w:ilvl w:val="0"/>
                <w:numId w:val="0"/>
              </w:numPr>
              <w:ind w:left="57"/>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4300E2">
            <w:pPr>
              <w:overflowPunct/>
              <w:spacing w:before="0" w:after="0" w:line="240" w:lineRule="auto"/>
              <w:ind w:left="602" w:hanging="284"/>
              <w:textAlignment w:val="auto"/>
              <w:rPr>
                <w:rFonts w:cs="EUAlbertina"/>
                <w:color w:val="19161B"/>
                <w:lang w:val="it-IT" w:eastAsia="it-IT"/>
              </w:rPr>
            </w:pPr>
            <w:r w:rsidRPr="00237EFA">
              <w:rPr>
                <w:rFonts w:cs="EUAlbertina"/>
                <w:color w:val="19161B"/>
                <w:lang w:val="it-IT" w:eastAsia="it-IT"/>
              </w:rPr>
              <w:t xml:space="preserve">(i) </w:t>
            </w:r>
            <w:r w:rsidRPr="00237EFA">
              <w:rPr>
                <w:rFonts w:cs="EUAlbertina"/>
                <w:color w:val="19161B"/>
                <w:lang w:val="it-IT" w:eastAsia="it-IT"/>
              </w:rPr>
              <w:tab/>
              <w:t xml:space="preserve">una descrizione degli eventi o circostanze che potrebbero esporre a una perdita l’entità che redige il bilancio;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pStyle w:val="Numeroelenco"/>
              <w:numPr>
                <w:ilvl w:val="0"/>
                <w:numId w:val="0"/>
              </w:numPr>
              <w:ind w:left="57"/>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4300E2">
            <w:pPr>
              <w:overflowPunct/>
              <w:spacing w:before="0" w:after="0" w:line="240" w:lineRule="auto"/>
              <w:ind w:left="602" w:hanging="284"/>
              <w:jc w:val="left"/>
              <w:textAlignment w:val="auto"/>
              <w:rPr>
                <w:rFonts w:cs="EUAlbertina"/>
                <w:color w:val="19161B"/>
                <w:lang w:val="it-IT" w:eastAsia="it-IT"/>
              </w:rPr>
            </w:pPr>
            <w:r w:rsidRPr="00237EFA">
              <w:rPr>
                <w:rFonts w:cs="EUAlbertina"/>
                <w:color w:val="19161B"/>
                <w:lang w:val="it-IT" w:eastAsia="it-IT"/>
              </w:rPr>
              <w:t xml:space="preserve">(ii) </w:t>
            </w:r>
            <w:r w:rsidRPr="00237EFA">
              <w:rPr>
                <w:rFonts w:cs="EUAlbertina"/>
                <w:color w:val="19161B"/>
                <w:lang w:val="it-IT" w:eastAsia="it-IT"/>
              </w:rPr>
              <w:tab/>
              <w:t xml:space="preserve">se sussistono clausole che limiterebbero l’obbligazione;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pStyle w:val="Numeroelenco"/>
              <w:numPr>
                <w:ilvl w:val="0"/>
                <w:numId w:val="0"/>
              </w:numPr>
              <w:ind w:left="57"/>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4300E2">
            <w:pPr>
              <w:overflowPunct/>
              <w:spacing w:before="0" w:after="0" w:line="240" w:lineRule="auto"/>
              <w:ind w:left="602" w:hanging="284"/>
              <w:textAlignment w:val="auto"/>
              <w:rPr>
                <w:rFonts w:cs="EUAlbertina"/>
                <w:color w:val="19161B"/>
                <w:lang w:val="it-IT" w:eastAsia="it-IT"/>
              </w:rPr>
            </w:pPr>
            <w:r w:rsidRPr="00237EFA">
              <w:rPr>
                <w:rFonts w:cs="EUAlbertina"/>
                <w:color w:val="19161B"/>
                <w:lang w:val="it-IT" w:eastAsia="it-IT"/>
              </w:rPr>
              <w:t xml:space="preserve">(iii) </w:t>
            </w:r>
            <w:r w:rsidRPr="00237EFA">
              <w:rPr>
                <w:rFonts w:cs="EUAlbertina"/>
                <w:color w:val="19161B"/>
                <w:lang w:val="it-IT" w:eastAsia="it-IT"/>
              </w:rPr>
              <w:tab/>
              <w:t xml:space="preserve">se vi sono altre parti che forniscono un supporto finanziario e, in tal caso, qual è il grado di subordinazione dell’obbligazione dell'entità che redige il bilancio rispetto a quello delle altre parti;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pStyle w:val="Numeroelenco"/>
              <w:numPr>
                <w:ilvl w:val="0"/>
                <w:numId w:val="0"/>
              </w:numPr>
              <w:ind w:left="57"/>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4300E2">
            <w:pPr>
              <w:overflowPunct/>
              <w:spacing w:before="60" w:after="0" w:line="240" w:lineRule="auto"/>
              <w:ind w:left="318" w:hanging="318"/>
              <w:textAlignment w:val="auto"/>
              <w:rPr>
                <w:rFonts w:cs="EUAlbertina"/>
                <w:color w:val="19161B"/>
                <w:lang w:val="it-IT" w:eastAsia="it-IT"/>
              </w:rPr>
            </w:pPr>
            <w:r w:rsidRPr="00237EFA">
              <w:rPr>
                <w:rFonts w:cs="EUAlbertina"/>
                <w:color w:val="19161B"/>
                <w:lang w:val="it-IT" w:eastAsia="it-IT"/>
              </w:rPr>
              <w:t xml:space="preserve">b) </w:t>
            </w:r>
            <w:r w:rsidRPr="00237EFA">
              <w:rPr>
                <w:rFonts w:cs="EUAlbertina"/>
                <w:color w:val="19161B"/>
                <w:lang w:val="it-IT" w:eastAsia="it-IT"/>
              </w:rPr>
              <w:tab/>
              <w:t>perdite subite dall’entità durante l’esercizio di riferimento, relativamente alle proprie partecipazioni in entità strutturate non consolidate;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pStyle w:val="Numeroelenco"/>
              <w:numPr>
                <w:ilvl w:val="0"/>
                <w:numId w:val="0"/>
              </w:numPr>
              <w:ind w:left="57"/>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4300E2">
            <w:pPr>
              <w:overflowPunct/>
              <w:spacing w:before="60" w:after="0" w:line="240" w:lineRule="auto"/>
              <w:ind w:left="318" w:hanging="318"/>
              <w:textAlignment w:val="auto"/>
              <w:rPr>
                <w:rFonts w:cs="EUAlbertina"/>
                <w:color w:val="19161B"/>
                <w:lang w:val="it-IT" w:eastAsia="it-IT"/>
              </w:rPr>
            </w:pPr>
            <w:r w:rsidRPr="00237EFA">
              <w:rPr>
                <w:rFonts w:cs="EUAlbertina"/>
                <w:color w:val="19161B"/>
                <w:lang w:val="it-IT" w:eastAsia="it-IT"/>
              </w:rPr>
              <w:t xml:space="preserve">(c) </w:t>
            </w:r>
            <w:r w:rsidRPr="00237EFA">
              <w:rPr>
                <w:rFonts w:cs="EUAlbertina"/>
                <w:color w:val="19161B"/>
                <w:lang w:val="it-IT" w:eastAsia="it-IT"/>
              </w:rPr>
              <w:tab/>
              <w:t>i tipi di ricavi percepiti dall’entità, nel corso dell’esercizio di riferimento, dalle proprie partecipazioni in entità strutturate non consolidate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pStyle w:val="Numeroelenco"/>
              <w:numPr>
                <w:ilvl w:val="0"/>
                <w:numId w:val="0"/>
              </w:numPr>
              <w:ind w:left="57"/>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4300E2">
            <w:pPr>
              <w:overflowPunct/>
              <w:spacing w:before="60" w:after="60" w:line="240" w:lineRule="auto"/>
              <w:ind w:left="316" w:hanging="316"/>
              <w:textAlignment w:val="auto"/>
              <w:rPr>
                <w:rFonts w:cs="EUAlbertina"/>
                <w:color w:val="19161B"/>
                <w:lang w:val="it-IT" w:eastAsia="it-IT"/>
              </w:rPr>
            </w:pPr>
            <w:r w:rsidRPr="00237EFA">
              <w:rPr>
                <w:rFonts w:cs="EUAlbertina"/>
                <w:color w:val="19161B"/>
                <w:lang w:val="it-IT" w:eastAsia="it-IT"/>
              </w:rPr>
              <w:t xml:space="preserve">(d) </w:t>
            </w:r>
            <w:r w:rsidRPr="00237EFA">
              <w:rPr>
                <w:rFonts w:cs="EUAlbertina"/>
                <w:color w:val="19161B"/>
                <w:lang w:val="it-IT" w:eastAsia="it-IT"/>
              </w:rPr>
              <w:tab/>
              <w:t xml:space="preserve">se l'entità deve assorbire le perdite di un'entità strutturata non consolidata prima di altre parti, il limite massimo di tali perdite per l'entità, e (se rilevante) la classificazione e la misura delle perdite potenziali sostenute da parti le cui partecipazioni siano di rango inferiore rispetto alle partecipazioni che l’entità detiene nell’entità strutturata non consolidata;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pStyle w:val="Numeroelenco"/>
              <w:numPr>
                <w:ilvl w:val="0"/>
                <w:numId w:val="0"/>
              </w:numPr>
              <w:ind w:left="57"/>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4300E2">
            <w:pPr>
              <w:overflowPunct/>
              <w:spacing w:before="60" w:after="60" w:line="240" w:lineRule="auto"/>
              <w:ind w:left="316" w:hanging="316"/>
              <w:textAlignment w:val="auto"/>
              <w:rPr>
                <w:rFonts w:cs="EUAlbertina"/>
                <w:color w:val="19161B"/>
                <w:lang w:val="it-IT" w:eastAsia="it-IT"/>
              </w:rPr>
            </w:pPr>
            <w:r w:rsidRPr="00237EFA">
              <w:rPr>
                <w:rFonts w:cs="EUAlbertina"/>
                <w:color w:val="19161B"/>
                <w:lang w:val="it-IT" w:eastAsia="it-IT"/>
              </w:rPr>
              <w:t xml:space="preserve">(e) </w:t>
            </w:r>
            <w:r w:rsidRPr="00237EFA">
              <w:rPr>
                <w:rFonts w:cs="EUAlbertina"/>
                <w:color w:val="19161B"/>
                <w:lang w:val="it-IT" w:eastAsia="it-IT"/>
              </w:rPr>
              <w:tab/>
              <w:t xml:space="preserve">informazioni in merito a linee di liquidità, garanzie o altri impegni con terzi che possono incidere sul </w:t>
            </w:r>
            <w:r w:rsidRPr="00237EFA">
              <w:rPr>
                <w:rFonts w:cs="EUAlbertina"/>
                <w:i/>
                <w:iCs/>
                <w:color w:val="19161B"/>
                <w:lang w:val="it-IT" w:eastAsia="it-IT"/>
              </w:rPr>
              <w:t xml:space="preserve">fair value </w:t>
            </w:r>
            <w:r w:rsidRPr="00237EFA">
              <w:rPr>
                <w:rFonts w:cs="EUAlbertina"/>
                <w:color w:val="19161B"/>
                <w:lang w:val="it-IT" w:eastAsia="it-IT"/>
              </w:rPr>
              <w:t xml:space="preserve">o sul rischio delle partecipazioni dell’entità in entità strutturate non consolidate;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pStyle w:val="Numeroelenco"/>
              <w:numPr>
                <w:ilvl w:val="0"/>
                <w:numId w:val="0"/>
              </w:numPr>
              <w:ind w:left="57"/>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4300E2">
            <w:pPr>
              <w:overflowPunct/>
              <w:spacing w:before="60" w:after="60" w:line="240" w:lineRule="auto"/>
              <w:ind w:left="316" w:hanging="316"/>
              <w:jc w:val="left"/>
              <w:textAlignment w:val="auto"/>
              <w:rPr>
                <w:rFonts w:cs="EUAlbertina"/>
                <w:color w:val="19161B"/>
                <w:lang w:val="it-IT" w:eastAsia="it-IT"/>
              </w:rPr>
            </w:pPr>
            <w:r w:rsidRPr="00237EFA">
              <w:rPr>
                <w:rFonts w:cs="EUAlbertina"/>
                <w:color w:val="19161B"/>
                <w:lang w:val="it-IT" w:eastAsia="it-IT"/>
              </w:rPr>
              <w:t xml:space="preserve">(f) </w:t>
            </w:r>
            <w:r w:rsidRPr="00237EFA">
              <w:rPr>
                <w:rFonts w:cs="EUAlbertina"/>
                <w:color w:val="19161B"/>
                <w:lang w:val="it-IT" w:eastAsia="it-IT"/>
              </w:rPr>
              <w:tab/>
              <w:t xml:space="preserve">le difficoltà che un’entità strutturata non consolidata ha incontrato nel finanziare le proprie attività nel corso dell'esercizio di riferimento;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pStyle w:val="Numeroelenco"/>
              <w:numPr>
                <w:ilvl w:val="0"/>
                <w:numId w:val="0"/>
              </w:numPr>
              <w:ind w:left="57"/>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4300E2">
            <w:pPr>
              <w:widowControl w:val="0"/>
              <w:overflowPunct/>
              <w:spacing w:before="60" w:after="60" w:line="240" w:lineRule="auto"/>
              <w:ind w:left="318" w:hanging="318"/>
              <w:textAlignment w:val="auto"/>
              <w:rPr>
                <w:rFonts w:cs="EUAlbertina"/>
                <w:color w:val="19161B"/>
                <w:lang w:val="it-IT" w:eastAsia="it-IT"/>
              </w:rPr>
            </w:pPr>
            <w:r w:rsidRPr="00237EFA">
              <w:rPr>
                <w:rFonts w:cs="EUAlbertina"/>
                <w:color w:val="19161B"/>
                <w:lang w:val="it-IT" w:eastAsia="it-IT"/>
              </w:rPr>
              <w:t>(g) in relazione al finanziamento di un’entità strutturata non consolidata, le forme di finanziamento (per esempio, carta commerciale o titoli a medio termine) e la loro vita media ponderata. Tali informazioni potrebbero comprendere analisi delle scadenze delle attività e delle passività di un’entità strutturata non consolidata, se l’entità strutturata detiene attività a lungo termine finanziate con passività a breve termine.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87BC2" w:rsidTr="00940A6F">
        <w:trPr>
          <w:cantSplit/>
        </w:trPr>
        <w:tc>
          <w:tcPr>
            <w:tcW w:w="567" w:type="dxa"/>
            <w:tcMar>
              <w:left w:w="108" w:type="dxa"/>
            </w:tcMar>
          </w:tcPr>
          <w:p w:rsidR="004300E2" w:rsidRPr="008A0F36" w:rsidRDefault="004300E2" w:rsidP="00C0264D">
            <w:pPr>
              <w:pStyle w:val="Numeroelenco"/>
              <w:numPr>
                <w:ilvl w:val="0"/>
                <w:numId w:val="0"/>
              </w:numPr>
              <w:ind w:left="57"/>
              <w:rPr>
                <w:lang w:val="it-IT"/>
              </w:rPr>
            </w:pPr>
          </w:p>
        </w:tc>
        <w:tc>
          <w:tcPr>
            <w:tcW w:w="851" w:type="dxa"/>
            <w:tcMar>
              <w:left w:w="108" w:type="dxa"/>
              <w:right w:w="0" w:type="dxa"/>
            </w:tcMar>
          </w:tcPr>
          <w:p w:rsidR="004300E2" w:rsidRPr="008A0F36" w:rsidRDefault="004300E2" w:rsidP="004300E2">
            <w:pPr>
              <w:pStyle w:val="IAS"/>
              <w:pageBreakBefore/>
              <w:rPr>
                <w:lang w:val="it-IT"/>
              </w:rPr>
            </w:pPr>
          </w:p>
        </w:tc>
        <w:tc>
          <w:tcPr>
            <w:tcW w:w="7079" w:type="dxa"/>
            <w:tcMar>
              <w:left w:w="108" w:type="dxa"/>
            </w:tcMar>
          </w:tcPr>
          <w:p w:rsidR="004300E2" w:rsidRPr="00A47C80" w:rsidRDefault="004300E2" w:rsidP="004300E2">
            <w:pPr>
              <w:pStyle w:val="Titolo2"/>
              <w:keepNext w:val="0"/>
              <w:pageBreakBefore/>
              <w:spacing w:before="40" w:after="40"/>
              <w:rPr>
                <w:rFonts w:cs="EUAlbertina"/>
                <w:caps/>
                <w:color w:val="19161B"/>
                <w:lang w:val="it-IT" w:eastAsia="it-IT"/>
              </w:rPr>
            </w:pPr>
            <w:r w:rsidRPr="00A47C80">
              <w:rPr>
                <w:caps/>
                <w:lang w:val="it-IT"/>
              </w:rPr>
              <w:t xml:space="preserve">Bilancio separato </w:t>
            </w:r>
          </w:p>
        </w:tc>
        <w:tc>
          <w:tcPr>
            <w:tcW w:w="575" w:type="dxa"/>
            <w:tcMar>
              <w:left w:w="85" w:type="dxa"/>
              <w:right w:w="85" w:type="dxa"/>
            </w:tcMar>
            <w:vAlign w:val="center"/>
          </w:tcPr>
          <w:p w:rsidR="004300E2" w:rsidRPr="00F07A07" w:rsidRDefault="004300E2" w:rsidP="004300E2">
            <w:pPr>
              <w:pageBreakBefore/>
              <w:jc w:val="center"/>
              <w:rPr>
                <w:lang w:val="it-IT"/>
              </w:rPr>
            </w:pPr>
          </w:p>
        </w:tc>
        <w:tc>
          <w:tcPr>
            <w:tcW w:w="567" w:type="dxa"/>
            <w:tcMar>
              <w:left w:w="108" w:type="dxa"/>
            </w:tcMar>
            <w:vAlign w:val="center"/>
          </w:tcPr>
          <w:p w:rsidR="004300E2" w:rsidRPr="00F07A07" w:rsidRDefault="004300E2" w:rsidP="004300E2">
            <w:pPr>
              <w:pageBreakBefore/>
              <w:jc w:val="center"/>
              <w:rPr>
                <w:lang w:val="it-IT"/>
              </w:rPr>
            </w:pPr>
          </w:p>
        </w:tc>
        <w:tc>
          <w:tcPr>
            <w:tcW w:w="567" w:type="dxa"/>
            <w:tcMar>
              <w:left w:w="108" w:type="dxa"/>
            </w:tcMar>
            <w:vAlign w:val="center"/>
          </w:tcPr>
          <w:p w:rsidR="004300E2" w:rsidRPr="00F07A07" w:rsidRDefault="004300E2" w:rsidP="004300E2">
            <w:pPr>
              <w:pageBreakBefore/>
              <w:jc w:val="center"/>
              <w:rPr>
                <w:lang w:val="it-IT"/>
              </w:rPr>
            </w:pP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Pr>
                <w:sz w:val="12"/>
                <w:szCs w:val="12"/>
                <w:lang w:val="it-IT"/>
              </w:rPr>
              <w:t>IAS 27</w:t>
            </w:r>
            <w:r w:rsidRPr="00237EFA">
              <w:rPr>
                <w:sz w:val="12"/>
                <w:szCs w:val="12"/>
                <w:lang w:val="it-IT"/>
              </w:rPr>
              <w:t>.16</w:t>
            </w:r>
          </w:p>
        </w:tc>
        <w:tc>
          <w:tcPr>
            <w:tcW w:w="7079" w:type="dxa"/>
            <w:tcMar>
              <w:left w:w="108" w:type="dxa"/>
            </w:tcMar>
          </w:tcPr>
          <w:p w:rsidR="004300E2" w:rsidRPr="005D1C48" w:rsidRDefault="004300E2" w:rsidP="004300E2">
            <w:pPr>
              <w:overflowPunct/>
              <w:spacing w:before="60" w:after="60" w:line="240" w:lineRule="auto"/>
              <w:textAlignment w:val="auto"/>
              <w:rPr>
                <w:rFonts w:cs="EUAlbertina"/>
                <w:color w:val="19161B"/>
                <w:lang w:val="it-IT" w:eastAsia="it-IT"/>
              </w:rPr>
            </w:pPr>
            <w:r w:rsidRPr="00237EFA">
              <w:rPr>
                <w:rFonts w:cs="EUAlbertina"/>
                <w:bCs/>
                <w:color w:val="19161B"/>
                <w:lang w:val="it-IT" w:eastAsia="it-IT"/>
              </w:rPr>
              <w:t xml:space="preserve">Quando una controllante decide, in conformità al paragrafo 4(a) dell’IFRS 10, di non preparare il bilancio consolidato e di redigere invece il bilancio separato, in quest’ultimo deve indicare: </w:t>
            </w:r>
          </w:p>
        </w:tc>
        <w:tc>
          <w:tcPr>
            <w:tcW w:w="575" w:type="dxa"/>
            <w:tcMar>
              <w:left w:w="85" w:type="dxa"/>
              <w:right w:w="85" w:type="dxa"/>
            </w:tcMar>
            <w:vAlign w:val="center"/>
          </w:tcPr>
          <w:p w:rsidR="004300E2" w:rsidRPr="00F07A07" w:rsidRDefault="004300E2" w:rsidP="004300E2">
            <w:pPr>
              <w:jc w:val="center"/>
              <w:rPr>
                <w:lang w:val="it-IT"/>
              </w:rPr>
            </w:pPr>
          </w:p>
        </w:tc>
        <w:tc>
          <w:tcPr>
            <w:tcW w:w="567" w:type="dxa"/>
            <w:tcMar>
              <w:left w:w="108" w:type="dxa"/>
            </w:tcMar>
            <w:vAlign w:val="center"/>
          </w:tcPr>
          <w:p w:rsidR="004300E2" w:rsidRPr="00F07A07" w:rsidRDefault="004300E2" w:rsidP="004300E2">
            <w:pPr>
              <w:jc w:val="center"/>
              <w:rPr>
                <w:lang w:val="it-IT"/>
              </w:rPr>
            </w:pPr>
          </w:p>
        </w:tc>
        <w:tc>
          <w:tcPr>
            <w:tcW w:w="567" w:type="dxa"/>
            <w:tcMar>
              <w:left w:w="108" w:type="dxa"/>
            </w:tcMar>
            <w:vAlign w:val="center"/>
          </w:tcPr>
          <w:p w:rsidR="004300E2" w:rsidRPr="00F07A07" w:rsidRDefault="004300E2" w:rsidP="004300E2">
            <w:pPr>
              <w:jc w:val="center"/>
              <w:rPr>
                <w:lang w:val="it-IT"/>
              </w:rPr>
            </w:pPr>
          </w:p>
        </w:tc>
      </w:tr>
      <w:tr w:rsidR="00D26424" w:rsidRPr="008129DA" w:rsidTr="00940A6F">
        <w:trPr>
          <w:cantSplit/>
        </w:trPr>
        <w:tc>
          <w:tcPr>
            <w:tcW w:w="567" w:type="dxa"/>
            <w:tcMar>
              <w:left w:w="108" w:type="dxa"/>
            </w:tcMar>
          </w:tcPr>
          <w:p w:rsidR="00D26424" w:rsidRPr="008A0F36" w:rsidRDefault="00D26424" w:rsidP="004300E2">
            <w:pPr>
              <w:pStyle w:val="Numeroelenco"/>
              <w:numPr>
                <w:ilvl w:val="0"/>
                <w:numId w:val="0"/>
              </w:numPr>
              <w:ind w:left="57"/>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5D1C48" w:rsidRDefault="00D26424" w:rsidP="004300E2">
            <w:pPr>
              <w:overflowPunct/>
              <w:spacing w:before="60" w:after="60" w:line="240" w:lineRule="auto"/>
              <w:ind w:left="316" w:hanging="283"/>
              <w:textAlignment w:val="auto"/>
              <w:rPr>
                <w:rFonts w:cs="EUAlbertina"/>
                <w:color w:val="19161B"/>
                <w:lang w:val="it-IT" w:eastAsia="it-IT"/>
              </w:rPr>
            </w:pPr>
            <w:r w:rsidRPr="00237EFA">
              <w:rPr>
                <w:rFonts w:cs="EUAlbertina"/>
                <w:color w:val="19161B"/>
                <w:lang w:val="it-IT" w:eastAsia="it-IT"/>
              </w:rPr>
              <w:t xml:space="preserve">(a) </w:t>
            </w:r>
            <w:r w:rsidRPr="00237EFA">
              <w:rPr>
                <w:rFonts w:cs="EUAlbertina"/>
                <w:color w:val="19161B"/>
                <w:lang w:val="it-IT" w:eastAsia="it-IT"/>
              </w:rPr>
              <w:tab/>
            </w:r>
            <w:r w:rsidRPr="00237EFA">
              <w:rPr>
                <w:rFonts w:cs="EUAlbertina"/>
                <w:bCs/>
                <w:color w:val="19161B"/>
                <w:lang w:val="it-IT" w:eastAsia="it-IT"/>
              </w:rPr>
              <w:t xml:space="preserve">il fatto che il bilancio sia un bilancio separato; che si sia optato per l’esenzione dal consolidamento; la ragione sociale e il luogo principale di conduzione degli affari (e il paese in cui è stata costituita, se diverso) dell’entità che ha provveduto alla redazione del bilancio consolidato ad uso pubblico in conformità agli </w:t>
            </w:r>
            <w:r w:rsidRPr="00A23AAF">
              <w:rPr>
                <w:rFonts w:cs="EUAlbertina"/>
                <w:bCs/>
                <w:i/>
                <w:color w:val="19161B"/>
                <w:lang w:val="it-IT" w:eastAsia="it-IT"/>
              </w:rPr>
              <w:t>International Financial Reporting Standard</w:t>
            </w:r>
            <w:r w:rsidRPr="00237EFA">
              <w:rPr>
                <w:rFonts w:cs="EUAlbertina"/>
                <w:bCs/>
                <w:color w:val="19161B"/>
                <w:lang w:val="it-IT" w:eastAsia="it-IT"/>
              </w:rPr>
              <w:t xml:space="preserve">; l’indirizzo presso il quale è possibile ottenere tale bilancio consolidato;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D26424">
        <w:trPr>
          <w:cantSplit/>
        </w:trPr>
        <w:tc>
          <w:tcPr>
            <w:tcW w:w="567" w:type="dxa"/>
            <w:tcMar>
              <w:left w:w="108" w:type="dxa"/>
            </w:tcMar>
          </w:tcPr>
          <w:p w:rsidR="00D26424" w:rsidRPr="008A0F36" w:rsidRDefault="00D26424" w:rsidP="004300E2">
            <w:pPr>
              <w:pStyle w:val="Numeroelenco"/>
              <w:numPr>
                <w:ilvl w:val="0"/>
                <w:numId w:val="0"/>
              </w:numPr>
              <w:ind w:left="57"/>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5D1C48" w:rsidRDefault="00D26424" w:rsidP="00A23AAF">
            <w:pPr>
              <w:overflowPunct/>
              <w:spacing w:before="60" w:after="60" w:line="240" w:lineRule="auto"/>
              <w:ind w:left="316" w:hanging="283"/>
              <w:textAlignment w:val="auto"/>
              <w:rPr>
                <w:rFonts w:cs="EUAlbertina"/>
                <w:color w:val="19161B"/>
                <w:lang w:val="it-IT" w:eastAsia="it-IT"/>
              </w:rPr>
            </w:pPr>
            <w:r w:rsidRPr="00237EFA">
              <w:rPr>
                <w:rFonts w:cs="EUAlbertina"/>
                <w:color w:val="19161B"/>
                <w:lang w:val="it-IT" w:eastAsia="it-IT"/>
              </w:rPr>
              <w:t xml:space="preserve">(b) </w:t>
            </w:r>
            <w:r w:rsidRPr="00237EFA">
              <w:rPr>
                <w:rFonts w:cs="EUAlbertina"/>
                <w:color w:val="19161B"/>
                <w:lang w:val="it-IT" w:eastAsia="it-IT"/>
              </w:rPr>
              <w:tab/>
            </w:r>
            <w:r w:rsidRPr="00237EFA">
              <w:rPr>
                <w:rFonts w:cs="EUAlbertina"/>
                <w:bCs/>
                <w:color w:val="19161B"/>
                <w:lang w:val="it-IT" w:eastAsia="it-IT"/>
              </w:rPr>
              <w:t xml:space="preserve">un elenco delle partecipazioni rilevanti in controllate, </w:t>
            </w:r>
            <w:r w:rsidRPr="00237EFA">
              <w:rPr>
                <w:rFonts w:cs="EUAlbertina"/>
                <w:bCs/>
                <w:i/>
                <w:color w:val="19161B"/>
                <w:lang w:val="it-IT" w:eastAsia="it-IT"/>
              </w:rPr>
              <w:t>joint venture</w:t>
            </w:r>
            <w:r w:rsidRPr="00237EFA">
              <w:rPr>
                <w:rFonts w:cs="EUAlbertina"/>
                <w:bCs/>
                <w:color w:val="19161B"/>
                <w:lang w:val="it-IT" w:eastAsia="it-IT"/>
              </w:rPr>
              <w:t xml:space="preserve"> e società collegate, comprendente: </w:t>
            </w:r>
          </w:p>
        </w:tc>
        <w:tc>
          <w:tcPr>
            <w:tcW w:w="575" w:type="dxa"/>
            <w:tcMar>
              <w:left w:w="85" w:type="dxa"/>
              <w:right w:w="85" w:type="dxa"/>
            </w:tcMar>
            <w:vAlign w:val="center"/>
          </w:tcPr>
          <w:p w:rsidR="00D26424" w:rsidRPr="004F5A62"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5D1C48"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5D1C48"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pStyle w:val="Numeroelenco"/>
              <w:numPr>
                <w:ilvl w:val="0"/>
                <w:numId w:val="0"/>
              </w:numPr>
              <w:ind w:left="57"/>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4300E2">
            <w:pPr>
              <w:pStyle w:val="Puntoelenco"/>
              <w:numPr>
                <w:ilvl w:val="0"/>
                <w:numId w:val="0"/>
              </w:numPr>
              <w:spacing w:after="80"/>
              <w:ind w:left="602" w:hanging="284"/>
              <w:contextualSpacing w:val="0"/>
              <w:rPr>
                <w:rFonts w:cs="EUAlbertina"/>
                <w:bCs/>
                <w:color w:val="19161B"/>
                <w:lang w:eastAsia="it-IT"/>
              </w:rPr>
            </w:pPr>
            <w:r w:rsidRPr="00237EFA">
              <w:rPr>
                <w:rFonts w:cs="EUAlbertina"/>
                <w:color w:val="19161B"/>
                <w:lang w:eastAsia="it-IT"/>
              </w:rPr>
              <w:t xml:space="preserve">(i) </w:t>
            </w:r>
            <w:r w:rsidRPr="00237EFA">
              <w:rPr>
                <w:rFonts w:cs="EUAlbertina"/>
                <w:color w:val="19161B"/>
                <w:lang w:eastAsia="it-IT"/>
              </w:rPr>
              <w:tab/>
            </w:r>
            <w:r w:rsidRPr="00237EFA">
              <w:rPr>
                <w:rFonts w:cs="EUAlbertina"/>
                <w:bCs/>
                <w:color w:val="19161B"/>
                <w:lang w:eastAsia="it-IT"/>
              </w:rPr>
              <w:t>la ragione sociale di tali partecipate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pStyle w:val="Numeroelenco"/>
              <w:numPr>
                <w:ilvl w:val="0"/>
                <w:numId w:val="0"/>
              </w:numPr>
              <w:ind w:left="57"/>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4300E2">
            <w:pPr>
              <w:pStyle w:val="Puntoelenco"/>
              <w:numPr>
                <w:ilvl w:val="0"/>
                <w:numId w:val="0"/>
              </w:numPr>
              <w:spacing w:after="80"/>
              <w:ind w:left="602" w:hanging="284"/>
              <w:contextualSpacing w:val="0"/>
              <w:rPr>
                <w:rFonts w:cs="EUAlbertina"/>
                <w:bCs/>
                <w:color w:val="19161B"/>
                <w:lang w:eastAsia="it-IT"/>
              </w:rPr>
            </w:pPr>
            <w:r w:rsidRPr="00237EFA">
              <w:rPr>
                <w:rFonts w:cs="EUAlbertina"/>
                <w:color w:val="19161B"/>
                <w:lang w:eastAsia="it-IT"/>
              </w:rPr>
              <w:t xml:space="preserve">(ii) </w:t>
            </w:r>
            <w:r w:rsidRPr="00237EFA">
              <w:rPr>
                <w:rFonts w:cs="EUAlbertina"/>
                <w:color w:val="19161B"/>
                <w:lang w:eastAsia="it-IT"/>
              </w:rPr>
              <w:tab/>
            </w:r>
            <w:r w:rsidRPr="00237EFA">
              <w:rPr>
                <w:rFonts w:cs="EUAlbertina"/>
                <w:bCs/>
                <w:color w:val="19161B"/>
                <w:lang w:eastAsia="it-IT"/>
              </w:rPr>
              <w:t xml:space="preserve">il luogo principale di conduzione degli affari (e il paese in cui sono state costituite, se diverso) di tali partecipate;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pStyle w:val="Numeroelenco"/>
              <w:numPr>
                <w:ilvl w:val="0"/>
                <w:numId w:val="0"/>
              </w:numPr>
              <w:ind w:left="57"/>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4300E2">
            <w:pPr>
              <w:pStyle w:val="Puntoelenco"/>
              <w:numPr>
                <w:ilvl w:val="0"/>
                <w:numId w:val="0"/>
              </w:numPr>
              <w:ind w:left="600" w:hanging="284"/>
              <w:rPr>
                <w:rFonts w:cs="EUAlbertina"/>
                <w:bCs/>
                <w:color w:val="19161B"/>
                <w:lang w:eastAsia="it-IT"/>
              </w:rPr>
            </w:pPr>
            <w:r w:rsidRPr="00237EFA">
              <w:rPr>
                <w:rFonts w:cs="EUAlbertina"/>
                <w:color w:val="19161B"/>
                <w:lang w:eastAsia="it-IT"/>
              </w:rPr>
              <w:t xml:space="preserve">(iii) </w:t>
            </w:r>
            <w:r w:rsidRPr="00237EFA">
              <w:rPr>
                <w:rFonts w:cs="EUAlbertina"/>
                <w:bCs/>
                <w:color w:val="19161B"/>
                <w:lang w:eastAsia="it-IT"/>
              </w:rPr>
              <w:t xml:space="preserve">la propria quota di partecipazione (e la quota parte dei diritti di voto, se diversa) detenuta in tali partecipate;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pStyle w:val="Numeroelenco"/>
              <w:numPr>
                <w:ilvl w:val="0"/>
                <w:numId w:val="0"/>
              </w:numPr>
              <w:ind w:left="57"/>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4300E2">
            <w:pPr>
              <w:overflowPunct/>
              <w:spacing w:before="60" w:after="60" w:line="240" w:lineRule="auto"/>
              <w:ind w:left="316" w:hanging="283"/>
              <w:jc w:val="left"/>
              <w:textAlignment w:val="auto"/>
              <w:rPr>
                <w:rFonts w:cs="EUAlbertina"/>
                <w:bCs/>
                <w:color w:val="19161B"/>
                <w:lang w:val="it-IT" w:eastAsia="it-IT"/>
              </w:rPr>
            </w:pPr>
            <w:r w:rsidRPr="00237EFA">
              <w:rPr>
                <w:rFonts w:cs="EUAlbertina"/>
                <w:color w:val="19161B"/>
                <w:lang w:val="it-IT" w:eastAsia="it-IT"/>
              </w:rPr>
              <w:t xml:space="preserve">(c) </w:t>
            </w:r>
            <w:r>
              <w:rPr>
                <w:rFonts w:cs="EUAlbertina"/>
                <w:color w:val="19161B"/>
                <w:lang w:val="it-IT" w:eastAsia="it-IT"/>
              </w:rPr>
              <w:tab/>
            </w:r>
            <w:r w:rsidRPr="005D1C48">
              <w:rPr>
                <w:rFonts w:cs="EUAlbertina"/>
                <w:color w:val="19161B"/>
                <w:lang w:val="it-IT" w:eastAsia="it-IT"/>
              </w:rPr>
              <w:t>una descrizione del criterio adottato per contabilizzare le partecipazioni di cui al punto (b).</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Pr>
                <w:sz w:val="12"/>
                <w:szCs w:val="12"/>
                <w:lang w:val="it-IT"/>
              </w:rPr>
              <w:t>IAS 27</w:t>
            </w:r>
            <w:r w:rsidRPr="00237EFA">
              <w:rPr>
                <w:sz w:val="12"/>
                <w:szCs w:val="12"/>
                <w:lang w:val="it-IT"/>
              </w:rPr>
              <w:t>.17</w:t>
            </w:r>
          </w:p>
        </w:tc>
        <w:tc>
          <w:tcPr>
            <w:tcW w:w="7079" w:type="dxa"/>
            <w:tcMar>
              <w:left w:w="108" w:type="dxa"/>
            </w:tcMar>
          </w:tcPr>
          <w:p w:rsidR="004300E2" w:rsidRPr="004F5A62" w:rsidRDefault="004300E2" w:rsidP="000B7FB1">
            <w:pPr>
              <w:overflowPunct/>
              <w:spacing w:before="60" w:after="60" w:line="240" w:lineRule="auto"/>
              <w:textAlignment w:val="auto"/>
              <w:rPr>
                <w:rFonts w:cs="EUAlbertina"/>
                <w:color w:val="19161B"/>
                <w:lang w:val="it-IT" w:eastAsia="it-IT"/>
              </w:rPr>
            </w:pPr>
            <w:r w:rsidRPr="00237EFA">
              <w:rPr>
                <w:rFonts w:cs="EUAlbertina"/>
                <w:bCs/>
                <w:color w:val="19161B"/>
                <w:lang w:val="it-IT" w:eastAsia="it-IT"/>
              </w:rPr>
              <w:t>Se una controllante (diversa dalla controllante cons</w:t>
            </w:r>
            <w:r>
              <w:rPr>
                <w:rFonts w:cs="EUAlbertina"/>
                <w:bCs/>
                <w:color w:val="19161B"/>
                <w:lang w:val="it-IT" w:eastAsia="it-IT"/>
              </w:rPr>
              <w:t>iderata nel precedente punto 17</w:t>
            </w:r>
            <w:r w:rsidR="00D20202">
              <w:rPr>
                <w:rFonts w:cs="EUAlbertina"/>
                <w:bCs/>
                <w:color w:val="19161B"/>
                <w:lang w:val="it-IT" w:eastAsia="it-IT"/>
              </w:rPr>
              <w:t>7</w:t>
            </w:r>
            <w:r w:rsidRPr="00237EFA">
              <w:rPr>
                <w:rFonts w:cs="EUAlbertina"/>
                <w:bCs/>
                <w:color w:val="19161B"/>
                <w:lang w:val="it-IT" w:eastAsia="it-IT"/>
              </w:rPr>
              <w:t xml:space="preserve">) o un investitore con controllo congiunto ovvero con un’influenza notevole in una partecipata prepara il bilancio separato, la controllante o l’investitore deve indicare il bilancio preparato in conformità all’IFRS 10, IFRS 11 o IAS 28 cui fa riferimento. La controllante o l’investitore devono inoltre indicare nel proprio bilancio separato: </w:t>
            </w:r>
            <w:r w:rsidRPr="00237EFA">
              <w:rPr>
                <w:rFonts w:cs="EUAlbertina"/>
                <w:color w:val="19161B"/>
                <w:lang w:val="it-IT" w:eastAsia="it-IT"/>
              </w:rPr>
              <w:t xml:space="preserve"> </w:t>
            </w:r>
          </w:p>
        </w:tc>
        <w:tc>
          <w:tcPr>
            <w:tcW w:w="575" w:type="dxa"/>
            <w:tcMar>
              <w:left w:w="85" w:type="dxa"/>
              <w:right w:w="85" w:type="dxa"/>
            </w:tcMar>
            <w:vAlign w:val="center"/>
          </w:tcPr>
          <w:p w:rsidR="004300E2" w:rsidRPr="00F07A07" w:rsidRDefault="004300E2" w:rsidP="004300E2">
            <w:pPr>
              <w:jc w:val="center"/>
              <w:rPr>
                <w:lang w:val="it-IT"/>
              </w:rPr>
            </w:pPr>
          </w:p>
        </w:tc>
        <w:tc>
          <w:tcPr>
            <w:tcW w:w="567" w:type="dxa"/>
            <w:tcMar>
              <w:left w:w="108" w:type="dxa"/>
            </w:tcMar>
            <w:vAlign w:val="center"/>
          </w:tcPr>
          <w:p w:rsidR="004300E2" w:rsidRPr="00F07A07" w:rsidRDefault="004300E2" w:rsidP="004300E2">
            <w:pPr>
              <w:jc w:val="center"/>
              <w:rPr>
                <w:lang w:val="it-IT"/>
              </w:rPr>
            </w:pPr>
          </w:p>
        </w:tc>
        <w:tc>
          <w:tcPr>
            <w:tcW w:w="567" w:type="dxa"/>
            <w:tcMar>
              <w:left w:w="108" w:type="dxa"/>
            </w:tcMar>
            <w:vAlign w:val="center"/>
          </w:tcPr>
          <w:p w:rsidR="004300E2" w:rsidRPr="00F07A07" w:rsidRDefault="004300E2" w:rsidP="004300E2">
            <w:pPr>
              <w:jc w:val="center"/>
              <w:rPr>
                <w:lang w:val="it-IT"/>
              </w:rPr>
            </w:pPr>
          </w:p>
        </w:tc>
      </w:tr>
      <w:tr w:rsidR="00D26424" w:rsidRPr="008129DA" w:rsidTr="00940A6F">
        <w:trPr>
          <w:cantSplit/>
        </w:trPr>
        <w:tc>
          <w:tcPr>
            <w:tcW w:w="567" w:type="dxa"/>
            <w:tcMar>
              <w:left w:w="108" w:type="dxa"/>
            </w:tcMar>
          </w:tcPr>
          <w:p w:rsidR="00D26424" w:rsidRPr="008A0F36" w:rsidRDefault="00D26424" w:rsidP="004300E2">
            <w:pPr>
              <w:pStyle w:val="Numeroelenco"/>
              <w:numPr>
                <w:ilvl w:val="0"/>
                <w:numId w:val="0"/>
              </w:numPr>
              <w:ind w:left="57"/>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4300E2">
            <w:pPr>
              <w:overflowPunct/>
              <w:spacing w:before="60" w:after="60" w:line="240" w:lineRule="auto"/>
              <w:ind w:left="316" w:hanging="283"/>
              <w:textAlignment w:val="auto"/>
              <w:rPr>
                <w:rFonts w:cs="EUAlbertina"/>
                <w:bCs/>
                <w:color w:val="19161B"/>
                <w:lang w:val="it-IT" w:eastAsia="it-IT"/>
              </w:rPr>
            </w:pPr>
            <w:r w:rsidRPr="00237EFA">
              <w:rPr>
                <w:rFonts w:cs="EUAlbertina"/>
                <w:color w:val="19161B"/>
                <w:lang w:val="it-IT" w:eastAsia="it-IT"/>
              </w:rPr>
              <w:t xml:space="preserve">(a) </w:t>
            </w:r>
            <w:r w:rsidRPr="00237EFA">
              <w:rPr>
                <w:rFonts w:cs="EUAlbertina"/>
                <w:color w:val="19161B"/>
                <w:lang w:val="it-IT" w:eastAsia="it-IT"/>
              </w:rPr>
              <w:tab/>
            </w:r>
            <w:r w:rsidRPr="00237EFA">
              <w:rPr>
                <w:rFonts w:cs="EUAlbertina"/>
                <w:bCs/>
                <w:color w:val="19161B"/>
                <w:lang w:val="it-IT" w:eastAsia="it-IT"/>
              </w:rPr>
              <w:t xml:space="preserve">il fatto che il bilancio sia un bilancio separato, specificando i motivi per la sua redazione se non richiesta dalla legge; </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D26424">
        <w:trPr>
          <w:cantSplit/>
        </w:trPr>
        <w:tc>
          <w:tcPr>
            <w:tcW w:w="567" w:type="dxa"/>
            <w:tcMar>
              <w:left w:w="108" w:type="dxa"/>
            </w:tcMar>
          </w:tcPr>
          <w:p w:rsidR="00D26424" w:rsidRPr="008A0F36" w:rsidRDefault="00D26424" w:rsidP="004300E2">
            <w:pPr>
              <w:pStyle w:val="Numeroelenco"/>
              <w:numPr>
                <w:ilvl w:val="0"/>
                <w:numId w:val="0"/>
              </w:numPr>
              <w:ind w:left="57"/>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4F5A62" w:rsidRDefault="00D26424" w:rsidP="004300E2">
            <w:pPr>
              <w:overflowPunct/>
              <w:spacing w:before="60" w:after="60" w:line="240" w:lineRule="auto"/>
              <w:ind w:left="316" w:hanging="283"/>
              <w:textAlignment w:val="auto"/>
              <w:rPr>
                <w:rFonts w:cs="EUAlbertina"/>
                <w:color w:val="19161B"/>
                <w:lang w:val="it-IT" w:eastAsia="it-IT"/>
              </w:rPr>
            </w:pPr>
            <w:r w:rsidRPr="00237EFA">
              <w:rPr>
                <w:rFonts w:cs="EUAlbertina"/>
                <w:color w:val="19161B"/>
                <w:lang w:val="it-IT" w:eastAsia="it-IT"/>
              </w:rPr>
              <w:t xml:space="preserve">(b) </w:t>
            </w:r>
            <w:r w:rsidRPr="00237EFA">
              <w:rPr>
                <w:rFonts w:cs="EUAlbertina"/>
                <w:color w:val="19161B"/>
                <w:lang w:val="it-IT" w:eastAsia="it-IT"/>
              </w:rPr>
              <w:tab/>
            </w:r>
            <w:r w:rsidRPr="004F5A62">
              <w:rPr>
                <w:rFonts w:cs="EUAlbertina"/>
                <w:color w:val="19161B"/>
                <w:lang w:val="it-IT" w:eastAsia="it-IT"/>
              </w:rPr>
              <w:t xml:space="preserve">un elenco delle partecipazioni rilevanti in controllate, </w:t>
            </w:r>
            <w:r w:rsidRPr="000F56BA">
              <w:rPr>
                <w:rFonts w:cs="EUAlbertina"/>
                <w:i/>
                <w:color w:val="19161B"/>
                <w:lang w:val="it-IT" w:eastAsia="it-IT"/>
              </w:rPr>
              <w:t>joint venture</w:t>
            </w:r>
            <w:r w:rsidRPr="004F5A62">
              <w:rPr>
                <w:rFonts w:cs="EUAlbertina"/>
                <w:color w:val="19161B"/>
                <w:lang w:val="it-IT" w:eastAsia="it-IT"/>
              </w:rPr>
              <w:t xml:space="preserve"> e società collegate, comprendente:</w:t>
            </w:r>
          </w:p>
        </w:tc>
        <w:tc>
          <w:tcPr>
            <w:tcW w:w="575" w:type="dxa"/>
            <w:tcMar>
              <w:left w:w="85" w:type="dxa"/>
              <w:right w:w="85" w:type="dxa"/>
            </w:tcMar>
            <w:vAlign w:val="center"/>
          </w:tcPr>
          <w:p w:rsidR="00D26424" w:rsidRPr="004F5A62"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4F5A62"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4F5A62"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pStyle w:val="Numeroelenco"/>
              <w:numPr>
                <w:ilvl w:val="0"/>
                <w:numId w:val="0"/>
              </w:numPr>
              <w:ind w:left="57"/>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4F5A62" w:rsidRDefault="00D26424" w:rsidP="004300E2">
            <w:pPr>
              <w:overflowPunct/>
              <w:spacing w:before="60" w:after="60" w:line="240" w:lineRule="auto"/>
              <w:ind w:left="600" w:hanging="284"/>
              <w:textAlignment w:val="auto"/>
              <w:rPr>
                <w:rFonts w:cs="EUAlbertina"/>
                <w:color w:val="19161B"/>
                <w:lang w:val="it-IT" w:eastAsia="it-IT"/>
              </w:rPr>
            </w:pPr>
            <w:r w:rsidRPr="00237EFA">
              <w:rPr>
                <w:rFonts w:cs="EUAlbertina"/>
                <w:color w:val="19161B"/>
                <w:lang w:val="it-IT" w:eastAsia="it-IT"/>
              </w:rPr>
              <w:t xml:space="preserve">(i) </w:t>
            </w:r>
            <w:r w:rsidRPr="00237EFA">
              <w:rPr>
                <w:rFonts w:cs="EUAlbertina"/>
                <w:color w:val="19161B"/>
                <w:lang w:val="it-IT" w:eastAsia="it-IT"/>
              </w:rPr>
              <w:tab/>
            </w:r>
            <w:r w:rsidRPr="00237EFA">
              <w:rPr>
                <w:rFonts w:cs="EUAlbertina"/>
                <w:bCs/>
                <w:color w:val="19161B"/>
                <w:lang w:val="it-IT" w:eastAsia="it-IT"/>
              </w:rPr>
              <w:t>la ragione sociale di tali partecipate;</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pStyle w:val="Numeroelenco"/>
              <w:numPr>
                <w:ilvl w:val="0"/>
                <w:numId w:val="0"/>
              </w:numPr>
              <w:ind w:left="57"/>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A23AAF">
            <w:pPr>
              <w:overflowPunct/>
              <w:ind w:left="602" w:hanging="284"/>
              <w:textAlignment w:val="auto"/>
              <w:rPr>
                <w:rFonts w:cs="EUAlbertina"/>
                <w:color w:val="19161B"/>
                <w:lang w:val="it-IT" w:eastAsia="it-IT"/>
              </w:rPr>
            </w:pPr>
            <w:r w:rsidRPr="00237EFA">
              <w:rPr>
                <w:rFonts w:cs="EUAlbertina"/>
                <w:color w:val="19161B"/>
                <w:lang w:val="it-IT" w:eastAsia="it-IT"/>
              </w:rPr>
              <w:t xml:space="preserve">(ii) </w:t>
            </w:r>
            <w:r w:rsidRPr="00237EFA">
              <w:rPr>
                <w:rFonts w:cs="EUAlbertina"/>
                <w:color w:val="19161B"/>
                <w:lang w:val="it-IT" w:eastAsia="it-IT"/>
              </w:rPr>
              <w:tab/>
            </w:r>
            <w:r w:rsidRPr="00237EFA">
              <w:rPr>
                <w:rFonts w:cs="EUAlbertina"/>
                <w:bCs/>
                <w:color w:val="19161B"/>
                <w:lang w:val="it-IT" w:eastAsia="it-IT"/>
              </w:rPr>
              <w:t>il luogo principale di conduzione degli affari (e il paese in cui sono state costituite, se diverso) di tali partecipate;</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pStyle w:val="Numeroelenco"/>
              <w:numPr>
                <w:ilvl w:val="0"/>
                <w:numId w:val="0"/>
              </w:numPr>
              <w:ind w:left="57"/>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A23AAF">
            <w:pPr>
              <w:overflowPunct/>
              <w:ind w:left="602" w:hanging="284"/>
              <w:textAlignment w:val="auto"/>
              <w:rPr>
                <w:rFonts w:cs="EUAlbertina"/>
                <w:color w:val="19161B"/>
                <w:lang w:val="it-IT" w:eastAsia="it-IT"/>
              </w:rPr>
            </w:pPr>
            <w:r w:rsidRPr="00237EFA">
              <w:rPr>
                <w:rFonts w:cs="EUAlbertina"/>
                <w:color w:val="19161B"/>
                <w:lang w:val="it-IT" w:eastAsia="it-IT"/>
              </w:rPr>
              <w:t xml:space="preserve">(iii) </w:t>
            </w:r>
            <w:r w:rsidRPr="00237EFA">
              <w:rPr>
                <w:rFonts w:cs="EUAlbertina"/>
                <w:color w:val="19161B"/>
                <w:lang w:val="it-IT" w:eastAsia="it-IT"/>
              </w:rPr>
              <w:tab/>
            </w:r>
            <w:r w:rsidRPr="00237EFA">
              <w:rPr>
                <w:rFonts w:cs="EUAlbertina"/>
                <w:bCs/>
                <w:color w:val="19161B"/>
                <w:lang w:val="it-IT" w:eastAsia="it-IT"/>
              </w:rPr>
              <w:t xml:space="preserve">la propria quota di partecipazione (e la quota parte dei diritti di voto, se diversa) detenuta in tali partecipate; </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pStyle w:val="Numeroelenco"/>
              <w:numPr>
                <w:ilvl w:val="0"/>
                <w:numId w:val="0"/>
              </w:numPr>
              <w:ind w:left="57"/>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4300E2">
            <w:pPr>
              <w:overflowPunct/>
              <w:spacing w:before="60" w:after="60" w:line="240" w:lineRule="auto"/>
              <w:ind w:left="316" w:hanging="283"/>
              <w:textAlignment w:val="auto"/>
              <w:rPr>
                <w:rFonts w:cs="EUAlbertina"/>
                <w:color w:val="19161B"/>
                <w:lang w:val="it-IT" w:eastAsia="it-IT"/>
              </w:rPr>
            </w:pPr>
            <w:r w:rsidRPr="00237EFA">
              <w:rPr>
                <w:rFonts w:cs="EUAlbertina"/>
                <w:color w:val="19161B"/>
                <w:lang w:val="it-IT" w:eastAsia="it-IT"/>
              </w:rPr>
              <w:t xml:space="preserve">(c) </w:t>
            </w:r>
            <w:r>
              <w:rPr>
                <w:rFonts w:cs="EUAlbertina"/>
                <w:color w:val="19161B"/>
                <w:lang w:val="it-IT" w:eastAsia="it-IT"/>
              </w:rPr>
              <w:t xml:space="preserve"> </w:t>
            </w:r>
            <w:r w:rsidRPr="004F5A62">
              <w:rPr>
                <w:rFonts w:cs="EUAlbertina"/>
                <w:color w:val="19161B"/>
                <w:lang w:val="it-IT" w:eastAsia="it-IT"/>
              </w:rPr>
              <w:t>una descrizione del criterio adottato per contabilizzare le partecipazioni di cui al punto (b).</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pStyle w:val="Numeroelenco"/>
              <w:numPr>
                <w:ilvl w:val="0"/>
                <w:numId w:val="0"/>
              </w:numPr>
              <w:ind w:left="57"/>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237EFA" w:rsidRDefault="00D26424" w:rsidP="000B7FB1">
            <w:pPr>
              <w:overflowPunct/>
              <w:spacing w:before="60" w:after="60" w:line="240" w:lineRule="auto"/>
              <w:textAlignment w:val="auto"/>
              <w:rPr>
                <w:rFonts w:cs="EUAlbertina"/>
                <w:bCs/>
                <w:color w:val="19161B"/>
                <w:lang w:val="it-IT" w:eastAsia="it-IT"/>
              </w:rPr>
            </w:pPr>
            <w:r w:rsidRPr="00237EFA">
              <w:rPr>
                <w:rFonts w:cs="EUAlbertina"/>
                <w:bCs/>
                <w:color w:val="19161B"/>
                <w:lang w:val="it-IT" w:eastAsia="it-IT"/>
              </w:rPr>
              <w:t>La controllante o l’investitore deve inoltre indicare il bilancio preparato in conformità all’IFRS 10, IFRS 11 o IAS 28 cui fa riferimento.</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Numeroelenco"/>
              <w:numPr>
                <w:ilvl w:val="0"/>
                <w:numId w:val="0"/>
              </w:numPr>
              <w:ind w:left="57"/>
              <w:rPr>
                <w:lang w:val="it-IT"/>
              </w:rPr>
            </w:pPr>
          </w:p>
        </w:tc>
        <w:tc>
          <w:tcPr>
            <w:tcW w:w="851" w:type="dxa"/>
            <w:tcMar>
              <w:left w:w="108" w:type="dxa"/>
              <w:right w:w="0" w:type="dxa"/>
            </w:tcMar>
          </w:tcPr>
          <w:p w:rsidR="004300E2" w:rsidRPr="008A0F36" w:rsidRDefault="004300E2" w:rsidP="004300E2">
            <w:pPr>
              <w:pStyle w:val="IAS"/>
              <w:rPr>
                <w:lang w:val="it-IT"/>
              </w:rPr>
            </w:pPr>
            <w:r>
              <w:rPr>
                <w:sz w:val="12"/>
                <w:szCs w:val="12"/>
                <w:lang w:val="it-IT"/>
              </w:rPr>
              <w:t>IAS 27.17</w:t>
            </w:r>
          </w:p>
        </w:tc>
        <w:tc>
          <w:tcPr>
            <w:tcW w:w="7079" w:type="dxa"/>
            <w:tcMar>
              <w:left w:w="108" w:type="dxa"/>
            </w:tcMar>
          </w:tcPr>
          <w:p w:rsidR="004300E2" w:rsidRDefault="004300E2" w:rsidP="00634317">
            <w:pPr>
              <w:pStyle w:val="Paragarfobordato"/>
              <w:rPr>
                <w:rStyle w:val="Enfasicorsivo"/>
                <w:i w:val="0"/>
              </w:rPr>
            </w:pPr>
            <w:r>
              <w:rPr>
                <w:rStyle w:val="Enfasicorsivo"/>
                <w:i w:val="0"/>
              </w:rPr>
              <w:t>I</w:t>
            </w:r>
            <w:r w:rsidRPr="0031646F">
              <w:rPr>
                <w:rStyle w:val="Enfasicorsivo"/>
                <w:i w:val="0"/>
              </w:rPr>
              <w:t xml:space="preserve">l punto precedente non è applicabile alle controllanti che si qualificano come entità di investimento </w:t>
            </w:r>
            <w:r>
              <w:rPr>
                <w:rStyle w:val="Enfasicorsivo"/>
                <w:i w:val="0"/>
              </w:rPr>
              <w:t>(vedi punti 19</w:t>
            </w:r>
            <w:r w:rsidR="00D20202">
              <w:rPr>
                <w:rStyle w:val="Enfasicorsivo"/>
                <w:i w:val="0"/>
              </w:rPr>
              <w:t>0</w:t>
            </w:r>
            <w:r>
              <w:rPr>
                <w:rStyle w:val="Enfasicorsivo"/>
                <w:i w:val="0"/>
              </w:rPr>
              <w:t>-19</w:t>
            </w:r>
            <w:r w:rsidR="00D20202">
              <w:rPr>
                <w:rStyle w:val="Enfasicorsivo"/>
                <w:i w:val="0"/>
              </w:rPr>
              <w:t>1</w:t>
            </w:r>
            <w:r>
              <w:rPr>
                <w:rStyle w:val="Enfasicorsivo"/>
                <w:i w:val="0"/>
              </w:rPr>
              <w:t xml:space="preserve">) </w:t>
            </w:r>
            <w:r w:rsidRPr="0031646F">
              <w:rPr>
                <w:rStyle w:val="Enfasicorsivo"/>
                <w:i w:val="0"/>
              </w:rPr>
              <w:t>e che redigono il bilancio separato come proprio unico bilancio.</w:t>
            </w:r>
          </w:p>
        </w:tc>
        <w:tc>
          <w:tcPr>
            <w:tcW w:w="575" w:type="dxa"/>
            <w:tcMar>
              <w:left w:w="85" w:type="dxa"/>
              <w:right w:w="85" w:type="dxa"/>
            </w:tcMar>
            <w:vAlign w:val="center"/>
          </w:tcPr>
          <w:p w:rsidR="004300E2" w:rsidRPr="00F07A07" w:rsidRDefault="004300E2" w:rsidP="004300E2">
            <w:pPr>
              <w:jc w:val="center"/>
              <w:rPr>
                <w:lang w:val="it-IT"/>
              </w:rPr>
            </w:pPr>
          </w:p>
        </w:tc>
        <w:tc>
          <w:tcPr>
            <w:tcW w:w="567" w:type="dxa"/>
            <w:tcMar>
              <w:left w:w="108" w:type="dxa"/>
            </w:tcMar>
            <w:vAlign w:val="center"/>
          </w:tcPr>
          <w:p w:rsidR="004300E2" w:rsidRPr="00F07A07" w:rsidRDefault="004300E2" w:rsidP="004300E2">
            <w:pPr>
              <w:jc w:val="center"/>
              <w:rPr>
                <w:lang w:val="it-IT"/>
              </w:rPr>
            </w:pPr>
          </w:p>
        </w:tc>
        <w:tc>
          <w:tcPr>
            <w:tcW w:w="567" w:type="dxa"/>
            <w:tcMar>
              <w:left w:w="108" w:type="dxa"/>
            </w:tcMar>
            <w:vAlign w:val="center"/>
          </w:tcPr>
          <w:p w:rsidR="004300E2" w:rsidRPr="00F07A07" w:rsidRDefault="004300E2" w:rsidP="004300E2">
            <w:pPr>
              <w:jc w:val="center"/>
              <w:rPr>
                <w:lang w:val="it-IT"/>
              </w:rPr>
            </w:pPr>
          </w:p>
        </w:tc>
      </w:tr>
      <w:tr w:rsidR="004300E2" w:rsidRPr="00BF03D1" w:rsidTr="00940A6F">
        <w:trPr>
          <w:cantSplit/>
        </w:trPr>
        <w:tc>
          <w:tcPr>
            <w:tcW w:w="567" w:type="dxa"/>
            <w:tcMar>
              <w:left w:w="108" w:type="dxa"/>
            </w:tcMar>
          </w:tcPr>
          <w:p w:rsidR="004300E2" w:rsidRPr="008A0F36" w:rsidRDefault="004300E2" w:rsidP="00634317">
            <w:pPr>
              <w:pStyle w:val="Numeroelenco"/>
              <w:numPr>
                <w:ilvl w:val="0"/>
                <w:numId w:val="0"/>
              </w:numPr>
              <w:ind w:left="57"/>
              <w:rPr>
                <w:lang w:val="it-IT"/>
              </w:rPr>
            </w:pPr>
          </w:p>
        </w:tc>
        <w:tc>
          <w:tcPr>
            <w:tcW w:w="851" w:type="dxa"/>
            <w:tcMar>
              <w:left w:w="108" w:type="dxa"/>
              <w:right w:w="0" w:type="dxa"/>
            </w:tcMar>
          </w:tcPr>
          <w:p w:rsidR="004300E2" w:rsidRPr="008A0F36" w:rsidRDefault="004300E2" w:rsidP="00634317">
            <w:pPr>
              <w:pStyle w:val="IAS"/>
              <w:rPr>
                <w:lang w:val="it-IT"/>
              </w:rPr>
            </w:pPr>
          </w:p>
        </w:tc>
        <w:tc>
          <w:tcPr>
            <w:tcW w:w="7079" w:type="dxa"/>
            <w:tcMar>
              <w:left w:w="108" w:type="dxa"/>
            </w:tcMar>
          </w:tcPr>
          <w:p w:rsidR="004300E2" w:rsidRDefault="004300E2" w:rsidP="00634317">
            <w:pPr>
              <w:pStyle w:val="Titolo4"/>
              <w:spacing w:before="40" w:after="20"/>
              <w:rPr>
                <w:lang w:val="it-IT"/>
              </w:rPr>
            </w:pPr>
            <w:r w:rsidRPr="00355BA7">
              <w:rPr>
                <w:sz w:val="22"/>
                <w:szCs w:val="22"/>
                <w:lang w:val="it-IT"/>
              </w:rPr>
              <w:t>ENTIT</w:t>
            </w:r>
            <w:r w:rsidR="00C27FBB">
              <w:rPr>
                <w:sz w:val="22"/>
                <w:szCs w:val="22"/>
                <w:lang w:val="it-IT"/>
              </w:rPr>
              <w:t>À</w:t>
            </w:r>
            <w:r w:rsidRPr="00355BA7">
              <w:rPr>
                <w:sz w:val="22"/>
                <w:szCs w:val="22"/>
                <w:lang w:val="it-IT"/>
              </w:rPr>
              <w:t xml:space="preserve"> D’INVESTIMENTO</w:t>
            </w:r>
          </w:p>
        </w:tc>
        <w:tc>
          <w:tcPr>
            <w:tcW w:w="575" w:type="dxa"/>
            <w:tcMar>
              <w:left w:w="85" w:type="dxa"/>
              <w:right w:w="85" w:type="dxa"/>
            </w:tcMar>
            <w:vAlign w:val="center"/>
          </w:tcPr>
          <w:p w:rsidR="004300E2" w:rsidRPr="00F07A07" w:rsidRDefault="004300E2" w:rsidP="00634317">
            <w:pPr>
              <w:jc w:val="center"/>
              <w:rPr>
                <w:lang w:val="it-IT"/>
              </w:rPr>
            </w:pPr>
          </w:p>
        </w:tc>
        <w:tc>
          <w:tcPr>
            <w:tcW w:w="567" w:type="dxa"/>
            <w:tcMar>
              <w:left w:w="108" w:type="dxa"/>
            </w:tcMar>
            <w:vAlign w:val="center"/>
          </w:tcPr>
          <w:p w:rsidR="004300E2" w:rsidRPr="00F07A07" w:rsidRDefault="004300E2" w:rsidP="00634317">
            <w:pPr>
              <w:jc w:val="center"/>
              <w:rPr>
                <w:lang w:val="it-IT"/>
              </w:rPr>
            </w:pPr>
          </w:p>
        </w:tc>
        <w:tc>
          <w:tcPr>
            <w:tcW w:w="567" w:type="dxa"/>
            <w:tcMar>
              <w:left w:w="108" w:type="dxa"/>
            </w:tcMar>
            <w:vAlign w:val="center"/>
          </w:tcPr>
          <w:p w:rsidR="004300E2" w:rsidRPr="00F07A07" w:rsidRDefault="004300E2" w:rsidP="00634317">
            <w:pPr>
              <w:jc w:val="center"/>
              <w:rPr>
                <w:lang w:val="it-IT"/>
              </w:rPr>
            </w:pPr>
          </w:p>
        </w:tc>
      </w:tr>
      <w:tr w:rsidR="004300E2" w:rsidRPr="008361A3" w:rsidTr="00940A6F">
        <w:trPr>
          <w:cantSplit/>
        </w:trPr>
        <w:tc>
          <w:tcPr>
            <w:tcW w:w="567" w:type="dxa"/>
            <w:tcMar>
              <w:left w:w="108" w:type="dxa"/>
            </w:tcMar>
          </w:tcPr>
          <w:p w:rsidR="004300E2" w:rsidRPr="008A0F36" w:rsidRDefault="004300E2" w:rsidP="004300E2">
            <w:pPr>
              <w:rPr>
                <w:lang w:val="it-IT"/>
              </w:rPr>
            </w:pPr>
          </w:p>
        </w:tc>
        <w:tc>
          <w:tcPr>
            <w:tcW w:w="851" w:type="dxa"/>
            <w:tcMar>
              <w:left w:w="108" w:type="dxa"/>
              <w:right w:w="0" w:type="dxa"/>
            </w:tcMar>
          </w:tcPr>
          <w:p w:rsidR="004300E2" w:rsidRDefault="004300E2" w:rsidP="004300E2">
            <w:pPr>
              <w:pStyle w:val="IAS"/>
              <w:spacing w:after="40"/>
              <w:rPr>
                <w:sz w:val="12"/>
                <w:szCs w:val="12"/>
                <w:lang w:val="it-IT"/>
              </w:rPr>
            </w:pPr>
          </w:p>
        </w:tc>
        <w:tc>
          <w:tcPr>
            <w:tcW w:w="7079" w:type="dxa"/>
            <w:tcMar>
              <w:left w:w="108" w:type="dxa"/>
            </w:tcMar>
          </w:tcPr>
          <w:p w:rsidR="004300E2" w:rsidRDefault="004300E2" w:rsidP="004300E2">
            <w:pPr>
              <w:pStyle w:val="Rientro1"/>
              <w:ind w:left="33" w:hanging="33"/>
              <w:jc w:val="left"/>
            </w:pPr>
            <w:r w:rsidRPr="00BF2A6E">
              <w:rPr>
                <w:rStyle w:val="Enfasigrassetto"/>
              </w:rPr>
              <w:t>Stato delle entità d’investimento</w:t>
            </w:r>
          </w:p>
        </w:tc>
        <w:tc>
          <w:tcPr>
            <w:tcW w:w="575" w:type="dxa"/>
            <w:tcMar>
              <w:left w:w="85" w:type="dxa"/>
              <w:right w:w="85"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r>
      <w:tr w:rsidR="00D26424" w:rsidRPr="008129DA" w:rsidTr="00940A6F">
        <w:trPr>
          <w:cantSplit/>
        </w:trPr>
        <w:tc>
          <w:tcPr>
            <w:tcW w:w="567" w:type="dxa"/>
            <w:tcMar>
              <w:left w:w="108" w:type="dxa"/>
            </w:tcMar>
          </w:tcPr>
          <w:p w:rsidR="00D26424" w:rsidRPr="008A0F36" w:rsidRDefault="00D26424" w:rsidP="004300E2">
            <w:pPr>
              <w:pStyle w:val="Numeroelenco"/>
              <w:ind w:left="0" w:firstLine="57"/>
              <w:rPr>
                <w:lang w:val="it-IT"/>
              </w:rPr>
            </w:pPr>
          </w:p>
        </w:tc>
        <w:tc>
          <w:tcPr>
            <w:tcW w:w="851" w:type="dxa"/>
            <w:tcMar>
              <w:left w:w="108" w:type="dxa"/>
              <w:right w:w="0" w:type="dxa"/>
            </w:tcMar>
          </w:tcPr>
          <w:p w:rsidR="00D26424" w:rsidRDefault="00D26424" w:rsidP="004300E2">
            <w:pPr>
              <w:pStyle w:val="IAS"/>
              <w:spacing w:after="40"/>
              <w:rPr>
                <w:sz w:val="12"/>
                <w:szCs w:val="12"/>
                <w:lang w:val="it-IT"/>
              </w:rPr>
            </w:pPr>
            <w:r>
              <w:rPr>
                <w:sz w:val="12"/>
                <w:szCs w:val="12"/>
                <w:lang w:val="it-IT"/>
              </w:rPr>
              <w:t>IFRS 12.9A</w:t>
            </w:r>
          </w:p>
        </w:tc>
        <w:tc>
          <w:tcPr>
            <w:tcW w:w="7079" w:type="dxa"/>
            <w:tcMar>
              <w:left w:w="108" w:type="dxa"/>
            </w:tcMar>
          </w:tcPr>
          <w:p w:rsidR="00D26424" w:rsidRPr="002E546B" w:rsidRDefault="00D26424" w:rsidP="004300E2">
            <w:pPr>
              <w:rPr>
                <w:rStyle w:val="Enfasicorsivo"/>
                <w:i w:val="0"/>
                <w:lang w:val="it-IT"/>
              </w:rPr>
            </w:pPr>
            <w:r w:rsidRPr="002E546B">
              <w:rPr>
                <w:rStyle w:val="Enfasicorsivo"/>
                <w:i w:val="0"/>
                <w:lang w:val="it-IT"/>
              </w:rPr>
              <w:t xml:space="preserve">Quando una controllante stabilisce che è una entità d’investimento in conformità al paragrafo 27 dell’IFRS 10, essa deve fornire un'informativa in merito alle valutazioni e alle ipotesi significative adottate nel determinare che è una entità d’investimento.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pStyle w:val="Numeroelenco"/>
              <w:ind w:left="0" w:firstLine="57"/>
              <w:rPr>
                <w:lang w:val="it-IT"/>
              </w:rPr>
            </w:pPr>
          </w:p>
        </w:tc>
        <w:tc>
          <w:tcPr>
            <w:tcW w:w="851" w:type="dxa"/>
            <w:tcMar>
              <w:left w:w="108" w:type="dxa"/>
              <w:right w:w="0" w:type="dxa"/>
            </w:tcMar>
          </w:tcPr>
          <w:p w:rsidR="00D26424" w:rsidRDefault="00D26424" w:rsidP="004300E2">
            <w:pPr>
              <w:pStyle w:val="IAS"/>
              <w:spacing w:after="40"/>
              <w:rPr>
                <w:sz w:val="12"/>
                <w:szCs w:val="12"/>
                <w:lang w:val="it-IT"/>
              </w:rPr>
            </w:pPr>
            <w:r>
              <w:rPr>
                <w:sz w:val="12"/>
                <w:szCs w:val="12"/>
                <w:lang w:val="it-IT"/>
              </w:rPr>
              <w:t>IFRS 12.9A</w:t>
            </w:r>
          </w:p>
        </w:tc>
        <w:tc>
          <w:tcPr>
            <w:tcW w:w="7079" w:type="dxa"/>
            <w:tcMar>
              <w:left w:w="108" w:type="dxa"/>
            </w:tcMar>
          </w:tcPr>
          <w:p w:rsidR="00D26424" w:rsidRPr="002E546B" w:rsidRDefault="00D26424" w:rsidP="004300E2">
            <w:pPr>
              <w:rPr>
                <w:rStyle w:val="Enfasicorsivo"/>
                <w:i w:val="0"/>
                <w:lang w:val="it-IT"/>
              </w:rPr>
            </w:pPr>
            <w:r w:rsidRPr="00355BA7">
              <w:rPr>
                <w:rStyle w:val="Enfasicorsivo"/>
                <w:i w:val="0"/>
                <w:lang w:val="it-IT"/>
              </w:rPr>
              <w:t>Se l’entità d’investimento non possiede una o più delle caratteristiche tipiche di una entità d’investimento (vedere il paragrafo 28 dell’IFRS 10), deve indicare i motivi per cui è giunta alla conclusione di essere comunque una entità d’investimento.</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pStyle w:val="Numeroelenco"/>
              <w:ind w:left="0" w:firstLine="57"/>
              <w:rPr>
                <w:lang w:val="it-IT"/>
              </w:rPr>
            </w:pPr>
          </w:p>
        </w:tc>
        <w:tc>
          <w:tcPr>
            <w:tcW w:w="851" w:type="dxa"/>
            <w:tcMar>
              <w:left w:w="108" w:type="dxa"/>
              <w:right w:w="0" w:type="dxa"/>
            </w:tcMar>
          </w:tcPr>
          <w:p w:rsidR="00D26424" w:rsidRDefault="00D26424" w:rsidP="004300E2">
            <w:pPr>
              <w:pStyle w:val="IAS"/>
              <w:spacing w:after="40"/>
              <w:rPr>
                <w:sz w:val="12"/>
                <w:szCs w:val="12"/>
                <w:lang w:val="it-IT"/>
              </w:rPr>
            </w:pPr>
            <w:r>
              <w:rPr>
                <w:sz w:val="12"/>
                <w:szCs w:val="12"/>
                <w:lang w:val="it-IT"/>
              </w:rPr>
              <w:t>IFRS 12.9B</w:t>
            </w:r>
          </w:p>
        </w:tc>
        <w:tc>
          <w:tcPr>
            <w:tcW w:w="7079" w:type="dxa"/>
            <w:tcMar>
              <w:left w:w="108" w:type="dxa"/>
            </w:tcMar>
          </w:tcPr>
          <w:p w:rsidR="00D26424" w:rsidRPr="002E546B" w:rsidRDefault="00D26424" w:rsidP="004300E2">
            <w:pPr>
              <w:rPr>
                <w:rStyle w:val="Enfasicorsivo"/>
                <w:i w:val="0"/>
                <w:lang w:val="it-IT"/>
              </w:rPr>
            </w:pPr>
            <w:r w:rsidRPr="00355BA7">
              <w:rPr>
                <w:rStyle w:val="Enfasicorsivo"/>
                <w:i w:val="0"/>
                <w:lang w:val="it-IT"/>
              </w:rPr>
              <w:t>Quando un’entità diventa un’entità d’investimento, o cessa di esserlo, deve indicare tale cambio di stato e le motivazioni del cambiamento.</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Default="004300E2" w:rsidP="004300E2">
            <w:pPr>
              <w:pStyle w:val="IAS"/>
              <w:spacing w:after="40"/>
              <w:rPr>
                <w:sz w:val="12"/>
                <w:szCs w:val="12"/>
                <w:lang w:val="it-IT"/>
              </w:rPr>
            </w:pPr>
            <w:r>
              <w:rPr>
                <w:sz w:val="12"/>
                <w:szCs w:val="12"/>
                <w:lang w:val="it-IT"/>
              </w:rPr>
              <w:t>IFRS 12.9B</w:t>
            </w:r>
          </w:p>
        </w:tc>
        <w:tc>
          <w:tcPr>
            <w:tcW w:w="7079" w:type="dxa"/>
            <w:tcMar>
              <w:left w:w="108" w:type="dxa"/>
            </w:tcMar>
          </w:tcPr>
          <w:p w:rsidR="004300E2" w:rsidRPr="002E546B" w:rsidRDefault="004300E2" w:rsidP="004300E2">
            <w:pPr>
              <w:rPr>
                <w:rStyle w:val="Enfasicorsivo"/>
                <w:i w:val="0"/>
                <w:lang w:val="it-IT"/>
              </w:rPr>
            </w:pPr>
            <w:r w:rsidRPr="00355BA7">
              <w:rPr>
                <w:rStyle w:val="Enfasicorsivo"/>
                <w:i w:val="0"/>
                <w:lang w:val="it-IT"/>
              </w:rPr>
              <w:t>Inoltre, un’entità che diventa un’entità d’investimento deve indicare l’effetto del cambio di stato sul bilancio per l'esercizio presentato, inclusi:</w:t>
            </w:r>
          </w:p>
        </w:tc>
        <w:tc>
          <w:tcPr>
            <w:tcW w:w="575" w:type="dxa"/>
            <w:tcMar>
              <w:left w:w="85" w:type="dxa"/>
              <w:right w:w="85" w:type="dxa"/>
            </w:tcMar>
            <w:vAlign w:val="center"/>
          </w:tcPr>
          <w:p w:rsidR="004300E2" w:rsidRPr="00090BE7" w:rsidDel="004F6336" w:rsidRDefault="004300E2" w:rsidP="004300E2">
            <w:pPr>
              <w:spacing w:before="40" w:after="40"/>
              <w:jc w:val="center"/>
              <w:rPr>
                <w:lang w:val="it-IT"/>
              </w:rPr>
            </w:pPr>
          </w:p>
        </w:tc>
        <w:tc>
          <w:tcPr>
            <w:tcW w:w="567" w:type="dxa"/>
            <w:tcMar>
              <w:left w:w="108" w:type="dxa"/>
            </w:tcMar>
            <w:vAlign w:val="center"/>
          </w:tcPr>
          <w:p w:rsidR="004300E2" w:rsidRPr="00090BE7" w:rsidDel="004F6336" w:rsidRDefault="004300E2" w:rsidP="004300E2">
            <w:pPr>
              <w:spacing w:before="40" w:after="40"/>
              <w:jc w:val="center"/>
              <w:rPr>
                <w:lang w:val="it-IT"/>
              </w:rPr>
            </w:pPr>
          </w:p>
        </w:tc>
        <w:tc>
          <w:tcPr>
            <w:tcW w:w="567" w:type="dxa"/>
            <w:tcMar>
              <w:left w:w="108" w:type="dxa"/>
            </w:tcMar>
            <w:vAlign w:val="center"/>
          </w:tcPr>
          <w:p w:rsidR="004300E2" w:rsidRPr="00090BE7" w:rsidDel="004F6336" w:rsidRDefault="004300E2" w:rsidP="004300E2">
            <w:pPr>
              <w:spacing w:before="40" w:after="40"/>
              <w:jc w:val="center"/>
              <w:rPr>
                <w:lang w:val="it-IT"/>
              </w:rPr>
            </w:pP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Default="00D26424" w:rsidP="004300E2">
            <w:pPr>
              <w:ind w:left="316" w:hanging="316"/>
              <w:rPr>
                <w:rStyle w:val="Enfasicorsivo"/>
                <w:i w:val="0"/>
                <w:lang w:val="it-IT"/>
              </w:rPr>
            </w:pPr>
            <w:r w:rsidRPr="00355BA7">
              <w:rPr>
                <w:rStyle w:val="Enfasicorsivo"/>
                <w:i w:val="0"/>
                <w:lang w:val="it-IT"/>
              </w:rPr>
              <w:t xml:space="preserve">(a) </w:t>
            </w:r>
            <w:r>
              <w:rPr>
                <w:rStyle w:val="Enfasicorsivo"/>
                <w:i w:val="0"/>
                <w:lang w:val="it-IT"/>
              </w:rPr>
              <w:tab/>
            </w:r>
            <w:r w:rsidRPr="00355BA7">
              <w:rPr>
                <w:rStyle w:val="Enfasicorsivo"/>
                <w:i w:val="0"/>
                <w:lang w:val="it-IT"/>
              </w:rPr>
              <w:t xml:space="preserve">il fair value complessivo, alla data del cambio di stato, delle controllate che cessano di essere consolidate;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Default="00D26424" w:rsidP="004300E2">
            <w:pPr>
              <w:ind w:left="316" w:hanging="316"/>
              <w:rPr>
                <w:rStyle w:val="Enfasicorsivo"/>
                <w:i w:val="0"/>
                <w:lang w:val="it-IT"/>
              </w:rPr>
            </w:pPr>
            <w:r w:rsidRPr="00355BA7">
              <w:rPr>
                <w:rStyle w:val="Enfasicorsivo"/>
                <w:i w:val="0"/>
                <w:lang w:val="it-IT"/>
              </w:rPr>
              <w:t xml:space="preserve">(b) </w:t>
            </w:r>
            <w:r>
              <w:rPr>
                <w:rStyle w:val="Enfasicorsivo"/>
                <w:i w:val="0"/>
                <w:lang w:val="it-IT"/>
              </w:rPr>
              <w:tab/>
            </w:r>
            <w:r w:rsidRPr="00355BA7">
              <w:rPr>
                <w:rStyle w:val="Enfasicorsivo"/>
                <w:i w:val="0"/>
                <w:lang w:val="it-IT"/>
              </w:rPr>
              <w:t xml:space="preserve">gli eventuali utili o perdite totali calcolati in conformità al paragrafo B101 dell’IFRS 10; e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Default="00D26424" w:rsidP="004300E2">
            <w:pPr>
              <w:ind w:left="316" w:hanging="316"/>
              <w:rPr>
                <w:rStyle w:val="Enfasicorsivo"/>
                <w:i w:val="0"/>
                <w:lang w:val="it-IT"/>
              </w:rPr>
            </w:pPr>
            <w:r w:rsidRPr="00355BA7">
              <w:rPr>
                <w:rStyle w:val="Enfasicorsivo"/>
                <w:i w:val="0"/>
                <w:lang w:val="it-IT"/>
              </w:rPr>
              <w:t xml:space="preserve">(c) </w:t>
            </w:r>
            <w:r>
              <w:rPr>
                <w:rStyle w:val="Enfasicorsivo"/>
                <w:i w:val="0"/>
                <w:lang w:val="it-IT"/>
              </w:rPr>
              <w:tab/>
            </w:r>
            <w:r w:rsidRPr="00355BA7">
              <w:rPr>
                <w:rStyle w:val="Enfasicorsivo"/>
                <w:i w:val="0"/>
                <w:lang w:val="it-IT"/>
              </w:rPr>
              <w:t>la(e) voce(i) dell’</w:t>
            </w:r>
            <w:r>
              <w:rPr>
                <w:rStyle w:val="Enfasicorsivo"/>
                <w:i w:val="0"/>
                <w:lang w:val="it-IT"/>
              </w:rPr>
              <w:t>utile/(perdita)</w:t>
            </w:r>
            <w:r w:rsidRPr="00355BA7">
              <w:rPr>
                <w:rStyle w:val="Enfasicorsivo"/>
                <w:i w:val="0"/>
                <w:lang w:val="it-IT"/>
              </w:rPr>
              <w:t xml:space="preserve"> d'esercizio in cui sono rilevati l'utile o la perdita (se non esposti separatamente).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C0264D">
            <w:pPr>
              <w:rPr>
                <w:lang w:val="it-IT"/>
              </w:rPr>
            </w:pPr>
          </w:p>
        </w:tc>
        <w:tc>
          <w:tcPr>
            <w:tcW w:w="851" w:type="dxa"/>
            <w:tcMar>
              <w:left w:w="108" w:type="dxa"/>
              <w:right w:w="0" w:type="dxa"/>
            </w:tcMar>
          </w:tcPr>
          <w:p w:rsidR="004300E2" w:rsidRPr="008A0F36" w:rsidRDefault="004300E2" w:rsidP="004300E2">
            <w:pPr>
              <w:pStyle w:val="IAS"/>
              <w:pageBreakBefore/>
              <w:rPr>
                <w:lang w:val="it-IT"/>
              </w:rPr>
            </w:pPr>
          </w:p>
        </w:tc>
        <w:tc>
          <w:tcPr>
            <w:tcW w:w="7079" w:type="dxa"/>
            <w:tcMar>
              <w:left w:w="108" w:type="dxa"/>
            </w:tcMar>
          </w:tcPr>
          <w:p w:rsidR="004300E2" w:rsidRDefault="004300E2" w:rsidP="004300E2">
            <w:pPr>
              <w:pStyle w:val="Rientro1"/>
              <w:pageBreakBefore/>
              <w:ind w:left="33" w:hanging="33"/>
              <w:jc w:val="left"/>
              <w:rPr>
                <w:rStyle w:val="Enfasicorsivo"/>
                <w:rFonts w:cs="EUAlbertina"/>
                <w:i w:val="0"/>
                <w:iCs w:val="0"/>
                <w:sz w:val="17"/>
                <w:szCs w:val="17"/>
              </w:rPr>
            </w:pPr>
            <w:r>
              <w:rPr>
                <w:rStyle w:val="Enfasigrassetto"/>
              </w:rPr>
              <w:t>Partecipazioni in controllate non consolidate (entità di investimento)</w:t>
            </w:r>
            <w:r w:rsidRPr="00BF2A6E">
              <w:rPr>
                <w:rFonts w:cs="EUAlbertina"/>
                <w:color w:val="000000"/>
                <w:sz w:val="17"/>
                <w:szCs w:val="17"/>
              </w:rPr>
              <w:t xml:space="preserve"> </w:t>
            </w:r>
          </w:p>
        </w:tc>
        <w:tc>
          <w:tcPr>
            <w:tcW w:w="575" w:type="dxa"/>
            <w:tcMar>
              <w:left w:w="85" w:type="dxa"/>
              <w:right w:w="85" w:type="dxa"/>
            </w:tcMar>
            <w:vAlign w:val="center"/>
          </w:tcPr>
          <w:p w:rsidR="004300E2" w:rsidRPr="00A32A16" w:rsidRDefault="004300E2" w:rsidP="004300E2">
            <w:pPr>
              <w:pageBreakBefore/>
              <w:jc w:val="center"/>
              <w:rPr>
                <w:lang w:val="it-IT"/>
              </w:rPr>
            </w:pPr>
          </w:p>
        </w:tc>
        <w:tc>
          <w:tcPr>
            <w:tcW w:w="567" w:type="dxa"/>
            <w:tcMar>
              <w:left w:w="108" w:type="dxa"/>
            </w:tcMar>
            <w:vAlign w:val="center"/>
          </w:tcPr>
          <w:p w:rsidR="004300E2" w:rsidRPr="00A32A16" w:rsidRDefault="004300E2" w:rsidP="004300E2">
            <w:pPr>
              <w:pageBreakBefore/>
              <w:jc w:val="center"/>
              <w:rPr>
                <w:lang w:val="it-IT"/>
              </w:rPr>
            </w:pPr>
          </w:p>
        </w:tc>
        <w:tc>
          <w:tcPr>
            <w:tcW w:w="567" w:type="dxa"/>
            <w:tcMar>
              <w:left w:w="108" w:type="dxa"/>
            </w:tcMar>
            <w:vAlign w:val="center"/>
          </w:tcPr>
          <w:p w:rsidR="004300E2" w:rsidRPr="00A32A16" w:rsidRDefault="004300E2" w:rsidP="004300E2">
            <w:pPr>
              <w:pageBreakBefore/>
              <w:jc w:val="center"/>
              <w:rPr>
                <w:lang w:val="it-IT"/>
              </w:rPr>
            </w:pPr>
          </w:p>
        </w:tc>
      </w:tr>
      <w:tr w:rsidR="00D26424" w:rsidRPr="008129DA" w:rsidTr="00940A6F">
        <w:trPr>
          <w:cantSplit/>
        </w:trPr>
        <w:tc>
          <w:tcPr>
            <w:tcW w:w="567" w:type="dxa"/>
            <w:tcMar>
              <w:left w:w="108" w:type="dxa"/>
            </w:tcMar>
          </w:tcPr>
          <w:p w:rsidR="00D26424" w:rsidRPr="008A0F36" w:rsidRDefault="00D26424" w:rsidP="004300E2">
            <w:pPr>
              <w:pStyle w:val="Numeroelenco"/>
              <w:ind w:left="0" w:firstLine="57"/>
              <w:rPr>
                <w:lang w:val="it-IT"/>
              </w:rPr>
            </w:pPr>
          </w:p>
        </w:tc>
        <w:tc>
          <w:tcPr>
            <w:tcW w:w="851" w:type="dxa"/>
            <w:tcMar>
              <w:left w:w="108" w:type="dxa"/>
              <w:right w:w="0" w:type="dxa"/>
            </w:tcMar>
          </w:tcPr>
          <w:p w:rsidR="00D26424" w:rsidRDefault="00D26424" w:rsidP="004300E2">
            <w:pPr>
              <w:pStyle w:val="IAS"/>
              <w:spacing w:after="40"/>
              <w:rPr>
                <w:sz w:val="12"/>
                <w:szCs w:val="12"/>
                <w:lang w:val="it-IT"/>
              </w:rPr>
            </w:pPr>
            <w:r>
              <w:rPr>
                <w:sz w:val="12"/>
                <w:szCs w:val="12"/>
                <w:lang w:val="it-IT"/>
              </w:rPr>
              <w:t>IFRS 12.19A</w:t>
            </w:r>
          </w:p>
        </w:tc>
        <w:tc>
          <w:tcPr>
            <w:tcW w:w="7079" w:type="dxa"/>
            <w:tcMar>
              <w:left w:w="108" w:type="dxa"/>
            </w:tcMar>
          </w:tcPr>
          <w:p w:rsidR="00D26424" w:rsidRDefault="00D26424" w:rsidP="004300E2">
            <w:pPr>
              <w:rPr>
                <w:rStyle w:val="Enfasicorsivo"/>
                <w:i w:val="0"/>
                <w:lang w:val="it-IT"/>
              </w:rPr>
            </w:pPr>
            <w:r w:rsidRPr="00BF2A6E">
              <w:rPr>
                <w:rStyle w:val="Enfasicorsivo"/>
                <w:i w:val="0"/>
                <w:lang w:val="it-IT"/>
              </w:rPr>
              <w:t xml:space="preserve">Un’entità d’investimento che, in conformità all'IFRS 10, deve applicare l'eccezione al consolidamento e invece contabilizza la propria partecipazione in una controllata al </w:t>
            </w:r>
            <w:r w:rsidRPr="00BF2A6E">
              <w:rPr>
                <w:rStyle w:val="Enfasicorsivo"/>
                <w:lang w:val="it-IT"/>
              </w:rPr>
              <w:t xml:space="preserve">fair value </w:t>
            </w:r>
            <w:r w:rsidRPr="00BF2A6E">
              <w:rPr>
                <w:rStyle w:val="Enfasicorsivo"/>
                <w:i w:val="0"/>
                <w:lang w:val="it-IT"/>
              </w:rPr>
              <w:t>rilevato a conto economico deve indicare tale fatto.</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Default="004300E2" w:rsidP="004300E2">
            <w:pPr>
              <w:pStyle w:val="IAS"/>
              <w:spacing w:after="40"/>
              <w:rPr>
                <w:sz w:val="12"/>
                <w:szCs w:val="12"/>
                <w:lang w:val="it-IT"/>
              </w:rPr>
            </w:pPr>
            <w:r>
              <w:rPr>
                <w:sz w:val="12"/>
                <w:szCs w:val="12"/>
                <w:lang w:val="it-IT"/>
              </w:rPr>
              <w:t>IFRS 12.19B</w:t>
            </w:r>
          </w:p>
        </w:tc>
        <w:tc>
          <w:tcPr>
            <w:tcW w:w="7079" w:type="dxa"/>
            <w:tcMar>
              <w:left w:w="108" w:type="dxa"/>
            </w:tcMar>
          </w:tcPr>
          <w:p w:rsidR="004300E2" w:rsidRPr="002E546B" w:rsidRDefault="004300E2" w:rsidP="004300E2">
            <w:pPr>
              <w:rPr>
                <w:rStyle w:val="Enfasicorsivo"/>
                <w:i w:val="0"/>
                <w:lang w:val="it-IT"/>
              </w:rPr>
            </w:pPr>
            <w:r w:rsidRPr="00355BA7">
              <w:rPr>
                <w:rStyle w:val="Enfasicorsivo"/>
                <w:i w:val="0"/>
                <w:lang w:val="it-IT"/>
              </w:rPr>
              <w:t>Per ciascuna controllata non consolidata, un’entità d’investimento deve indicare:</w:t>
            </w:r>
          </w:p>
        </w:tc>
        <w:tc>
          <w:tcPr>
            <w:tcW w:w="575" w:type="dxa"/>
            <w:tcMar>
              <w:left w:w="85" w:type="dxa"/>
              <w:right w:w="85" w:type="dxa"/>
            </w:tcMar>
            <w:vAlign w:val="center"/>
          </w:tcPr>
          <w:p w:rsidR="004300E2" w:rsidRPr="00090BE7" w:rsidDel="004F6336" w:rsidRDefault="004300E2" w:rsidP="004300E2">
            <w:pPr>
              <w:spacing w:before="40" w:after="40"/>
              <w:jc w:val="center"/>
              <w:rPr>
                <w:lang w:val="it-IT"/>
              </w:rPr>
            </w:pPr>
          </w:p>
        </w:tc>
        <w:tc>
          <w:tcPr>
            <w:tcW w:w="567" w:type="dxa"/>
            <w:tcMar>
              <w:left w:w="108" w:type="dxa"/>
            </w:tcMar>
            <w:vAlign w:val="center"/>
          </w:tcPr>
          <w:p w:rsidR="004300E2" w:rsidRPr="00090BE7" w:rsidDel="004F6336" w:rsidRDefault="004300E2" w:rsidP="004300E2">
            <w:pPr>
              <w:spacing w:before="40" w:after="40"/>
              <w:jc w:val="center"/>
              <w:rPr>
                <w:lang w:val="it-IT"/>
              </w:rPr>
            </w:pPr>
          </w:p>
        </w:tc>
        <w:tc>
          <w:tcPr>
            <w:tcW w:w="567" w:type="dxa"/>
            <w:tcMar>
              <w:left w:w="108" w:type="dxa"/>
            </w:tcMar>
            <w:vAlign w:val="center"/>
          </w:tcPr>
          <w:p w:rsidR="004300E2" w:rsidRPr="00090BE7" w:rsidDel="004F6336" w:rsidRDefault="004300E2" w:rsidP="004300E2">
            <w:pPr>
              <w:spacing w:before="40" w:after="40"/>
              <w:jc w:val="center"/>
              <w:rPr>
                <w:lang w:val="it-IT"/>
              </w:rPr>
            </w:pP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Default="00D26424" w:rsidP="004300E2">
            <w:pPr>
              <w:pStyle w:val="IAS"/>
              <w:spacing w:after="40"/>
              <w:rPr>
                <w:sz w:val="12"/>
                <w:szCs w:val="12"/>
                <w:lang w:val="it-IT"/>
              </w:rPr>
            </w:pPr>
          </w:p>
        </w:tc>
        <w:tc>
          <w:tcPr>
            <w:tcW w:w="7079" w:type="dxa"/>
            <w:tcMar>
              <w:left w:w="108" w:type="dxa"/>
            </w:tcMar>
          </w:tcPr>
          <w:p w:rsidR="00D26424" w:rsidRDefault="00D26424" w:rsidP="004300E2">
            <w:pPr>
              <w:ind w:left="316" w:hanging="316"/>
              <w:rPr>
                <w:rStyle w:val="Enfasicorsivo"/>
                <w:i w:val="0"/>
                <w:lang w:val="it-IT"/>
              </w:rPr>
            </w:pPr>
            <w:r w:rsidRPr="00355BA7">
              <w:rPr>
                <w:rStyle w:val="Enfasicorsivo"/>
                <w:i w:val="0"/>
                <w:lang w:val="it-IT"/>
              </w:rPr>
              <w:t xml:space="preserve">(a) </w:t>
            </w:r>
            <w:r>
              <w:rPr>
                <w:rStyle w:val="Enfasicorsivo"/>
                <w:i w:val="0"/>
                <w:lang w:val="it-IT"/>
              </w:rPr>
              <w:tab/>
            </w:r>
            <w:r w:rsidRPr="00355BA7">
              <w:rPr>
                <w:rStyle w:val="Enfasicorsivo"/>
                <w:i w:val="0"/>
                <w:lang w:val="it-IT"/>
              </w:rPr>
              <w:t xml:space="preserve">la denominazione della controllata;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Default="00D26424" w:rsidP="004300E2">
            <w:pPr>
              <w:pStyle w:val="IAS"/>
              <w:spacing w:after="40"/>
              <w:rPr>
                <w:sz w:val="12"/>
                <w:szCs w:val="12"/>
                <w:lang w:val="it-IT"/>
              </w:rPr>
            </w:pPr>
          </w:p>
        </w:tc>
        <w:tc>
          <w:tcPr>
            <w:tcW w:w="7079" w:type="dxa"/>
            <w:tcMar>
              <w:left w:w="108" w:type="dxa"/>
            </w:tcMar>
          </w:tcPr>
          <w:p w:rsidR="00D26424" w:rsidRDefault="00D26424" w:rsidP="004300E2">
            <w:pPr>
              <w:ind w:left="316" w:hanging="316"/>
              <w:rPr>
                <w:rStyle w:val="Enfasicorsivo"/>
                <w:i w:val="0"/>
                <w:lang w:val="it-IT"/>
              </w:rPr>
            </w:pPr>
            <w:r w:rsidRPr="00355BA7">
              <w:rPr>
                <w:rStyle w:val="Enfasicorsivo"/>
                <w:i w:val="0"/>
                <w:lang w:val="it-IT"/>
              </w:rPr>
              <w:t xml:space="preserve">(b) </w:t>
            </w:r>
            <w:r>
              <w:rPr>
                <w:rStyle w:val="Enfasicorsivo"/>
                <w:i w:val="0"/>
                <w:lang w:val="it-IT"/>
              </w:rPr>
              <w:tab/>
            </w:r>
            <w:r w:rsidRPr="00355BA7">
              <w:rPr>
                <w:rStyle w:val="Enfasicorsivo"/>
                <w:i w:val="0"/>
                <w:lang w:val="it-IT"/>
              </w:rPr>
              <w:t xml:space="preserve">la sede operativa principale (e la sede legale, se diversa dalla sede operativa principale) della controllata; e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Default="00D26424" w:rsidP="004300E2">
            <w:pPr>
              <w:pStyle w:val="IAS"/>
              <w:spacing w:after="40"/>
              <w:rPr>
                <w:sz w:val="12"/>
                <w:szCs w:val="12"/>
                <w:lang w:val="it-IT"/>
              </w:rPr>
            </w:pPr>
          </w:p>
        </w:tc>
        <w:tc>
          <w:tcPr>
            <w:tcW w:w="7079" w:type="dxa"/>
            <w:tcMar>
              <w:left w:w="108" w:type="dxa"/>
            </w:tcMar>
          </w:tcPr>
          <w:p w:rsidR="00D26424" w:rsidRDefault="00D26424" w:rsidP="004300E2">
            <w:pPr>
              <w:ind w:left="316" w:hanging="316"/>
              <w:rPr>
                <w:rStyle w:val="Enfasicorsivo"/>
                <w:i w:val="0"/>
                <w:lang w:val="it-IT"/>
              </w:rPr>
            </w:pPr>
            <w:r w:rsidRPr="00355BA7">
              <w:rPr>
                <w:rStyle w:val="Enfasicorsivo"/>
                <w:i w:val="0"/>
                <w:lang w:val="it-IT"/>
              </w:rPr>
              <w:t xml:space="preserve">(c) </w:t>
            </w:r>
            <w:r>
              <w:rPr>
                <w:rStyle w:val="Enfasicorsivo"/>
                <w:i w:val="0"/>
                <w:lang w:val="it-IT"/>
              </w:rPr>
              <w:tab/>
            </w:r>
            <w:r w:rsidRPr="00355BA7">
              <w:rPr>
                <w:rStyle w:val="Enfasicorsivo"/>
                <w:i w:val="0"/>
                <w:lang w:val="it-IT"/>
              </w:rPr>
              <w:t>la quota parte di interessenza partecipativa posseduta dall’entità d’investimento e, se diversa, la quota parte dei diritti di voto posseduti.</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pStyle w:val="Numeroelenco"/>
              <w:ind w:left="0" w:firstLine="57"/>
              <w:rPr>
                <w:lang w:val="it-IT"/>
              </w:rPr>
            </w:pPr>
          </w:p>
        </w:tc>
        <w:tc>
          <w:tcPr>
            <w:tcW w:w="851" w:type="dxa"/>
            <w:tcMar>
              <w:left w:w="108" w:type="dxa"/>
              <w:right w:w="0" w:type="dxa"/>
            </w:tcMar>
          </w:tcPr>
          <w:p w:rsidR="00D26424" w:rsidRDefault="00D26424" w:rsidP="004300E2">
            <w:pPr>
              <w:pStyle w:val="IAS"/>
              <w:spacing w:after="40"/>
              <w:rPr>
                <w:sz w:val="12"/>
                <w:szCs w:val="12"/>
                <w:lang w:val="it-IT"/>
              </w:rPr>
            </w:pPr>
            <w:r>
              <w:rPr>
                <w:sz w:val="12"/>
                <w:szCs w:val="12"/>
                <w:lang w:val="it-IT"/>
              </w:rPr>
              <w:t>IFRS 12.19C</w:t>
            </w:r>
          </w:p>
        </w:tc>
        <w:tc>
          <w:tcPr>
            <w:tcW w:w="7079" w:type="dxa"/>
            <w:tcMar>
              <w:left w:w="108" w:type="dxa"/>
            </w:tcMar>
          </w:tcPr>
          <w:p w:rsidR="00D26424" w:rsidRPr="002E546B" w:rsidRDefault="00D26424" w:rsidP="004300E2">
            <w:pPr>
              <w:rPr>
                <w:rStyle w:val="Enfasicorsivo"/>
                <w:i w:val="0"/>
                <w:lang w:val="it-IT"/>
              </w:rPr>
            </w:pPr>
            <w:r w:rsidRPr="00355BA7">
              <w:rPr>
                <w:rStyle w:val="Enfasicorsivo"/>
                <w:i w:val="0"/>
                <w:lang w:val="it-IT"/>
              </w:rPr>
              <w:t>Se un’entità d’investimento è la controllante di un’altra entità d’investimento, la controllante deve anche fornire l’informativa prevista dai paragrafi 19B(a)–(c) per gli investimenti controllati dall’entità d’investimento controllata. L’informativa può essere presentata inserendo nel bilancio della controllante il bilancio della controllata (o delle controllate) che contiene le informazioni suddette.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361A3"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Default="004300E2" w:rsidP="004300E2">
            <w:pPr>
              <w:pStyle w:val="IAS"/>
              <w:spacing w:after="40"/>
              <w:rPr>
                <w:sz w:val="12"/>
                <w:szCs w:val="12"/>
                <w:lang w:val="it-IT"/>
              </w:rPr>
            </w:pPr>
            <w:r>
              <w:rPr>
                <w:sz w:val="12"/>
                <w:szCs w:val="12"/>
                <w:lang w:val="it-IT"/>
              </w:rPr>
              <w:t>IFRS 12.19D</w:t>
            </w:r>
          </w:p>
        </w:tc>
        <w:tc>
          <w:tcPr>
            <w:tcW w:w="7079" w:type="dxa"/>
            <w:tcMar>
              <w:left w:w="108" w:type="dxa"/>
            </w:tcMar>
          </w:tcPr>
          <w:p w:rsidR="004300E2" w:rsidRPr="002E546B" w:rsidRDefault="004300E2" w:rsidP="004300E2">
            <w:pPr>
              <w:rPr>
                <w:rStyle w:val="Enfasicorsivo"/>
                <w:i w:val="0"/>
                <w:lang w:val="it-IT"/>
              </w:rPr>
            </w:pPr>
            <w:r w:rsidRPr="00355BA7">
              <w:rPr>
                <w:rStyle w:val="Enfasicorsivo"/>
                <w:i w:val="0"/>
                <w:lang w:val="it-IT"/>
              </w:rPr>
              <w:t>L'entità d’investimento deve indicare:</w:t>
            </w:r>
          </w:p>
        </w:tc>
        <w:tc>
          <w:tcPr>
            <w:tcW w:w="575" w:type="dxa"/>
            <w:tcMar>
              <w:left w:w="85" w:type="dxa"/>
              <w:right w:w="85" w:type="dxa"/>
            </w:tcMar>
            <w:vAlign w:val="center"/>
          </w:tcPr>
          <w:p w:rsidR="004300E2" w:rsidRPr="00090BE7" w:rsidDel="004F6336" w:rsidRDefault="004300E2" w:rsidP="004300E2">
            <w:pPr>
              <w:spacing w:before="40" w:after="40"/>
              <w:jc w:val="center"/>
              <w:rPr>
                <w:lang w:val="it-IT"/>
              </w:rPr>
            </w:pPr>
          </w:p>
        </w:tc>
        <w:tc>
          <w:tcPr>
            <w:tcW w:w="567" w:type="dxa"/>
            <w:tcMar>
              <w:left w:w="108" w:type="dxa"/>
            </w:tcMar>
            <w:vAlign w:val="center"/>
          </w:tcPr>
          <w:p w:rsidR="004300E2" w:rsidRPr="00090BE7" w:rsidDel="004F6336" w:rsidRDefault="004300E2" w:rsidP="004300E2">
            <w:pPr>
              <w:spacing w:before="40" w:after="40"/>
              <w:jc w:val="center"/>
              <w:rPr>
                <w:lang w:val="it-IT"/>
              </w:rPr>
            </w:pPr>
          </w:p>
        </w:tc>
        <w:tc>
          <w:tcPr>
            <w:tcW w:w="567" w:type="dxa"/>
            <w:tcMar>
              <w:left w:w="108" w:type="dxa"/>
            </w:tcMar>
            <w:vAlign w:val="center"/>
          </w:tcPr>
          <w:p w:rsidR="004300E2" w:rsidRPr="00090BE7" w:rsidDel="004F6336" w:rsidRDefault="004300E2" w:rsidP="004300E2">
            <w:pPr>
              <w:spacing w:before="40" w:after="40"/>
              <w:jc w:val="center"/>
              <w:rPr>
                <w:lang w:val="it-IT"/>
              </w:rPr>
            </w:pP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Default="00D26424" w:rsidP="004300E2">
            <w:pPr>
              <w:ind w:left="316" w:hanging="316"/>
              <w:rPr>
                <w:rStyle w:val="Enfasicorsivo"/>
                <w:i w:val="0"/>
                <w:lang w:val="it-IT"/>
              </w:rPr>
            </w:pPr>
            <w:r w:rsidRPr="00355BA7">
              <w:rPr>
                <w:rStyle w:val="Enfasicorsivo"/>
                <w:i w:val="0"/>
                <w:lang w:val="it-IT"/>
              </w:rPr>
              <w:t xml:space="preserve">(a) </w:t>
            </w:r>
            <w:r>
              <w:rPr>
                <w:rStyle w:val="Enfasicorsivo"/>
                <w:i w:val="0"/>
                <w:lang w:val="it-IT"/>
              </w:rPr>
              <w:tab/>
            </w:r>
            <w:r w:rsidRPr="00355BA7">
              <w:rPr>
                <w:rStyle w:val="Enfasicorsivo"/>
                <w:i w:val="0"/>
                <w:lang w:val="it-IT"/>
              </w:rPr>
              <w:t xml:space="preserve">la natura e la misura di qualsiasi restrizione significativa (derivante, per esempio, da accordi di finanziamento, disposizioni regolamentari o accordi contrattuali) alla capacità di una controllata non consolidata di trasferire fondi all’entità d’investimento sotto forma di dividendi o di rimborsarle prestiti o anticipi ricevuti; e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355BA7" w:rsidRDefault="00D26424" w:rsidP="004300E2">
            <w:pPr>
              <w:ind w:left="316" w:hanging="316"/>
              <w:rPr>
                <w:rStyle w:val="Enfasicorsivo"/>
                <w:i w:val="0"/>
                <w:lang w:val="it-IT"/>
              </w:rPr>
            </w:pPr>
            <w:r w:rsidRPr="00355BA7">
              <w:rPr>
                <w:rStyle w:val="Enfasicorsivo"/>
                <w:i w:val="0"/>
                <w:lang w:val="it-IT"/>
              </w:rPr>
              <w:t xml:space="preserve">(b) </w:t>
            </w:r>
            <w:r>
              <w:rPr>
                <w:rStyle w:val="Enfasicorsivo"/>
                <w:i w:val="0"/>
                <w:lang w:val="it-IT"/>
              </w:rPr>
              <w:tab/>
            </w:r>
            <w:r w:rsidRPr="00355BA7">
              <w:rPr>
                <w:rStyle w:val="Enfasicorsivo"/>
                <w:i w:val="0"/>
                <w:lang w:val="it-IT"/>
              </w:rPr>
              <w:t>qualsiasi impegno o intenzione attuale di fornire sostegno finanziario o di altro tipo a una controllata non consolidata, inclusi gli impegni o le intenzioni di assistere la controllata nell’ottenere sostegno finanziario.</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Default="004300E2" w:rsidP="004300E2">
            <w:pPr>
              <w:pStyle w:val="IAS"/>
              <w:spacing w:after="40"/>
              <w:rPr>
                <w:sz w:val="12"/>
                <w:szCs w:val="12"/>
                <w:lang w:val="it-IT"/>
              </w:rPr>
            </w:pPr>
            <w:r>
              <w:rPr>
                <w:sz w:val="12"/>
                <w:szCs w:val="12"/>
                <w:lang w:val="it-IT"/>
              </w:rPr>
              <w:t>IFRS 12.19E</w:t>
            </w:r>
          </w:p>
        </w:tc>
        <w:tc>
          <w:tcPr>
            <w:tcW w:w="7079" w:type="dxa"/>
            <w:tcMar>
              <w:left w:w="108" w:type="dxa"/>
            </w:tcMar>
          </w:tcPr>
          <w:p w:rsidR="004300E2" w:rsidRPr="002E546B" w:rsidRDefault="004300E2" w:rsidP="004300E2">
            <w:pPr>
              <w:rPr>
                <w:rStyle w:val="Enfasicorsivo"/>
                <w:i w:val="0"/>
                <w:lang w:val="it-IT"/>
              </w:rPr>
            </w:pPr>
            <w:r w:rsidRPr="00355BA7">
              <w:rPr>
                <w:rStyle w:val="Enfasicorsivo"/>
                <w:i w:val="0"/>
                <w:lang w:val="it-IT"/>
              </w:rPr>
              <w:t>Se, durante l’esercizio di riferimento, un’entità d’investimento o una qualsiasi sua controllata ha fornito sostegno finanziario o di altro tipo a una controllata non consolidata (per esempio, acquisendo attività della controllata o strumenti emessi dalla stessa, o assistendo la controllata nell'ottenere sostegno finanziario), senza avere alcuna obbligazione contrattuale a farlo, l’entità deve indicare:</w:t>
            </w:r>
          </w:p>
        </w:tc>
        <w:tc>
          <w:tcPr>
            <w:tcW w:w="575" w:type="dxa"/>
            <w:tcMar>
              <w:left w:w="85" w:type="dxa"/>
              <w:right w:w="85" w:type="dxa"/>
            </w:tcMar>
            <w:vAlign w:val="center"/>
          </w:tcPr>
          <w:p w:rsidR="004300E2" w:rsidRPr="00B3102F" w:rsidRDefault="004300E2" w:rsidP="004300E2">
            <w:pPr>
              <w:jc w:val="center"/>
              <w:rPr>
                <w:lang w:val="it-IT"/>
              </w:rPr>
            </w:pPr>
          </w:p>
        </w:tc>
        <w:tc>
          <w:tcPr>
            <w:tcW w:w="567" w:type="dxa"/>
            <w:tcMar>
              <w:left w:w="108" w:type="dxa"/>
            </w:tcMar>
            <w:vAlign w:val="center"/>
          </w:tcPr>
          <w:p w:rsidR="004300E2" w:rsidRPr="00B3102F" w:rsidRDefault="004300E2" w:rsidP="004300E2">
            <w:pPr>
              <w:jc w:val="center"/>
              <w:rPr>
                <w:lang w:val="it-IT"/>
              </w:rPr>
            </w:pPr>
          </w:p>
        </w:tc>
        <w:tc>
          <w:tcPr>
            <w:tcW w:w="567" w:type="dxa"/>
            <w:tcMar>
              <w:left w:w="108" w:type="dxa"/>
            </w:tcMar>
            <w:vAlign w:val="center"/>
          </w:tcPr>
          <w:p w:rsidR="004300E2" w:rsidRPr="00B3102F" w:rsidRDefault="004300E2" w:rsidP="004300E2">
            <w:pPr>
              <w:jc w:val="center"/>
              <w:rPr>
                <w:lang w:val="it-IT"/>
              </w:rPr>
            </w:pP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Default="00D26424" w:rsidP="004300E2">
            <w:pPr>
              <w:pStyle w:val="IAS"/>
              <w:spacing w:after="40"/>
              <w:rPr>
                <w:sz w:val="12"/>
                <w:szCs w:val="12"/>
                <w:lang w:val="it-IT"/>
              </w:rPr>
            </w:pPr>
          </w:p>
        </w:tc>
        <w:tc>
          <w:tcPr>
            <w:tcW w:w="7079" w:type="dxa"/>
            <w:tcMar>
              <w:left w:w="108" w:type="dxa"/>
            </w:tcMar>
          </w:tcPr>
          <w:p w:rsidR="00D26424" w:rsidRPr="002E546B" w:rsidRDefault="00D26424" w:rsidP="00BE0F86">
            <w:pPr>
              <w:ind w:left="286" w:hanging="286"/>
              <w:rPr>
                <w:rStyle w:val="Enfasicorsivo"/>
                <w:i w:val="0"/>
                <w:lang w:val="it-IT"/>
              </w:rPr>
            </w:pPr>
            <w:r w:rsidRPr="00355BA7">
              <w:rPr>
                <w:rStyle w:val="Enfasicorsivo"/>
                <w:i w:val="0"/>
                <w:lang w:val="it-IT"/>
              </w:rPr>
              <w:t>(a)</w:t>
            </w:r>
            <w:r>
              <w:rPr>
                <w:rStyle w:val="Enfasicorsivo"/>
                <w:i w:val="0"/>
                <w:lang w:val="it-IT"/>
              </w:rPr>
              <w:tab/>
            </w:r>
            <w:r w:rsidRPr="00355BA7">
              <w:rPr>
                <w:rStyle w:val="Enfasicorsivo"/>
                <w:i w:val="0"/>
                <w:lang w:val="it-IT"/>
              </w:rPr>
              <w:t xml:space="preserve">la tipologia e l’importo del sostegno fornito a ciascuna controllata non consolidata; e </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Default="00D26424" w:rsidP="004300E2">
            <w:pPr>
              <w:pStyle w:val="IAS"/>
              <w:spacing w:after="40"/>
              <w:rPr>
                <w:sz w:val="12"/>
                <w:szCs w:val="12"/>
                <w:lang w:val="it-IT"/>
              </w:rPr>
            </w:pPr>
          </w:p>
        </w:tc>
        <w:tc>
          <w:tcPr>
            <w:tcW w:w="7079" w:type="dxa"/>
            <w:tcMar>
              <w:left w:w="108" w:type="dxa"/>
            </w:tcMar>
          </w:tcPr>
          <w:p w:rsidR="00D26424" w:rsidRPr="002E546B" w:rsidRDefault="00D26424" w:rsidP="00BE0F86">
            <w:pPr>
              <w:ind w:left="286" w:hanging="286"/>
              <w:rPr>
                <w:rStyle w:val="Enfasicorsivo"/>
                <w:i w:val="0"/>
                <w:lang w:val="it-IT"/>
              </w:rPr>
            </w:pPr>
            <w:r w:rsidRPr="00355BA7">
              <w:rPr>
                <w:rStyle w:val="Enfasicorsivo"/>
                <w:i w:val="0"/>
                <w:lang w:val="it-IT"/>
              </w:rPr>
              <w:t xml:space="preserve">(b) </w:t>
            </w:r>
            <w:r>
              <w:rPr>
                <w:rStyle w:val="Enfasicorsivo"/>
                <w:i w:val="0"/>
                <w:lang w:val="it-IT"/>
              </w:rPr>
              <w:tab/>
            </w:r>
            <w:r w:rsidRPr="00355BA7">
              <w:rPr>
                <w:rStyle w:val="Enfasicorsivo"/>
                <w:i w:val="0"/>
                <w:lang w:val="it-IT"/>
              </w:rPr>
              <w:t>i motivi per aver fornito tale sostegno.</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pStyle w:val="Numeroelenco"/>
              <w:ind w:left="0" w:firstLine="57"/>
              <w:rPr>
                <w:lang w:val="it-IT"/>
              </w:rPr>
            </w:pPr>
          </w:p>
        </w:tc>
        <w:tc>
          <w:tcPr>
            <w:tcW w:w="851" w:type="dxa"/>
            <w:tcMar>
              <w:left w:w="108" w:type="dxa"/>
              <w:right w:w="0" w:type="dxa"/>
            </w:tcMar>
          </w:tcPr>
          <w:p w:rsidR="00D26424" w:rsidRDefault="00D26424" w:rsidP="004300E2">
            <w:pPr>
              <w:pStyle w:val="IAS"/>
              <w:spacing w:after="40"/>
              <w:rPr>
                <w:sz w:val="12"/>
                <w:szCs w:val="12"/>
                <w:lang w:val="it-IT"/>
              </w:rPr>
            </w:pPr>
            <w:r>
              <w:rPr>
                <w:sz w:val="12"/>
                <w:szCs w:val="12"/>
                <w:lang w:val="it-IT"/>
              </w:rPr>
              <w:t>IFRS 12.19F</w:t>
            </w:r>
          </w:p>
        </w:tc>
        <w:tc>
          <w:tcPr>
            <w:tcW w:w="7079" w:type="dxa"/>
            <w:tcMar>
              <w:left w:w="108" w:type="dxa"/>
            </w:tcMar>
          </w:tcPr>
          <w:p w:rsidR="00D26424" w:rsidRPr="002E546B" w:rsidRDefault="00D26424" w:rsidP="004300E2">
            <w:pPr>
              <w:rPr>
                <w:rStyle w:val="Enfasicorsivo"/>
                <w:i w:val="0"/>
                <w:lang w:val="it-IT"/>
              </w:rPr>
            </w:pPr>
            <w:r w:rsidRPr="00355BA7">
              <w:rPr>
                <w:rStyle w:val="Enfasicorsivo"/>
                <w:i w:val="0"/>
                <w:lang w:val="it-IT"/>
              </w:rPr>
              <w:t>Un’entità d’investimento deve indicare i termini degli accordi contrattuali che potrebbero prevedere che l’entità o le sue controllate non consolidate forniscano sostegno finanziario a un’entità strutturata controllata non consolidata, inclusi gli eventi o le circostanze che potrebbero esporre l’entità che redige il bilancio a una perdita (per esempio, accordi di liquidità, variazioni dei rating di credito associati all’obbligo di acquistare attività dell’entità strutturata o di fornire sostegno finanziario).</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pStyle w:val="Numeroelenco"/>
              <w:ind w:left="0" w:firstLine="57"/>
              <w:rPr>
                <w:lang w:val="it-IT"/>
              </w:rPr>
            </w:pPr>
          </w:p>
        </w:tc>
        <w:tc>
          <w:tcPr>
            <w:tcW w:w="851" w:type="dxa"/>
            <w:tcMar>
              <w:left w:w="108" w:type="dxa"/>
              <w:right w:w="0" w:type="dxa"/>
            </w:tcMar>
          </w:tcPr>
          <w:p w:rsidR="00D26424" w:rsidRDefault="00D26424" w:rsidP="004300E2">
            <w:pPr>
              <w:pStyle w:val="IAS"/>
              <w:spacing w:after="40"/>
              <w:rPr>
                <w:sz w:val="12"/>
                <w:szCs w:val="12"/>
                <w:lang w:val="it-IT"/>
              </w:rPr>
            </w:pPr>
            <w:r>
              <w:rPr>
                <w:sz w:val="12"/>
                <w:szCs w:val="12"/>
                <w:lang w:val="it-IT"/>
              </w:rPr>
              <w:t>IFRS 12.19G</w:t>
            </w:r>
          </w:p>
        </w:tc>
        <w:tc>
          <w:tcPr>
            <w:tcW w:w="7079" w:type="dxa"/>
            <w:tcMar>
              <w:left w:w="108" w:type="dxa"/>
            </w:tcMar>
          </w:tcPr>
          <w:p w:rsidR="00D26424" w:rsidRPr="002E546B" w:rsidRDefault="00D26424" w:rsidP="004300E2">
            <w:pPr>
              <w:rPr>
                <w:rStyle w:val="Enfasicorsivo"/>
                <w:i w:val="0"/>
                <w:lang w:val="it-IT"/>
              </w:rPr>
            </w:pPr>
            <w:r w:rsidRPr="00355BA7">
              <w:rPr>
                <w:rStyle w:val="Enfasicorsivo"/>
                <w:i w:val="0"/>
                <w:lang w:val="it-IT"/>
              </w:rPr>
              <w:t>Se, durante l’esercizio di riferimento, un’entità d’investimento o una qualsiasi sua controllata non consolidata ha fornito sostegno finanziario o di altro tipo a una entità strutturata non consolidata che l’entità d’investimento non controllava, senza avere alcuna obbligazione contrattuale a farlo, e se tale sostegno ha comportato il controllo dell'entità strutturata da parte dell'entità d’investimento, quest'ultima deve spiegare i fattori rilevanti che hanno determinato la decisione di fornire tale sostegno.</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rPr>
                <w:lang w:val="it-IT"/>
              </w:rPr>
            </w:pPr>
          </w:p>
        </w:tc>
        <w:tc>
          <w:tcPr>
            <w:tcW w:w="851" w:type="dxa"/>
            <w:tcMar>
              <w:left w:w="108" w:type="dxa"/>
              <w:right w:w="0" w:type="dxa"/>
            </w:tcMar>
          </w:tcPr>
          <w:p w:rsidR="004300E2" w:rsidRDefault="004300E2" w:rsidP="004300E2">
            <w:pPr>
              <w:pStyle w:val="IAS"/>
              <w:spacing w:after="40"/>
              <w:rPr>
                <w:sz w:val="12"/>
                <w:szCs w:val="12"/>
                <w:lang w:val="it-IT"/>
              </w:rPr>
            </w:pPr>
            <w:r>
              <w:rPr>
                <w:sz w:val="12"/>
                <w:szCs w:val="12"/>
                <w:lang w:val="it-IT"/>
              </w:rPr>
              <w:t>IAS 27.8A</w:t>
            </w:r>
          </w:p>
        </w:tc>
        <w:tc>
          <w:tcPr>
            <w:tcW w:w="7079" w:type="dxa"/>
            <w:tcMar>
              <w:left w:w="108" w:type="dxa"/>
            </w:tcMar>
          </w:tcPr>
          <w:p w:rsidR="004300E2" w:rsidRDefault="004300E2" w:rsidP="00634317">
            <w:pPr>
              <w:pStyle w:val="Paragarfobordato"/>
              <w:rPr>
                <w:rStyle w:val="Enfasicorsivo"/>
                <w:i w:val="0"/>
              </w:rPr>
            </w:pPr>
            <w:r>
              <w:rPr>
                <w:rStyle w:val="Enfasicorsivo"/>
                <w:i w:val="0"/>
              </w:rPr>
              <w:t>Un’entità di investimento che sia tenuta, per tutto l’esercizio corrente e per tutti gli esercizi comparativi presentati, ad applicare l’eccezione al consolidamento per le proprie controllate in conformità al paragrafo 31 dell’IFRS 10, presenta come unico bilancio il proprio bilancio separato.</w:t>
            </w:r>
          </w:p>
        </w:tc>
        <w:tc>
          <w:tcPr>
            <w:tcW w:w="575" w:type="dxa"/>
            <w:tcMar>
              <w:left w:w="85" w:type="dxa"/>
              <w:right w:w="85"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r>
      <w:tr w:rsidR="00D26424" w:rsidRPr="008129DA" w:rsidTr="00940A6F">
        <w:trPr>
          <w:cantSplit/>
        </w:trPr>
        <w:tc>
          <w:tcPr>
            <w:tcW w:w="567" w:type="dxa"/>
            <w:tcMar>
              <w:left w:w="108" w:type="dxa"/>
            </w:tcMar>
          </w:tcPr>
          <w:p w:rsidR="00D26424" w:rsidRPr="008A0F36" w:rsidRDefault="00D26424" w:rsidP="004300E2">
            <w:pPr>
              <w:pStyle w:val="Numeroelenco"/>
              <w:ind w:left="0" w:firstLine="57"/>
              <w:rPr>
                <w:lang w:val="it-IT"/>
              </w:rPr>
            </w:pPr>
          </w:p>
        </w:tc>
        <w:tc>
          <w:tcPr>
            <w:tcW w:w="851" w:type="dxa"/>
            <w:tcMar>
              <w:left w:w="108" w:type="dxa"/>
              <w:right w:w="0" w:type="dxa"/>
            </w:tcMar>
          </w:tcPr>
          <w:p w:rsidR="00D26424" w:rsidRDefault="00D26424" w:rsidP="004300E2">
            <w:pPr>
              <w:pStyle w:val="IAS"/>
              <w:spacing w:after="40"/>
              <w:rPr>
                <w:sz w:val="12"/>
                <w:szCs w:val="12"/>
                <w:lang w:val="it-IT"/>
              </w:rPr>
            </w:pPr>
            <w:r>
              <w:rPr>
                <w:sz w:val="12"/>
                <w:szCs w:val="12"/>
                <w:lang w:val="it-IT"/>
              </w:rPr>
              <w:t>IAS 27.16A</w:t>
            </w:r>
          </w:p>
        </w:tc>
        <w:tc>
          <w:tcPr>
            <w:tcW w:w="7079" w:type="dxa"/>
            <w:tcMar>
              <w:left w:w="108" w:type="dxa"/>
            </w:tcMar>
          </w:tcPr>
          <w:p w:rsidR="00D26424" w:rsidRPr="00355BA7" w:rsidRDefault="00D26424" w:rsidP="000B7FB1">
            <w:pPr>
              <w:rPr>
                <w:i/>
                <w:iCs/>
                <w:lang w:val="it-IT"/>
              </w:rPr>
            </w:pPr>
            <w:r w:rsidRPr="00355BA7">
              <w:rPr>
                <w:rStyle w:val="Enfasicorsivo"/>
                <w:i w:val="0"/>
                <w:lang w:val="it-IT"/>
              </w:rPr>
              <w:t>Se un’entità d’investimento che sia una controllante (diversa dalla controllante considerata nel paragrafo 16</w:t>
            </w:r>
            <w:r w:rsidRPr="0051361F">
              <w:rPr>
                <w:rStyle w:val="Enfasicorsivo"/>
                <w:i w:val="0"/>
                <w:lang w:val="it-IT"/>
              </w:rPr>
              <w:t xml:space="preserve"> dello IAS 27</w:t>
            </w:r>
            <w:r w:rsidRPr="00355BA7">
              <w:rPr>
                <w:rStyle w:val="Enfasicorsivo"/>
                <w:i w:val="0"/>
                <w:lang w:val="it-IT"/>
              </w:rPr>
              <w:t>) prepara come proprio unico bilancio il bilancio separato, in conformità al paragrafo 8A, tale fatto deve essere indicato.</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pStyle w:val="Numeroelenco"/>
              <w:ind w:left="0" w:firstLine="57"/>
              <w:rPr>
                <w:lang w:val="it-IT"/>
              </w:rPr>
            </w:pPr>
          </w:p>
        </w:tc>
        <w:tc>
          <w:tcPr>
            <w:tcW w:w="851" w:type="dxa"/>
            <w:tcMar>
              <w:left w:w="108" w:type="dxa"/>
              <w:right w:w="0" w:type="dxa"/>
            </w:tcMar>
          </w:tcPr>
          <w:p w:rsidR="00D26424" w:rsidRDefault="00D26424" w:rsidP="004300E2">
            <w:pPr>
              <w:pStyle w:val="IAS"/>
              <w:spacing w:after="40"/>
              <w:rPr>
                <w:sz w:val="12"/>
                <w:szCs w:val="12"/>
                <w:lang w:val="it-IT"/>
              </w:rPr>
            </w:pPr>
            <w:r>
              <w:rPr>
                <w:sz w:val="12"/>
                <w:szCs w:val="12"/>
                <w:lang w:val="it-IT"/>
              </w:rPr>
              <w:t>IAS 27.16A</w:t>
            </w:r>
          </w:p>
        </w:tc>
        <w:tc>
          <w:tcPr>
            <w:tcW w:w="7079" w:type="dxa"/>
            <w:tcMar>
              <w:left w:w="108" w:type="dxa"/>
            </w:tcMar>
          </w:tcPr>
          <w:p w:rsidR="00D26424" w:rsidRPr="0051361F" w:rsidRDefault="00D26424" w:rsidP="004300E2">
            <w:pPr>
              <w:rPr>
                <w:rStyle w:val="Enfasicorsivo"/>
                <w:i w:val="0"/>
                <w:lang w:val="it-IT"/>
              </w:rPr>
            </w:pPr>
            <w:r w:rsidRPr="00355BA7">
              <w:rPr>
                <w:rStyle w:val="Enfasicorsivo"/>
                <w:i w:val="0"/>
                <w:lang w:val="it-IT"/>
              </w:rPr>
              <w:t xml:space="preserve">L’entità d’investimento deve anche presentare l’informativa relativa alle entità d’investimento richiesta dall’IFRS 12 </w:t>
            </w:r>
            <w:r>
              <w:rPr>
                <w:rStyle w:val="Enfasicorsivo"/>
                <w:i w:val="0"/>
                <w:lang w:val="it-IT"/>
              </w:rPr>
              <w:t>(vedi punti da 179 a 189</w:t>
            </w:r>
            <w:r w:rsidRPr="0051361F">
              <w:rPr>
                <w:rStyle w:val="Enfasicorsivo"/>
                <w:i w:val="0"/>
                <w:lang w:val="it-IT"/>
              </w:rPr>
              <w:t>).</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A0F36" w:rsidTr="00940A6F">
        <w:trPr>
          <w:cantSplit/>
        </w:trPr>
        <w:tc>
          <w:tcPr>
            <w:tcW w:w="567" w:type="dxa"/>
            <w:tcMar>
              <w:left w:w="108" w:type="dxa"/>
            </w:tcMar>
            <w:vAlign w:val="center"/>
          </w:tcPr>
          <w:p w:rsidR="004300E2" w:rsidRPr="008A0F36" w:rsidRDefault="004300E2" w:rsidP="004300E2">
            <w:pPr>
              <w:jc w:val="left"/>
              <w:rPr>
                <w:lang w:val="it-IT"/>
              </w:rPr>
            </w:pPr>
          </w:p>
        </w:tc>
        <w:tc>
          <w:tcPr>
            <w:tcW w:w="851" w:type="dxa"/>
            <w:tcMar>
              <w:left w:w="108" w:type="dxa"/>
              <w:right w:w="0" w:type="dxa"/>
            </w:tcMar>
            <w:vAlign w:val="center"/>
          </w:tcPr>
          <w:p w:rsidR="004300E2" w:rsidRPr="008A0F36" w:rsidRDefault="004300E2" w:rsidP="004300E2">
            <w:pPr>
              <w:pStyle w:val="IAS"/>
              <w:jc w:val="left"/>
              <w:rPr>
                <w:lang w:val="it-IT"/>
              </w:rPr>
            </w:pPr>
          </w:p>
        </w:tc>
        <w:tc>
          <w:tcPr>
            <w:tcW w:w="7079" w:type="dxa"/>
            <w:tcMar>
              <w:left w:w="108" w:type="dxa"/>
            </w:tcMar>
            <w:vAlign w:val="center"/>
          </w:tcPr>
          <w:p w:rsidR="004300E2" w:rsidRPr="008A0F36" w:rsidRDefault="004300E2" w:rsidP="004300E2">
            <w:pPr>
              <w:pStyle w:val="Titolo1"/>
            </w:pPr>
            <w:r w:rsidRPr="008A0F36">
              <w:t>CORREZIONE DI ERRORI</w:t>
            </w:r>
          </w:p>
        </w:tc>
        <w:tc>
          <w:tcPr>
            <w:tcW w:w="575" w:type="dxa"/>
            <w:tcMar>
              <w:left w:w="85" w:type="dxa"/>
              <w:right w:w="85" w:type="dxa"/>
            </w:tcMar>
            <w:vAlign w:val="center"/>
          </w:tcPr>
          <w:p w:rsidR="004300E2" w:rsidRDefault="004300E2" w:rsidP="004300E2">
            <w:pPr>
              <w:jc w:val="left"/>
            </w:pPr>
          </w:p>
        </w:tc>
        <w:tc>
          <w:tcPr>
            <w:tcW w:w="567" w:type="dxa"/>
            <w:tcMar>
              <w:left w:w="108" w:type="dxa"/>
            </w:tcMar>
            <w:vAlign w:val="center"/>
          </w:tcPr>
          <w:p w:rsidR="004300E2" w:rsidRDefault="004300E2" w:rsidP="004300E2">
            <w:pPr>
              <w:jc w:val="left"/>
            </w:pPr>
          </w:p>
        </w:tc>
        <w:tc>
          <w:tcPr>
            <w:tcW w:w="567" w:type="dxa"/>
            <w:tcMar>
              <w:left w:w="108" w:type="dxa"/>
            </w:tcMar>
            <w:vAlign w:val="center"/>
          </w:tcPr>
          <w:p w:rsidR="004300E2" w:rsidRDefault="004300E2" w:rsidP="004300E2">
            <w:pPr>
              <w:jc w:val="left"/>
            </w:pP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8.42</w:t>
            </w:r>
          </w:p>
        </w:tc>
        <w:tc>
          <w:tcPr>
            <w:tcW w:w="7079" w:type="dxa"/>
            <w:tcMar>
              <w:left w:w="108" w:type="dxa"/>
            </w:tcMar>
          </w:tcPr>
          <w:p w:rsidR="004300E2" w:rsidRPr="008A0F36" w:rsidRDefault="004300E2" w:rsidP="004300E2">
            <w:pPr>
              <w:rPr>
                <w:lang w:val="it-IT"/>
              </w:rPr>
            </w:pPr>
            <w:r w:rsidRPr="008A0F36">
              <w:rPr>
                <w:lang w:val="it-IT"/>
              </w:rPr>
              <w:t>L’importo di una rettifica derivante dalla correzione di un errore è stato riportato:</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8A0F36" w:rsidRDefault="00D26424" w:rsidP="00BE0F86">
            <w:pPr>
              <w:pStyle w:val="Rientroa"/>
              <w:numPr>
                <w:ilvl w:val="0"/>
                <w:numId w:val="54"/>
              </w:numPr>
            </w:pPr>
            <w:r w:rsidRPr="008A0F36">
              <w:t>rideterminando nuovamente gli importi comparativi per gli esercizi precedenti in cui è stato commesso l’errore; o</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8A0F36" w:rsidRDefault="00D26424" w:rsidP="00BE0F86">
            <w:pPr>
              <w:pStyle w:val="Rientroa"/>
            </w:pPr>
            <w:r w:rsidRPr="008A0F36">
              <w:t>quando l’errore è stato commesso precedentemente al primo esercizio presentato, rideterminando nuovamente i saldi di apertura di attività, passività, e patrimonio netto per il primo esercizio presentato.</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pStyle w:val="Numeroelenco"/>
              <w:ind w:left="0" w:firstLine="57"/>
              <w:rPr>
                <w:lang w:val="it-IT"/>
              </w:rPr>
            </w:pPr>
          </w:p>
        </w:tc>
        <w:tc>
          <w:tcPr>
            <w:tcW w:w="851" w:type="dxa"/>
            <w:tcMar>
              <w:left w:w="108" w:type="dxa"/>
              <w:right w:w="0" w:type="dxa"/>
            </w:tcMar>
          </w:tcPr>
          <w:p w:rsidR="00D26424" w:rsidRPr="008A0F36" w:rsidRDefault="00D26424" w:rsidP="004300E2">
            <w:pPr>
              <w:pStyle w:val="IAS"/>
              <w:rPr>
                <w:lang w:val="it-IT"/>
              </w:rPr>
            </w:pPr>
            <w:r w:rsidRPr="008A0F36">
              <w:rPr>
                <w:lang w:val="it-IT"/>
              </w:rPr>
              <w:t>IAS 8.43</w:t>
            </w:r>
          </w:p>
          <w:p w:rsidR="00D26424" w:rsidRPr="008A0F36" w:rsidRDefault="00D26424" w:rsidP="004300E2">
            <w:pPr>
              <w:pStyle w:val="IAS"/>
              <w:rPr>
                <w:lang w:val="it-IT"/>
              </w:rPr>
            </w:pPr>
            <w:r w:rsidRPr="008A0F36">
              <w:rPr>
                <w:lang w:val="it-IT"/>
              </w:rPr>
              <w:t>IAS 8.44</w:t>
            </w:r>
          </w:p>
        </w:tc>
        <w:tc>
          <w:tcPr>
            <w:tcW w:w="7079" w:type="dxa"/>
            <w:tcMar>
              <w:left w:w="108" w:type="dxa"/>
            </w:tcMar>
          </w:tcPr>
          <w:p w:rsidR="00D26424" w:rsidRPr="008A0F36" w:rsidRDefault="00D26424" w:rsidP="00BE0F86">
            <w:pPr>
              <w:rPr>
                <w:lang w:val="it-IT"/>
              </w:rPr>
            </w:pPr>
            <w:r w:rsidRPr="008A0F36">
              <w:rPr>
                <w:lang w:val="it-IT"/>
              </w:rPr>
              <w:t>Quando non è fattibile determinare nell’esercizio gli specifici effetti di un errore su un’informativa comparativa, l’entità ha rideterminato i saldi di apertura di attività, passività, e patrimonio netto per il primo esercizio per il quale la rideterminazione retroattiva è determinabile.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pStyle w:val="Numeroelenco"/>
              <w:ind w:left="0" w:firstLine="57"/>
              <w:rPr>
                <w:lang w:val="it-IT"/>
              </w:rPr>
            </w:pPr>
          </w:p>
        </w:tc>
        <w:tc>
          <w:tcPr>
            <w:tcW w:w="851" w:type="dxa"/>
            <w:tcMar>
              <w:left w:w="108" w:type="dxa"/>
              <w:right w:w="0" w:type="dxa"/>
            </w:tcMar>
          </w:tcPr>
          <w:p w:rsidR="00D26424" w:rsidRPr="008A0F36" w:rsidRDefault="00D26424" w:rsidP="004300E2">
            <w:pPr>
              <w:pStyle w:val="IAS"/>
              <w:rPr>
                <w:lang w:val="it-IT"/>
              </w:rPr>
            </w:pPr>
            <w:r w:rsidRPr="008A0F36">
              <w:rPr>
                <w:lang w:val="it-IT"/>
              </w:rPr>
              <w:t>IAS 8.45</w:t>
            </w:r>
          </w:p>
        </w:tc>
        <w:tc>
          <w:tcPr>
            <w:tcW w:w="7079" w:type="dxa"/>
            <w:tcMar>
              <w:left w:w="108" w:type="dxa"/>
            </w:tcMar>
          </w:tcPr>
          <w:p w:rsidR="00D26424" w:rsidRPr="008A0F36" w:rsidRDefault="00D26424" w:rsidP="00BE0F86">
            <w:pPr>
              <w:rPr>
                <w:lang w:val="it-IT"/>
              </w:rPr>
            </w:pPr>
            <w:r w:rsidRPr="008A0F36">
              <w:rPr>
                <w:lang w:val="it-IT"/>
              </w:rPr>
              <w:t>Quando non è fattibile determinare l’effetto cumulativo all’inizio dell’esercizio corrente, l’entità rideterminerà l’informativa comparativa per correggere l’errore prospetticamente a partire dalla prima data possibile.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r w:rsidRPr="008A0F36">
              <w:rPr>
                <w:lang w:val="it-IT"/>
              </w:rPr>
              <w:t>IAS 8.46</w:t>
            </w:r>
          </w:p>
        </w:tc>
        <w:tc>
          <w:tcPr>
            <w:tcW w:w="7079" w:type="dxa"/>
            <w:tcMar>
              <w:left w:w="108" w:type="dxa"/>
            </w:tcMar>
          </w:tcPr>
          <w:p w:rsidR="00D26424" w:rsidRPr="008A0F36" w:rsidRDefault="00D26424" w:rsidP="00BE0F86">
            <w:pPr>
              <w:rPr>
                <w:lang w:val="it-IT"/>
              </w:rPr>
            </w:pPr>
            <w:r w:rsidRPr="008A0F36">
              <w:rPr>
                <w:lang w:val="it-IT"/>
              </w:rPr>
              <w:t>La correzione di un errore di un esercizio precedente non incide sul risultato economico dell’esercizio in cui l’errore viene scoperto. Eventuali informazioni su esercizi precedenti, inclusi i prospetti storici dei dati del bilancio, sono rettificati a partire dalla data più lontana possibile.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8.49</w:t>
            </w:r>
          </w:p>
        </w:tc>
        <w:tc>
          <w:tcPr>
            <w:tcW w:w="7079" w:type="dxa"/>
            <w:tcMar>
              <w:left w:w="108" w:type="dxa"/>
            </w:tcMar>
          </w:tcPr>
          <w:p w:rsidR="004300E2" w:rsidRPr="008A0F36" w:rsidRDefault="004300E2" w:rsidP="004300E2">
            <w:pPr>
              <w:rPr>
                <w:lang w:val="it-IT"/>
              </w:rPr>
            </w:pPr>
            <w:r w:rsidRPr="008A0F36">
              <w:rPr>
                <w:lang w:val="it-IT"/>
              </w:rPr>
              <w:t>L’entità ha dato le seguenti informazioni:</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8A0F36" w:rsidRDefault="00D26424" w:rsidP="004300E2">
            <w:pPr>
              <w:pStyle w:val="Rientroa"/>
              <w:numPr>
                <w:ilvl w:val="0"/>
                <w:numId w:val="55"/>
              </w:numPr>
            </w:pPr>
            <w:r w:rsidRPr="008A0F36">
              <w:t>la natura dell’errore di un esercizio precedente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8A0F36" w:rsidRDefault="00D26424" w:rsidP="004300E2">
            <w:pPr>
              <w:pStyle w:val="Rientroa"/>
            </w:pPr>
            <w:r w:rsidRPr="008A0F36">
              <w:t>per ogni esercizio precedente, ove fattibile, l’importo della rettifica:</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Default="00D26424" w:rsidP="004300E2">
            <w:pPr>
              <w:pStyle w:val="Puntoelenco"/>
              <w:tabs>
                <w:tab w:val="num" w:pos="698"/>
              </w:tabs>
              <w:ind w:left="698" w:hanging="240"/>
              <w:rPr>
                <w:iCs/>
              </w:rPr>
            </w:pPr>
            <w:r w:rsidRPr="008A0F36">
              <w:t>relativamente a ciascuna voce di bilancio interessata; 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r>
              <w:rPr>
                <w:lang w:val="it-IT"/>
              </w:rPr>
              <w:t>IAS 33.2</w:t>
            </w:r>
          </w:p>
        </w:tc>
        <w:tc>
          <w:tcPr>
            <w:tcW w:w="7079" w:type="dxa"/>
            <w:tcMar>
              <w:left w:w="108" w:type="dxa"/>
            </w:tcMar>
          </w:tcPr>
          <w:p w:rsidR="00D26424" w:rsidRDefault="00D26424" w:rsidP="004300E2">
            <w:pPr>
              <w:pStyle w:val="Puntoelenco"/>
              <w:tabs>
                <w:tab w:val="num" w:pos="698"/>
              </w:tabs>
              <w:ind w:left="698" w:hanging="240"/>
              <w:rPr>
                <w:iCs/>
              </w:rPr>
            </w:pPr>
            <w:r w:rsidRPr="008A0F36">
              <w:t>l’ammontare della rettifica per ciascun esercizio presentato relativamente all’utile per azione di base e diluito (se lo IAS 33 sia applicabile all’entità)</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8A0F36" w:rsidRDefault="00D26424" w:rsidP="004300E2">
            <w:pPr>
              <w:pStyle w:val="Rientroa"/>
            </w:pPr>
            <w:r w:rsidRPr="008A0F36">
              <w:t>l’ammontare della rettifica all’inizio del primo esercizio presentato; 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8A0F36" w:rsidRDefault="00D26424" w:rsidP="004300E2">
            <w:pPr>
              <w:pStyle w:val="Rientroa"/>
            </w:pPr>
            <w:r w:rsidRPr="008A0F36">
              <w:t>quando una determinazione retroattiva del valore non è fattibile per un particolare esercizio precedente, le circostanze che hanno portato all’esistenza di tale condizione e una descrizione di come e quando l’errore è stato corretto.</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8.49</w:t>
            </w:r>
          </w:p>
        </w:tc>
        <w:tc>
          <w:tcPr>
            <w:tcW w:w="7079" w:type="dxa"/>
            <w:tcMar>
              <w:left w:w="108" w:type="dxa"/>
            </w:tcMar>
          </w:tcPr>
          <w:p w:rsidR="004300E2" w:rsidRPr="008A0F36" w:rsidRDefault="004300E2" w:rsidP="00634317">
            <w:pPr>
              <w:pStyle w:val="Paragarfobordato"/>
            </w:pPr>
            <w:r w:rsidRPr="008A0F36">
              <w:t>Il bilancio degli esercizi successivi non necessita di ripetere l’informativa richiesta dallo IAS 8.49.</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4300E2" w:rsidRPr="008A0F36" w:rsidTr="00940A6F">
        <w:trPr>
          <w:cantSplit/>
        </w:trPr>
        <w:tc>
          <w:tcPr>
            <w:tcW w:w="567" w:type="dxa"/>
            <w:tcMar>
              <w:left w:w="108" w:type="dxa"/>
            </w:tcMar>
            <w:vAlign w:val="center"/>
          </w:tcPr>
          <w:p w:rsidR="004300E2" w:rsidRPr="008A0F36" w:rsidRDefault="004300E2" w:rsidP="004300E2">
            <w:pPr>
              <w:jc w:val="left"/>
              <w:rPr>
                <w:lang w:val="it-IT"/>
              </w:rPr>
            </w:pPr>
          </w:p>
        </w:tc>
        <w:tc>
          <w:tcPr>
            <w:tcW w:w="851" w:type="dxa"/>
            <w:tcMar>
              <w:left w:w="108" w:type="dxa"/>
              <w:right w:w="0" w:type="dxa"/>
            </w:tcMar>
            <w:vAlign w:val="center"/>
          </w:tcPr>
          <w:p w:rsidR="004300E2" w:rsidRPr="008A0F36" w:rsidRDefault="004300E2" w:rsidP="004300E2">
            <w:pPr>
              <w:pStyle w:val="IAS"/>
              <w:jc w:val="left"/>
              <w:rPr>
                <w:lang w:val="it-IT"/>
              </w:rPr>
            </w:pPr>
          </w:p>
        </w:tc>
        <w:tc>
          <w:tcPr>
            <w:tcW w:w="7079" w:type="dxa"/>
            <w:tcMar>
              <w:left w:w="108" w:type="dxa"/>
            </w:tcMar>
            <w:vAlign w:val="center"/>
          </w:tcPr>
          <w:p w:rsidR="004300E2" w:rsidRPr="008A0F36" w:rsidRDefault="004300E2" w:rsidP="004300E2">
            <w:pPr>
              <w:pStyle w:val="Titolo1"/>
              <w:keepNext w:val="0"/>
            </w:pPr>
            <w:r w:rsidRPr="008A0F36">
              <w:t>DIVIDENDI DISTRIBUITI E DELIBERATI</w:t>
            </w:r>
          </w:p>
        </w:tc>
        <w:tc>
          <w:tcPr>
            <w:tcW w:w="575" w:type="dxa"/>
            <w:tcMar>
              <w:left w:w="85" w:type="dxa"/>
              <w:right w:w="85" w:type="dxa"/>
            </w:tcMar>
            <w:vAlign w:val="center"/>
          </w:tcPr>
          <w:p w:rsidR="004300E2" w:rsidRDefault="004300E2" w:rsidP="004300E2">
            <w:pPr>
              <w:jc w:val="left"/>
            </w:pPr>
          </w:p>
        </w:tc>
        <w:tc>
          <w:tcPr>
            <w:tcW w:w="567" w:type="dxa"/>
            <w:tcMar>
              <w:left w:w="108" w:type="dxa"/>
            </w:tcMar>
            <w:vAlign w:val="center"/>
          </w:tcPr>
          <w:p w:rsidR="004300E2" w:rsidRDefault="004300E2" w:rsidP="004300E2">
            <w:pPr>
              <w:jc w:val="left"/>
            </w:pPr>
          </w:p>
        </w:tc>
        <w:tc>
          <w:tcPr>
            <w:tcW w:w="567" w:type="dxa"/>
            <w:tcMar>
              <w:left w:w="108" w:type="dxa"/>
            </w:tcMar>
            <w:vAlign w:val="center"/>
          </w:tcPr>
          <w:p w:rsidR="004300E2" w:rsidRDefault="004300E2" w:rsidP="004300E2">
            <w:pPr>
              <w:jc w:val="left"/>
            </w:pP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1.137</w:t>
            </w:r>
          </w:p>
        </w:tc>
        <w:tc>
          <w:tcPr>
            <w:tcW w:w="7079" w:type="dxa"/>
            <w:tcMar>
              <w:left w:w="108" w:type="dxa"/>
            </w:tcMar>
          </w:tcPr>
          <w:p w:rsidR="004300E2" w:rsidRPr="008A0F36" w:rsidRDefault="004300E2" w:rsidP="004300E2">
            <w:pPr>
              <w:rPr>
                <w:lang w:val="it-IT"/>
              </w:rPr>
            </w:pPr>
            <w:r w:rsidRPr="008A0F36">
              <w:rPr>
                <w:lang w:val="it-IT"/>
              </w:rPr>
              <w:t>L’entità ha fornito le seguenti informazioni in nota:</w:t>
            </w:r>
          </w:p>
        </w:tc>
        <w:tc>
          <w:tcPr>
            <w:tcW w:w="575" w:type="dxa"/>
            <w:tcMar>
              <w:left w:w="85" w:type="dxa"/>
              <w:right w:w="85"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8A0F36" w:rsidRDefault="00D26424" w:rsidP="004300E2">
            <w:pPr>
              <w:pStyle w:val="Rientroa"/>
              <w:numPr>
                <w:ilvl w:val="0"/>
                <w:numId w:val="56"/>
              </w:numPr>
            </w:pPr>
            <w:r w:rsidRPr="008A0F36">
              <w:t>l’importo dei dividendi proposti o dichiarati prima che il bilancio sia stato autorizzato alla pubblicazione, ma non rilevati nell’esercizio come distribuzione ai possessori di capitale proprio nell’esercizio</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8A0F36" w:rsidRDefault="00D26424" w:rsidP="004300E2">
            <w:pPr>
              <w:pStyle w:val="Rientroa"/>
            </w:pPr>
            <w:r w:rsidRPr="008A0F36">
              <w:t>il relativo importo per azione; 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8A0F36" w:rsidRDefault="00D26424" w:rsidP="004300E2">
            <w:pPr>
              <w:pStyle w:val="Rientroa"/>
            </w:pPr>
            <w:r w:rsidRPr="008A0F36">
              <w:t>l’ammontare non contabilizzato di dividendi spettanti alle azioni privilegiate.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vAlign w:val="center"/>
          </w:tcPr>
          <w:p w:rsidR="004300E2" w:rsidRPr="008A0F36" w:rsidRDefault="004300E2" w:rsidP="004300E2">
            <w:pPr>
              <w:rPr>
                <w:lang w:val="it-IT"/>
              </w:rPr>
            </w:pPr>
          </w:p>
        </w:tc>
        <w:tc>
          <w:tcPr>
            <w:tcW w:w="851" w:type="dxa"/>
            <w:tcMar>
              <w:left w:w="108" w:type="dxa"/>
              <w:right w:w="0" w:type="dxa"/>
            </w:tcMar>
            <w:vAlign w:val="center"/>
          </w:tcPr>
          <w:p w:rsidR="004300E2" w:rsidRPr="008A0F36" w:rsidRDefault="004300E2" w:rsidP="004300E2">
            <w:pPr>
              <w:pStyle w:val="IAS"/>
              <w:jc w:val="both"/>
              <w:rPr>
                <w:lang w:val="it-IT"/>
              </w:rPr>
            </w:pPr>
          </w:p>
        </w:tc>
        <w:tc>
          <w:tcPr>
            <w:tcW w:w="7079" w:type="dxa"/>
            <w:tcMar>
              <w:left w:w="108" w:type="dxa"/>
            </w:tcMar>
            <w:vAlign w:val="center"/>
          </w:tcPr>
          <w:p w:rsidR="004300E2" w:rsidRPr="008A0F36" w:rsidRDefault="004300E2" w:rsidP="004300E2">
            <w:pPr>
              <w:pStyle w:val="Titolo1"/>
              <w:jc w:val="both"/>
            </w:pPr>
            <w:r w:rsidRPr="008A0F36">
              <w:t>DISTRIBUZIONE AI SOCI DI ATTIVITà NON RAPPRESENTATE DA DISPONIBILITà LIQUIDE</w:t>
            </w:r>
          </w:p>
        </w:tc>
        <w:tc>
          <w:tcPr>
            <w:tcW w:w="575" w:type="dxa"/>
            <w:tcMar>
              <w:left w:w="85" w:type="dxa"/>
              <w:right w:w="85" w:type="dxa"/>
            </w:tcMar>
            <w:vAlign w:val="center"/>
          </w:tcPr>
          <w:p w:rsidR="004300E2" w:rsidRPr="00090BE7" w:rsidRDefault="004300E2" w:rsidP="004300E2">
            <w:pPr>
              <w:rPr>
                <w:lang w:val="it-IT"/>
              </w:rPr>
            </w:pPr>
          </w:p>
        </w:tc>
        <w:tc>
          <w:tcPr>
            <w:tcW w:w="567" w:type="dxa"/>
            <w:tcMar>
              <w:left w:w="108" w:type="dxa"/>
            </w:tcMar>
            <w:vAlign w:val="center"/>
          </w:tcPr>
          <w:p w:rsidR="004300E2" w:rsidRPr="00090BE7" w:rsidRDefault="004300E2" w:rsidP="004300E2">
            <w:pPr>
              <w:rPr>
                <w:lang w:val="it-IT"/>
              </w:rPr>
            </w:pPr>
          </w:p>
        </w:tc>
        <w:tc>
          <w:tcPr>
            <w:tcW w:w="567" w:type="dxa"/>
            <w:tcMar>
              <w:left w:w="108" w:type="dxa"/>
            </w:tcMar>
            <w:vAlign w:val="center"/>
          </w:tcPr>
          <w:p w:rsidR="004300E2" w:rsidRPr="00090BE7" w:rsidRDefault="004300E2" w:rsidP="004300E2">
            <w:pPr>
              <w:rPr>
                <w:lang w:val="it-IT"/>
              </w:rPr>
            </w:pPr>
          </w:p>
        </w:tc>
      </w:tr>
      <w:tr w:rsidR="00D26424" w:rsidRPr="008129DA" w:rsidTr="00940A6F">
        <w:trPr>
          <w:cantSplit/>
        </w:trPr>
        <w:tc>
          <w:tcPr>
            <w:tcW w:w="567" w:type="dxa"/>
            <w:tcMar>
              <w:left w:w="108" w:type="dxa"/>
            </w:tcMar>
          </w:tcPr>
          <w:p w:rsidR="00D26424" w:rsidRPr="008A0F36" w:rsidRDefault="00D26424" w:rsidP="004300E2">
            <w:pPr>
              <w:pStyle w:val="Numeroelenco"/>
              <w:ind w:left="0" w:firstLine="57"/>
              <w:rPr>
                <w:lang w:val="it-IT"/>
              </w:rPr>
            </w:pPr>
          </w:p>
        </w:tc>
        <w:tc>
          <w:tcPr>
            <w:tcW w:w="851" w:type="dxa"/>
            <w:tcMar>
              <w:left w:w="108" w:type="dxa"/>
              <w:right w:w="0" w:type="dxa"/>
            </w:tcMar>
          </w:tcPr>
          <w:p w:rsidR="00D26424" w:rsidRPr="008A0F36" w:rsidRDefault="00D26424" w:rsidP="004300E2">
            <w:pPr>
              <w:pStyle w:val="IAS"/>
              <w:rPr>
                <w:lang w:val="it-IT"/>
              </w:rPr>
            </w:pPr>
            <w:r w:rsidRPr="008A0F36">
              <w:rPr>
                <w:lang w:val="it-IT"/>
              </w:rPr>
              <w:t>IFRIC 17.14 IFRIC 17.15</w:t>
            </w:r>
          </w:p>
        </w:tc>
        <w:tc>
          <w:tcPr>
            <w:tcW w:w="7079" w:type="dxa"/>
            <w:tcMar>
              <w:left w:w="108" w:type="dxa"/>
            </w:tcMar>
          </w:tcPr>
          <w:p w:rsidR="00D26424" w:rsidRPr="008A0F36" w:rsidRDefault="00D26424" w:rsidP="004300E2">
            <w:pPr>
              <w:rPr>
                <w:lang w:val="it-IT"/>
              </w:rPr>
            </w:pPr>
            <w:r w:rsidRPr="008A0F36">
              <w:rPr>
                <w:lang w:val="it-IT"/>
              </w:rPr>
              <w:t>Se l’entità regola un debito per dividendi attraverso la distribuzione di attività non monetarie, l’entità rileva eventuali differenze tra il valore contabile delle attività distribuite ed il valore contabile del debito per dividendi come elemento separato nell’utile/(perdita) d’esercizio.</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IFRIC 17.16</w:t>
            </w:r>
          </w:p>
        </w:tc>
        <w:tc>
          <w:tcPr>
            <w:tcW w:w="7079" w:type="dxa"/>
            <w:tcMar>
              <w:left w:w="108" w:type="dxa"/>
            </w:tcMar>
          </w:tcPr>
          <w:p w:rsidR="004300E2" w:rsidRPr="008A0F36" w:rsidRDefault="004300E2" w:rsidP="004300E2">
            <w:pPr>
              <w:rPr>
                <w:lang w:val="it-IT"/>
              </w:rPr>
            </w:pPr>
            <w:r w:rsidRPr="008A0F36">
              <w:rPr>
                <w:lang w:val="it-IT"/>
              </w:rPr>
              <w:t>In una distribuzione ai soci di attività non rappresentate da disponibilità liquide, l’entità fornisce indicazioni:</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8A0F36" w:rsidRDefault="00D26424" w:rsidP="004300E2">
            <w:pPr>
              <w:pStyle w:val="Rientroa"/>
              <w:numPr>
                <w:ilvl w:val="0"/>
                <w:numId w:val="57"/>
              </w:numPr>
            </w:pPr>
            <w:r w:rsidRPr="008A0F36">
              <w:t>del valore contabile del dividendo pagabile all’inizio ed alla fine dell’esercizio; 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8A0F36" w:rsidRDefault="00D26424" w:rsidP="004300E2">
            <w:pPr>
              <w:pStyle w:val="Rientroa"/>
            </w:pPr>
            <w:r w:rsidRPr="008A0F36">
              <w:t xml:space="preserve">l’incremento o la riduzione del valore contabile del dividendo pagabile rilevato nell’esercizio, dovuto a cambiamento del </w:t>
            </w:r>
            <w:r w:rsidRPr="008A0F36">
              <w:rPr>
                <w:i/>
              </w:rPr>
              <w:t>fair value</w:t>
            </w:r>
            <w:r w:rsidRPr="008A0F36">
              <w:t xml:space="preserve"> delle attività da distribuire.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IFRIC 17.17</w:t>
            </w:r>
          </w:p>
        </w:tc>
        <w:tc>
          <w:tcPr>
            <w:tcW w:w="7079" w:type="dxa"/>
            <w:tcMar>
              <w:left w:w="108" w:type="dxa"/>
            </w:tcMar>
          </w:tcPr>
          <w:p w:rsidR="004300E2" w:rsidRPr="008A0F36" w:rsidRDefault="004300E2" w:rsidP="004300E2">
            <w:pPr>
              <w:rPr>
                <w:lang w:val="it-IT"/>
              </w:rPr>
            </w:pPr>
            <w:r w:rsidRPr="008A0F36">
              <w:rPr>
                <w:lang w:val="it-IT"/>
              </w:rPr>
              <w:t xml:space="preserve">Se l’entità dichiara l’intenzione di distribuire </w:t>
            </w:r>
            <w:r w:rsidR="00E022E0">
              <w:rPr>
                <w:lang w:val="it-IT"/>
              </w:rPr>
              <w:t>un’a</w:t>
            </w:r>
            <w:r w:rsidRPr="008A0F36">
              <w:rPr>
                <w:lang w:val="it-IT"/>
              </w:rPr>
              <w:t>ttività non monetaria dopo la fine dell’esercizio, ma prima che il bilancio sia autorizzato alla pubblicazione, l’entità indica:</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8A0F36" w:rsidRDefault="00D26424" w:rsidP="004300E2">
            <w:pPr>
              <w:pStyle w:val="Rientroa"/>
              <w:numPr>
                <w:ilvl w:val="0"/>
                <w:numId w:val="58"/>
              </w:numPr>
            </w:pPr>
            <w:r w:rsidRPr="008A0F36">
              <w:t>la natura dell’attività che sarà distribuita</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8A0F36" w:rsidRDefault="00D26424" w:rsidP="004300E2">
            <w:pPr>
              <w:pStyle w:val="Rientroa"/>
            </w:pPr>
            <w:r w:rsidRPr="008A0F36">
              <w:t>il valore contabile dell’attività da distribuire così come risultante alla fine dell’esercizio</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8A0F36" w:rsidRDefault="00D26424" w:rsidP="004300E2">
            <w:pPr>
              <w:pStyle w:val="Rientroa"/>
            </w:pPr>
            <w:r w:rsidRPr="008A0F36">
              <w:t xml:space="preserve">il </w:t>
            </w:r>
            <w:r w:rsidRPr="008A0F36">
              <w:rPr>
                <w:i/>
              </w:rPr>
              <w:t>fair value</w:t>
            </w:r>
            <w:r w:rsidRPr="008A0F36">
              <w:t xml:space="preserve"> stimato dell’attività da distribuire alla fine dell’esercizio, se è diverso dal valore contabile dell’attività; 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D26424">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Default="00D26424" w:rsidP="004300E2">
            <w:pPr>
              <w:pStyle w:val="IAS"/>
              <w:rPr>
                <w:lang w:val="it-IT"/>
              </w:rPr>
            </w:pPr>
          </w:p>
          <w:p w:rsidR="00D26424" w:rsidRDefault="00D26424" w:rsidP="004300E2">
            <w:pPr>
              <w:pStyle w:val="IAS"/>
              <w:jc w:val="both"/>
              <w:rPr>
                <w:lang w:val="it-IT"/>
              </w:rPr>
            </w:pPr>
          </w:p>
        </w:tc>
        <w:tc>
          <w:tcPr>
            <w:tcW w:w="7079" w:type="dxa"/>
            <w:tcMar>
              <w:left w:w="108" w:type="dxa"/>
            </w:tcMar>
          </w:tcPr>
          <w:p w:rsidR="00D26424" w:rsidRPr="00347FAC" w:rsidRDefault="00D26424" w:rsidP="004300E2">
            <w:pPr>
              <w:pStyle w:val="Rientroa"/>
            </w:pPr>
            <w:r w:rsidRPr="00251283">
              <w:t xml:space="preserve">se il </w:t>
            </w:r>
            <w:r w:rsidRPr="00251283">
              <w:rPr>
                <w:i/>
              </w:rPr>
              <w:t xml:space="preserve">fair value </w:t>
            </w:r>
            <w:r w:rsidRPr="00251283">
              <w:t>dell’attività da distribuire è presentato in accordo con il precedente punto c), la seguente informativa richiesta dall’IFRS 13:</w:t>
            </w:r>
          </w:p>
        </w:tc>
        <w:tc>
          <w:tcPr>
            <w:tcW w:w="575" w:type="dxa"/>
            <w:tcMar>
              <w:left w:w="85" w:type="dxa"/>
              <w:right w:w="85" w:type="dxa"/>
            </w:tcMar>
            <w:vAlign w:val="center"/>
          </w:tcPr>
          <w:p w:rsidR="00D26424" w:rsidRPr="00A32A16" w:rsidRDefault="00D26424" w:rsidP="004300E2">
            <w:pP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0D015F" w:rsidRDefault="00D26424" w:rsidP="004300E2">
            <w:pPr>
              <w:pStyle w:val="IAS"/>
            </w:pPr>
            <w:r w:rsidRPr="00AB2C1C">
              <w:t>IFRS 13.99</w:t>
            </w:r>
          </w:p>
          <w:p w:rsidR="00D26424" w:rsidRDefault="00D26424" w:rsidP="004300E2">
            <w:pPr>
              <w:pStyle w:val="IAS"/>
              <w:rPr>
                <w:lang w:val="it-IT"/>
              </w:rPr>
            </w:pPr>
          </w:p>
        </w:tc>
        <w:tc>
          <w:tcPr>
            <w:tcW w:w="7079" w:type="dxa"/>
            <w:tcMar>
              <w:left w:w="108" w:type="dxa"/>
            </w:tcMar>
          </w:tcPr>
          <w:p w:rsidR="00D26424" w:rsidRPr="00251283" w:rsidRDefault="00D26424" w:rsidP="004300E2">
            <w:pPr>
              <w:pStyle w:val="Rientroa"/>
              <w:numPr>
                <w:ilvl w:val="0"/>
                <w:numId w:val="239"/>
              </w:numPr>
              <w:ind w:left="742" w:hanging="295"/>
            </w:pPr>
            <w:r w:rsidRPr="00251283">
              <w:t>le informazioni quantitative richieste dall’IFRS 13 in formato tabellare, a meno che non sia più idoneo un formato diverso;</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0D015F" w:rsidRDefault="00D26424" w:rsidP="004300E2">
            <w:pPr>
              <w:pStyle w:val="IAS"/>
            </w:pPr>
            <w:r w:rsidRPr="00AB2C1C">
              <w:t>IRFS 13.93(b)</w:t>
            </w:r>
          </w:p>
          <w:p w:rsidR="00D26424" w:rsidRDefault="00D26424" w:rsidP="004300E2">
            <w:pPr>
              <w:pStyle w:val="IAS"/>
              <w:rPr>
                <w:lang w:val="it-IT"/>
              </w:rPr>
            </w:pPr>
          </w:p>
        </w:tc>
        <w:tc>
          <w:tcPr>
            <w:tcW w:w="7079" w:type="dxa"/>
            <w:tcMar>
              <w:left w:w="108" w:type="dxa"/>
            </w:tcMar>
          </w:tcPr>
          <w:p w:rsidR="00D26424" w:rsidRPr="00251283" w:rsidRDefault="00D26424" w:rsidP="004300E2">
            <w:pPr>
              <w:pStyle w:val="Rientroa"/>
              <w:numPr>
                <w:ilvl w:val="0"/>
                <w:numId w:val="239"/>
              </w:numPr>
              <w:ind w:left="742" w:hanging="283"/>
            </w:pPr>
            <w:r w:rsidRPr="00251283">
              <w:t xml:space="preserve">il livello della gerarchia del </w:t>
            </w:r>
            <w:r w:rsidRPr="00251283">
              <w:rPr>
                <w:i/>
              </w:rPr>
              <w:t xml:space="preserve">fair value </w:t>
            </w:r>
            <w:r w:rsidRPr="00251283">
              <w:t xml:space="preserve">in cui sono classificate le valutazioni del </w:t>
            </w:r>
            <w:r w:rsidRPr="00251283">
              <w:rPr>
                <w:i/>
              </w:rPr>
              <w:t>fair value</w:t>
            </w:r>
            <w:r>
              <w:rPr>
                <w:i/>
              </w:rPr>
              <w:t xml:space="preserve"> </w:t>
            </w:r>
            <w:r w:rsidRPr="00251283">
              <w:t>nella loro interezza (Livello 1, 2 o 3);</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D26424">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Pr="00C0264D" w:rsidRDefault="00D26424" w:rsidP="00C0264D">
            <w:pPr>
              <w:pStyle w:val="IAS"/>
            </w:pPr>
            <w:r w:rsidRPr="00AB2C1C">
              <w:t>IFRS 13.93(d)</w:t>
            </w:r>
          </w:p>
        </w:tc>
        <w:tc>
          <w:tcPr>
            <w:tcW w:w="7079" w:type="dxa"/>
            <w:tcMar>
              <w:left w:w="108" w:type="dxa"/>
            </w:tcMar>
          </w:tcPr>
          <w:p w:rsidR="00D26424" w:rsidRPr="008D4564" w:rsidRDefault="00D26424" w:rsidP="004300E2">
            <w:pPr>
              <w:pStyle w:val="Rientroa"/>
              <w:numPr>
                <w:ilvl w:val="0"/>
                <w:numId w:val="239"/>
              </w:numPr>
              <w:ind w:left="742" w:hanging="283"/>
              <w:rPr>
                <w:iCs/>
              </w:rPr>
            </w:pPr>
            <w:r w:rsidRPr="00251283">
              <w:t xml:space="preserve">per le valutazioni del </w:t>
            </w:r>
            <w:r w:rsidRPr="00251283">
              <w:rPr>
                <w:i/>
              </w:rPr>
              <w:t>fair value</w:t>
            </w:r>
            <w:r w:rsidRPr="00251283">
              <w:t xml:space="preserve"> classificate nei Livelli 2 e 3 della gerarchia:</w:t>
            </w:r>
          </w:p>
        </w:tc>
        <w:tc>
          <w:tcPr>
            <w:tcW w:w="575" w:type="dxa"/>
            <w:tcMar>
              <w:left w:w="85" w:type="dxa"/>
              <w:right w:w="85" w:type="dxa"/>
            </w:tcMar>
            <w:vAlign w:val="center"/>
          </w:tcPr>
          <w:p w:rsidR="00D26424" w:rsidRPr="004979D5"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0E63A4"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0E63A4"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Default="00D26424" w:rsidP="004300E2">
            <w:pPr>
              <w:pStyle w:val="IAS"/>
              <w:rPr>
                <w:lang w:val="it-IT"/>
              </w:rPr>
            </w:pPr>
          </w:p>
        </w:tc>
        <w:tc>
          <w:tcPr>
            <w:tcW w:w="7079" w:type="dxa"/>
            <w:tcMar>
              <w:left w:w="108" w:type="dxa"/>
            </w:tcMar>
          </w:tcPr>
          <w:p w:rsidR="00D26424" w:rsidRPr="00251283" w:rsidRDefault="00D26424" w:rsidP="004300E2">
            <w:pPr>
              <w:pStyle w:val="Rientroa"/>
              <w:numPr>
                <w:ilvl w:val="0"/>
                <w:numId w:val="224"/>
              </w:numPr>
              <w:ind w:left="1026" w:hanging="284"/>
            </w:pPr>
            <w:r w:rsidRPr="00251283">
              <w:t xml:space="preserve">una descrizione delle tecniche di valutazione e degli input utilizzati nella valutazione del </w:t>
            </w:r>
            <w:r w:rsidRPr="00251283">
              <w:rPr>
                <w:i/>
              </w:rPr>
              <w:t>fair value;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Default="00D26424" w:rsidP="004300E2">
            <w:pPr>
              <w:pStyle w:val="IAS"/>
              <w:rPr>
                <w:lang w:val="it-IT"/>
              </w:rPr>
            </w:pPr>
          </w:p>
        </w:tc>
        <w:tc>
          <w:tcPr>
            <w:tcW w:w="7079" w:type="dxa"/>
            <w:tcMar>
              <w:left w:w="108" w:type="dxa"/>
            </w:tcMar>
          </w:tcPr>
          <w:p w:rsidR="00D26424" w:rsidRPr="008D4564" w:rsidRDefault="00D26424" w:rsidP="004300E2">
            <w:pPr>
              <w:pStyle w:val="Rientroa"/>
              <w:numPr>
                <w:ilvl w:val="0"/>
                <w:numId w:val="224"/>
              </w:numPr>
              <w:ind w:left="1026" w:hanging="284"/>
              <w:rPr>
                <w:iCs/>
              </w:rPr>
            </w:pPr>
            <w:r w:rsidRPr="00251283">
              <w:t>se è intervenuto un cambiamento nella tecnica di valutazione, l’indicazione di tale cambiamento e le motivazioni;</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Default="00D26424" w:rsidP="004300E2">
            <w:pPr>
              <w:pStyle w:val="IAS"/>
              <w:rPr>
                <w:lang w:val="it-IT"/>
              </w:rPr>
            </w:pPr>
          </w:p>
        </w:tc>
        <w:tc>
          <w:tcPr>
            <w:tcW w:w="7079" w:type="dxa"/>
            <w:tcMar>
              <w:left w:w="108" w:type="dxa"/>
            </w:tcMar>
          </w:tcPr>
          <w:p w:rsidR="00D26424" w:rsidRPr="00251283" w:rsidRDefault="00D26424" w:rsidP="004300E2">
            <w:pPr>
              <w:pStyle w:val="Rientroa"/>
              <w:numPr>
                <w:ilvl w:val="0"/>
                <w:numId w:val="224"/>
              </w:numPr>
              <w:ind w:left="1026" w:hanging="284"/>
            </w:pPr>
            <w:r w:rsidRPr="00251283">
              <w:t xml:space="preserve">per le valutazioni del </w:t>
            </w:r>
            <w:r w:rsidRPr="00251283">
              <w:rPr>
                <w:i/>
              </w:rPr>
              <w:t>fair value</w:t>
            </w:r>
            <w:r>
              <w:rPr>
                <w:i/>
              </w:rPr>
              <w:t xml:space="preserve"> </w:t>
            </w:r>
            <w:r w:rsidRPr="00251283">
              <w:t xml:space="preserve">classificate nel Livello 3 della gerarchia, informazioni quantitative sugli input non osservabili utilizzati nella valutazione del </w:t>
            </w:r>
            <w:r w:rsidRPr="00251283">
              <w:rPr>
                <w:i/>
              </w:rPr>
              <w:t>fair value;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Default="00D26424" w:rsidP="004300E2">
            <w:pPr>
              <w:pStyle w:val="IAS"/>
              <w:jc w:val="both"/>
              <w:rPr>
                <w:lang w:val="it-IT"/>
              </w:rPr>
            </w:pPr>
            <w:r>
              <w:rPr>
                <w:lang w:val="it-IT"/>
              </w:rPr>
              <w:t>IFRS 13.93(g)</w:t>
            </w:r>
          </w:p>
          <w:p w:rsidR="00D26424" w:rsidRDefault="00D26424" w:rsidP="004300E2">
            <w:pPr>
              <w:pStyle w:val="IAS"/>
              <w:rPr>
                <w:lang w:val="it-IT"/>
              </w:rPr>
            </w:pPr>
          </w:p>
        </w:tc>
        <w:tc>
          <w:tcPr>
            <w:tcW w:w="7079" w:type="dxa"/>
            <w:tcMar>
              <w:left w:w="108" w:type="dxa"/>
            </w:tcMar>
          </w:tcPr>
          <w:p w:rsidR="00D26424" w:rsidRPr="008D4564" w:rsidRDefault="00D26424" w:rsidP="004300E2">
            <w:pPr>
              <w:pStyle w:val="Rientroa"/>
              <w:numPr>
                <w:ilvl w:val="0"/>
                <w:numId w:val="239"/>
              </w:numPr>
              <w:ind w:left="742" w:hanging="283"/>
              <w:rPr>
                <w:iCs/>
              </w:rPr>
            </w:pPr>
            <w:r w:rsidRPr="00251283">
              <w:t xml:space="preserve">per le valutazioni del fair value classificate nel Livello 3 della gerarchia del </w:t>
            </w:r>
            <w:r w:rsidRPr="005F6918">
              <w:rPr>
                <w:i/>
              </w:rPr>
              <w:t>fair value</w:t>
            </w:r>
            <w:r w:rsidRPr="00251283">
              <w:t>, una descrizione dei processi di valutazione utilizzati dall’entità (incluso, per esempio, come l’entità definisce i propri criteri e le procedure di valutazione e come analizza i cambiamenti intervenuti nelle valutazioni del fair value tra i vari esercizi);</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8A0F36" w:rsidRDefault="00D26424" w:rsidP="004300E2">
            <w:pPr>
              <w:rPr>
                <w:lang w:val="it-IT"/>
              </w:rPr>
            </w:pPr>
          </w:p>
        </w:tc>
        <w:tc>
          <w:tcPr>
            <w:tcW w:w="851" w:type="dxa"/>
            <w:tcMar>
              <w:left w:w="108" w:type="dxa"/>
              <w:right w:w="0" w:type="dxa"/>
            </w:tcMar>
          </w:tcPr>
          <w:p w:rsidR="00D26424" w:rsidRDefault="00D26424" w:rsidP="004300E2">
            <w:pPr>
              <w:pStyle w:val="IAS"/>
              <w:rPr>
                <w:lang w:val="it-IT"/>
              </w:rPr>
            </w:pPr>
            <w:r>
              <w:rPr>
                <w:lang w:val="it-IT"/>
              </w:rPr>
              <w:t>IFRS 13.93(i)</w:t>
            </w:r>
          </w:p>
        </w:tc>
        <w:tc>
          <w:tcPr>
            <w:tcW w:w="7079" w:type="dxa"/>
            <w:tcMar>
              <w:left w:w="108" w:type="dxa"/>
            </w:tcMar>
          </w:tcPr>
          <w:p w:rsidR="00D26424" w:rsidRPr="00251283" w:rsidRDefault="00D26424" w:rsidP="004300E2">
            <w:pPr>
              <w:pStyle w:val="Rientroa"/>
              <w:numPr>
                <w:ilvl w:val="0"/>
                <w:numId w:val="239"/>
              </w:numPr>
              <w:ind w:left="742" w:hanging="283"/>
            </w:pPr>
            <w:r w:rsidRPr="00251283">
              <w:rPr>
                <w:rFonts w:cs="EUAlbertina"/>
                <w:color w:val="19161B"/>
                <w:lang w:eastAsia="it-IT"/>
              </w:rPr>
              <w:t xml:space="preserve">per le valutazioni del </w:t>
            </w:r>
            <w:r w:rsidRPr="00251283">
              <w:rPr>
                <w:rFonts w:cs="EUAlbertina"/>
                <w:i/>
                <w:iCs/>
                <w:color w:val="19161B"/>
                <w:lang w:eastAsia="it-IT"/>
              </w:rPr>
              <w:t>fair value</w:t>
            </w:r>
            <w:r w:rsidRPr="00251283">
              <w:rPr>
                <w:rFonts w:cs="EUAlbertina"/>
                <w:color w:val="19161B"/>
                <w:lang w:eastAsia="it-IT"/>
              </w:rPr>
              <w:t>, se il massimo e miglior (“</w:t>
            </w:r>
            <w:r w:rsidRPr="00FB4B6E">
              <w:rPr>
                <w:rFonts w:cs="EUAlbertina"/>
                <w:i/>
                <w:color w:val="19161B"/>
                <w:lang w:eastAsia="it-IT"/>
              </w:rPr>
              <w:t>highest and best use</w:t>
            </w:r>
            <w:r w:rsidRPr="00251283">
              <w:rPr>
                <w:rFonts w:cs="EUAlbertina"/>
                <w:color w:val="19161B"/>
                <w:lang w:eastAsia="it-IT"/>
              </w:rPr>
              <w:t>”) utilizzo di un’attività non finanziaria differisce dal suo utilizzo corrente, un’entità deve indicare tale fatto e il motivo per cui l’attività non finanziaria viene utilizzata in modo diverso dal suo massimo e miglior utilizzo.</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A0F36" w:rsidTr="00940A6F">
        <w:trPr>
          <w:cantSplit/>
        </w:trPr>
        <w:tc>
          <w:tcPr>
            <w:tcW w:w="567" w:type="dxa"/>
            <w:tcMar>
              <w:left w:w="108" w:type="dxa"/>
            </w:tcMar>
            <w:vAlign w:val="center"/>
          </w:tcPr>
          <w:p w:rsidR="004300E2" w:rsidRPr="008A0F36" w:rsidRDefault="004300E2" w:rsidP="004300E2">
            <w:pPr>
              <w:jc w:val="left"/>
              <w:rPr>
                <w:lang w:val="it-IT"/>
              </w:rPr>
            </w:pPr>
          </w:p>
        </w:tc>
        <w:tc>
          <w:tcPr>
            <w:tcW w:w="851" w:type="dxa"/>
            <w:tcMar>
              <w:left w:w="108" w:type="dxa"/>
              <w:right w:w="0" w:type="dxa"/>
            </w:tcMar>
            <w:vAlign w:val="center"/>
          </w:tcPr>
          <w:p w:rsidR="004300E2" w:rsidRPr="008A0F36" w:rsidRDefault="004300E2" w:rsidP="004300E2">
            <w:pPr>
              <w:pStyle w:val="IAS"/>
              <w:jc w:val="left"/>
              <w:rPr>
                <w:lang w:val="it-IT"/>
              </w:rPr>
            </w:pPr>
          </w:p>
        </w:tc>
        <w:tc>
          <w:tcPr>
            <w:tcW w:w="7079" w:type="dxa"/>
            <w:tcMar>
              <w:left w:w="108" w:type="dxa"/>
            </w:tcMar>
            <w:vAlign w:val="center"/>
          </w:tcPr>
          <w:p w:rsidR="004300E2" w:rsidRPr="008A0F36" w:rsidRDefault="004300E2" w:rsidP="004300E2">
            <w:pPr>
              <w:pStyle w:val="Titolo1"/>
            </w:pPr>
            <w:r w:rsidRPr="008A0F36">
              <w:t xml:space="preserve">BENEFICI </w:t>
            </w:r>
            <w:r>
              <w:t xml:space="preserve">PER </w:t>
            </w:r>
            <w:r w:rsidRPr="008A0F36">
              <w:t>I DIPENDENTI</w:t>
            </w:r>
          </w:p>
        </w:tc>
        <w:tc>
          <w:tcPr>
            <w:tcW w:w="575" w:type="dxa"/>
            <w:tcMar>
              <w:left w:w="85" w:type="dxa"/>
              <w:right w:w="85" w:type="dxa"/>
            </w:tcMar>
            <w:vAlign w:val="center"/>
          </w:tcPr>
          <w:p w:rsidR="004300E2" w:rsidRDefault="004300E2" w:rsidP="004300E2">
            <w:pPr>
              <w:jc w:val="left"/>
            </w:pPr>
          </w:p>
        </w:tc>
        <w:tc>
          <w:tcPr>
            <w:tcW w:w="567" w:type="dxa"/>
            <w:tcMar>
              <w:left w:w="108" w:type="dxa"/>
            </w:tcMar>
            <w:vAlign w:val="center"/>
          </w:tcPr>
          <w:p w:rsidR="004300E2" w:rsidRDefault="004300E2" w:rsidP="004300E2">
            <w:pPr>
              <w:jc w:val="left"/>
            </w:pPr>
          </w:p>
        </w:tc>
        <w:tc>
          <w:tcPr>
            <w:tcW w:w="567" w:type="dxa"/>
            <w:tcMar>
              <w:left w:w="108" w:type="dxa"/>
            </w:tcMar>
            <w:vAlign w:val="center"/>
          </w:tcPr>
          <w:p w:rsidR="004300E2" w:rsidRDefault="004300E2" w:rsidP="004300E2">
            <w:pPr>
              <w:jc w:val="left"/>
            </w:pPr>
          </w:p>
        </w:tc>
      </w:tr>
      <w:tr w:rsidR="004300E2" w:rsidRPr="00A44ECD" w:rsidTr="00940A6F">
        <w:trPr>
          <w:cantSplit/>
        </w:trPr>
        <w:tc>
          <w:tcPr>
            <w:tcW w:w="567" w:type="dxa"/>
            <w:tcMar>
              <w:left w:w="108" w:type="dxa"/>
            </w:tcMar>
          </w:tcPr>
          <w:p w:rsidR="004300E2" w:rsidRPr="008A0F36" w:rsidRDefault="004300E2" w:rsidP="004300E2">
            <w:pPr>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Pr="00CE0185" w:rsidRDefault="004300E2" w:rsidP="004300E2">
            <w:pPr>
              <w:rPr>
                <w:b/>
                <w:caps/>
                <w:lang w:val="it-IT"/>
              </w:rPr>
            </w:pPr>
            <w:r w:rsidRPr="00F12965">
              <w:rPr>
                <w:rFonts w:cs="EUAlbertina"/>
                <w:b/>
                <w:color w:val="000000"/>
                <w:lang w:val="it-IT"/>
              </w:rPr>
              <w:t>Benefici a breve termine per i dipendenti</w:t>
            </w:r>
          </w:p>
        </w:tc>
        <w:tc>
          <w:tcPr>
            <w:tcW w:w="575" w:type="dxa"/>
            <w:tcMar>
              <w:left w:w="85" w:type="dxa"/>
              <w:right w:w="85" w:type="dxa"/>
            </w:tcMar>
            <w:vAlign w:val="center"/>
          </w:tcPr>
          <w:p w:rsidR="004300E2" w:rsidRPr="009E6BCD" w:rsidRDefault="004300E2" w:rsidP="004300E2">
            <w:pPr>
              <w:jc w:val="center"/>
              <w:rPr>
                <w:lang w:val="it-IT"/>
              </w:rPr>
            </w:pPr>
          </w:p>
        </w:tc>
        <w:tc>
          <w:tcPr>
            <w:tcW w:w="567" w:type="dxa"/>
            <w:tcMar>
              <w:left w:w="108" w:type="dxa"/>
            </w:tcMar>
            <w:vAlign w:val="center"/>
          </w:tcPr>
          <w:p w:rsidR="004300E2" w:rsidRPr="009E6BCD" w:rsidRDefault="004300E2" w:rsidP="004300E2">
            <w:pPr>
              <w:jc w:val="center"/>
              <w:rPr>
                <w:lang w:val="it-IT"/>
              </w:rPr>
            </w:pPr>
          </w:p>
        </w:tc>
        <w:tc>
          <w:tcPr>
            <w:tcW w:w="567" w:type="dxa"/>
            <w:tcMar>
              <w:left w:w="108" w:type="dxa"/>
            </w:tcMar>
            <w:vAlign w:val="center"/>
          </w:tcPr>
          <w:p w:rsidR="004300E2" w:rsidRPr="009E6BCD" w:rsidRDefault="004300E2" w:rsidP="004300E2">
            <w:pPr>
              <w:jc w:val="center"/>
              <w:rPr>
                <w:lang w:val="it-IT"/>
              </w:rPr>
            </w:pPr>
          </w:p>
        </w:tc>
      </w:tr>
      <w:tr w:rsidR="004300E2" w:rsidRPr="00A44ECD" w:rsidTr="00940A6F">
        <w:trPr>
          <w:cantSplit/>
        </w:trPr>
        <w:tc>
          <w:tcPr>
            <w:tcW w:w="567" w:type="dxa"/>
            <w:tcMar>
              <w:left w:w="108" w:type="dxa"/>
            </w:tcMar>
          </w:tcPr>
          <w:p w:rsidR="004300E2" w:rsidRPr="008A0F36" w:rsidRDefault="004300E2" w:rsidP="004300E2">
            <w:pPr>
              <w:rPr>
                <w:lang w:val="it-IT"/>
              </w:rPr>
            </w:pPr>
          </w:p>
        </w:tc>
        <w:tc>
          <w:tcPr>
            <w:tcW w:w="851" w:type="dxa"/>
            <w:tcMar>
              <w:left w:w="108" w:type="dxa"/>
              <w:right w:w="0" w:type="dxa"/>
            </w:tcMar>
          </w:tcPr>
          <w:p w:rsidR="004300E2" w:rsidRPr="008A0F36" w:rsidRDefault="004300E2" w:rsidP="004300E2">
            <w:pPr>
              <w:pStyle w:val="IAS"/>
              <w:rPr>
                <w:lang w:val="it-IT"/>
              </w:rPr>
            </w:pPr>
            <w:r w:rsidRPr="00D51324">
              <w:rPr>
                <w:sz w:val="12"/>
                <w:szCs w:val="12"/>
                <w:lang w:val="it-IT"/>
              </w:rPr>
              <w:t>IAS 19.25</w:t>
            </w:r>
            <w:r>
              <w:rPr>
                <w:sz w:val="12"/>
                <w:szCs w:val="12"/>
                <w:lang w:val="it-IT"/>
              </w:rPr>
              <w:br/>
              <w:t>IAS 1.104</w:t>
            </w:r>
          </w:p>
        </w:tc>
        <w:tc>
          <w:tcPr>
            <w:tcW w:w="7079" w:type="dxa"/>
            <w:tcMar>
              <w:left w:w="108" w:type="dxa"/>
            </w:tcMar>
          </w:tcPr>
          <w:p w:rsidR="004300E2" w:rsidRPr="00CE0185" w:rsidRDefault="004300E2" w:rsidP="00634317">
            <w:pPr>
              <w:pStyle w:val="Paragarfobordato"/>
              <w:rPr>
                <w:rFonts w:cs="EUAlbertina"/>
                <w:caps/>
                <w:color w:val="000000"/>
              </w:rPr>
            </w:pPr>
            <w:r w:rsidRPr="00AB2C1C">
              <w:t>Sebbene lo IAS 19 non richieda specifiche informazioni integrative sui benefici a breve termine per i dipendenti, esse possono essere richieste da altri IFRS. Per esempio, lo IAS 24 richiede indicazioni sui benefici per i dipendenti a favore di dirigenti con responsabilità strategiche. Lo IAS 1 Presentazione del bilancio richiede l’indicazione dei costi dei benefici per i dipendenti.</w:t>
            </w:r>
          </w:p>
        </w:tc>
        <w:tc>
          <w:tcPr>
            <w:tcW w:w="575" w:type="dxa"/>
            <w:tcMar>
              <w:left w:w="85" w:type="dxa"/>
              <w:right w:w="85" w:type="dxa"/>
            </w:tcMar>
            <w:vAlign w:val="center"/>
          </w:tcPr>
          <w:p w:rsidR="004300E2" w:rsidRPr="009E6BCD" w:rsidRDefault="004300E2" w:rsidP="004300E2">
            <w:pPr>
              <w:jc w:val="center"/>
              <w:rPr>
                <w:lang w:val="it-IT"/>
              </w:rPr>
            </w:pPr>
          </w:p>
        </w:tc>
        <w:tc>
          <w:tcPr>
            <w:tcW w:w="567" w:type="dxa"/>
            <w:tcMar>
              <w:left w:w="108" w:type="dxa"/>
            </w:tcMar>
            <w:vAlign w:val="center"/>
          </w:tcPr>
          <w:p w:rsidR="004300E2" w:rsidRPr="009E6BCD" w:rsidRDefault="004300E2" w:rsidP="004300E2">
            <w:pPr>
              <w:jc w:val="center"/>
              <w:rPr>
                <w:lang w:val="it-IT"/>
              </w:rPr>
            </w:pPr>
          </w:p>
        </w:tc>
        <w:tc>
          <w:tcPr>
            <w:tcW w:w="567" w:type="dxa"/>
            <w:tcMar>
              <w:left w:w="108" w:type="dxa"/>
            </w:tcMar>
            <w:vAlign w:val="center"/>
          </w:tcPr>
          <w:p w:rsidR="004300E2" w:rsidRPr="009E6BCD" w:rsidRDefault="004300E2" w:rsidP="004300E2">
            <w:pPr>
              <w:jc w:val="center"/>
              <w:rPr>
                <w:lang w:val="it-IT"/>
              </w:rPr>
            </w:pPr>
          </w:p>
        </w:tc>
      </w:tr>
      <w:tr w:rsidR="004300E2" w:rsidRPr="00A44ECD" w:rsidTr="00940A6F">
        <w:trPr>
          <w:cantSplit/>
        </w:trPr>
        <w:tc>
          <w:tcPr>
            <w:tcW w:w="567" w:type="dxa"/>
            <w:tcMar>
              <w:left w:w="108" w:type="dxa"/>
            </w:tcMar>
          </w:tcPr>
          <w:p w:rsidR="004300E2" w:rsidRPr="008A0F36" w:rsidRDefault="004300E2" w:rsidP="004300E2">
            <w:pPr>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Pr="00CE0185" w:rsidRDefault="004300E2" w:rsidP="004300E2">
            <w:pPr>
              <w:rPr>
                <w:rFonts w:cs="EUAlbertina"/>
                <w:b/>
                <w:color w:val="000000"/>
                <w:lang w:val="it-IT"/>
              </w:rPr>
            </w:pPr>
            <w:r w:rsidRPr="00F12965">
              <w:rPr>
                <w:rFonts w:cs="EUAlbertina"/>
                <w:b/>
                <w:color w:val="000000"/>
                <w:lang w:val="it-IT"/>
              </w:rPr>
              <w:t>Altri benefici a lungo termine per i dipendenti</w:t>
            </w:r>
          </w:p>
        </w:tc>
        <w:tc>
          <w:tcPr>
            <w:tcW w:w="575" w:type="dxa"/>
            <w:tcMar>
              <w:left w:w="85" w:type="dxa"/>
              <w:right w:w="85" w:type="dxa"/>
            </w:tcMar>
            <w:vAlign w:val="center"/>
          </w:tcPr>
          <w:p w:rsidR="004300E2" w:rsidRPr="009E6BCD" w:rsidRDefault="004300E2" w:rsidP="004300E2">
            <w:pPr>
              <w:jc w:val="center"/>
              <w:rPr>
                <w:lang w:val="it-IT"/>
              </w:rPr>
            </w:pPr>
          </w:p>
        </w:tc>
        <w:tc>
          <w:tcPr>
            <w:tcW w:w="567" w:type="dxa"/>
            <w:tcMar>
              <w:left w:w="108" w:type="dxa"/>
            </w:tcMar>
            <w:vAlign w:val="center"/>
          </w:tcPr>
          <w:p w:rsidR="004300E2" w:rsidRPr="009E6BCD" w:rsidRDefault="004300E2" w:rsidP="004300E2">
            <w:pPr>
              <w:jc w:val="center"/>
              <w:rPr>
                <w:lang w:val="it-IT"/>
              </w:rPr>
            </w:pPr>
          </w:p>
        </w:tc>
        <w:tc>
          <w:tcPr>
            <w:tcW w:w="567" w:type="dxa"/>
            <w:tcMar>
              <w:left w:w="108" w:type="dxa"/>
            </w:tcMar>
            <w:vAlign w:val="center"/>
          </w:tcPr>
          <w:p w:rsidR="004300E2" w:rsidRPr="009E6BCD" w:rsidRDefault="004300E2" w:rsidP="004300E2">
            <w:pPr>
              <w:jc w:val="center"/>
              <w:rPr>
                <w:lang w:val="it-IT"/>
              </w:rPr>
            </w:pPr>
          </w:p>
        </w:tc>
      </w:tr>
      <w:tr w:rsidR="004300E2" w:rsidRPr="00A44ECD" w:rsidTr="00940A6F">
        <w:trPr>
          <w:cantSplit/>
        </w:trPr>
        <w:tc>
          <w:tcPr>
            <w:tcW w:w="567" w:type="dxa"/>
            <w:tcMar>
              <w:left w:w="108" w:type="dxa"/>
            </w:tcMar>
          </w:tcPr>
          <w:p w:rsidR="004300E2" w:rsidRPr="008A0F36" w:rsidRDefault="004300E2" w:rsidP="004300E2">
            <w:pPr>
              <w:rPr>
                <w:lang w:val="it-IT"/>
              </w:rPr>
            </w:pPr>
          </w:p>
        </w:tc>
        <w:tc>
          <w:tcPr>
            <w:tcW w:w="851" w:type="dxa"/>
            <w:tcMar>
              <w:left w:w="108" w:type="dxa"/>
              <w:right w:w="0" w:type="dxa"/>
            </w:tcMar>
          </w:tcPr>
          <w:p w:rsidR="004300E2" w:rsidRPr="008A0F36" w:rsidRDefault="004300E2" w:rsidP="004300E2">
            <w:pPr>
              <w:pStyle w:val="IAS"/>
              <w:rPr>
                <w:lang w:val="it-IT"/>
              </w:rPr>
            </w:pPr>
            <w:r w:rsidRPr="00D51324">
              <w:rPr>
                <w:sz w:val="12"/>
                <w:szCs w:val="12"/>
                <w:lang w:val="it-IT"/>
              </w:rPr>
              <w:t>IAS 19.158</w:t>
            </w:r>
            <w:r>
              <w:rPr>
                <w:sz w:val="12"/>
                <w:szCs w:val="12"/>
                <w:lang w:val="it-IT"/>
              </w:rPr>
              <w:br/>
            </w:r>
            <w:r w:rsidRPr="00D51324">
              <w:rPr>
                <w:sz w:val="12"/>
                <w:szCs w:val="12"/>
                <w:lang w:val="it-IT"/>
              </w:rPr>
              <w:t xml:space="preserve">IAS </w:t>
            </w:r>
            <w:r>
              <w:rPr>
                <w:sz w:val="12"/>
                <w:szCs w:val="12"/>
                <w:lang w:val="it-IT"/>
              </w:rPr>
              <w:t>1</w:t>
            </w:r>
            <w:r w:rsidRPr="00D51324">
              <w:rPr>
                <w:sz w:val="12"/>
                <w:szCs w:val="12"/>
                <w:lang w:val="it-IT"/>
              </w:rPr>
              <w:t>.104</w:t>
            </w:r>
          </w:p>
        </w:tc>
        <w:tc>
          <w:tcPr>
            <w:tcW w:w="7079" w:type="dxa"/>
            <w:tcMar>
              <w:left w:w="108" w:type="dxa"/>
            </w:tcMar>
          </w:tcPr>
          <w:p w:rsidR="004300E2" w:rsidRPr="00E41648" w:rsidRDefault="004300E2" w:rsidP="00634317">
            <w:pPr>
              <w:pStyle w:val="Paragarfobordato"/>
            </w:pPr>
            <w:r w:rsidRPr="00E41648">
              <w:t>Sebbene lo IAS 19 non richieda informazioni integrative specifiche sugli altri benefici a lungo termine per i dipendenti, queste possono essere richieste da altri IFRS. Per esempio, lo IAS 24 richiede indicazioni sui benefici per i dipendenti a favore di dirigenti con responsabilità strategiche. Lo IAS 1 richiede l’indicazione dei costi dei benefici per i dipendenti.</w:t>
            </w:r>
          </w:p>
        </w:tc>
        <w:tc>
          <w:tcPr>
            <w:tcW w:w="575" w:type="dxa"/>
            <w:tcMar>
              <w:left w:w="85" w:type="dxa"/>
              <w:right w:w="85" w:type="dxa"/>
            </w:tcMar>
            <w:vAlign w:val="center"/>
          </w:tcPr>
          <w:p w:rsidR="004300E2" w:rsidRPr="009E6BCD" w:rsidRDefault="004300E2" w:rsidP="004300E2">
            <w:pPr>
              <w:jc w:val="center"/>
              <w:rPr>
                <w:lang w:val="it-IT"/>
              </w:rPr>
            </w:pPr>
          </w:p>
        </w:tc>
        <w:tc>
          <w:tcPr>
            <w:tcW w:w="567" w:type="dxa"/>
            <w:tcMar>
              <w:left w:w="108" w:type="dxa"/>
            </w:tcMar>
            <w:vAlign w:val="center"/>
          </w:tcPr>
          <w:p w:rsidR="004300E2" w:rsidRPr="009E6BCD" w:rsidRDefault="004300E2" w:rsidP="004300E2">
            <w:pPr>
              <w:jc w:val="center"/>
              <w:rPr>
                <w:lang w:val="it-IT"/>
              </w:rPr>
            </w:pPr>
          </w:p>
        </w:tc>
        <w:tc>
          <w:tcPr>
            <w:tcW w:w="567" w:type="dxa"/>
            <w:tcMar>
              <w:left w:w="108" w:type="dxa"/>
            </w:tcMar>
            <w:vAlign w:val="center"/>
          </w:tcPr>
          <w:p w:rsidR="004300E2" w:rsidRPr="009E6BCD" w:rsidRDefault="004300E2" w:rsidP="004300E2">
            <w:pPr>
              <w:jc w:val="center"/>
              <w:rPr>
                <w:lang w:val="it-IT"/>
              </w:rPr>
            </w:pPr>
          </w:p>
        </w:tc>
      </w:tr>
      <w:tr w:rsidR="004300E2" w:rsidRPr="00A44ECD" w:rsidTr="00940A6F">
        <w:trPr>
          <w:cantSplit/>
        </w:trPr>
        <w:tc>
          <w:tcPr>
            <w:tcW w:w="567" w:type="dxa"/>
            <w:tcMar>
              <w:left w:w="108" w:type="dxa"/>
            </w:tcMar>
          </w:tcPr>
          <w:p w:rsidR="004300E2" w:rsidRPr="008A0F36" w:rsidRDefault="004300E2" w:rsidP="004300E2">
            <w:pPr>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Pr="00CE0185" w:rsidRDefault="004300E2" w:rsidP="004300E2">
            <w:pPr>
              <w:rPr>
                <w:rFonts w:cs="EUAlbertina"/>
                <w:b/>
                <w:color w:val="000000"/>
                <w:lang w:val="it-IT"/>
              </w:rPr>
            </w:pPr>
            <w:r w:rsidRPr="00AB2C1C">
              <w:rPr>
                <w:rFonts w:cs="EUAlbertina"/>
                <w:b/>
                <w:color w:val="000000"/>
                <w:lang w:val="it-IT"/>
              </w:rPr>
              <w:t>Benefici dovuti per la cessazione del rapporto di lavoro</w:t>
            </w:r>
          </w:p>
        </w:tc>
        <w:tc>
          <w:tcPr>
            <w:tcW w:w="575" w:type="dxa"/>
            <w:tcMar>
              <w:left w:w="85" w:type="dxa"/>
              <w:right w:w="85" w:type="dxa"/>
            </w:tcMar>
            <w:vAlign w:val="center"/>
          </w:tcPr>
          <w:p w:rsidR="004300E2" w:rsidRPr="009E6BCD" w:rsidRDefault="004300E2" w:rsidP="004300E2">
            <w:pPr>
              <w:jc w:val="center"/>
              <w:rPr>
                <w:lang w:val="it-IT"/>
              </w:rPr>
            </w:pPr>
          </w:p>
        </w:tc>
        <w:tc>
          <w:tcPr>
            <w:tcW w:w="567" w:type="dxa"/>
            <w:tcMar>
              <w:left w:w="108" w:type="dxa"/>
            </w:tcMar>
            <w:vAlign w:val="center"/>
          </w:tcPr>
          <w:p w:rsidR="004300E2" w:rsidRPr="009E6BCD" w:rsidRDefault="004300E2" w:rsidP="004300E2">
            <w:pPr>
              <w:jc w:val="center"/>
              <w:rPr>
                <w:lang w:val="it-IT"/>
              </w:rPr>
            </w:pPr>
          </w:p>
        </w:tc>
        <w:tc>
          <w:tcPr>
            <w:tcW w:w="567" w:type="dxa"/>
            <w:tcMar>
              <w:left w:w="108" w:type="dxa"/>
            </w:tcMar>
            <w:vAlign w:val="center"/>
          </w:tcPr>
          <w:p w:rsidR="004300E2" w:rsidRPr="009E6BCD" w:rsidRDefault="004300E2" w:rsidP="004300E2">
            <w:pPr>
              <w:jc w:val="center"/>
              <w:rPr>
                <w:lang w:val="it-IT"/>
              </w:rPr>
            </w:pPr>
          </w:p>
        </w:tc>
      </w:tr>
      <w:tr w:rsidR="004300E2" w:rsidRPr="00A44ECD" w:rsidTr="00940A6F">
        <w:trPr>
          <w:cantSplit/>
        </w:trPr>
        <w:tc>
          <w:tcPr>
            <w:tcW w:w="567" w:type="dxa"/>
            <w:tcMar>
              <w:left w:w="108" w:type="dxa"/>
            </w:tcMar>
          </w:tcPr>
          <w:p w:rsidR="004300E2" w:rsidRPr="008A0F36" w:rsidRDefault="004300E2" w:rsidP="004300E2">
            <w:pPr>
              <w:rPr>
                <w:lang w:val="it-IT"/>
              </w:rPr>
            </w:pPr>
          </w:p>
        </w:tc>
        <w:tc>
          <w:tcPr>
            <w:tcW w:w="851" w:type="dxa"/>
            <w:tcMar>
              <w:left w:w="108" w:type="dxa"/>
              <w:right w:w="0" w:type="dxa"/>
            </w:tcMar>
          </w:tcPr>
          <w:p w:rsidR="004300E2" w:rsidRPr="008A0F36" w:rsidRDefault="004300E2" w:rsidP="004300E2">
            <w:pPr>
              <w:pStyle w:val="IAS"/>
              <w:rPr>
                <w:lang w:val="it-IT"/>
              </w:rPr>
            </w:pPr>
            <w:r w:rsidRPr="00D51324">
              <w:rPr>
                <w:sz w:val="12"/>
                <w:szCs w:val="12"/>
                <w:lang w:val="it-IT"/>
              </w:rPr>
              <w:t>IAS 19.171</w:t>
            </w:r>
            <w:r>
              <w:rPr>
                <w:sz w:val="12"/>
                <w:szCs w:val="12"/>
                <w:lang w:val="it-IT"/>
              </w:rPr>
              <w:br/>
            </w:r>
            <w:r w:rsidRPr="00D51324">
              <w:rPr>
                <w:sz w:val="12"/>
                <w:szCs w:val="12"/>
                <w:lang w:val="it-IT"/>
              </w:rPr>
              <w:t>IAS 1.104</w:t>
            </w:r>
            <w:r>
              <w:rPr>
                <w:sz w:val="12"/>
                <w:szCs w:val="12"/>
                <w:lang w:val="it-IT"/>
              </w:rPr>
              <w:br/>
            </w:r>
          </w:p>
        </w:tc>
        <w:tc>
          <w:tcPr>
            <w:tcW w:w="7079" w:type="dxa"/>
            <w:tcMar>
              <w:left w:w="108" w:type="dxa"/>
            </w:tcMar>
          </w:tcPr>
          <w:p w:rsidR="004300E2" w:rsidRPr="00E41648" w:rsidRDefault="004300E2" w:rsidP="00634317">
            <w:pPr>
              <w:pStyle w:val="Paragarfobordato"/>
            </w:pPr>
            <w:r w:rsidRPr="00E41648">
              <w:t xml:space="preserve">Sebbene </w:t>
            </w:r>
            <w:r w:rsidR="005A6350">
              <w:t xml:space="preserve">lo IAS 19 </w:t>
            </w:r>
            <w:r w:rsidRPr="00E41648">
              <w:t>non richieda informazioni integrative specifiche in merito ai benefici dovuti per la cessazione del rapporto di lavoro, esse possono essere richieste da altri IFRS. Per esempio, lo IAS 24 richiede indicazioni sui benefici per i dipendenti a favore di dirigenti con responsabilità strategiche. Lo IAS 1 richiede l’indicazione dei costi dei benefici per i dipendenti.</w:t>
            </w:r>
          </w:p>
        </w:tc>
        <w:tc>
          <w:tcPr>
            <w:tcW w:w="575" w:type="dxa"/>
            <w:tcMar>
              <w:left w:w="85" w:type="dxa"/>
              <w:right w:w="85" w:type="dxa"/>
            </w:tcMar>
            <w:vAlign w:val="center"/>
          </w:tcPr>
          <w:p w:rsidR="004300E2" w:rsidRPr="009E6BCD" w:rsidRDefault="004300E2" w:rsidP="004300E2">
            <w:pPr>
              <w:jc w:val="center"/>
              <w:rPr>
                <w:lang w:val="it-IT"/>
              </w:rPr>
            </w:pPr>
          </w:p>
        </w:tc>
        <w:tc>
          <w:tcPr>
            <w:tcW w:w="567" w:type="dxa"/>
            <w:tcMar>
              <w:left w:w="108" w:type="dxa"/>
            </w:tcMar>
            <w:vAlign w:val="center"/>
          </w:tcPr>
          <w:p w:rsidR="004300E2" w:rsidRPr="009E6BCD" w:rsidRDefault="004300E2" w:rsidP="004300E2">
            <w:pPr>
              <w:jc w:val="center"/>
              <w:rPr>
                <w:lang w:val="it-IT"/>
              </w:rPr>
            </w:pPr>
          </w:p>
        </w:tc>
        <w:tc>
          <w:tcPr>
            <w:tcW w:w="567" w:type="dxa"/>
            <w:tcMar>
              <w:left w:w="108" w:type="dxa"/>
            </w:tcMar>
            <w:vAlign w:val="center"/>
          </w:tcPr>
          <w:p w:rsidR="004300E2" w:rsidRPr="009E6BCD" w:rsidRDefault="004300E2" w:rsidP="004300E2">
            <w:pPr>
              <w:jc w:val="center"/>
              <w:rPr>
                <w:lang w:val="it-IT"/>
              </w:rPr>
            </w:pPr>
          </w:p>
        </w:tc>
      </w:tr>
      <w:tr w:rsidR="004300E2" w:rsidRPr="00A44ECD" w:rsidTr="00940A6F">
        <w:trPr>
          <w:cantSplit/>
        </w:trPr>
        <w:tc>
          <w:tcPr>
            <w:tcW w:w="567" w:type="dxa"/>
            <w:tcMar>
              <w:left w:w="108" w:type="dxa"/>
            </w:tcMar>
          </w:tcPr>
          <w:p w:rsidR="004300E2" w:rsidRPr="008A0F36" w:rsidRDefault="004300E2" w:rsidP="004300E2">
            <w:pPr>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Pr="00CE0185" w:rsidRDefault="004300E2" w:rsidP="004300E2">
            <w:pPr>
              <w:rPr>
                <w:rFonts w:cs="EUAlbertina"/>
                <w:b/>
                <w:color w:val="000000"/>
                <w:lang w:val="it-IT"/>
              </w:rPr>
            </w:pPr>
            <w:r w:rsidRPr="00AB2C1C">
              <w:rPr>
                <w:rFonts w:cs="EUAlbertina"/>
                <w:b/>
                <w:color w:val="000000"/>
                <w:lang w:val="it-IT"/>
              </w:rPr>
              <w:t>Benefici successivi alla fine del rapporto di lavoro</w:t>
            </w:r>
          </w:p>
        </w:tc>
        <w:tc>
          <w:tcPr>
            <w:tcW w:w="575" w:type="dxa"/>
            <w:tcMar>
              <w:left w:w="85" w:type="dxa"/>
              <w:right w:w="85" w:type="dxa"/>
            </w:tcMar>
            <w:vAlign w:val="center"/>
          </w:tcPr>
          <w:p w:rsidR="004300E2" w:rsidRPr="009E6BCD" w:rsidRDefault="004300E2" w:rsidP="004300E2">
            <w:pPr>
              <w:jc w:val="center"/>
              <w:rPr>
                <w:lang w:val="it-IT"/>
              </w:rPr>
            </w:pPr>
          </w:p>
        </w:tc>
        <w:tc>
          <w:tcPr>
            <w:tcW w:w="567" w:type="dxa"/>
            <w:tcMar>
              <w:left w:w="108" w:type="dxa"/>
            </w:tcMar>
            <w:vAlign w:val="center"/>
          </w:tcPr>
          <w:p w:rsidR="004300E2" w:rsidRPr="009E6BCD" w:rsidRDefault="004300E2" w:rsidP="004300E2">
            <w:pPr>
              <w:jc w:val="center"/>
              <w:rPr>
                <w:lang w:val="it-IT"/>
              </w:rPr>
            </w:pPr>
          </w:p>
        </w:tc>
        <w:tc>
          <w:tcPr>
            <w:tcW w:w="567" w:type="dxa"/>
            <w:tcMar>
              <w:left w:w="108" w:type="dxa"/>
            </w:tcMar>
            <w:vAlign w:val="center"/>
          </w:tcPr>
          <w:p w:rsidR="004300E2" w:rsidRPr="009E6BCD" w:rsidRDefault="004300E2" w:rsidP="004300E2">
            <w:pPr>
              <w:jc w:val="center"/>
              <w:rPr>
                <w:lang w:val="it-IT"/>
              </w:rPr>
            </w:pPr>
          </w:p>
        </w:tc>
      </w:tr>
      <w:tr w:rsidR="004300E2" w:rsidRPr="00A44ECD" w:rsidTr="00940A6F">
        <w:trPr>
          <w:cantSplit/>
        </w:trPr>
        <w:tc>
          <w:tcPr>
            <w:tcW w:w="567" w:type="dxa"/>
            <w:tcMar>
              <w:left w:w="108" w:type="dxa"/>
            </w:tcMar>
          </w:tcPr>
          <w:p w:rsidR="004300E2" w:rsidRPr="008A0F36" w:rsidRDefault="004300E2" w:rsidP="004300E2">
            <w:pPr>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Pr="00CE0185" w:rsidRDefault="004300E2" w:rsidP="004300E2">
            <w:pPr>
              <w:rPr>
                <w:rFonts w:cs="EUAlbertina"/>
                <w:b/>
                <w:i/>
                <w:color w:val="000000"/>
                <w:lang w:val="it-IT"/>
              </w:rPr>
            </w:pPr>
            <w:r w:rsidRPr="00AB2C1C">
              <w:rPr>
                <w:rFonts w:cs="EUAlbertina"/>
                <w:b/>
                <w:i/>
                <w:color w:val="000000"/>
                <w:lang w:val="it-IT"/>
              </w:rPr>
              <w:t>Piani relativi a più datori di lavoro</w:t>
            </w:r>
          </w:p>
        </w:tc>
        <w:tc>
          <w:tcPr>
            <w:tcW w:w="575" w:type="dxa"/>
            <w:tcMar>
              <w:left w:w="85" w:type="dxa"/>
              <w:right w:w="85" w:type="dxa"/>
            </w:tcMar>
            <w:vAlign w:val="center"/>
          </w:tcPr>
          <w:p w:rsidR="004300E2" w:rsidRPr="009E6BCD" w:rsidRDefault="004300E2" w:rsidP="004300E2">
            <w:pPr>
              <w:jc w:val="center"/>
              <w:rPr>
                <w:lang w:val="it-IT"/>
              </w:rPr>
            </w:pPr>
          </w:p>
        </w:tc>
        <w:tc>
          <w:tcPr>
            <w:tcW w:w="567" w:type="dxa"/>
            <w:tcMar>
              <w:left w:w="108" w:type="dxa"/>
            </w:tcMar>
            <w:vAlign w:val="center"/>
          </w:tcPr>
          <w:p w:rsidR="004300E2" w:rsidRPr="009E6BCD" w:rsidRDefault="004300E2" w:rsidP="004300E2">
            <w:pPr>
              <w:jc w:val="center"/>
              <w:rPr>
                <w:lang w:val="it-IT"/>
              </w:rPr>
            </w:pPr>
          </w:p>
        </w:tc>
        <w:tc>
          <w:tcPr>
            <w:tcW w:w="567" w:type="dxa"/>
            <w:tcMar>
              <w:left w:w="108" w:type="dxa"/>
            </w:tcMar>
            <w:vAlign w:val="center"/>
          </w:tcPr>
          <w:p w:rsidR="004300E2" w:rsidRPr="009E6BCD" w:rsidRDefault="004300E2" w:rsidP="004300E2">
            <w:pPr>
              <w:jc w:val="center"/>
              <w:rPr>
                <w:lang w:val="it-IT"/>
              </w:rPr>
            </w:pPr>
          </w:p>
        </w:tc>
      </w:tr>
      <w:tr w:rsidR="00D26424" w:rsidRPr="008129DA" w:rsidTr="00940A6F">
        <w:trPr>
          <w:cantSplit/>
        </w:trPr>
        <w:tc>
          <w:tcPr>
            <w:tcW w:w="567" w:type="dxa"/>
            <w:tcMar>
              <w:left w:w="108" w:type="dxa"/>
            </w:tcMar>
          </w:tcPr>
          <w:p w:rsidR="00D26424" w:rsidRDefault="00D26424" w:rsidP="004300E2">
            <w:pPr>
              <w:pStyle w:val="Numeroelenco"/>
              <w:ind w:left="0" w:firstLine="57"/>
              <w:rPr>
                <w:lang w:val="it-IT"/>
              </w:rPr>
            </w:pPr>
          </w:p>
        </w:tc>
        <w:tc>
          <w:tcPr>
            <w:tcW w:w="851" w:type="dxa"/>
            <w:tcMar>
              <w:left w:w="108" w:type="dxa"/>
              <w:right w:w="0" w:type="dxa"/>
            </w:tcMar>
          </w:tcPr>
          <w:p w:rsidR="00D26424" w:rsidRPr="008A0F36" w:rsidRDefault="00D26424" w:rsidP="004300E2">
            <w:pPr>
              <w:pStyle w:val="IAS"/>
              <w:rPr>
                <w:lang w:val="it-IT"/>
              </w:rPr>
            </w:pPr>
            <w:r w:rsidRPr="00D51324">
              <w:rPr>
                <w:sz w:val="12"/>
                <w:szCs w:val="12"/>
                <w:lang w:val="it-IT"/>
              </w:rPr>
              <w:t>IAS 19.33</w:t>
            </w:r>
            <w:r>
              <w:rPr>
                <w:sz w:val="12"/>
                <w:szCs w:val="12"/>
                <w:lang w:val="it-IT"/>
              </w:rPr>
              <w:t xml:space="preserve"> </w:t>
            </w:r>
            <w:r w:rsidRPr="00D51324">
              <w:rPr>
                <w:sz w:val="12"/>
                <w:szCs w:val="12"/>
                <w:lang w:val="it-IT"/>
              </w:rPr>
              <w:t>(b)</w:t>
            </w:r>
          </w:p>
        </w:tc>
        <w:tc>
          <w:tcPr>
            <w:tcW w:w="7079" w:type="dxa"/>
            <w:tcMar>
              <w:left w:w="108" w:type="dxa"/>
            </w:tcMar>
          </w:tcPr>
          <w:p w:rsidR="00D26424" w:rsidRPr="00CE0185" w:rsidRDefault="00D26424" w:rsidP="00BE0F86">
            <w:pPr>
              <w:rPr>
                <w:rFonts w:cs="EUAlbertina"/>
                <w:b/>
                <w:color w:val="000000"/>
                <w:lang w:val="it-IT"/>
              </w:rPr>
            </w:pPr>
            <w:r w:rsidRPr="004F522B">
              <w:rPr>
                <w:lang w:val="it-IT"/>
              </w:rPr>
              <w:t xml:space="preserve">Se un piano relativo a più datori di lavoro è un piano a benefici definiti e l’entità lo contabilizza come un piano a benefici definiti, l’entità deve dare l’informativa di cui ai punti </w:t>
            </w:r>
            <w:r>
              <w:rPr>
                <w:lang w:val="it-IT"/>
              </w:rPr>
              <w:t>205-213</w:t>
            </w:r>
            <w:r w:rsidRPr="004F522B">
              <w:rPr>
                <w:lang w:val="it-IT"/>
              </w:rPr>
              <w:t xml:space="preserve"> ed ai punti </w:t>
            </w:r>
            <w:r w:rsidRPr="004E298F">
              <w:rPr>
                <w:lang w:val="it-IT"/>
              </w:rPr>
              <w:t>20</w:t>
            </w:r>
            <w:r>
              <w:rPr>
                <w:lang w:val="it-IT"/>
              </w:rPr>
              <w:t>1</w:t>
            </w:r>
            <w:r w:rsidRPr="004E298F">
              <w:rPr>
                <w:lang w:val="it-IT"/>
              </w:rPr>
              <w:t>(a).-20</w:t>
            </w:r>
            <w:r>
              <w:rPr>
                <w:lang w:val="it-IT"/>
              </w:rPr>
              <w:t>1</w:t>
            </w:r>
            <w:r w:rsidRPr="004F522B">
              <w:rPr>
                <w:lang w:val="it-IT"/>
              </w:rPr>
              <w:t>(c).</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D51324">
              <w:rPr>
                <w:sz w:val="12"/>
                <w:szCs w:val="12"/>
                <w:lang w:val="it-IT"/>
              </w:rPr>
              <w:t>IAS 19.148</w:t>
            </w:r>
          </w:p>
        </w:tc>
        <w:tc>
          <w:tcPr>
            <w:tcW w:w="7079" w:type="dxa"/>
            <w:tcMar>
              <w:left w:w="108" w:type="dxa"/>
            </w:tcMar>
          </w:tcPr>
          <w:p w:rsidR="004300E2" w:rsidRPr="002C16CF" w:rsidRDefault="004300E2" w:rsidP="00634317">
            <w:pPr>
              <w:pStyle w:val="CM4"/>
              <w:spacing w:before="60" w:after="60" w:line="226" w:lineRule="exact"/>
              <w:jc w:val="both"/>
              <w:rPr>
                <w:rFonts w:ascii="Arial Narrow" w:hAnsi="Arial Narrow" w:cs="EUAlbertina"/>
                <w:color w:val="000000"/>
                <w:sz w:val="20"/>
                <w:szCs w:val="20"/>
              </w:rPr>
            </w:pPr>
            <w:r w:rsidRPr="00F12965">
              <w:rPr>
                <w:rFonts w:ascii="Arial Narrow" w:hAnsi="Arial Narrow" w:cs="EUAlbertina"/>
                <w:color w:val="000000"/>
                <w:sz w:val="20"/>
                <w:szCs w:val="20"/>
              </w:rPr>
              <w:t xml:space="preserve">Se non sono disponibili informazioni sufficienti per contabilizzare come un piano a benefici definiti un piano relativo a più datori di lavoro che </w:t>
            </w:r>
            <w:r>
              <w:rPr>
                <w:rFonts w:ascii="Arial Narrow" w:hAnsi="Arial Narrow" w:cs="EUAlbertina"/>
                <w:color w:val="000000"/>
                <w:sz w:val="20"/>
                <w:szCs w:val="20"/>
              </w:rPr>
              <w:t>è un piano a benefici definiti, l’entità deve indicare:</w:t>
            </w:r>
          </w:p>
        </w:tc>
        <w:tc>
          <w:tcPr>
            <w:tcW w:w="575" w:type="dxa"/>
            <w:tcMar>
              <w:left w:w="85" w:type="dxa"/>
              <w:right w:w="85" w:type="dxa"/>
            </w:tcMar>
          </w:tcPr>
          <w:p w:rsidR="004300E2" w:rsidRPr="00A32A16" w:rsidRDefault="004300E2" w:rsidP="004300E2">
            <w:pPr>
              <w:rPr>
                <w:lang w:val="it-IT"/>
              </w:rPr>
            </w:pPr>
          </w:p>
        </w:tc>
        <w:tc>
          <w:tcPr>
            <w:tcW w:w="567" w:type="dxa"/>
            <w:tcMar>
              <w:left w:w="108" w:type="dxa"/>
            </w:tcMar>
          </w:tcPr>
          <w:p w:rsidR="004300E2" w:rsidRPr="00A32A16" w:rsidRDefault="004300E2" w:rsidP="004300E2">
            <w:pPr>
              <w:rPr>
                <w:lang w:val="it-IT"/>
              </w:rPr>
            </w:pPr>
          </w:p>
        </w:tc>
        <w:tc>
          <w:tcPr>
            <w:tcW w:w="567" w:type="dxa"/>
            <w:tcMar>
              <w:left w:w="108" w:type="dxa"/>
            </w:tcMar>
          </w:tcPr>
          <w:p w:rsidR="004300E2" w:rsidRPr="00A32A16" w:rsidRDefault="004300E2" w:rsidP="004300E2">
            <w:pPr>
              <w:rPr>
                <w:lang w:val="it-IT"/>
              </w:rPr>
            </w:pPr>
          </w:p>
        </w:tc>
      </w:tr>
      <w:tr w:rsidR="00D26424" w:rsidRPr="008129DA" w:rsidTr="00940A6F">
        <w:trPr>
          <w:cantSplit/>
        </w:trPr>
        <w:tc>
          <w:tcPr>
            <w:tcW w:w="567" w:type="dxa"/>
            <w:tcMar>
              <w:left w:w="108" w:type="dxa"/>
            </w:tcMar>
          </w:tcPr>
          <w:p w:rsidR="00D26424" w:rsidRDefault="00D26424" w:rsidP="004300E2">
            <w:pPr>
              <w:pStyle w:val="Numeroelenco"/>
              <w:numPr>
                <w:ilvl w:val="0"/>
                <w:numId w:val="0"/>
              </w:numPr>
              <w:ind w:left="57"/>
              <w:rPr>
                <w:lang w:val="it-IT"/>
              </w:rPr>
            </w:pPr>
          </w:p>
        </w:tc>
        <w:tc>
          <w:tcPr>
            <w:tcW w:w="851" w:type="dxa"/>
            <w:tcMar>
              <w:left w:w="108" w:type="dxa"/>
              <w:right w:w="0" w:type="dxa"/>
            </w:tcMar>
          </w:tcPr>
          <w:p w:rsidR="00D26424" w:rsidRPr="00D51324" w:rsidRDefault="00D26424" w:rsidP="004300E2">
            <w:pPr>
              <w:pStyle w:val="IAS"/>
              <w:rPr>
                <w:sz w:val="12"/>
                <w:szCs w:val="12"/>
                <w:lang w:val="it-IT"/>
              </w:rPr>
            </w:pPr>
          </w:p>
        </w:tc>
        <w:tc>
          <w:tcPr>
            <w:tcW w:w="7079" w:type="dxa"/>
            <w:tcMar>
              <w:left w:w="108" w:type="dxa"/>
            </w:tcMar>
          </w:tcPr>
          <w:p w:rsidR="00D26424" w:rsidRPr="00F12965" w:rsidRDefault="00D26424" w:rsidP="00634317">
            <w:pPr>
              <w:pStyle w:val="CM4"/>
              <w:spacing w:before="60" w:after="60" w:line="226" w:lineRule="exact"/>
              <w:ind w:left="315" w:hanging="315"/>
              <w:jc w:val="both"/>
              <w:rPr>
                <w:rFonts w:ascii="Arial Narrow" w:hAnsi="Arial Narrow" w:cs="EUAlbertina"/>
                <w:color w:val="000000"/>
                <w:sz w:val="20"/>
                <w:szCs w:val="20"/>
              </w:rPr>
            </w:pPr>
            <w:r>
              <w:rPr>
                <w:rFonts w:ascii="Arial Narrow" w:hAnsi="Arial Narrow" w:cs="EUAlbertina"/>
                <w:color w:val="000000"/>
                <w:sz w:val="20"/>
                <w:szCs w:val="20"/>
              </w:rPr>
              <w:t>(a)</w:t>
            </w:r>
            <w:r>
              <w:rPr>
                <w:rFonts w:ascii="Arial Narrow" w:hAnsi="Arial Narrow" w:cs="EUAlbertina"/>
                <w:color w:val="000000"/>
                <w:sz w:val="20"/>
                <w:szCs w:val="20"/>
              </w:rPr>
              <w:tab/>
            </w:r>
            <w:r w:rsidRPr="00F12965">
              <w:rPr>
                <w:rFonts w:ascii="Arial Narrow" w:hAnsi="Arial Narrow" w:cs="EUAlbertina"/>
                <w:color w:val="000000"/>
                <w:sz w:val="20"/>
                <w:szCs w:val="20"/>
              </w:rPr>
              <w:t xml:space="preserve">una descrizione degli accordi di finanziamento, incluso il metodo adottato per determinare </w:t>
            </w:r>
            <w:r w:rsidRPr="00EB094F">
              <w:rPr>
                <w:rFonts w:ascii="Arial Narrow" w:hAnsi="Arial Narrow" w:cs="EUAlbertina"/>
                <w:color w:val="000000"/>
                <w:sz w:val="20"/>
                <w:szCs w:val="20"/>
              </w:rPr>
              <w:t xml:space="preserve">le percentuali e i requisiti minimi di contribuzione dell’entità; </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Default="00D26424" w:rsidP="004300E2">
            <w:pPr>
              <w:pStyle w:val="Numeroelenco"/>
              <w:numPr>
                <w:ilvl w:val="0"/>
                <w:numId w:val="0"/>
              </w:numPr>
              <w:ind w:left="644" w:hanging="360"/>
              <w:rPr>
                <w:lang w:val="it-IT"/>
              </w:rPr>
            </w:pPr>
          </w:p>
        </w:tc>
        <w:tc>
          <w:tcPr>
            <w:tcW w:w="851" w:type="dxa"/>
            <w:tcMar>
              <w:left w:w="108" w:type="dxa"/>
              <w:right w:w="0" w:type="dxa"/>
            </w:tcMar>
          </w:tcPr>
          <w:p w:rsidR="00D26424" w:rsidRPr="00D51324" w:rsidRDefault="00D26424" w:rsidP="004300E2">
            <w:pPr>
              <w:pStyle w:val="IAS"/>
              <w:rPr>
                <w:sz w:val="12"/>
                <w:szCs w:val="12"/>
                <w:lang w:val="it-IT"/>
              </w:rPr>
            </w:pPr>
          </w:p>
        </w:tc>
        <w:tc>
          <w:tcPr>
            <w:tcW w:w="7079" w:type="dxa"/>
            <w:tcMar>
              <w:left w:w="108" w:type="dxa"/>
            </w:tcMar>
          </w:tcPr>
          <w:p w:rsidR="00D26424" w:rsidRPr="00F12965" w:rsidRDefault="00D26424" w:rsidP="00634317">
            <w:pPr>
              <w:pStyle w:val="CM4"/>
              <w:spacing w:before="60" w:after="60" w:line="226" w:lineRule="exact"/>
              <w:ind w:left="315" w:hanging="315"/>
              <w:jc w:val="both"/>
              <w:rPr>
                <w:rFonts w:ascii="Arial Narrow" w:hAnsi="Arial Narrow" w:cs="EUAlbertina"/>
                <w:color w:val="000000"/>
                <w:sz w:val="20"/>
                <w:szCs w:val="20"/>
              </w:rPr>
            </w:pPr>
            <w:r>
              <w:rPr>
                <w:rFonts w:ascii="Arial Narrow" w:hAnsi="Arial Narrow" w:cs="EUAlbertina"/>
                <w:color w:val="000000"/>
                <w:sz w:val="20"/>
                <w:szCs w:val="20"/>
              </w:rPr>
              <w:t>(b)</w:t>
            </w:r>
            <w:r>
              <w:rPr>
                <w:rFonts w:ascii="Arial Narrow" w:hAnsi="Arial Narrow" w:cs="EUAlbertina"/>
                <w:color w:val="000000"/>
                <w:sz w:val="20"/>
                <w:szCs w:val="20"/>
              </w:rPr>
              <w:tab/>
            </w:r>
            <w:r w:rsidRPr="00F12965">
              <w:rPr>
                <w:rFonts w:ascii="Arial Narrow" w:hAnsi="Arial Narrow" w:cs="EUAlbertina"/>
                <w:color w:val="000000"/>
                <w:sz w:val="20"/>
                <w:szCs w:val="20"/>
              </w:rPr>
              <w:t>una descrizione della misura in cui l’entità può essere ritenuta responsabile nei confronti del piano di obbligazioni di altre entità in base ai termini e alle condizioni del piano relativo a più datori di lavoro;</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D26424">
        <w:trPr>
          <w:cantSplit/>
        </w:trPr>
        <w:tc>
          <w:tcPr>
            <w:tcW w:w="567" w:type="dxa"/>
            <w:tcMar>
              <w:left w:w="108" w:type="dxa"/>
            </w:tcMar>
          </w:tcPr>
          <w:p w:rsidR="00D26424" w:rsidRDefault="00D26424" w:rsidP="004300E2">
            <w:pPr>
              <w:pStyle w:val="Numeroelenco"/>
              <w:numPr>
                <w:ilvl w:val="0"/>
                <w:numId w:val="0"/>
              </w:numPr>
              <w:ind w:left="644" w:hanging="360"/>
              <w:rPr>
                <w:lang w:val="it-IT"/>
              </w:rPr>
            </w:pPr>
          </w:p>
        </w:tc>
        <w:tc>
          <w:tcPr>
            <w:tcW w:w="851" w:type="dxa"/>
            <w:tcMar>
              <w:left w:w="108" w:type="dxa"/>
              <w:right w:w="0" w:type="dxa"/>
            </w:tcMar>
          </w:tcPr>
          <w:p w:rsidR="00D26424" w:rsidRPr="00D51324" w:rsidRDefault="00D26424" w:rsidP="004300E2">
            <w:pPr>
              <w:pStyle w:val="IAS"/>
              <w:rPr>
                <w:sz w:val="12"/>
                <w:szCs w:val="12"/>
                <w:lang w:val="it-IT"/>
              </w:rPr>
            </w:pPr>
          </w:p>
        </w:tc>
        <w:tc>
          <w:tcPr>
            <w:tcW w:w="7079" w:type="dxa"/>
            <w:tcMar>
              <w:left w:w="108" w:type="dxa"/>
            </w:tcMar>
          </w:tcPr>
          <w:p w:rsidR="00D26424" w:rsidRPr="00F12965" w:rsidRDefault="00D26424" w:rsidP="00634317">
            <w:pPr>
              <w:pStyle w:val="CM4"/>
              <w:spacing w:before="60" w:after="60" w:line="226" w:lineRule="exact"/>
              <w:ind w:left="315" w:hanging="315"/>
              <w:jc w:val="both"/>
              <w:rPr>
                <w:rFonts w:ascii="Arial Narrow" w:hAnsi="Arial Narrow" w:cs="EUAlbertina"/>
                <w:color w:val="000000"/>
                <w:sz w:val="20"/>
                <w:szCs w:val="20"/>
              </w:rPr>
            </w:pPr>
            <w:r w:rsidRPr="00F12965">
              <w:rPr>
                <w:rFonts w:ascii="Arial Narrow" w:hAnsi="Arial Narrow" w:cs="EUAlbertina"/>
                <w:color w:val="000000"/>
                <w:sz w:val="20"/>
                <w:szCs w:val="20"/>
              </w:rPr>
              <w:t xml:space="preserve">(c) </w:t>
            </w:r>
            <w:r>
              <w:rPr>
                <w:rFonts w:ascii="Arial Narrow" w:hAnsi="Arial Narrow" w:cs="EUAlbertina"/>
                <w:color w:val="000000"/>
                <w:sz w:val="20"/>
                <w:szCs w:val="20"/>
              </w:rPr>
              <w:tab/>
            </w:r>
            <w:r w:rsidRPr="00F12965">
              <w:rPr>
                <w:rFonts w:ascii="Arial Narrow" w:hAnsi="Arial Narrow" w:cs="EUAlbertina"/>
                <w:color w:val="000000"/>
                <w:sz w:val="20"/>
                <w:szCs w:val="20"/>
              </w:rPr>
              <w:t xml:space="preserve">una descrizione della ripartizione concordata di un disavanzo o di un avanzo al momento: </w:t>
            </w:r>
          </w:p>
        </w:tc>
        <w:tc>
          <w:tcPr>
            <w:tcW w:w="575" w:type="dxa"/>
            <w:tcMar>
              <w:left w:w="85" w:type="dxa"/>
              <w:right w:w="85" w:type="dxa"/>
            </w:tcMar>
            <w:vAlign w:val="center"/>
          </w:tcPr>
          <w:p w:rsidR="00D26424" w:rsidRPr="004979D5"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393603"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393603"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Default="00D26424" w:rsidP="004300E2">
            <w:pPr>
              <w:pStyle w:val="Numeroelenco"/>
              <w:numPr>
                <w:ilvl w:val="0"/>
                <w:numId w:val="0"/>
              </w:numPr>
              <w:ind w:left="644" w:hanging="360"/>
              <w:rPr>
                <w:lang w:val="it-IT"/>
              </w:rPr>
            </w:pPr>
          </w:p>
        </w:tc>
        <w:tc>
          <w:tcPr>
            <w:tcW w:w="851" w:type="dxa"/>
            <w:tcMar>
              <w:left w:w="108" w:type="dxa"/>
              <w:right w:w="0" w:type="dxa"/>
            </w:tcMar>
          </w:tcPr>
          <w:p w:rsidR="00D26424" w:rsidRPr="00D51324" w:rsidRDefault="00D26424" w:rsidP="004300E2">
            <w:pPr>
              <w:pStyle w:val="IAS"/>
              <w:rPr>
                <w:sz w:val="12"/>
                <w:szCs w:val="12"/>
                <w:lang w:val="it-IT"/>
              </w:rPr>
            </w:pPr>
          </w:p>
        </w:tc>
        <w:tc>
          <w:tcPr>
            <w:tcW w:w="7079" w:type="dxa"/>
            <w:tcMar>
              <w:left w:w="108" w:type="dxa"/>
            </w:tcMar>
          </w:tcPr>
          <w:p w:rsidR="00D26424" w:rsidRPr="005601A1" w:rsidRDefault="00D26424" w:rsidP="00634317">
            <w:pPr>
              <w:spacing w:line="226" w:lineRule="exact"/>
              <w:ind w:left="599" w:hanging="284"/>
              <w:rPr>
                <w:lang w:val="it-IT"/>
              </w:rPr>
            </w:pPr>
            <w:r>
              <w:rPr>
                <w:rFonts w:cs="EUAlbertina"/>
                <w:color w:val="000000"/>
                <w:lang w:val="it-IT"/>
              </w:rPr>
              <w:t>(i)</w:t>
            </w:r>
            <w:r>
              <w:rPr>
                <w:rFonts w:cs="EUAlbertina"/>
                <w:color w:val="000000"/>
                <w:lang w:val="it-IT"/>
              </w:rPr>
              <w:tab/>
            </w:r>
            <w:r w:rsidRPr="00D35A68">
              <w:rPr>
                <w:rFonts w:cs="EUAlbertina"/>
                <w:color w:val="000000"/>
                <w:lang w:val="it-IT"/>
              </w:rPr>
              <w:t>dell’estinzione del piano; o</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Default="00D26424" w:rsidP="004300E2">
            <w:pPr>
              <w:pStyle w:val="Numeroelenco"/>
              <w:numPr>
                <w:ilvl w:val="0"/>
                <w:numId w:val="0"/>
              </w:numPr>
              <w:ind w:left="644" w:hanging="360"/>
              <w:rPr>
                <w:lang w:val="it-IT"/>
              </w:rPr>
            </w:pPr>
          </w:p>
        </w:tc>
        <w:tc>
          <w:tcPr>
            <w:tcW w:w="851" w:type="dxa"/>
            <w:tcMar>
              <w:left w:w="108" w:type="dxa"/>
              <w:right w:w="0" w:type="dxa"/>
            </w:tcMar>
          </w:tcPr>
          <w:p w:rsidR="00D26424" w:rsidRPr="00D51324" w:rsidRDefault="00D26424" w:rsidP="004300E2">
            <w:pPr>
              <w:pStyle w:val="IAS"/>
              <w:rPr>
                <w:sz w:val="12"/>
                <w:szCs w:val="12"/>
                <w:lang w:val="it-IT"/>
              </w:rPr>
            </w:pPr>
          </w:p>
        </w:tc>
        <w:tc>
          <w:tcPr>
            <w:tcW w:w="7079" w:type="dxa"/>
            <w:tcMar>
              <w:left w:w="108" w:type="dxa"/>
            </w:tcMar>
          </w:tcPr>
          <w:p w:rsidR="00D26424" w:rsidRPr="00612D9D" w:rsidRDefault="00D26424" w:rsidP="00634317">
            <w:pPr>
              <w:spacing w:line="226" w:lineRule="exact"/>
              <w:ind w:left="599" w:hanging="284"/>
              <w:rPr>
                <w:rFonts w:cs="EUAlbertina"/>
                <w:color w:val="000000"/>
                <w:lang w:val="it-IT"/>
              </w:rPr>
            </w:pPr>
            <w:r w:rsidRPr="005601A1">
              <w:rPr>
                <w:rFonts w:cs="EUAlbertina"/>
                <w:color w:val="000000"/>
                <w:lang w:val="it-IT"/>
              </w:rPr>
              <w:t>(ii)</w:t>
            </w:r>
            <w:r w:rsidRPr="005601A1">
              <w:rPr>
                <w:rFonts w:cs="EUAlbertina"/>
                <w:color w:val="000000"/>
                <w:lang w:val="it-IT"/>
              </w:rPr>
              <w:tab/>
              <w:t>del ritiro dal piano dell'entità;</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Default="00D26424" w:rsidP="004300E2">
            <w:pPr>
              <w:pStyle w:val="Numeroelenco"/>
              <w:numPr>
                <w:ilvl w:val="0"/>
                <w:numId w:val="0"/>
              </w:numPr>
              <w:ind w:left="644" w:hanging="360"/>
              <w:rPr>
                <w:lang w:val="it-IT"/>
              </w:rPr>
            </w:pPr>
          </w:p>
        </w:tc>
        <w:tc>
          <w:tcPr>
            <w:tcW w:w="851" w:type="dxa"/>
            <w:tcMar>
              <w:left w:w="108" w:type="dxa"/>
              <w:right w:w="0" w:type="dxa"/>
            </w:tcMar>
          </w:tcPr>
          <w:p w:rsidR="00D26424" w:rsidRPr="00D51324" w:rsidRDefault="00D26424" w:rsidP="004300E2">
            <w:pPr>
              <w:pStyle w:val="IAS"/>
              <w:rPr>
                <w:sz w:val="12"/>
                <w:szCs w:val="12"/>
                <w:lang w:val="it-IT"/>
              </w:rPr>
            </w:pPr>
          </w:p>
        </w:tc>
        <w:tc>
          <w:tcPr>
            <w:tcW w:w="7079" w:type="dxa"/>
            <w:tcMar>
              <w:left w:w="108" w:type="dxa"/>
            </w:tcMar>
          </w:tcPr>
          <w:p w:rsidR="00D26424" w:rsidRPr="00F12965" w:rsidRDefault="00D26424" w:rsidP="00634317">
            <w:pPr>
              <w:pStyle w:val="CM4"/>
              <w:spacing w:before="60" w:after="60" w:line="226" w:lineRule="exact"/>
              <w:ind w:left="315" w:hanging="315"/>
              <w:jc w:val="both"/>
              <w:rPr>
                <w:rFonts w:ascii="Arial Narrow" w:hAnsi="Arial Narrow" w:cs="EUAlbertina"/>
                <w:color w:val="000000"/>
                <w:sz w:val="20"/>
                <w:szCs w:val="20"/>
              </w:rPr>
            </w:pPr>
            <w:r>
              <w:rPr>
                <w:rFonts w:ascii="Arial Narrow" w:hAnsi="Arial Narrow" w:cs="EUAlbertina"/>
                <w:color w:val="000000"/>
                <w:sz w:val="20"/>
                <w:szCs w:val="20"/>
              </w:rPr>
              <w:t>(d)</w:t>
            </w:r>
            <w:r>
              <w:rPr>
                <w:rFonts w:ascii="Arial Narrow" w:hAnsi="Arial Narrow" w:cs="EUAlbertina"/>
                <w:color w:val="000000"/>
                <w:sz w:val="20"/>
                <w:szCs w:val="20"/>
              </w:rPr>
              <w:tab/>
            </w:r>
            <w:r w:rsidRPr="00F12965">
              <w:rPr>
                <w:rFonts w:ascii="Arial Narrow" w:hAnsi="Arial Narrow" w:cs="EUAlbertina"/>
                <w:color w:val="000000"/>
                <w:sz w:val="20"/>
                <w:szCs w:val="20"/>
              </w:rPr>
              <w:t xml:space="preserve">che il piano </w:t>
            </w:r>
            <w:r>
              <w:rPr>
                <w:rFonts w:ascii="Arial Narrow" w:hAnsi="Arial Narrow" w:cs="EUAlbertina"/>
                <w:color w:val="000000"/>
                <w:sz w:val="20"/>
                <w:szCs w:val="20"/>
              </w:rPr>
              <w:t>è un piano a benefici definiti;</w:t>
            </w:r>
            <w:r>
              <w:rPr>
                <w:rFonts w:ascii="Arial Narrow" w:hAnsi="Arial Narrow" w:cs="EUAlbertina"/>
                <w:color w:val="000000"/>
                <w:sz w:val="20"/>
                <w:szCs w:val="20"/>
              </w:rPr>
              <w:tab/>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Default="00D26424" w:rsidP="004300E2">
            <w:pPr>
              <w:pStyle w:val="Numeroelenco"/>
              <w:numPr>
                <w:ilvl w:val="0"/>
                <w:numId w:val="0"/>
              </w:numPr>
              <w:ind w:left="644" w:hanging="360"/>
              <w:rPr>
                <w:lang w:val="it-IT"/>
              </w:rPr>
            </w:pPr>
          </w:p>
        </w:tc>
        <w:tc>
          <w:tcPr>
            <w:tcW w:w="851" w:type="dxa"/>
            <w:tcMar>
              <w:left w:w="108" w:type="dxa"/>
              <w:right w:w="0" w:type="dxa"/>
            </w:tcMar>
          </w:tcPr>
          <w:p w:rsidR="00D26424" w:rsidRPr="00D51324" w:rsidRDefault="00D26424" w:rsidP="004300E2">
            <w:pPr>
              <w:pStyle w:val="IAS"/>
              <w:rPr>
                <w:sz w:val="12"/>
                <w:szCs w:val="12"/>
                <w:lang w:val="it-IT"/>
              </w:rPr>
            </w:pPr>
          </w:p>
        </w:tc>
        <w:tc>
          <w:tcPr>
            <w:tcW w:w="7079" w:type="dxa"/>
            <w:tcMar>
              <w:left w:w="108" w:type="dxa"/>
            </w:tcMar>
          </w:tcPr>
          <w:p w:rsidR="00D26424" w:rsidRPr="00F12965" w:rsidRDefault="00D26424" w:rsidP="00634317">
            <w:pPr>
              <w:pStyle w:val="CM4"/>
              <w:tabs>
                <w:tab w:val="left" w:pos="174"/>
              </w:tabs>
              <w:spacing w:before="60" w:after="60" w:line="226" w:lineRule="exact"/>
              <w:ind w:left="315" w:hanging="315"/>
              <w:jc w:val="both"/>
              <w:rPr>
                <w:rFonts w:ascii="Arial Narrow" w:hAnsi="Arial Narrow" w:cs="EUAlbertina"/>
                <w:color w:val="000000"/>
                <w:sz w:val="20"/>
                <w:szCs w:val="20"/>
              </w:rPr>
            </w:pPr>
            <w:r>
              <w:rPr>
                <w:rFonts w:ascii="Arial Narrow" w:hAnsi="Arial Narrow" w:cs="EUAlbertina"/>
                <w:color w:val="000000"/>
                <w:sz w:val="20"/>
                <w:szCs w:val="20"/>
              </w:rPr>
              <w:t>(e)</w:t>
            </w:r>
            <w:r>
              <w:rPr>
                <w:rFonts w:ascii="Arial Narrow" w:hAnsi="Arial Narrow" w:cs="EUAlbertina"/>
                <w:color w:val="000000"/>
                <w:sz w:val="20"/>
                <w:szCs w:val="20"/>
              </w:rPr>
              <w:tab/>
            </w:r>
            <w:r w:rsidRPr="00F12965">
              <w:rPr>
                <w:rFonts w:ascii="Arial Narrow" w:hAnsi="Arial Narrow" w:cs="EUAlbertina"/>
                <w:color w:val="000000"/>
                <w:sz w:val="20"/>
                <w:szCs w:val="20"/>
              </w:rPr>
              <w:t xml:space="preserve">i motivi per cui non sono disponibili informazioni sufficienti per consentire all’entità di contabilizzarlo come un piano a benefici definiti; </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Default="00D26424" w:rsidP="004300E2">
            <w:pPr>
              <w:pStyle w:val="Numeroelenco"/>
              <w:numPr>
                <w:ilvl w:val="0"/>
                <w:numId w:val="0"/>
              </w:numPr>
              <w:ind w:left="644" w:hanging="360"/>
              <w:rPr>
                <w:lang w:val="it-IT"/>
              </w:rPr>
            </w:pPr>
          </w:p>
        </w:tc>
        <w:tc>
          <w:tcPr>
            <w:tcW w:w="851" w:type="dxa"/>
            <w:tcMar>
              <w:left w:w="108" w:type="dxa"/>
              <w:right w:w="0" w:type="dxa"/>
            </w:tcMar>
          </w:tcPr>
          <w:p w:rsidR="00D26424" w:rsidRPr="00D51324" w:rsidRDefault="00D26424" w:rsidP="004300E2">
            <w:pPr>
              <w:pStyle w:val="IAS"/>
              <w:rPr>
                <w:sz w:val="12"/>
                <w:szCs w:val="12"/>
                <w:lang w:val="it-IT"/>
              </w:rPr>
            </w:pPr>
          </w:p>
        </w:tc>
        <w:tc>
          <w:tcPr>
            <w:tcW w:w="7079" w:type="dxa"/>
            <w:tcMar>
              <w:left w:w="108" w:type="dxa"/>
            </w:tcMar>
          </w:tcPr>
          <w:p w:rsidR="00D26424" w:rsidRPr="00F12965" w:rsidRDefault="00D26424" w:rsidP="00634317">
            <w:pPr>
              <w:pStyle w:val="CM4"/>
              <w:spacing w:before="60" w:after="60" w:line="226" w:lineRule="exact"/>
              <w:ind w:left="315" w:hanging="315"/>
              <w:jc w:val="both"/>
              <w:rPr>
                <w:rFonts w:ascii="Arial Narrow" w:hAnsi="Arial Narrow" w:cs="EUAlbertina"/>
                <w:color w:val="000000"/>
                <w:sz w:val="20"/>
                <w:szCs w:val="20"/>
              </w:rPr>
            </w:pPr>
            <w:r>
              <w:rPr>
                <w:rFonts w:ascii="Arial Narrow" w:hAnsi="Arial Narrow" w:cs="EUAlbertina"/>
                <w:color w:val="000000"/>
                <w:sz w:val="20"/>
                <w:szCs w:val="20"/>
              </w:rPr>
              <w:t>(f)</w:t>
            </w:r>
            <w:r>
              <w:rPr>
                <w:rFonts w:ascii="Arial Narrow" w:hAnsi="Arial Narrow" w:cs="EUAlbertina"/>
                <w:color w:val="000000"/>
                <w:sz w:val="20"/>
                <w:szCs w:val="20"/>
              </w:rPr>
              <w:tab/>
            </w:r>
            <w:r w:rsidRPr="00F12965">
              <w:rPr>
                <w:rFonts w:ascii="Arial Narrow" w:hAnsi="Arial Narrow" w:cs="EUAlbertina"/>
                <w:color w:val="000000"/>
                <w:sz w:val="20"/>
                <w:szCs w:val="20"/>
              </w:rPr>
              <w:t xml:space="preserve">i contributi al piano previsti per il prossimo esercizio; </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Default="00D26424" w:rsidP="004300E2">
            <w:pPr>
              <w:pStyle w:val="Numeroelenco"/>
              <w:numPr>
                <w:ilvl w:val="0"/>
                <w:numId w:val="0"/>
              </w:numPr>
              <w:ind w:left="644" w:hanging="360"/>
              <w:rPr>
                <w:lang w:val="it-IT"/>
              </w:rPr>
            </w:pPr>
          </w:p>
          <w:p w:rsidR="00D26424" w:rsidRDefault="00D26424" w:rsidP="004300E2">
            <w:pPr>
              <w:pStyle w:val="Numeroelenco"/>
              <w:numPr>
                <w:ilvl w:val="0"/>
                <w:numId w:val="0"/>
              </w:numPr>
              <w:ind w:left="644" w:hanging="360"/>
              <w:rPr>
                <w:lang w:val="it-IT"/>
              </w:rPr>
            </w:pPr>
          </w:p>
        </w:tc>
        <w:tc>
          <w:tcPr>
            <w:tcW w:w="851" w:type="dxa"/>
            <w:tcMar>
              <w:left w:w="108" w:type="dxa"/>
              <w:right w:w="0" w:type="dxa"/>
            </w:tcMar>
          </w:tcPr>
          <w:p w:rsidR="00D26424" w:rsidRPr="00D51324" w:rsidRDefault="00D26424" w:rsidP="004300E2">
            <w:pPr>
              <w:pStyle w:val="IAS"/>
              <w:rPr>
                <w:sz w:val="12"/>
                <w:szCs w:val="12"/>
                <w:lang w:val="it-IT"/>
              </w:rPr>
            </w:pPr>
          </w:p>
        </w:tc>
        <w:tc>
          <w:tcPr>
            <w:tcW w:w="7079" w:type="dxa"/>
            <w:tcMar>
              <w:left w:w="108" w:type="dxa"/>
            </w:tcMar>
          </w:tcPr>
          <w:p w:rsidR="00D26424" w:rsidRPr="00F12965" w:rsidRDefault="00D26424" w:rsidP="00634317">
            <w:pPr>
              <w:pStyle w:val="CM4"/>
              <w:spacing w:before="20" w:after="20" w:line="226" w:lineRule="exact"/>
              <w:ind w:left="318" w:hanging="318"/>
              <w:jc w:val="both"/>
              <w:rPr>
                <w:rFonts w:ascii="Arial Narrow" w:hAnsi="Arial Narrow" w:cs="EUAlbertina"/>
                <w:color w:val="000000"/>
                <w:sz w:val="20"/>
                <w:szCs w:val="20"/>
              </w:rPr>
            </w:pPr>
            <w:r>
              <w:rPr>
                <w:rFonts w:ascii="Arial Narrow" w:hAnsi="Arial Narrow" w:cs="EUAlbertina"/>
                <w:color w:val="000000"/>
                <w:sz w:val="20"/>
                <w:szCs w:val="20"/>
              </w:rPr>
              <w:t>(g)</w:t>
            </w:r>
            <w:r>
              <w:rPr>
                <w:rFonts w:ascii="Arial Narrow" w:hAnsi="Arial Narrow" w:cs="EUAlbertina"/>
                <w:color w:val="000000"/>
                <w:sz w:val="20"/>
                <w:szCs w:val="20"/>
              </w:rPr>
              <w:tab/>
            </w:r>
            <w:r w:rsidRPr="00F12965">
              <w:rPr>
                <w:rFonts w:ascii="Arial Narrow" w:hAnsi="Arial Narrow" w:cs="EUAlbertina"/>
                <w:color w:val="000000"/>
                <w:sz w:val="20"/>
                <w:szCs w:val="20"/>
              </w:rPr>
              <w:t xml:space="preserve">le informazioni relative a un avanzo o disavanzo del piano che può influire sull'ammontare dei contributi futuri, incluso il criterio per determinare tale disavanzo o avanzo e le eventuali implicazioni per l’entità; </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Default="00D26424" w:rsidP="004300E2">
            <w:pPr>
              <w:pStyle w:val="Numeroelenco"/>
              <w:numPr>
                <w:ilvl w:val="0"/>
                <w:numId w:val="0"/>
              </w:numPr>
              <w:ind w:left="644" w:hanging="360"/>
              <w:rPr>
                <w:lang w:val="it-IT"/>
              </w:rPr>
            </w:pPr>
          </w:p>
        </w:tc>
        <w:tc>
          <w:tcPr>
            <w:tcW w:w="851" w:type="dxa"/>
            <w:tcMar>
              <w:left w:w="108" w:type="dxa"/>
              <w:right w:w="0" w:type="dxa"/>
            </w:tcMar>
          </w:tcPr>
          <w:p w:rsidR="00D26424" w:rsidRPr="00D51324" w:rsidRDefault="00D26424" w:rsidP="004300E2">
            <w:pPr>
              <w:pStyle w:val="IAS"/>
              <w:rPr>
                <w:sz w:val="12"/>
                <w:szCs w:val="12"/>
                <w:lang w:val="it-IT"/>
              </w:rPr>
            </w:pPr>
          </w:p>
        </w:tc>
        <w:tc>
          <w:tcPr>
            <w:tcW w:w="7079" w:type="dxa"/>
            <w:tcMar>
              <w:left w:w="108" w:type="dxa"/>
            </w:tcMar>
          </w:tcPr>
          <w:p w:rsidR="00D26424" w:rsidRPr="00393603" w:rsidRDefault="00D26424" w:rsidP="00634317">
            <w:pPr>
              <w:pStyle w:val="Commentiriquadro"/>
              <w:pBdr>
                <w:top w:val="none" w:sz="0" w:space="0" w:color="auto"/>
                <w:left w:val="none" w:sz="0" w:space="0" w:color="auto"/>
                <w:bottom w:val="none" w:sz="0" w:space="0" w:color="auto"/>
                <w:right w:val="none" w:sz="0" w:space="0" w:color="auto"/>
              </w:pBdr>
              <w:tabs>
                <w:tab w:val="left" w:pos="598"/>
              </w:tabs>
              <w:spacing w:line="226" w:lineRule="exact"/>
              <w:ind w:left="315" w:hanging="315"/>
              <w:rPr>
                <w:rFonts w:cs="EUAlbertina"/>
                <w:color w:val="000000"/>
                <w:sz w:val="20"/>
                <w:szCs w:val="20"/>
                <w:lang w:val="it-IT"/>
              </w:rPr>
            </w:pPr>
            <w:r w:rsidRPr="00F12965">
              <w:rPr>
                <w:rFonts w:cs="EUAlbertina"/>
                <w:color w:val="000000"/>
                <w:sz w:val="20"/>
                <w:szCs w:val="20"/>
                <w:lang w:val="it-IT"/>
              </w:rPr>
              <w:t>(h) un’indica</w:t>
            </w:r>
            <w:r w:rsidRPr="00664E56">
              <w:rPr>
                <w:rFonts w:cs="EUAlbertina"/>
                <w:color w:val="000000"/>
                <w:sz w:val="20"/>
                <w:szCs w:val="20"/>
                <w:lang w:val="it-IT"/>
              </w:rPr>
              <w:t xml:space="preserve">zione del livello di partecipazione al piano dell’entità rispetto ad altre entità partecipanti. </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Default="004300E2" w:rsidP="004300E2">
            <w:pPr>
              <w:pStyle w:val="Numeroelenco"/>
              <w:numPr>
                <w:ilvl w:val="0"/>
                <w:numId w:val="0"/>
              </w:numPr>
              <w:ind w:left="57"/>
              <w:rPr>
                <w:lang w:val="it-IT"/>
              </w:rPr>
            </w:pPr>
          </w:p>
        </w:tc>
        <w:tc>
          <w:tcPr>
            <w:tcW w:w="851" w:type="dxa"/>
            <w:tcMar>
              <w:left w:w="108" w:type="dxa"/>
              <w:right w:w="0" w:type="dxa"/>
            </w:tcMar>
          </w:tcPr>
          <w:p w:rsidR="004300E2" w:rsidRPr="00D51324" w:rsidRDefault="004300E2" w:rsidP="004300E2">
            <w:pPr>
              <w:pStyle w:val="IAS"/>
              <w:rPr>
                <w:sz w:val="12"/>
                <w:szCs w:val="12"/>
                <w:lang w:val="it-IT"/>
              </w:rPr>
            </w:pPr>
          </w:p>
        </w:tc>
        <w:tc>
          <w:tcPr>
            <w:tcW w:w="7079" w:type="dxa"/>
            <w:tcMar>
              <w:left w:w="108" w:type="dxa"/>
            </w:tcMar>
          </w:tcPr>
          <w:p w:rsidR="004300E2" w:rsidRPr="00E41648" w:rsidRDefault="004300E2" w:rsidP="00634317">
            <w:pPr>
              <w:pStyle w:val="Paragarfobordato"/>
              <w:spacing w:line="226" w:lineRule="exact"/>
            </w:pPr>
            <w:r w:rsidRPr="00E41648">
              <w:t>Tra gli esempi di misure che potrebbero fornire un’indicazione del livello di partecipazione al piano, vi sono la quota parte dell’entità nei contributi complessivi del piano, oppure la quota del numero totale di membri attivi dell'entità, dei membri in pensione e dei precedenti membri destinatari di benefici, se tali informazioni sono disponibili.</w:t>
            </w:r>
          </w:p>
        </w:tc>
        <w:tc>
          <w:tcPr>
            <w:tcW w:w="575" w:type="dxa"/>
            <w:tcMar>
              <w:left w:w="85" w:type="dxa"/>
              <w:right w:w="85" w:type="dxa"/>
            </w:tcMar>
          </w:tcPr>
          <w:p w:rsidR="004300E2" w:rsidRDefault="004300E2" w:rsidP="004300E2">
            <w:pPr>
              <w:jc w:val="center"/>
              <w:rPr>
                <w:lang w:val="it-IT"/>
              </w:rPr>
            </w:pPr>
          </w:p>
          <w:p w:rsidR="004300E2" w:rsidRPr="004979D5" w:rsidRDefault="004300E2" w:rsidP="004300E2">
            <w:pPr>
              <w:jc w:val="center"/>
              <w:rPr>
                <w:lang w:val="it-IT"/>
              </w:rPr>
            </w:pPr>
          </w:p>
        </w:tc>
        <w:tc>
          <w:tcPr>
            <w:tcW w:w="567" w:type="dxa"/>
            <w:tcMar>
              <w:left w:w="108" w:type="dxa"/>
            </w:tcMar>
          </w:tcPr>
          <w:p w:rsidR="004300E2" w:rsidRPr="00393603" w:rsidRDefault="004300E2" w:rsidP="004300E2">
            <w:pPr>
              <w:jc w:val="center"/>
              <w:rPr>
                <w:lang w:val="it-IT"/>
              </w:rPr>
            </w:pPr>
          </w:p>
        </w:tc>
        <w:tc>
          <w:tcPr>
            <w:tcW w:w="567" w:type="dxa"/>
            <w:tcMar>
              <w:left w:w="108" w:type="dxa"/>
            </w:tcMar>
          </w:tcPr>
          <w:p w:rsidR="004300E2" w:rsidRPr="00393603" w:rsidRDefault="004300E2" w:rsidP="004300E2">
            <w:pPr>
              <w:jc w:val="center"/>
              <w:rPr>
                <w:lang w:val="it-IT"/>
              </w:rPr>
            </w:pPr>
          </w:p>
        </w:tc>
      </w:tr>
      <w:tr w:rsidR="004300E2" w:rsidRPr="00A44ECD" w:rsidTr="00940A6F">
        <w:trPr>
          <w:cantSplit/>
        </w:trPr>
        <w:tc>
          <w:tcPr>
            <w:tcW w:w="567" w:type="dxa"/>
            <w:tcMar>
              <w:left w:w="108" w:type="dxa"/>
            </w:tcMar>
          </w:tcPr>
          <w:p w:rsidR="004300E2" w:rsidRPr="008A0F36" w:rsidRDefault="004300E2" w:rsidP="004A579A">
            <w:pPr>
              <w:rPr>
                <w:lang w:val="it-IT"/>
              </w:rPr>
            </w:pPr>
          </w:p>
        </w:tc>
        <w:tc>
          <w:tcPr>
            <w:tcW w:w="851" w:type="dxa"/>
            <w:tcMar>
              <w:left w:w="108" w:type="dxa"/>
              <w:right w:w="0" w:type="dxa"/>
            </w:tcMar>
          </w:tcPr>
          <w:p w:rsidR="004300E2" w:rsidRPr="008A0F36" w:rsidRDefault="004300E2" w:rsidP="004300E2">
            <w:pPr>
              <w:pStyle w:val="IAS"/>
              <w:pageBreakBefore/>
              <w:rPr>
                <w:lang w:val="it-IT"/>
              </w:rPr>
            </w:pPr>
          </w:p>
        </w:tc>
        <w:tc>
          <w:tcPr>
            <w:tcW w:w="7079" w:type="dxa"/>
            <w:tcMar>
              <w:left w:w="108" w:type="dxa"/>
            </w:tcMar>
          </w:tcPr>
          <w:p w:rsidR="004300E2" w:rsidRPr="00CE0185" w:rsidRDefault="004300E2" w:rsidP="00634317">
            <w:pPr>
              <w:pageBreakBefore/>
              <w:spacing w:line="226" w:lineRule="exact"/>
              <w:rPr>
                <w:rFonts w:cs="EUAlbertina"/>
                <w:b/>
                <w:color w:val="000000"/>
                <w:lang w:val="it-IT"/>
              </w:rPr>
            </w:pPr>
            <w:r w:rsidRPr="00AB2C1C">
              <w:rPr>
                <w:rFonts w:cs="EUAlbertina"/>
                <w:b/>
                <w:i/>
                <w:color w:val="000000"/>
                <w:lang w:val="it-IT"/>
              </w:rPr>
              <w:t>Piani a benefici definiti che condividono i rischi tra entità sotto controllo comune</w:t>
            </w:r>
          </w:p>
        </w:tc>
        <w:tc>
          <w:tcPr>
            <w:tcW w:w="575" w:type="dxa"/>
            <w:tcMar>
              <w:left w:w="85" w:type="dxa"/>
              <w:right w:w="85" w:type="dxa"/>
            </w:tcMar>
            <w:vAlign w:val="center"/>
          </w:tcPr>
          <w:p w:rsidR="004300E2" w:rsidRPr="009E6BCD" w:rsidRDefault="004300E2" w:rsidP="004300E2">
            <w:pPr>
              <w:pageBreakBefore/>
              <w:jc w:val="center"/>
              <w:rPr>
                <w:lang w:val="it-IT"/>
              </w:rPr>
            </w:pPr>
          </w:p>
        </w:tc>
        <w:tc>
          <w:tcPr>
            <w:tcW w:w="567" w:type="dxa"/>
            <w:tcMar>
              <w:left w:w="108" w:type="dxa"/>
            </w:tcMar>
            <w:vAlign w:val="center"/>
          </w:tcPr>
          <w:p w:rsidR="004300E2" w:rsidRPr="009E6BCD" w:rsidRDefault="004300E2" w:rsidP="004300E2">
            <w:pPr>
              <w:pageBreakBefore/>
              <w:jc w:val="center"/>
              <w:rPr>
                <w:lang w:val="it-IT"/>
              </w:rPr>
            </w:pPr>
          </w:p>
        </w:tc>
        <w:tc>
          <w:tcPr>
            <w:tcW w:w="567" w:type="dxa"/>
            <w:tcMar>
              <w:left w:w="108" w:type="dxa"/>
            </w:tcMar>
            <w:vAlign w:val="center"/>
          </w:tcPr>
          <w:p w:rsidR="004300E2" w:rsidRPr="009E6BCD" w:rsidRDefault="004300E2" w:rsidP="004300E2">
            <w:pPr>
              <w:pageBreakBefore/>
              <w:jc w:val="center"/>
              <w:rPr>
                <w:lang w:val="it-IT"/>
              </w:rPr>
            </w:pPr>
          </w:p>
        </w:tc>
      </w:tr>
      <w:tr w:rsidR="004300E2" w:rsidRPr="00A44ECD" w:rsidTr="00940A6F">
        <w:trPr>
          <w:cantSplit/>
        </w:trPr>
        <w:tc>
          <w:tcPr>
            <w:tcW w:w="567" w:type="dxa"/>
            <w:tcMar>
              <w:left w:w="108" w:type="dxa"/>
            </w:tcMar>
          </w:tcPr>
          <w:p w:rsidR="004300E2" w:rsidRPr="004F522B" w:rsidRDefault="004300E2" w:rsidP="004300E2">
            <w:pPr>
              <w:rPr>
                <w:lang w:val="it-IT"/>
              </w:rPr>
            </w:pPr>
          </w:p>
        </w:tc>
        <w:tc>
          <w:tcPr>
            <w:tcW w:w="851" w:type="dxa"/>
            <w:tcMar>
              <w:left w:w="108" w:type="dxa"/>
              <w:right w:w="0" w:type="dxa"/>
            </w:tcMar>
          </w:tcPr>
          <w:p w:rsidR="004300E2" w:rsidRDefault="004300E2" w:rsidP="004300E2">
            <w:pPr>
              <w:pStyle w:val="IAS"/>
              <w:rPr>
                <w:iCs/>
                <w:sz w:val="12"/>
                <w:szCs w:val="12"/>
                <w:lang w:val="it-IT"/>
              </w:rPr>
            </w:pPr>
            <w:r w:rsidRPr="004F522B">
              <w:rPr>
                <w:sz w:val="12"/>
                <w:szCs w:val="12"/>
                <w:lang w:val="it-IT"/>
              </w:rPr>
              <w:t>IAS 19.40</w:t>
            </w:r>
          </w:p>
          <w:p w:rsidR="004300E2" w:rsidRPr="004F522B" w:rsidRDefault="004300E2" w:rsidP="004300E2">
            <w:pPr>
              <w:pStyle w:val="IAS"/>
              <w:rPr>
                <w:lang w:val="it-IT"/>
              </w:rPr>
            </w:pPr>
            <w:r w:rsidRPr="004F522B">
              <w:rPr>
                <w:sz w:val="12"/>
                <w:szCs w:val="12"/>
                <w:lang w:val="it-IT"/>
              </w:rPr>
              <w:t>IAS 19.41</w:t>
            </w:r>
          </w:p>
        </w:tc>
        <w:tc>
          <w:tcPr>
            <w:tcW w:w="7079" w:type="dxa"/>
            <w:tcMar>
              <w:left w:w="108" w:type="dxa"/>
            </w:tcMar>
          </w:tcPr>
          <w:p w:rsidR="004300E2" w:rsidRPr="00E41648" w:rsidRDefault="004300E2" w:rsidP="00634317">
            <w:pPr>
              <w:pStyle w:val="Paragarfobordato"/>
              <w:spacing w:line="226" w:lineRule="exact"/>
            </w:pPr>
            <w:r w:rsidRPr="00E41648">
              <w:t>I piani a benefici definiti che condividono i rischi tra entità sotto controllo comune, per esempio una controllante e le sue controllate, non sono piani relativi a più datori di lavoro.</w:t>
            </w:r>
          </w:p>
          <w:p w:rsidR="004300E2" w:rsidRPr="00E41648" w:rsidRDefault="004300E2" w:rsidP="00634317">
            <w:pPr>
              <w:pStyle w:val="Paragarfobordato"/>
              <w:spacing w:line="226" w:lineRule="exact"/>
            </w:pPr>
            <w:r w:rsidRPr="00E41648">
              <w:t>La partecipazione ad uno di questi piani rappresenta un’operazione con parti correlate per ogni entità del gruppo. Le informazioni richieste dal punto 20</w:t>
            </w:r>
            <w:r w:rsidR="00D20202">
              <w:t>2</w:t>
            </w:r>
            <w:r w:rsidRPr="00E41648">
              <w:t xml:space="preserve"> devono essere date solo nel bilancio separato o individuale dell’entità.</w:t>
            </w:r>
          </w:p>
        </w:tc>
        <w:tc>
          <w:tcPr>
            <w:tcW w:w="575" w:type="dxa"/>
            <w:tcMar>
              <w:left w:w="85" w:type="dxa"/>
              <w:right w:w="85" w:type="dxa"/>
            </w:tcMar>
            <w:vAlign w:val="center"/>
          </w:tcPr>
          <w:p w:rsidR="004300E2" w:rsidRPr="009E6BCD" w:rsidRDefault="004300E2" w:rsidP="004300E2">
            <w:pPr>
              <w:jc w:val="center"/>
              <w:rPr>
                <w:lang w:val="it-IT"/>
              </w:rPr>
            </w:pPr>
          </w:p>
        </w:tc>
        <w:tc>
          <w:tcPr>
            <w:tcW w:w="567" w:type="dxa"/>
            <w:tcMar>
              <w:left w:w="108" w:type="dxa"/>
            </w:tcMar>
            <w:vAlign w:val="center"/>
          </w:tcPr>
          <w:p w:rsidR="004300E2" w:rsidRPr="009E6BCD" w:rsidRDefault="004300E2" w:rsidP="004300E2">
            <w:pPr>
              <w:jc w:val="center"/>
              <w:rPr>
                <w:lang w:val="it-IT"/>
              </w:rPr>
            </w:pPr>
          </w:p>
        </w:tc>
        <w:tc>
          <w:tcPr>
            <w:tcW w:w="567" w:type="dxa"/>
            <w:tcMar>
              <w:left w:w="108" w:type="dxa"/>
            </w:tcMar>
            <w:vAlign w:val="center"/>
          </w:tcPr>
          <w:p w:rsidR="004300E2" w:rsidRPr="009E6BCD" w:rsidRDefault="004300E2" w:rsidP="004300E2">
            <w:pPr>
              <w:jc w:val="center"/>
              <w:rPr>
                <w:lang w:val="it-IT"/>
              </w:rPr>
            </w:pPr>
          </w:p>
        </w:tc>
      </w:tr>
      <w:tr w:rsidR="004300E2" w:rsidRPr="00A44ECD" w:rsidTr="00940A6F">
        <w:trPr>
          <w:cantSplit/>
        </w:trPr>
        <w:tc>
          <w:tcPr>
            <w:tcW w:w="567" w:type="dxa"/>
            <w:tcMar>
              <w:left w:w="108" w:type="dxa"/>
            </w:tcMar>
          </w:tcPr>
          <w:p w:rsidR="004300E2" w:rsidRPr="004F522B" w:rsidRDefault="004300E2" w:rsidP="004300E2">
            <w:pPr>
              <w:pStyle w:val="Numeroelenco"/>
              <w:ind w:left="0" w:firstLine="57"/>
              <w:rPr>
                <w:lang w:val="it-IT"/>
              </w:rPr>
            </w:pPr>
          </w:p>
        </w:tc>
        <w:tc>
          <w:tcPr>
            <w:tcW w:w="851" w:type="dxa"/>
            <w:tcMar>
              <w:left w:w="108" w:type="dxa"/>
              <w:right w:w="0" w:type="dxa"/>
            </w:tcMar>
          </w:tcPr>
          <w:p w:rsidR="004300E2" w:rsidRPr="004F522B" w:rsidRDefault="004300E2" w:rsidP="004300E2">
            <w:pPr>
              <w:pStyle w:val="IAS"/>
              <w:jc w:val="both"/>
              <w:rPr>
                <w:sz w:val="12"/>
                <w:szCs w:val="12"/>
                <w:lang w:val="it-IT"/>
              </w:rPr>
            </w:pPr>
            <w:r w:rsidRPr="004F522B">
              <w:rPr>
                <w:sz w:val="12"/>
                <w:szCs w:val="12"/>
                <w:lang w:val="it-IT"/>
              </w:rPr>
              <w:t>IAS 19.149</w:t>
            </w:r>
          </w:p>
          <w:p w:rsidR="004300E2" w:rsidRPr="004F522B" w:rsidRDefault="004300E2" w:rsidP="004300E2">
            <w:pPr>
              <w:pStyle w:val="IAS"/>
              <w:rPr>
                <w:lang w:val="it-IT"/>
              </w:rPr>
            </w:pPr>
          </w:p>
        </w:tc>
        <w:tc>
          <w:tcPr>
            <w:tcW w:w="7079" w:type="dxa"/>
            <w:tcMar>
              <w:left w:w="108" w:type="dxa"/>
            </w:tcMar>
          </w:tcPr>
          <w:p w:rsidR="004300E2" w:rsidRPr="00B02234" w:rsidRDefault="004300E2" w:rsidP="00634317">
            <w:pPr>
              <w:pStyle w:val="CM4"/>
              <w:spacing w:before="20" w:after="20" w:line="226" w:lineRule="exact"/>
              <w:jc w:val="both"/>
              <w:rPr>
                <w:rFonts w:ascii="Arial Narrow" w:hAnsi="Arial Narrow" w:cs="EUAlbertina"/>
                <w:color w:val="000000"/>
                <w:sz w:val="20"/>
                <w:szCs w:val="20"/>
              </w:rPr>
            </w:pPr>
            <w:r w:rsidRPr="004F522B">
              <w:rPr>
                <w:rFonts w:ascii="Arial Narrow" w:hAnsi="Arial Narrow" w:cs="EUAlbertina"/>
                <w:color w:val="000000"/>
                <w:sz w:val="20"/>
                <w:szCs w:val="20"/>
              </w:rPr>
              <w:t>Se un’entità partecipa a un piano a benefici definiti che condivide rischi tra entità sotto c</w:t>
            </w:r>
            <w:r>
              <w:rPr>
                <w:rFonts w:ascii="Arial Narrow" w:hAnsi="Arial Narrow" w:cs="EUAlbertina"/>
                <w:color w:val="000000"/>
                <w:sz w:val="20"/>
                <w:szCs w:val="20"/>
              </w:rPr>
              <w:t>ontrollo comune, deve indicare:</w:t>
            </w:r>
          </w:p>
        </w:tc>
        <w:tc>
          <w:tcPr>
            <w:tcW w:w="575" w:type="dxa"/>
            <w:tcMar>
              <w:left w:w="85" w:type="dxa"/>
              <w:right w:w="85" w:type="dxa"/>
            </w:tcMar>
          </w:tcPr>
          <w:p w:rsidR="004300E2" w:rsidRPr="004979D5" w:rsidRDefault="004300E2" w:rsidP="004300E2">
            <w:pPr>
              <w:jc w:val="center"/>
              <w:rPr>
                <w:lang w:val="it-IT"/>
              </w:rPr>
            </w:pPr>
          </w:p>
          <w:p w:rsidR="004300E2" w:rsidRPr="00A32A16" w:rsidRDefault="004300E2" w:rsidP="004300E2">
            <w:pPr>
              <w:rPr>
                <w:lang w:val="it-IT"/>
              </w:rPr>
            </w:pPr>
          </w:p>
        </w:tc>
        <w:tc>
          <w:tcPr>
            <w:tcW w:w="567" w:type="dxa"/>
            <w:tcMar>
              <w:left w:w="108" w:type="dxa"/>
            </w:tcMar>
          </w:tcPr>
          <w:p w:rsidR="004300E2" w:rsidRPr="00B02234" w:rsidRDefault="004300E2" w:rsidP="004300E2">
            <w:pPr>
              <w:jc w:val="center"/>
              <w:rPr>
                <w:lang w:val="it-IT"/>
              </w:rPr>
            </w:pPr>
          </w:p>
          <w:p w:rsidR="004300E2" w:rsidRPr="00A32A16" w:rsidRDefault="004300E2" w:rsidP="004300E2">
            <w:pPr>
              <w:rPr>
                <w:lang w:val="it-IT"/>
              </w:rPr>
            </w:pPr>
          </w:p>
        </w:tc>
        <w:tc>
          <w:tcPr>
            <w:tcW w:w="567" w:type="dxa"/>
            <w:tcMar>
              <w:left w:w="108" w:type="dxa"/>
            </w:tcMar>
          </w:tcPr>
          <w:p w:rsidR="004300E2" w:rsidRPr="00B02234" w:rsidRDefault="004300E2" w:rsidP="004300E2">
            <w:pPr>
              <w:jc w:val="center"/>
              <w:rPr>
                <w:lang w:val="it-IT"/>
              </w:rPr>
            </w:pPr>
          </w:p>
          <w:p w:rsidR="004300E2" w:rsidRPr="00A32A16" w:rsidRDefault="004300E2" w:rsidP="004300E2">
            <w:pPr>
              <w:rPr>
                <w:lang w:val="it-IT"/>
              </w:rPr>
            </w:pPr>
          </w:p>
        </w:tc>
      </w:tr>
      <w:tr w:rsidR="00D26424" w:rsidRPr="008129DA" w:rsidTr="00940A6F">
        <w:trPr>
          <w:cantSplit/>
        </w:trPr>
        <w:tc>
          <w:tcPr>
            <w:tcW w:w="567" w:type="dxa"/>
            <w:tcMar>
              <w:left w:w="108" w:type="dxa"/>
            </w:tcMar>
          </w:tcPr>
          <w:p w:rsidR="00D26424" w:rsidRPr="004F522B" w:rsidRDefault="00D26424" w:rsidP="004300E2">
            <w:pPr>
              <w:pStyle w:val="Numeroelenco"/>
              <w:numPr>
                <w:ilvl w:val="0"/>
                <w:numId w:val="0"/>
              </w:numPr>
              <w:ind w:left="57"/>
              <w:rPr>
                <w:lang w:val="it-IT"/>
              </w:rPr>
            </w:pPr>
          </w:p>
        </w:tc>
        <w:tc>
          <w:tcPr>
            <w:tcW w:w="851" w:type="dxa"/>
            <w:tcMar>
              <w:left w:w="108" w:type="dxa"/>
              <w:right w:w="0" w:type="dxa"/>
            </w:tcMar>
          </w:tcPr>
          <w:p w:rsidR="00D26424" w:rsidRPr="004F522B" w:rsidRDefault="00D26424" w:rsidP="004300E2">
            <w:pPr>
              <w:pStyle w:val="IAS"/>
              <w:jc w:val="both"/>
              <w:rPr>
                <w:sz w:val="12"/>
                <w:szCs w:val="12"/>
                <w:lang w:val="it-IT"/>
              </w:rPr>
            </w:pPr>
          </w:p>
        </w:tc>
        <w:tc>
          <w:tcPr>
            <w:tcW w:w="7079" w:type="dxa"/>
            <w:tcMar>
              <w:left w:w="108" w:type="dxa"/>
            </w:tcMar>
          </w:tcPr>
          <w:p w:rsidR="00D26424" w:rsidRPr="004F522B" w:rsidRDefault="00D26424" w:rsidP="00634317">
            <w:pPr>
              <w:pStyle w:val="CM4"/>
              <w:spacing w:before="60" w:after="60" w:line="226" w:lineRule="exact"/>
              <w:ind w:left="457" w:hanging="457"/>
              <w:jc w:val="both"/>
              <w:rPr>
                <w:rFonts w:ascii="Arial Narrow" w:hAnsi="Arial Narrow" w:cs="EUAlbertina"/>
                <w:color w:val="000000"/>
                <w:sz w:val="20"/>
                <w:szCs w:val="20"/>
              </w:rPr>
            </w:pPr>
            <w:r w:rsidRPr="004F522B">
              <w:rPr>
                <w:rFonts w:ascii="Arial Narrow" w:hAnsi="Arial Narrow" w:cs="EUAlbertina"/>
                <w:color w:val="000000"/>
                <w:sz w:val="20"/>
                <w:szCs w:val="20"/>
              </w:rPr>
              <w:t>(a)</w:t>
            </w:r>
            <w:r w:rsidRPr="004F522B">
              <w:rPr>
                <w:rFonts w:ascii="Arial Narrow" w:hAnsi="Arial Narrow" w:cs="EUAlbertina"/>
                <w:color w:val="000000"/>
                <w:sz w:val="20"/>
                <w:szCs w:val="20"/>
              </w:rPr>
              <w:tab/>
              <w:t xml:space="preserve">l’accordo contrattuale o le definite procedure per cui si addebita il costo netto del piano a benefici definiti o il fatto che non vi siano tali procedure; </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4F522B" w:rsidRDefault="00D26424" w:rsidP="004300E2">
            <w:pPr>
              <w:pStyle w:val="Numeroelenco"/>
              <w:numPr>
                <w:ilvl w:val="0"/>
                <w:numId w:val="0"/>
              </w:numPr>
              <w:ind w:left="57"/>
              <w:rPr>
                <w:lang w:val="it-IT"/>
              </w:rPr>
            </w:pPr>
          </w:p>
        </w:tc>
        <w:tc>
          <w:tcPr>
            <w:tcW w:w="851" w:type="dxa"/>
            <w:tcMar>
              <w:left w:w="108" w:type="dxa"/>
              <w:right w:w="0" w:type="dxa"/>
            </w:tcMar>
          </w:tcPr>
          <w:p w:rsidR="00D26424" w:rsidRPr="004F522B" w:rsidRDefault="00D26424" w:rsidP="004300E2">
            <w:pPr>
              <w:pStyle w:val="IAS"/>
              <w:jc w:val="both"/>
              <w:rPr>
                <w:sz w:val="12"/>
                <w:szCs w:val="12"/>
                <w:lang w:val="it-IT"/>
              </w:rPr>
            </w:pPr>
          </w:p>
        </w:tc>
        <w:tc>
          <w:tcPr>
            <w:tcW w:w="7079" w:type="dxa"/>
            <w:tcMar>
              <w:left w:w="108" w:type="dxa"/>
            </w:tcMar>
          </w:tcPr>
          <w:p w:rsidR="00D26424" w:rsidRPr="004F522B" w:rsidRDefault="00D26424" w:rsidP="00634317">
            <w:pPr>
              <w:pStyle w:val="CM4"/>
              <w:spacing w:before="60" w:after="60" w:line="226" w:lineRule="exact"/>
              <w:ind w:left="457" w:hanging="457"/>
              <w:jc w:val="both"/>
              <w:rPr>
                <w:rFonts w:ascii="Arial Narrow" w:hAnsi="Arial Narrow" w:cs="EUAlbertina"/>
                <w:color w:val="000000"/>
                <w:sz w:val="20"/>
                <w:szCs w:val="20"/>
              </w:rPr>
            </w:pPr>
            <w:r w:rsidRPr="004F522B">
              <w:rPr>
                <w:rFonts w:ascii="Arial Narrow" w:hAnsi="Arial Narrow" w:cs="EUAlbertina"/>
                <w:color w:val="000000"/>
                <w:sz w:val="20"/>
                <w:szCs w:val="20"/>
              </w:rPr>
              <w:t>(b)</w:t>
            </w:r>
            <w:r w:rsidRPr="004F522B">
              <w:rPr>
                <w:rFonts w:ascii="Arial Narrow" w:hAnsi="Arial Narrow" w:cs="EUAlbertina"/>
                <w:color w:val="000000"/>
                <w:sz w:val="20"/>
                <w:szCs w:val="20"/>
              </w:rPr>
              <w:tab/>
              <w:t xml:space="preserve">la procedura per determinare il contributo che l’entità deve corrispondere; </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4F522B" w:rsidRDefault="00D26424" w:rsidP="004300E2">
            <w:pPr>
              <w:pStyle w:val="Numeroelenco"/>
              <w:numPr>
                <w:ilvl w:val="0"/>
                <w:numId w:val="0"/>
              </w:numPr>
              <w:ind w:left="57"/>
              <w:rPr>
                <w:lang w:val="it-IT"/>
              </w:rPr>
            </w:pPr>
          </w:p>
        </w:tc>
        <w:tc>
          <w:tcPr>
            <w:tcW w:w="851" w:type="dxa"/>
            <w:tcMar>
              <w:left w:w="108" w:type="dxa"/>
              <w:right w:w="0" w:type="dxa"/>
            </w:tcMar>
          </w:tcPr>
          <w:p w:rsidR="00D26424" w:rsidRPr="004F522B" w:rsidRDefault="00D26424" w:rsidP="004300E2">
            <w:pPr>
              <w:pStyle w:val="IAS"/>
              <w:jc w:val="both"/>
              <w:rPr>
                <w:sz w:val="12"/>
                <w:szCs w:val="12"/>
                <w:lang w:val="it-IT"/>
              </w:rPr>
            </w:pPr>
          </w:p>
        </w:tc>
        <w:tc>
          <w:tcPr>
            <w:tcW w:w="7079" w:type="dxa"/>
            <w:tcMar>
              <w:left w:w="108" w:type="dxa"/>
            </w:tcMar>
          </w:tcPr>
          <w:p w:rsidR="00D26424" w:rsidRPr="004F522B" w:rsidRDefault="00D26424" w:rsidP="00634317">
            <w:pPr>
              <w:pStyle w:val="CM4"/>
              <w:spacing w:before="60" w:after="60" w:line="226" w:lineRule="exact"/>
              <w:ind w:left="457" w:hanging="457"/>
              <w:jc w:val="both"/>
              <w:rPr>
                <w:rFonts w:ascii="Arial Narrow" w:hAnsi="Arial Narrow" w:cs="EUAlbertina"/>
                <w:color w:val="000000"/>
                <w:sz w:val="20"/>
                <w:szCs w:val="20"/>
              </w:rPr>
            </w:pPr>
            <w:r w:rsidRPr="004F522B">
              <w:rPr>
                <w:rFonts w:ascii="Arial Narrow" w:hAnsi="Arial Narrow" w:cs="EUAlbertina"/>
                <w:color w:val="000000"/>
                <w:sz w:val="20"/>
                <w:szCs w:val="20"/>
              </w:rPr>
              <w:t>(c)</w:t>
            </w:r>
            <w:r w:rsidRPr="004F522B">
              <w:rPr>
                <w:rFonts w:ascii="Arial Narrow" w:hAnsi="Arial Narrow" w:cs="EUAlbertina"/>
                <w:color w:val="000000"/>
                <w:sz w:val="20"/>
                <w:szCs w:val="20"/>
              </w:rPr>
              <w:tab/>
              <w:t xml:space="preserve">tutte le informazioni relative al piano nel suo insieme secondo quanto previsto dai paragrafi IAS 19.135-147 (vedi punti </w:t>
            </w:r>
            <w:r>
              <w:rPr>
                <w:rFonts w:ascii="Arial Narrow" w:hAnsi="Arial Narrow" w:cs="EUAlbertina"/>
                <w:color w:val="000000"/>
                <w:sz w:val="20"/>
                <w:szCs w:val="20"/>
              </w:rPr>
              <w:t>205-213</w:t>
            </w:r>
            <w:r w:rsidRPr="004F522B">
              <w:rPr>
                <w:rFonts w:ascii="Arial Narrow" w:hAnsi="Arial Narrow" w:cs="EUAlbertina"/>
                <w:color w:val="000000"/>
                <w:sz w:val="20"/>
                <w:szCs w:val="20"/>
              </w:rPr>
              <w:t>), se l’entità contabilizza una ripartizione del costo netto del piano a benefici definiti secondo quanto previsto dal paragrafo IAS</w:t>
            </w:r>
            <w:r>
              <w:rPr>
                <w:rFonts w:ascii="Arial Narrow" w:hAnsi="Arial Narrow" w:cs="EUAlbertina"/>
                <w:color w:val="000000"/>
                <w:sz w:val="20"/>
                <w:szCs w:val="20"/>
              </w:rPr>
              <w:t xml:space="preserve"> </w:t>
            </w:r>
            <w:r w:rsidRPr="004F522B">
              <w:rPr>
                <w:rFonts w:ascii="Arial Narrow" w:hAnsi="Arial Narrow" w:cs="EUAlbertina"/>
                <w:color w:val="000000"/>
                <w:sz w:val="20"/>
                <w:szCs w:val="20"/>
              </w:rPr>
              <w:t xml:space="preserve">19.41; </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Pr="004F522B" w:rsidRDefault="00D26424" w:rsidP="004300E2">
            <w:pPr>
              <w:pStyle w:val="Numeroelenco"/>
              <w:numPr>
                <w:ilvl w:val="0"/>
                <w:numId w:val="0"/>
              </w:numPr>
              <w:ind w:left="644" w:hanging="360"/>
              <w:rPr>
                <w:lang w:val="it-IT"/>
              </w:rPr>
            </w:pPr>
          </w:p>
        </w:tc>
        <w:tc>
          <w:tcPr>
            <w:tcW w:w="851" w:type="dxa"/>
            <w:tcMar>
              <w:left w:w="108" w:type="dxa"/>
              <w:right w:w="0" w:type="dxa"/>
            </w:tcMar>
          </w:tcPr>
          <w:p w:rsidR="00D26424" w:rsidRPr="004F522B" w:rsidRDefault="00D26424" w:rsidP="004300E2">
            <w:pPr>
              <w:pStyle w:val="IAS"/>
              <w:jc w:val="both"/>
              <w:rPr>
                <w:sz w:val="12"/>
                <w:szCs w:val="12"/>
                <w:lang w:val="it-IT"/>
              </w:rPr>
            </w:pPr>
          </w:p>
        </w:tc>
        <w:tc>
          <w:tcPr>
            <w:tcW w:w="7079" w:type="dxa"/>
            <w:tcMar>
              <w:left w:w="108" w:type="dxa"/>
            </w:tcMar>
          </w:tcPr>
          <w:p w:rsidR="00D26424" w:rsidRPr="00B02234" w:rsidRDefault="00D26424" w:rsidP="00634317">
            <w:pPr>
              <w:pStyle w:val="Commentiriquadro"/>
              <w:pBdr>
                <w:top w:val="none" w:sz="0" w:space="0" w:color="auto"/>
                <w:left w:val="none" w:sz="0" w:space="0" w:color="auto"/>
                <w:bottom w:val="none" w:sz="0" w:space="0" w:color="auto"/>
                <w:right w:val="none" w:sz="0" w:space="0" w:color="auto"/>
              </w:pBdr>
              <w:tabs>
                <w:tab w:val="left" w:pos="533"/>
              </w:tabs>
              <w:spacing w:line="226" w:lineRule="exact"/>
              <w:ind w:left="457" w:hanging="457"/>
              <w:rPr>
                <w:rFonts w:cs="EUAlbertina"/>
                <w:color w:val="000000"/>
                <w:sz w:val="20"/>
                <w:szCs w:val="20"/>
                <w:lang w:val="it-IT"/>
              </w:rPr>
            </w:pPr>
            <w:r w:rsidRPr="004F522B">
              <w:rPr>
                <w:rFonts w:cs="EUAlbertina"/>
                <w:color w:val="000000"/>
                <w:sz w:val="20"/>
                <w:szCs w:val="20"/>
                <w:lang w:val="it-IT"/>
              </w:rPr>
              <w:t>(d)</w:t>
            </w:r>
            <w:r w:rsidRPr="004F522B">
              <w:rPr>
                <w:rFonts w:cs="EUAlbertina"/>
                <w:color w:val="000000"/>
                <w:sz w:val="20"/>
                <w:szCs w:val="20"/>
                <w:lang w:val="it-IT"/>
              </w:rPr>
              <w:tab/>
              <w:t>le informazioni relative al piano nel suo insieme second</w:t>
            </w:r>
            <w:r>
              <w:rPr>
                <w:rFonts w:cs="EUAlbertina"/>
                <w:color w:val="000000"/>
                <w:sz w:val="20"/>
                <w:szCs w:val="20"/>
                <w:lang w:val="it-IT"/>
              </w:rPr>
              <w:t xml:space="preserve">o quanto previsto dai paragrafi </w:t>
            </w:r>
            <w:r w:rsidRPr="004F522B">
              <w:rPr>
                <w:rFonts w:cs="EUAlbertina"/>
                <w:color w:val="000000"/>
                <w:sz w:val="20"/>
                <w:szCs w:val="20"/>
                <w:lang w:val="it-IT"/>
              </w:rPr>
              <w:t xml:space="preserve">IAS 19.135-137, 139, 142-144 e 147(a) e (b) (vedi punti </w:t>
            </w:r>
            <w:r>
              <w:rPr>
                <w:rFonts w:cs="EUAlbertina"/>
                <w:color w:val="000000"/>
                <w:sz w:val="20"/>
                <w:szCs w:val="20"/>
                <w:lang w:val="it-IT"/>
              </w:rPr>
              <w:t>205-213</w:t>
            </w:r>
            <w:r w:rsidRPr="004F522B">
              <w:rPr>
                <w:rFonts w:cs="EUAlbertina"/>
                <w:color w:val="000000"/>
                <w:sz w:val="20"/>
                <w:szCs w:val="20"/>
                <w:lang w:val="it-IT"/>
              </w:rPr>
              <w:t>, ove applicabili), se l'entità contabilizza il contributo dovuto per l'esercizio secondo quanto previsto dal paragrafo IAS 19.41.</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4F522B" w:rsidRDefault="004300E2" w:rsidP="004300E2">
            <w:pPr>
              <w:pStyle w:val="Numeroelenco"/>
              <w:numPr>
                <w:ilvl w:val="0"/>
                <w:numId w:val="0"/>
              </w:numPr>
              <w:ind w:left="644" w:hanging="360"/>
              <w:rPr>
                <w:lang w:val="it-IT"/>
              </w:rPr>
            </w:pPr>
          </w:p>
        </w:tc>
        <w:tc>
          <w:tcPr>
            <w:tcW w:w="851" w:type="dxa"/>
            <w:tcMar>
              <w:left w:w="108" w:type="dxa"/>
              <w:right w:w="0" w:type="dxa"/>
            </w:tcMar>
          </w:tcPr>
          <w:p w:rsidR="004300E2" w:rsidRPr="004F522B" w:rsidRDefault="004300E2" w:rsidP="004300E2">
            <w:pPr>
              <w:pStyle w:val="IAS"/>
              <w:jc w:val="both"/>
              <w:rPr>
                <w:sz w:val="12"/>
                <w:szCs w:val="12"/>
                <w:lang w:val="it-IT"/>
              </w:rPr>
            </w:pPr>
          </w:p>
        </w:tc>
        <w:tc>
          <w:tcPr>
            <w:tcW w:w="7079" w:type="dxa"/>
            <w:tcMar>
              <w:left w:w="108" w:type="dxa"/>
            </w:tcMar>
          </w:tcPr>
          <w:p w:rsidR="004300E2" w:rsidRPr="00E41648" w:rsidRDefault="004300E2" w:rsidP="00634317">
            <w:pPr>
              <w:pStyle w:val="Paragarfobordato"/>
            </w:pPr>
            <w:r w:rsidRPr="00E41648">
              <w:t xml:space="preserve">Le informazioni richieste dai paragrafi IAS 19.149 (c) e (d) possono essere indicate facendo riferimento alle informazioni integrative presentate nel bilancio di un'altra entità del gruppo se: </w:t>
            </w:r>
          </w:p>
          <w:p w:rsidR="004300E2" w:rsidRPr="00E41648" w:rsidRDefault="004300E2" w:rsidP="00634317">
            <w:pPr>
              <w:pStyle w:val="Paragarfobordato"/>
            </w:pPr>
            <w:r w:rsidRPr="00E41648">
              <w:t>(a)</w:t>
            </w:r>
            <w:r w:rsidRPr="00E41648">
              <w:tab/>
              <w:t xml:space="preserve">il bilancio di quell’entità del gruppo identifica e indica separatamente le informazioni richieste sul piano; e </w:t>
            </w:r>
          </w:p>
          <w:p w:rsidR="004300E2" w:rsidRPr="00E41648" w:rsidRDefault="004300E2" w:rsidP="00634317">
            <w:pPr>
              <w:pStyle w:val="Paragarfobordato"/>
            </w:pPr>
            <w:r w:rsidRPr="00E41648">
              <w:t xml:space="preserve">(b) </w:t>
            </w:r>
            <w:r w:rsidRPr="00E41648">
              <w:tab/>
              <w:t>il bilancio di quell’entità del gruppo è disponibile per gli utilizzatori del bilancio alle stesse condizioni del bilancio dell’entità e contemporaneamente al bilancio dell’entità, o precedentemente.</w:t>
            </w:r>
          </w:p>
        </w:tc>
        <w:tc>
          <w:tcPr>
            <w:tcW w:w="575" w:type="dxa"/>
            <w:tcMar>
              <w:left w:w="85" w:type="dxa"/>
              <w:right w:w="85" w:type="dxa"/>
            </w:tcMar>
          </w:tcPr>
          <w:p w:rsidR="004300E2" w:rsidRPr="004979D5" w:rsidRDefault="004300E2" w:rsidP="004300E2">
            <w:pPr>
              <w:jc w:val="center"/>
              <w:rPr>
                <w:lang w:val="it-IT"/>
              </w:rPr>
            </w:pPr>
          </w:p>
        </w:tc>
        <w:tc>
          <w:tcPr>
            <w:tcW w:w="567" w:type="dxa"/>
            <w:tcMar>
              <w:left w:w="108" w:type="dxa"/>
            </w:tcMar>
          </w:tcPr>
          <w:p w:rsidR="004300E2" w:rsidRPr="00B02234" w:rsidRDefault="004300E2" w:rsidP="004300E2">
            <w:pPr>
              <w:jc w:val="center"/>
              <w:rPr>
                <w:lang w:val="it-IT"/>
              </w:rPr>
            </w:pPr>
          </w:p>
        </w:tc>
        <w:tc>
          <w:tcPr>
            <w:tcW w:w="567" w:type="dxa"/>
            <w:tcMar>
              <w:left w:w="108" w:type="dxa"/>
            </w:tcMar>
          </w:tcPr>
          <w:p w:rsidR="004300E2" w:rsidRPr="00B02234" w:rsidRDefault="004300E2" w:rsidP="004300E2">
            <w:pPr>
              <w:jc w:val="center"/>
              <w:rPr>
                <w:lang w:val="it-IT"/>
              </w:rPr>
            </w:pPr>
          </w:p>
        </w:tc>
      </w:tr>
      <w:tr w:rsidR="004300E2" w:rsidRPr="009E6BCD" w:rsidTr="00940A6F">
        <w:trPr>
          <w:cantSplit/>
        </w:trPr>
        <w:tc>
          <w:tcPr>
            <w:tcW w:w="567" w:type="dxa"/>
            <w:tcMar>
              <w:left w:w="108" w:type="dxa"/>
            </w:tcMar>
          </w:tcPr>
          <w:p w:rsidR="004300E2" w:rsidRPr="008A0F36" w:rsidRDefault="004300E2" w:rsidP="004300E2">
            <w:pPr>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Default="004300E2" w:rsidP="004300E2">
            <w:pPr>
              <w:rPr>
                <w:rFonts w:cs="EUAlbertina"/>
                <w:color w:val="000000"/>
              </w:rPr>
            </w:pPr>
            <w:r w:rsidRPr="00AB2C1C">
              <w:rPr>
                <w:rFonts w:cs="EUAlbertina"/>
                <w:b/>
                <w:i/>
                <w:color w:val="000000"/>
                <w:lang w:val="it-IT"/>
              </w:rPr>
              <w:t>Piani a contribuzione definita</w:t>
            </w:r>
          </w:p>
        </w:tc>
        <w:tc>
          <w:tcPr>
            <w:tcW w:w="575" w:type="dxa"/>
            <w:tcMar>
              <w:left w:w="85" w:type="dxa"/>
              <w:right w:w="85" w:type="dxa"/>
            </w:tcMar>
            <w:vAlign w:val="center"/>
          </w:tcPr>
          <w:p w:rsidR="004300E2" w:rsidRPr="009E6BCD" w:rsidRDefault="004300E2" w:rsidP="004300E2">
            <w:pPr>
              <w:jc w:val="center"/>
              <w:rPr>
                <w:lang w:val="it-IT"/>
              </w:rPr>
            </w:pPr>
          </w:p>
        </w:tc>
        <w:tc>
          <w:tcPr>
            <w:tcW w:w="567" w:type="dxa"/>
            <w:tcMar>
              <w:left w:w="108" w:type="dxa"/>
            </w:tcMar>
            <w:vAlign w:val="center"/>
          </w:tcPr>
          <w:p w:rsidR="004300E2" w:rsidRPr="009E6BCD" w:rsidRDefault="004300E2" w:rsidP="004300E2">
            <w:pPr>
              <w:jc w:val="center"/>
              <w:rPr>
                <w:lang w:val="it-IT"/>
              </w:rPr>
            </w:pPr>
          </w:p>
        </w:tc>
        <w:tc>
          <w:tcPr>
            <w:tcW w:w="567" w:type="dxa"/>
            <w:tcMar>
              <w:left w:w="108" w:type="dxa"/>
            </w:tcMar>
            <w:vAlign w:val="center"/>
          </w:tcPr>
          <w:p w:rsidR="004300E2" w:rsidRPr="009E6BCD" w:rsidRDefault="004300E2" w:rsidP="004300E2">
            <w:pPr>
              <w:jc w:val="center"/>
              <w:rPr>
                <w:lang w:val="it-IT"/>
              </w:rPr>
            </w:pPr>
          </w:p>
        </w:tc>
      </w:tr>
      <w:tr w:rsidR="00D26424" w:rsidRPr="008129DA" w:rsidTr="00940A6F">
        <w:trPr>
          <w:cantSplit/>
        </w:trPr>
        <w:tc>
          <w:tcPr>
            <w:tcW w:w="567" w:type="dxa"/>
            <w:tcMar>
              <w:left w:w="108" w:type="dxa"/>
            </w:tcMar>
          </w:tcPr>
          <w:p w:rsidR="00D26424" w:rsidRDefault="00D26424" w:rsidP="004300E2">
            <w:pPr>
              <w:pStyle w:val="Numeroelenco"/>
              <w:ind w:left="0" w:firstLine="57"/>
              <w:rPr>
                <w:lang w:val="it-IT"/>
              </w:rPr>
            </w:pPr>
          </w:p>
        </w:tc>
        <w:tc>
          <w:tcPr>
            <w:tcW w:w="851" w:type="dxa"/>
            <w:tcMar>
              <w:left w:w="108" w:type="dxa"/>
              <w:right w:w="0" w:type="dxa"/>
            </w:tcMar>
          </w:tcPr>
          <w:p w:rsidR="00D26424" w:rsidRPr="008A0F36" w:rsidRDefault="00D26424" w:rsidP="004300E2">
            <w:pPr>
              <w:pStyle w:val="IAS"/>
              <w:rPr>
                <w:lang w:val="it-IT"/>
              </w:rPr>
            </w:pPr>
            <w:r w:rsidRPr="00D51324">
              <w:rPr>
                <w:sz w:val="12"/>
                <w:szCs w:val="12"/>
                <w:lang w:val="it-IT"/>
              </w:rPr>
              <w:t>IAS 19.53</w:t>
            </w:r>
          </w:p>
        </w:tc>
        <w:tc>
          <w:tcPr>
            <w:tcW w:w="7079" w:type="dxa"/>
            <w:tcMar>
              <w:left w:w="108" w:type="dxa"/>
            </w:tcMar>
          </w:tcPr>
          <w:p w:rsidR="00D26424" w:rsidRPr="00CE0185" w:rsidRDefault="00D26424" w:rsidP="004300E2">
            <w:pPr>
              <w:rPr>
                <w:b/>
                <w:lang w:val="it-IT"/>
              </w:rPr>
            </w:pPr>
            <w:r w:rsidRPr="00AB2C1C">
              <w:rPr>
                <w:lang w:val="it-IT"/>
              </w:rPr>
              <w:t>L’entità deve dare informativa in bilancio dell’ammontare rilevato come costo per piani a contribuzione definita.</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Default="00D26424" w:rsidP="004300E2">
            <w:pPr>
              <w:pStyle w:val="Numeroelenco"/>
              <w:ind w:left="0" w:firstLine="57"/>
              <w:rPr>
                <w:lang w:val="it-IT"/>
              </w:rPr>
            </w:pPr>
          </w:p>
        </w:tc>
        <w:tc>
          <w:tcPr>
            <w:tcW w:w="851" w:type="dxa"/>
            <w:tcMar>
              <w:left w:w="108" w:type="dxa"/>
              <w:right w:w="0" w:type="dxa"/>
            </w:tcMar>
          </w:tcPr>
          <w:p w:rsidR="00D26424" w:rsidRPr="008A0F36" w:rsidRDefault="00D26424" w:rsidP="004300E2">
            <w:pPr>
              <w:pStyle w:val="IAS"/>
              <w:rPr>
                <w:lang w:val="it-IT"/>
              </w:rPr>
            </w:pPr>
            <w:r w:rsidRPr="00D51324">
              <w:rPr>
                <w:sz w:val="12"/>
                <w:szCs w:val="12"/>
                <w:lang w:val="it-IT"/>
              </w:rPr>
              <w:t>IAS 19.54</w:t>
            </w:r>
          </w:p>
        </w:tc>
        <w:tc>
          <w:tcPr>
            <w:tcW w:w="7079" w:type="dxa"/>
            <w:tcMar>
              <w:left w:w="108" w:type="dxa"/>
            </w:tcMar>
          </w:tcPr>
          <w:p w:rsidR="00D26424" w:rsidRPr="00CE0185" w:rsidRDefault="00D26424" w:rsidP="004300E2">
            <w:pPr>
              <w:rPr>
                <w:lang w:val="it-IT"/>
              </w:rPr>
            </w:pPr>
            <w:r w:rsidRPr="00AB2C1C">
              <w:rPr>
                <w:lang w:val="it-IT"/>
              </w:rPr>
              <w:t>Quando richiesto dallo IAS 24, l’entità fornisce informativa in merito ai contributi versati a piani a contribuzione definita a favore dei dirigenti con responsabilità strategiche.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9E6BCD" w:rsidTr="00940A6F">
        <w:trPr>
          <w:cantSplit/>
        </w:trPr>
        <w:tc>
          <w:tcPr>
            <w:tcW w:w="567" w:type="dxa"/>
            <w:tcMar>
              <w:left w:w="108" w:type="dxa"/>
            </w:tcMar>
          </w:tcPr>
          <w:p w:rsidR="004300E2" w:rsidRDefault="004300E2" w:rsidP="004300E2">
            <w:pPr>
              <w:pStyle w:val="Numeroelenco"/>
              <w:numPr>
                <w:ilvl w:val="0"/>
                <w:numId w:val="0"/>
              </w:numPr>
              <w:ind w:left="57"/>
              <w:rPr>
                <w:lang w:val="it-IT"/>
              </w:rPr>
            </w:pPr>
          </w:p>
        </w:tc>
        <w:tc>
          <w:tcPr>
            <w:tcW w:w="851" w:type="dxa"/>
            <w:tcMar>
              <w:left w:w="108" w:type="dxa"/>
              <w:right w:w="0" w:type="dxa"/>
            </w:tcMar>
          </w:tcPr>
          <w:p w:rsidR="004300E2" w:rsidRPr="00D51324" w:rsidRDefault="004300E2" w:rsidP="004300E2">
            <w:pPr>
              <w:pStyle w:val="IAS"/>
              <w:rPr>
                <w:sz w:val="12"/>
                <w:szCs w:val="12"/>
                <w:lang w:val="it-IT"/>
              </w:rPr>
            </w:pPr>
          </w:p>
        </w:tc>
        <w:tc>
          <w:tcPr>
            <w:tcW w:w="7079" w:type="dxa"/>
            <w:tcMar>
              <w:left w:w="108" w:type="dxa"/>
            </w:tcMar>
          </w:tcPr>
          <w:p w:rsidR="004300E2" w:rsidRPr="00EF6C46" w:rsidRDefault="004300E2" w:rsidP="004300E2">
            <w:pPr>
              <w:rPr>
                <w:lang w:val="it-IT"/>
              </w:rPr>
            </w:pPr>
            <w:r w:rsidRPr="007E567E">
              <w:rPr>
                <w:rFonts w:cs="EUAlbertina"/>
                <w:b/>
                <w:i/>
                <w:iCs/>
                <w:color w:val="000000"/>
              </w:rPr>
              <w:t>Piani a benefici definiti</w:t>
            </w:r>
          </w:p>
        </w:tc>
        <w:tc>
          <w:tcPr>
            <w:tcW w:w="575" w:type="dxa"/>
            <w:tcMar>
              <w:left w:w="85" w:type="dxa"/>
              <w:right w:w="85" w:type="dxa"/>
            </w:tcMar>
            <w:vAlign w:val="center"/>
          </w:tcPr>
          <w:p w:rsidR="004300E2" w:rsidRPr="009E6BCD" w:rsidRDefault="004300E2" w:rsidP="004300E2">
            <w:pPr>
              <w:jc w:val="center"/>
              <w:rPr>
                <w:lang w:val="it-IT"/>
              </w:rPr>
            </w:pPr>
          </w:p>
        </w:tc>
        <w:tc>
          <w:tcPr>
            <w:tcW w:w="567" w:type="dxa"/>
            <w:tcMar>
              <w:left w:w="108" w:type="dxa"/>
            </w:tcMar>
            <w:vAlign w:val="center"/>
          </w:tcPr>
          <w:p w:rsidR="004300E2" w:rsidRPr="009E6BCD" w:rsidRDefault="004300E2" w:rsidP="004300E2">
            <w:pPr>
              <w:jc w:val="center"/>
              <w:rPr>
                <w:lang w:val="it-IT"/>
              </w:rPr>
            </w:pPr>
          </w:p>
        </w:tc>
        <w:tc>
          <w:tcPr>
            <w:tcW w:w="567" w:type="dxa"/>
            <w:tcMar>
              <w:left w:w="108" w:type="dxa"/>
            </w:tcMar>
            <w:vAlign w:val="center"/>
          </w:tcPr>
          <w:p w:rsidR="004300E2" w:rsidRPr="009E6BCD" w:rsidRDefault="004300E2" w:rsidP="004300E2">
            <w:pPr>
              <w:jc w:val="center"/>
              <w:rPr>
                <w:lang w:val="it-IT"/>
              </w:rPr>
            </w:pPr>
          </w:p>
        </w:tc>
      </w:tr>
      <w:tr w:rsidR="004300E2" w:rsidRPr="00A44ECD" w:rsidTr="00940A6F">
        <w:trPr>
          <w:cantSplit/>
        </w:trPr>
        <w:tc>
          <w:tcPr>
            <w:tcW w:w="567" w:type="dxa"/>
            <w:tcMar>
              <w:left w:w="108" w:type="dxa"/>
            </w:tcMar>
          </w:tcPr>
          <w:p w:rsidR="004300E2" w:rsidRPr="008A0F36" w:rsidRDefault="004300E2" w:rsidP="004300E2">
            <w:pPr>
              <w:pStyle w:val="Numeroelenco"/>
              <w:numPr>
                <w:ilvl w:val="0"/>
                <w:numId w:val="0"/>
              </w:numPr>
              <w:ind w:left="57"/>
              <w:rPr>
                <w:lang w:val="it-IT"/>
              </w:rPr>
            </w:pPr>
          </w:p>
        </w:tc>
        <w:tc>
          <w:tcPr>
            <w:tcW w:w="851" w:type="dxa"/>
            <w:tcMar>
              <w:left w:w="108" w:type="dxa"/>
              <w:right w:w="0" w:type="dxa"/>
            </w:tcMar>
          </w:tcPr>
          <w:p w:rsidR="004300E2" w:rsidRPr="00D51324" w:rsidRDefault="004300E2" w:rsidP="004300E2">
            <w:pPr>
              <w:pStyle w:val="IAS"/>
              <w:spacing w:line="224" w:lineRule="exact"/>
              <w:jc w:val="both"/>
              <w:rPr>
                <w:sz w:val="12"/>
                <w:szCs w:val="12"/>
                <w:lang w:val="it-IT"/>
              </w:rPr>
            </w:pPr>
            <w:r w:rsidRPr="00D51324">
              <w:rPr>
                <w:sz w:val="12"/>
                <w:szCs w:val="12"/>
                <w:lang w:val="it-IT"/>
              </w:rPr>
              <w:t>IAS 19</w:t>
            </w:r>
            <w:r>
              <w:rPr>
                <w:sz w:val="12"/>
                <w:szCs w:val="12"/>
                <w:lang w:val="it-IT"/>
              </w:rPr>
              <w:t>.135</w:t>
            </w:r>
          </w:p>
          <w:p w:rsidR="004300E2" w:rsidRDefault="004300E2" w:rsidP="004300E2">
            <w:pPr>
              <w:pStyle w:val="IAS"/>
              <w:rPr>
                <w:sz w:val="12"/>
                <w:szCs w:val="12"/>
                <w:lang w:val="it-IT"/>
              </w:rPr>
            </w:pPr>
          </w:p>
          <w:p w:rsidR="004300E2" w:rsidRDefault="004300E2" w:rsidP="004300E2">
            <w:pPr>
              <w:pStyle w:val="IAS"/>
              <w:rPr>
                <w:sz w:val="12"/>
                <w:szCs w:val="12"/>
                <w:lang w:val="it-IT"/>
              </w:rPr>
            </w:pPr>
          </w:p>
          <w:p w:rsidR="004300E2" w:rsidRDefault="004300E2" w:rsidP="004300E2">
            <w:pPr>
              <w:pStyle w:val="IAS"/>
              <w:rPr>
                <w:sz w:val="12"/>
                <w:szCs w:val="12"/>
                <w:lang w:val="it-IT"/>
              </w:rPr>
            </w:pPr>
          </w:p>
          <w:p w:rsidR="004300E2" w:rsidRDefault="004300E2" w:rsidP="004300E2">
            <w:pPr>
              <w:pStyle w:val="IAS"/>
              <w:rPr>
                <w:sz w:val="12"/>
                <w:szCs w:val="12"/>
                <w:lang w:val="it-IT"/>
              </w:rPr>
            </w:pPr>
          </w:p>
          <w:p w:rsidR="004300E2" w:rsidRDefault="004300E2" w:rsidP="004300E2">
            <w:pPr>
              <w:pStyle w:val="IAS"/>
              <w:rPr>
                <w:sz w:val="12"/>
                <w:szCs w:val="12"/>
                <w:lang w:val="it-IT"/>
              </w:rPr>
            </w:pPr>
          </w:p>
          <w:p w:rsidR="004300E2" w:rsidRDefault="004300E2" w:rsidP="004300E2">
            <w:pPr>
              <w:pStyle w:val="IAS"/>
              <w:rPr>
                <w:sz w:val="12"/>
                <w:szCs w:val="12"/>
                <w:lang w:val="it-IT"/>
              </w:rPr>
            </w:pPr>
          </w:p>
          <w:p w:rsidR="004300E2" w:rsidRDefault="004300E2" w:rsidP="004300E2">
            <w:pPr>
              <w:pStyle w:val="IAS"/>
              <w:rPr>
                <w:sz w:val="12"/>
                <w:szCs w:val="12"/>
                <w:lang w:val="it-IT"/>
              </w:rPr>
            </w:pPr>
          </w:p>
          <w:p w:rsidR="004300E2" w:rsidRPr="00D51324" w:rsidRDefault="004300E2" w:rsidP="004300E2">
            <w:pPr>
              <w:pStyle w:val="IAS"/>
              <w:rPr>
                <w:sz w:val="12"/>
                <w:szCs w:val="12"/>
                <w:lang w:val="it-IT"/>
              </w:rPr>
            </w:pPr>
            <w:r w:rsidRPr="00D51324">
              <w:rPr>
                <w:sz w:val="12"/>
                <w:szCs w:val="12"/>
                <w:lang w:val="it-IT"/>
              </w:rPr>
              <w:t>IAS 19.</w:t>
            </w:r>
            <w:r>
              <w:rPr>
                <w:sz w:val="12"/>
                <w:szCs w:val="12"/>
                <w:lang w:val="it-IT"/>
              </w:rPr>
              <w:t>136</w:t>
            </w:r>
          </w:p>
        </w:tc>
        <w:tc>
          <w:tcPr>
            <w:tcW w:w="7079" w:type="dxa"/>
            <w:tcMar>
              <w:left w:w="108" w:type="dxa"/>
            </w:tcMar>
          </w:tcPr>
          <w:p w:rsidR="004300E2" w:rsidRPr="004F522B" w:rsidRDefault="004300E2" w:rsidP="004300E2">
            <w:pPr>
              <w:pStyle w:val="Commentiriquadro"/>
              <w:rPr>
                <w:lang w:val="it-IT"/>
              </w:rPr>
            </w:pPr>
            <w:r w:rsidRPr="004F522B">
              <w:rPr>
                <w:lang w:val="it-IT"/>
              </w:rPr>
              <w:t>Con riferimento ai piani a benefici definiti, l’entità deve indicare informazioni che:</w:t>
            </w:r>
          </w:p>
          <w:p w:rsidR="004300E2" w:rsidRPr="004F522B" w:rsidRDefault="004300E2" w:rsidP="004300E2">
            <w:pPr>
              <w:pStyle w:val="Commentiriquadro"/>
              <w:numPr>
                <w:ilvl w:val="0"/>
                <w:numId w:val="219"/>
              </w:numPr>
              <w:rPr>
                <w:lang w:val="it-IT"/>
              </w:rPr>
            </w:pPr>
            <w:r w:rsidRPr="004F522B">
              <w:rPr>
                <w:lang w:val="it-IT"/>
              </w:rPr>
              <w:t xml:space="preserve">illustrino le caratteristiche dei propri piani a benefici definiti e dei rischi correlati (vedi punto </w:t>
            </w:r>
            <w:r>
              <w:rPr>
                <w:lang w:val="it-IT"/>
              </w:rPr>
              <w:t>20</w:t>
            </w:r>
            <w:r w:rsidR="00D20202">
              <w:rPr>
                <w:lang w:val="it-IT"/>
              </w:rPr>
              <w:t>5</w:t>
            </w:r>
            <w:r w:rsidRPr="004F522B">
              <w:rPr>
                <w:lang w:val="it-IT"/>
              </w:rPr>
              <w:t>)</w:t>
            </w:r>
          </w:p>
          <w:p w:rsidR="004300E2" w:rsidRPr="004F522B" w:rsidRDefault="004300E2" w:rsidP="004300E2">
            <w:pPr>
              <w:pStyle w:val="Commentiriquadro"/>
              <w:numPr>
                <w:ilvl w:val="0"/>
                <w:numId w:val="219"/>
              </w:numPr>
              <w:rPr>
                <w:lang w:val="it-IT"/>
              </w:rPr>
            </w:pPr>
            <w:r w:rsidRPr="004F522B">
              <w:rPr>
                <w:lang w:val="it-IT"/>
              </w:rPr>
              <w:t xml:space="preserve">identifichino e illustrino gli importi riportati nel bilancio consolidato derivanti dai propri piani a benefici definiti (vedi punti </w:t>
            </w:r>
            <w:r>
              <w:rPr>
                <w:lang w:val="it-IT"/>
              </w:rPr>
              <w:t>20</w:t>
            </w:r>
            <w:r w:rsidR="00D20202">
              <w:rPr>
                <w:lang w:val="it-IT"/>
              </w:rPr>
              <w:t>6</w:t>
            </w:r>
            <w:r>
              <w:rPr>
                <w:lang w:val="it-IT"/>
              </w:rPr>
              <w:t>-21</w:t>
            </w:r>
            <w:r w:rsidR="00D20202">
              <w:rPr>
                <w:lang w:val="it-IT"/>
              </w:rPr>
              <w:t>0</w:t>
            </w:r>
            <w:r w:rsidRPr="004F522B">
              <w:rPr>
                <w:lang w:val="it-IT"/>
              </w:rPr>
              <w:t>)</w:t>
            </w:r>
          </w:p>
          <w:p w:rsidR="004300E2" w:rsidRPr="004F522B" w:rsidRDefault="004300E2" w:rsidP="004300E2">
            <w:pPr>
              <w:pStyle w:val="Commentiriquadro"/>
              <w:numPr>
                <w:ilvl w:val="0"/>
                <w:numId w:val="219"/>
              </w:numPr>
              <w:rPr>
                <w:lang w:val="it-IT"/>
              </w:rPr>
            </w:pPr>
            <w:r w:rsidRPr="004F522B">
              <w:rPr>
                <w:lang w:val="it-IT"/>
              </w:rPr>
              <w:t xml:space="preserve">descrivano il modo in cui i piani a benefici definiti possono influire sull’ammontare, sulla tempistica e sull’incertezza dei flussi finanziari futuri dell’entità (vedi punti </w:t>
            </w:r>
            <w:r>
              <w:rPr>
                <w:lang w:val="it-IT"/>
              </w:rPr>
              <w:t>21</w:t>
            </w:r>
            <w:r w:rsidR="00D20202">
              <w:rPr>
                <w:lang w:val="it-IT"/>
              </w:rPr>
              <w:t>1</w:t>
            </w:r>
            <w:r>
              <w:rPr>
                <w:lang w:val="it-IT"/>
              </w:rPr>
              <w:t>-21</w:t>
            </w:r>
            <w:r w:rsidR="00D20202">
              <w:rPr>
                <w:lang w:val="it-IT"/>
              </w:rPr>
              <w:t>3</w:t>
            </w:r>
            <w:r w:rsidRPr="004F522B">
              <w:rPr>
                <w:lang w:val="it-IT"/>
              </w:rPr>
              <w:t>)</w:t>
            </w:r>
            <w:r>
              <w:rPr>
                <w:lang w:val="it-IT"/>
              </w:rPr>
              <w:t>.</w:t>
            </w:r>
          </w:p>
          <w:p w:rsidR="004300E2" w:rsidRDefault="004300E2" w:rsidP="004300E2">
            <w:pPr>
              <w:pStyle w:val="Commentiriquadro"/>
              <w:rPr>
                <w:lang w:val="it-IT"/>
              </w:rPr>
            </w:pPr>
            <w:r w:rsidRPr="004F522B">
              <w:rPr>
                <w:lang w:val="it-IT"/>
              </w:rPr>
              <w:t>Per conseguire i suddetti obiettivi, un’entità deve considerare:</w:t>
            </w:r>
          </w:p>
          <w:p w:rsidR="004300E2" w:rsidRDefault="004300E2" w:rsidP="004300E2">
            <w:pPr>
              <w:pStyle w:val="Commentiriquadro"/>
              <w:numPr>
                <w:ilvl w:val="0"/>
                <w:numId w:val="222"/>
              </w:numPr>
              <w:rPr>
                <w:lang w:val="it-IT"/>
              </w:rPr>
            </w:pPr>
            <w:r>
              <w:rPr>
                <w:lang w:val="it-IT"/>
              </w:rPr>
              <w:t>il livello di dettaglio necessario per soddisfare le disposizioni informative</w:t>
            </w:r>
          </w:p>
          <w:p w:rsidR="004300E2" w:rsidRDefault="004300E2" w:rsidP="004300E2">
            <w:pPr>
              <w:pStyle w:val="Commentiriquadro"/>
              <w:numPr>
                <w:ilvl w:val="0"/>
                <w:numId w:val="222"/>
              </w:numPr>
              <w:rPr>
                <w:lang w:val="it-IT"/>
              </w:rPr>
            </w:pPr>
            <w:r>
              <w:rPr>
                <w:lang w:val="it-IT"/>
              </w:rPr>
              <w:t>l’enfasi da riporre su ciascuna delle diverse disposizioni</w:t>
            </w:r>
          </w:p>
          <w:p w:rsidR="004300E2" w:rsidRDefault="004300E2" w:rsidP="004300E2">
            <w:pPr>
              <w:pStyle w:val="Commentiriquadro"/>
              <w:numPr>
                <w:ilvl w:val="0"/>
                <w:numId w:val="222"/>
              </w:numPr>
              <w:rPr>
                <w:lang w:val="it-IT"/>
              </w:rPr>
            </w:pPr>
            <w:r>
              <w:rPr>
                <w:lang w:val="it-IT"/>
              </w:rPr>
              <w:t>il livello di aggregazione o disaggregazione da considerare; e</w:t>
            </w:r>
          </w:p>
          <w:p w:rsidR="004300E2" w:rsidRDefault="004300E2" w:rsidP="004300E2">
            <w:pPr>
              <w:pStyle w:val="Commentiriquadro"/>
              <w:numPr>
                <w:ilvl w:val="0"/>
                <w:numId w:val="222"/>
              </w:numPr>
              <w:rPr>
                <w:lang w:val="it-IT"/>
              </w:rPr>
            </w:pPr>
            <w:r>
              <w:rPr>
                <w:lang w:val="it-IT"/>
              </w:rPr>
              <w:t>se gli utilizzatori del bilancio necessitano di ulteriori informazioni per valutare le informazioni quantitative fornite</w:t>
            </w:r>
          </w:p>
        </w:tc>
        <w:tc>
          <w:tcPr>
            <w:tcW w:w="575" w:type="dxa"/>
            <w:tcMar>
              <w:left w:w="85" w:type="dxa"/>
              <w:right w:w="85" w:type="dxa"/>
            </w:tcMar>
            <w:vAlign w:val="center"/>
          </w:tcPr>
          <w:p w:rsidR="004300E2" w:rsidRPr="009E6BCD" w:rsidRDefault="004300E2" w:rsidP="004300E2">
            <w:pPr>
              <w:jc w:val="center"/>
              <w:rPr>
                <w:lang w:val="it-IT"/>
              </w:rPr>
            </w:pPr>
          </w:p>
        </w:tc>
        <w:tc>
          <w:tcPr>
            <w:tcW w:w="567" w:type="dxa"/>
            <w:tcMar>
              <w:left w:w="108" w:type="dxa"/>
            </w:tcMar>
            <w:vAlign w:val="center"/>
          </w:tcPr>
          <w:p w:rsidR="004300E2" w:rsidRPr="009E6BCD" w:rsidRDefault="004300E2" w:rsidP="004300E2">
            <w:pPr>
              <w:jc w:val="center"/>
              <w:rPr>
                <w:lang w:val="it-IT"/>
              </w:rPr>
            </w:pPr>
          </w:p>
        </w:tc>
        <w:tc>
          <w:tcPr>
            <w:tcW w:w="567" w:type="dxa"/>
            <w:tcMar>
              <w:left w:w="108" w:type="dxa"/>
            </w:tcMar>
            <w:vAlign w:val="center"/>
          </w:tcPr>
          <w:p w:rsidR="004300E2" w:rsidRPr="009E6BCD" w:rsidRDefault="004300E2" w:rsidP="004300E2">
            <w:pPr>
              <w:jc w:val="center"/>
              <w:rPr>
                <w:lang w:val="it-IT"/>
              </w:rPr>
            </w:pPr>
          </w:p>
        </w:tc>
      </w:tr>
      <w:tr w:rsidR="004300E2" w:rsidRPr="00A44ECD" w:rsidTr="00940A6F">
        <w:trPr>
          <w:cantSplit/>
        </w:trPr>
        <w:tc>
          <w:tcPr>
            <w:tcW w:w="567" w:type="dxa"/>
            <w:tcMar>
              <w:left w:w="108" w:type="dxa"/>
            </w:tcMar>
          </w:tcPr>
          <w:p w:rsidR="004300E2" w:rsidRPr="008A0F36" w:rsidRDefault="004300E2" w:rsidP="004300E2">
            <w:pPr>
              <w:pStyle w:val="Numeroelenco"/>
              <w:numPr>
                <w:ilvl w:val="0"/>
                <w:numId w:val="0"/>
              </w:numPr>
              <w:ind w:left="57"/>
              <w:rPr>
                <w:lang w:val="it-IT"/>
              </w:rPr>
            </w:pPr>
          </w:p>
        </w:tc>
        <w:tc>
          <w:tcPr>
            <w:tcW w:w="851" w:type="dxa"/>
            <w:tcMar>
              <w:left w:w="108" w:type="dxa"/>
              <w:right w:w="0" w:type="dxa"/>
            </w:tcMar>
          </w:tcPr>
          <w:p w:rsidR="004300E2" w:rsidRPr="00D51324" w:rsidRDefault="004300E2" w:rsidP="004300E2">
            <w:pPr>
              <w:pStyle w:val="IAS"/>
              <w:rPr>
                <w:sz w:val="12"/>
                <w:szCs w:val="12"/>
                <w:lang w:val="it-IT"/>
              </w:rPr>
            </w:pPr>
            <w:r>
              <w:rPr>
                <w:sz w:val="12"/>
                <w:szCs w:val="12"/>
                <w:lang w:val="it-IT"/>
              </w:rPr>
              <w:t>IAS 19.137</w:t>
            </w:r>
          </w:p>
        </w:tc>
        <w:tc>
          <w:tcPr>
            <w:tcW w:w="7079" w:type="dxa"/>
            <w:tcMar>
              <w:left w:w="108" w:type="dxa"/>
            </w:tcMar>
          </w:tcPr>
          <w:p w:rsidR="004300E2" w:rsidRDefault="004300E2" w:rsidP="004300E2">
            <w:pPr>
              <w:pStyle w:val="Commentiriquadro"/>
              <w:rPr>
                <w:lang w:val="it-IT"/>
              </w:rPr>
            </w:pPr>
            <w:r>
              <w:rPr>
                <w:lang w:val="it-IT"/>
              </w:rPr>
              <w:t>Se le informazioni integrative fornite sono insufficienti a soddisfare le finalità del punto precedente, un’entità deve fornire le informazioni integrative necessarie a soddisfare tali finalità. Per esempio, un’entità può presentare un’analisi del valore attuale dell’obbligazione per benefici definiti che distingua la natura, le caratteristiche e i rischi dell’obbligazione. Tali informazioni integrative potrebbero distinguere:</w:t>
            </w:r>
          </w:p>
          <w:p w:rsidR="004300E2" w:rsidRDefault="004300E2" w:rsidP="004300E2">
            <w:pPr>
              <w:pStyle w:val="Commentiriquadro"/>
              <w:numPr>
                <w:ilvl w:val="0"/>
                <w:numId w:val="223"/>
              </w:numPr>
              <w:rPr>
                <w:lang w:val="it-IT"/>
              </w:rPr>
            </w:pPr>
            <w:r>
              <w:rPr>
                <w:lang w:val="it-IT"/>
              </w:rPr>
              <w:t>tra gli importi dovuti a membri attivi, a membri sospesi e a pensionati</w:t>
            </w:r>
          </w:p>
          <w:p w:rsidR="004300E2" w:rsidRDefault="004300E2" w:rsidP="004300E2">
            <w:pPr>
              <w:pStyle w:val="Commentiriquadro"/>
              <w:numPr>
                <w:ilvl w:val="0"/>
                <w:numId w:val="223"/>
              </w:numPr>
              <w:rPr>
                <w:lang w:val="it-IT"/>
              </w:rPr>
            </w:pPr>
            <w:r>
              <w:rPr>
                <w:lang w:val="it-IT"/>
              </w:rPr>
              <w:t>tra i benefici acquisit</w:t>
            </w:r>
            <w:r w:rsidR="007B3B0B">
              <w:rPr>
                <w:lang w:val="it-IT"/>
              </w:rPr>
              <w:t>i</w:t>
            </w:r>
            <w:r>
              <w:rPr>
                <w:lang w:val="it-IT"/>
              </w:rPr>
              <w:t xml:space="preserve"> e i benefici maturati ma non acquisiti</w:t>
            </w:r>
          </w:p>
          <w:p w:rsidR="004300E2" w:rsidRDefault="004300E2" w:rsidP="004300E2">
            <w:pPr>
              <w:pStyle w:val="Commentiriquadro"/>
              <w:numPr>
                <w:ilvl w:val="0"/>
                <w:numId w:val="223"/>
              </w:numPr>
              <w:rPr>
                <w:lang w:val="it-IT"/>
              </w:rPr>
            </w:pPr>
            <w:r>
              <w:rPr>
                <w:lang w:val="it-IT"/>
              </w:rPr>
              <w:t>tra i benefici condizionati, importi attribuibili a futuri aumenti salariali e altri benefici.</w:t>
            </w:r>
          </w:p>
        </w:tc>
        <w:tc>
          <w:tcPr>
            <w:tcW w:w="575" w:type="dxa"/>
            <w:tcMar>
              <w:left w:w="85" w:type="dxa"/>
              <w:right w:w="85" w:type="dxa"/>
            </w:tcMar>
            <w:vAlign w:val="center"/>
          </w:tcPr>
          <w:p w:rsidR="004300E2" w:rsidRPr="009E6BCD" w:rsidRDefault="004300E2" w:rsidP="004300E2">
            <w:pPr>
              <w:jc w:val="center"/>
              <w:rPr>
                <w:lang w:val="it-IT"/>
              </w:rPr>
            </w:pPr>
          </w:p>
        </w:tc>
        <w:tc>
          <w:tcPr>
            <w:tcW w:w="567" w:type="dxa"/>
            <w:tcMar>
              <w:left w:w="108" w:type="dxa"/>
            </w:tcMar>
            <w:vAlign w:val="center"/>
          </w:tcPr>
          <w:p w:rsidR="004300E2" w:rsidRPr="009E6BCD" w:rsidRDefault="004300E2" w:rsidP="004300E2">
            <w:pPr>
              <w:jc w:val="center"/>
              <w:rPr>
                <w:lang w:val="it-IT"/>
              </w:rPr>
            </w:pPr>
          </w:p>
        </w:tc>
        <w:tc>
          <w:tcPr>
            <w:tcW w:w="567" w:type="dxa"/>
            <w:tcMar>
              <w:left w:w="108" w:type="dxa"/>
            </w:tcMar>
            <w:vAlign w:val="center"/>
          </w:tcPr>
          <w:p w:rsidR="004300E2" w:rsidRPr="009E6BCD" w:rsidRDefault="004300E2" w:rsidP="004300E2">
            <w:pPr>
              <w:jc w:val="center"/>
              <w:rPr>
                <w:lang w:val="it-IT"/>
              </w:rPr>
            </w:pPr>
          </w:p>
        </w:tc>
      </w:tr>
      <w:tr w:rsidR="004300E2" w:rsidRPr="00A44ECD" w:rsidTr="00940A6F">
        <w:trPr>
          <w:cantSplit/>
        </w:trPr>
        <w:tc>
          <w:tcPr>
            <w:tcW w:w="567" w:type="dxa"/>
            <w:tcMar>
              <w:left w:w="108" w:type="dxa"/>
            </w:tcMar>
          </w:tcPr>
          <w:p w:rsidR="004300E2" w:rsidRPr="008A0F36" w:rsidRDefault="004300E2" w:rsidP="004300E2">
            <w:pPr>
              <w:pStyle w:val="Numeroelenco"/>
              <w:numPr>
                <w:ilvl w:val="0"/>
                <w:numId w:val="0"/>
              </w:numPr>
              <w:ind w:left="57"/>
              <w:rPr>
                <w:lang w:val="it-IT"/>
              </w:rPr>
            </w:pPr>
          </w:p>
        </w:tc>
        <w:tc>
          <w:tcPr>
            <w:tcW w:w="851" w:type="dxa"/>
            <w:tcMar>
              <w:left w:w="108" w:type="dxa"/>
              <w:right w:w="0" w:type="dxa"/>
            </w:tcMar>
          </w:tcPr>
          <w:p w:rsidR="004300E2" w:rsidRPr="00D51324" w:rsidRDefault="004300E2" w:rsidP="004300E2">
            <w:pPr>
              <w:pStyle w:val="IAS"/>
              <w:rPr>
                <w:sz w:val="12"/>
                <w:szCs w:val="12"/>
                <w:lang w:val="it-IT"/>
              </w:rPr>
            </w:pPr>
            <w:r>
              <w:rPr>
                <w:sz w:val="12"/>
                <w:szCs w:val="12"/>
                <w:lang w:val="it-IT"/>
              </w:rPr>
              <w:t>IAS 19.138</w:t>
            </w:r>
          </w:p>
        </w:tc>
        <w:tc>
          <w:tcPr>
            <w:tcW w:w="7079" w:type="dxa"/>
            <w:tcMar>
              <w:left w:w="108" w:type="dxa"/>
            </w:tcMar>
          </w:tcPr>
          <w:p w:rsidR="004300E2" w:rsidRPr="00622D7D" w:rsidRDefault="004300E2" w:rsidP="004300E2">
            <w:pPr>
              <w:pStyle w:val="Commentiriquadro"/>
              <w:spacing w:before="120"/>
              <w:rPr>
                <w:lang w:val="it-IT"/>
              </w:rPr>
            </w:pPr>
            <w:r w:rsidRPr="00AB2C1C">
              <w:rPr>
                <w:lang w:val="it-IT"/>
              </w:rPr>
              <w:t>Un’entità deve valutare se tutte le informazioni integrative devono essere disaggregate, o soltanto alcune di esse, per distinguere tra piani, o gruppi di piani, con gradi di rischio molto differenti. Per esempio un’entità può decidere di disaggregare le informazioni integrative in base a una o più delle seguenti caratteristiche:</w:t>
            </w:r>
          </w:p>
          <w:p w:rsidR="004300E2" w:rsidRPr="00622D7D" w:rsidRDefault="004300E2" w:rsidP="004300E2">
            <w:pPr>
              <w:pStyle w:val="Commentiriquadro"/>
              <w:numPr>
                <w:ilvl w:val="0"/>
                <w:numId w:val="220"/>
              </w:numPr>
              <w:ind w:left="533" w:hanging="357"/>
              <w:rPr>
                <w:lang w:val="it-IT"/>
              </w:rPr>
            </w:pPr>
            <w:r w:rsidRPr="00AB2C1C">
              <w:rPr>
                <w:lang w:val="it-IT"/>
              </w:rPr>
              <w:t>diverse dislocazioni geografiche</w:t>
            </w:r>
          </w:p>
          <w:p w:rsidR="004300E2" w:rsidRPr="00622D7D" w:rsidRDefault="004300E2" w:rsidP="004300E2">
            <w:pPr>
              <w:pStyle w:val="Commentiriquadro"/>
              <w:numPr>
                <w:ilvl w:val="0"/>
                <w:numId w:val="220"/>
              </w:numPr>
              <w:rPr>
                <w:lang w:val="it-IT"/>
              </w:rPr>
            </w:pPr>
            <w:r w:rsidRPr="00AB2C1C">
              <w:rPr>
                <w:lang w:val="it-IT"/>
              </w:rPr>
              <w:t>caratteristiche diverse, quali piani pensionistici basati su una retribuzione fissa, piani pensionistici basati sull’ultima retribuzione e piani sanitari successivi alla fine del rapporto di lavoro</w:t>
            </w:r>
          </w:p>
          <w:p w:rsidR="004300E2" w:rsidRPr="00622D7D" w:rsidRDefault="004300E2" w:rsidP="004300E2">
            <w:pPr>
              <w:pStyle w:val="Commentiriquadro"/>
              <w:numPr>
                <w:ilvl w:val="0"/>
                <w:numId w:val="220"/>
              </w:numPr>
              <w:rPr>
                <w:lang w:val="it-IT"/>
              </w:rPr>
            </w:pPr>
            <w:r w:rsidRPr="00AB2C1C">
              <w:rPr>
                <w:lang w:val="it-IT"/>
              </w:rPr>
              <w:t>contesti normativi diversi</w:t>
            </w:r>
          </w:p>
          <w:p w:rsidR="004300E2" w:rsidRPr="00622D7D" w:rsidRDefault="004300E2" w:rsidP="004300E2">
            <w:pPr>
              <w:pStyle w:val="Commentiriquadro"/>
              <w:numPr>
                <w:ilvl w:val="0"/>
                <w:numId w:val="220"/>
              </w:numPr>
              <w:rPr>
                <w:lang w:val="it-IT"/>
              </w:rPr>
            </w:pPr>
            <w:r w:rsidRPr="00AB2C1C">
              <w:rPr>
                <w:lang w:val="it-IT"/>
              </w:rPr>
              <w:t xml:space="preserve">settori di informativa diversi </w:t>
            </w:r>
          </w:p>
          <w:p w:rsidR="004300E2" w:rsidRPr="00AB2C1C" w:rsidRDefault="004300E2" w:rsidP="007B3B0B">
            <w:pPr>
              <w:pStyle w:val="Commentiriquadro"/>
              <w:numPr>
                <w:ilvl w:val="0"/>
                <w:numId w:val="220"/>
              </w:numPr>
              <w:rPr>
                <w:sz w:val="17"/>
                <w:szCs w:val="17"/>
                <w:lang w:val="it-IT"/>
              </w:rPr>
            </w:pPr>
            <w:r w:rsidRPr="00AB2C1C">
              <w:rPr>
                <w:lang w:val="it-IT"/>
              </w:rPr>
              <w:t>accordi di finanziamento diversi (per es. non finanziati, o finanziati interamente o parzialmente</w:t>
            </w:r>
          </w:p>
        </w:tc>
        <w:tc>
          <w:tcPr>
            <w:tcW w:w="575" w:type="dxa"/>
            <w:tcMar>
              <w:left w:w="85" w:type="dxa"/>
              <w:right w:w="85" w:type="dxa"/>
            </w:tcMar>
            <w:vAlign w:val="center"/>
          </w:tcPr>
          <w:p w:rsidR="004300E2" w:rsidRPr="009E6BCD" w:rsidRDefault="004300E2" w:rsidP="004300E2">
            <w:pPr>
              <w:jc w:val="center"/>
              <w:rPr>
                <w:lang w:val="it-IT"/>
              </w:rPr>
            </w:pPr>
          </w:p>
        </w:tc>
        <w:tc>
          <w:tcPr>
            <w:tcW w:w="567" w:type="dxa"/>
            <w:tcMar>
              <w:left w:w="108" w:type="dxa"/>
            </w:tcMar>
            <w:vAlign w:val="center"/>
          </w:tcPr>
          <w:p w:rsidR="004300E2" w:rsidRPr="009E6BCD" w:rsidRDefault="004300E2" w:rsidP="004300E2">
            <w:pPr>
              <w:jc w:val="center"/>
              <w:rPr>
                <w:lang w:val="it-IT"/>
              </w:rPr>
            </w:pPr>
          </w:p>
        </w:tc>
        <w:tc>
          <w:tcPr>
            <w:tcW w:w="567" w:type="dxa"/>
            <w:tcMar>
              <w:left w:w="108" w:type="dxa"/>
            </w:tcMar>
            <w:vAlign w:val="center"/>
          </w:tcPr>
          <w:p w:rsidR="004300E2" w:rsidRPr="009E6BCD" w:rsidRDefault="004300E2" w:rsidP="004300E2">
            <w:pPr>
              <w:jc w:val="center"/>
              <w:rPr>
                <w:lang w:val="it-IT"/>
              </w:rPr>
            </w:pPr>
          </w:p>
        </w:tc>
      </w:tr>
      <w:tr w:rsidR="004300E2" w:rsidRPr="00A44ECD" w:rsidTr="00940A6F">
        <w:trPr>
          <w:cantSplit/>
        </w:trPr>
        <w:tc>
          <w:tcPr>
            <w:tcW w:w="567" w:type="dxa"/>
            <w:tcMar>
              <w:left w:w="108" w:type="dxa"/>
            </w:tcMar>
          </w:tcPr>
          <w:p w:rsidR="004300E2" w:rsidRPr="008A0F36" w:rsidRDefault="004300E2" w:rsidP="004A579A">
            <w:pPr>
              <w:pStyle w:val="Numeroelenco"/>
              <w:numPr>
                <w:ilvl w:val="0"/>
                <w:numId w:val="0"/>
              </w:numPr>
              <w:ind w:left="57"/>
              <w:rPr>
                <w:lang w:val="it-IT"/>
              </w:rPr>
            </w:pPr>
          </w:p>
        </w:tc>
        <w:tc>
          <w:tcPr>
            <w:tcW w:w="851" w:type="dxa"/>
            <w:tcMar>
              <w:left w:w="108" w:type="dxa"/>
              <w:right w:w="0" w:type="dxa"/>
            </w:tcMar>
          </w:tcPr>
          <w:p w:rsidR="004300E2" w:rsidRPr="00D51324" w:rsidRDefault="004300E2" w:rsidP="004300E2">
            <w:pPr>
              <w:pStyle w:val="IAS"/>
              <w:pageBreakBefore/>
              <w:rPr>
                <w:sz w:val="12"/>
                <w:szCs w:val="12"/>
                <w:lang w:val="it-IT"/>
              </w:rPr>
            </w:pPr>
          </w:p>
        </w:tc>
        <w:tc>
          <w:tcPr>
            <w:tcW w:w="7079" w:type="dxa"/>
            <w:tcMar>
              <w:left w:w="108" w:type="dxa"/>
            </w:tcMar>
          </w:tcPr>
          <w:p w:rsidR="004300E2" w:rsidRPr="000B583A" w:rsidRDefault="004300E2" w:rsidP="004300E2">
            <w:pPr>
              <w:pageBreakBefore/>
              <w:rPr>
                <w:b/>
                <w:sz w:val="18"/>
                <w:szCs w:val="18"/>
                <w:lang w:val="it-IT"/>
              </w:rPr>
            </w:pPr>
            <w:r w:rsidRPr="000B583A">
              <w:rPr>
                <w:rFonts w:cs="EUAlbertina"/>
                <w:b/>
                <w:i/>
                <w:iCs/>
                <w:color w:val="000000"/>
                <w:sz w:val="18"/>
                <w:szCs w:val="18"/>
                <w:lang w:val="it-IT"/>
              </w:rPr>
              <w:t>Caratteristiche dei piani a benefici definiti e rischi correlati</w:t>
            </w:r>
          </w:p>
        </w:tc>
        <w:tc>
          <w:tcPr>
            <w:tcW w:w="575" w:type="dxa"/>
            <w:tcMar>
              <w:left w:w="85" w:type="dxa"/>
              <w:right w:w="85" w:type="dxa"/>
            </w:tcMar>
            <w:vAlign w:val="center"/>
          </w:tcPr>
          <w:p w:rsidR="004300E2" w:rsidRPr="009E6BCD" w:rsidRDefault="004300E2" w:rsidP="004300E2">
            <w:pPr>
              <w:pageBreakBefore/>
              <w:jc w:val="center"/>
              <w:rPr>
                <w:lang w:val="it-IT"/>
              </w:rPr>
            </w:pPr>
          </w:p>
        </w:tc>
        <w:tc>
          <w:tcPr>
            <w:tcW w:w="567" w:type="dxa"/>
            <w:tcMar>
              <w:left w:w="108" w:type="dxa"/>
            </w:tcMar>
            <w:vAlign w:val="center"/>
          </w:tcPr>
          <w:p w:rsidR="004300E2" w:rsidRPr="009E6BCD" w:rsidRDefault="004300E2" w:rsidP="004300E2">
            <w:pPr>
              <w:pageBreakBefore/>
              <w:jc w:val="center"/>
              <w:rPr>
                <w:lang w:val="it-IT"/>
              </w:rPr>
            </w:pPr>
          </w:p>
        </w:tc>
        <w:tc>
          <w:tcPr>
            <w:tcW w:w="567" w:type="dxa"/>
            <w:tcMar>
              <w:left w:w="108" w:type="dxa"/>
            </w:tcMar>
            <w:vAlign w:val="center"/>
          </w:tcPr>
          <w:p w:rsidR="004300E2" w:rsidRPr="009E6BCD" w:rsidRDefault="004300E2" w:rsidP="004300E2">
            <w:pPr>
              <w:pageBreakBefore/>
              <w:jc w:val="center"/>
              <w:rPr>
                <w:lang w:val="it-IT"/>
              </w:rPr>
            </w:pPr>
          </w:p>
        </w:tc>
      </w:tr>
      <w:tr w:rsidR="004300E2" w:rsidRPr="008361A3" w:rsidTr="00940A6F">
        <w:trPr>
          <w:cantSplit/>
        </w:trPr>
        <w:tc>
          <w:tcPr>
            <w:tcW w:w="567" w:type="dxa"/>
            <w:tcMar>
              <w:left w:w="108" w:type="dxa"/>
            </w:tcMar>
          </w:tcPr>
          <w:p w:rsidR="004300E2" w:rsidRDefault="004300E2" w:rsidP="004300E2">
            <w:pPr>
              <w:pStyle w:val="Numeroelenco"/>
              <w:ind w:left="0" w:firstLine="57"/>
              <w:rPr>
                <w:lang w:val="it-IT"/>
              </w:rPr>
            </w:pPr>
          </w:p>
        </w:tc>
        <w:tc>
          <w:tcPr>
            <w:tcW w:w="851" w:type="dxa"/>
            <w:tcMar>
              <w:left w:w="108" w:type="dxa"/>
              <w:right w:w="0" w:type="dxa"/>
            </w:tcMar>
          </w:tcPr>
          <w:p w:rsidR="004300E2" w:rsidRPr="00D51324" w:rsidRDefault="004300E2" w:rsidP="004300E2">
            <w:pPr>
              <w:pStyle w:val="IAS"/>
              <w:rPr>
                <w:sz w:val="12"/>
                <w:szCs w:val="12"/>
                <w:lang w:val="it-IT"/>
              </w:rPr>
            </w:pPr>
            <w:r w:rsidRPr="00D51324">
              <w:rPr>
                <w:sz w:val="12"/>
                <w:szCs w:val="12"/>
                <w:lang w:val="it-IT"/>
              </w:rPr>
              <w:t>IAS 19.139</w:t>
            </w:r>
          </w:p>
        </w:tc>
        <w:tc>
          <w:tcPr>
            <w:tcW w:w="7079" w:type="dxa"/>
            <w:tcMar>
              <w:left w:w="108" w:type="dxa"/>
            </w:tcMar>
          </w:tcPr>
          <w:p w:rsidR="004300E2" w:rsidRPr="00116478" w:rsidRDefault="004300E2" w:rsidP="004300E2">
            <w:pPr>
              <w:pStyle w:val="CM4"/>
              <w:spacing w:before="20" w:after="20" w:line="220" w:lineRule="exact"/>
              <w:jc w:val="both"/>
              <w:rPr>
                <w:rFonts w:ascii="Arial Narrow" w:hAnsi="Arial Narrow" w:cs="EUAlbertina"/>
                <w:color w:val="000000"/>
                <w:sz w:val="20"/>
                <w:szCs w:val="20"/>
              </w:rPr>
            </w:pPr>
            <w:r w:rsidRPr="00F12965">
              <w:rPr>
                <w:rFonts w:ascii="Arial Narrow" w:hAnsi="Arial Narrow" w:cs="EUAlbertina"/>
                <w:color w:val="000000"/>
                <w:sz w:val="20"/>
                <w:szCs w:val="20"/>
              </w:rPr>
              <w:t xml:space="preserve">L'entità deve indicare: </w:t>
            </w:r>
          </w:p>
        </w:tc>
        <w:tc>
          <w:tcPr>
            <w:tcW w:w="575" w:type="dxa"/>
            <w:tcMar>
              <w:left w:w="85" w:type="dxa"/>
              <w:right w:w="85" w:type="dxa"/>
            </w:tcMar>
          </w:tcPr>
          <w:p w:rsidR="004300E2" w:rsidRPr="00A32A16" w:rsidRDefault="004300E2" w:rsidP="004300E2">
            <w:pPr>
              <w:rPr>
                <w:lang w:val="it-IT"/>
              </w:rPr>
            </w:pPr>
          </w:p>
        </w:tc>
        <w:tc>
          <w:tcPr>
            <w:tcW w:w="567" w:type="dxa"/>
            <w:tcMar>
              <w:left w:w="108" w:type="dxa"/>
            </w:tcMar>
          </w:tcPr>
          <w:p w:rsidR="004300E2" w:rsidRPr="00A32A16" w:rsidRDefault="004300E2" w:rsidP="004300E2">
            <w:pPr>
              <w:rPr>
                <w:lang w:val="it-IT"/>
              </w:rPr>
            </w:pPr>
          </w:p>
        </w:tc>
        <w:tc>
          <w:tcPr>
            <w:tcW w:w="567" w:type="dxa"/>
            <w:tcMar>
              <w:left w:w="108" w:type="dxa"/>
            </w:tcMar>
          </w:tcPr>
          <w:p w:rsidR="004300E2" w:rsidRPr="00A32A16" w:rsidRDefault="004300E2" w:rsidP="004300E2">
            <w:pPr>
              <w:rPr>
                <w:lang w:val="it-IT"/>
              </w:rPr>
            </w:pPr>
          </w:p>
        </w:tc>
      </w:tr>
      <w:tr w:rsidR="00D26424" w:rsidRPr="008129DA" w:rsidTr="00D26424">
        <w:trPr>
          <w:cantSplit/>
        </w:trPr>
        <w:tc>
          <w:tcPr>
            <w:tcW w:w="567" w:type="dxa"/>
            <w:tcMar>
              <w:left w:w="108" w:type="dxa"/>
            </w:tcMar>
          </w:tcPr>
          <w:p w:rsidR="00D26424" w:rsidRDefault="00D26424" w:rsidP="004300E2">
            <w:pPr>
              <w:pStyle w:val="Numeroelenco"/>
              <w:numPr>
                <w:ilvl w:val="0"/>
                <w:numId w:val="0"/>
              </w:numPr>
              <w:ind w:left="57"/>
              <w:rPr>
                <w:lang w:val="it-IT"/>
              </w:rPr>
            </w:pPr>
          </w:p>
        </w:tc>
        <w:tc>
          <w:tcPr>
            <w:tcW w:w="851" w:type="dxa"/>
            <w:tcMar>
              <w:left w:w="108" w:type="dxa"/>
              <w:right w:w="0" w:type="dxa"/>
            </w:tcMar>
          </w:tcPr>
          <w:p w:rsidR="00D26424" w:rsidRPr="00D51324" w:rsidRDefault="00D26424" w:rsidP="004300E2">
            <w:pPr>
              <w:pStyle w:val="IAS"/>
              <w:rPr>
                <w:sz w:val="12"/>
                <w:szCs w:val="12"/>
                <w:lang w:val="it-IT"/>
              </w:rPr>
            </w:pPr>
          </w:p>
        </w:tc>
        <w:tc>
          <w:tcPr>
            <w:tcW w:w="7079" w:type="dxa"/>
            <w:tcMar>
              <w:left w:w="108" w:type="dxa"/>
            </w:tcMar>
          </w:tcPr>
          <w:p w:rsidR="00D26424" w:rsidRPr="00F12965" w:rsidRDefault="00D26424" w:rsidP="004300E2">
            <w:pPr>
              <w:pStyle w:val="CM4"/>
              <w:spacing w:before="20" w:after="20" w:line="220" w:lineRule="exact"/>
              <w:ind w:left="315" w:hanging="315"/>
              <w:jc w:val="both"/>
              <w:rPr>
                <w:rFonts w:ascii="Arial Narrow" w:hAnsi="Arial Narrow" w:cs="EUAlbertina"/>
                <w:color w:val="000000"/>
                <w:sz w:val="20"/>
                <w:szCs w:val="20"/>
              </w:rPr>
            </w:pPr>
            <w:r>
              <w:rPr>
                <w:rFonts w:ascii="Arial Narrow" w:hAnsi="Arial Narrow" w:cs="EUAlbertina"/>
                <w:color w:val="000000"/>
                <w:sz w:val="20"/>
                <w:szCs w:val="20"/>
              </w:rPr>
              <w:t>(a)</w:t>
            </w:r>
            <w:r>
              <w:rPr>
                <w:rFonts w:ascii="Arial Narrow" w:hAnsi="Arial Narrow" w:cs="EUAlbertina"/>
                <w:color w:val="000000"/>
                <w:sz w:val="20"/>
                <w:szCs w:val="20"/>
              </w:rPr>
              <w:tab/>
            </w:r>
            <w:r w:rsidRPr="00F12965">
              <w:rPr>
                <w:rFonts w:ascii="Arial Narrow" w:hAnsi="Arial Narrow" w:cs="EUAlbertina"/>
                <w:color w:val="000000"/>
                <w:sz w:val="20"/>
                <w:szCs w:val="20"/>
              </w:rPr>
              <w:t xml:space="preserve">informazioni sulle caratteristiche dei propri piani a benefici definiti, inclusi: </w:t>
            </w:r>
          </w:p>
        </w:tc>
        <w:tc>
          <w:tcPr>
            <w:tcW w:w="575" w:type="dxa"/>
            <w:tcMar>
              <w:left w:w="85" w:type="dxa"/>
              <w:right w:w="85" w:type="dxa"/>
            </w:tcMar>
            <w:vAlign w:val="center"/>
          </w:tcPr>
          <w:p w:rsidR="00D26424" w:rsidRPr="004979D5"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116478"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116478"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Default="00D26424" w:rsidP="004300E2">
            <w:pPr>
              <w:pStyle w:val="Numeroelenco"/>
              <w:numPr>
                <w:ilvl w:val="0"/>
                <w:numId w:val="0"/>
              </w:numPr>
              <w:ind w:left="57"/>
              <w:rPr>
                <w:lang w:val="it-IT"/>
              </w:rPr>
            </w:pPr>
          </w:p>
        </w:tc>
        <w:tc>
          <w:tcPr>
            <w:tcW w:w="851" w:type="dxa"/>
            <w:tcMar>
              <w:left w:w="108" w:type="dxa"/>
              <w:right w:w="0" w:type="dxa"/>
            </w:tcMar>
          </w:tcPr>
          <w:p w:rsidR="00D26424" w:rsidRPr="00D51324" w:rsidRDefault="00D26424" w:rsidP="004300E2">
            <w:pPr>
              <w:pStyle w:val="IAS"/>
              <w:rPr>
                <w:sz w:val="12"/>
                <w:szCs w:val="12"/>
                <w:lang w:val="it-IT"/>
              </w:rPr>
            </w:pPr>
          </w:p>
        </w:tc>
        <w:tc>
          <w:tcPr>
            <w:tcW w:w="7079" w:type="dxa"/>
            <w:tcMar>
              <w:left w:w="108" w:type="dxa"/>
            </w:tcMar>
          </w:tcPr>
          <w:p w:rsidR="00D26424" w:rsidRPr="00116478" w:rsidRDefault="00D26424" w:rsidP="004300E2">
            <w:pPr>
              <w:pStyle w:val="CM4"/>
              <w:numPr>
                <w:ilvl w:val="0"/>
                <w:numId w:val="213"/>
              </w:numPr>
              <w:spacing w:before="20" w:after="20" w:line="220" w:lineRule="exact"/>
              <w:jc w:val="both"/>
              <w:rPr>
                <w:rFonts w:ascii="Arial Narrow" w:hAnsi="Arial Narrow" w:cs="EUAlbertina"/>
                <w:color w:val="000000"/>
                <w:sz w:val="20"/>
                <w:szCs w:val="20"/>
              </w:rPr>
            </w:pPr>
            <w:r w:rsidRPr="00F12965">
              <w:rPr>
                <w:rFonts w:ascii="Arial Narrow" w:hAnsi="Arial Narrow" w:cs="EUAlbertina"/>
                <w:color w:val="000000"/>
                <w:sz w:val="20"/>
                <w:szCs w:val="20"/>
              </w:rPr>
              <w:t>la natura dei benefici previsti dal piano (per esempio, piani a benefici definiti basati sull’ultima retribuzione o piani basati sui contributi con garanzia);</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Default="00D26424" w:rsidP="004300E2">
            <w:pPr>
              <w:pStyle w:val="Numeroelenco"/>
              <w:numPr>
                <w:ilvl w:val="0"/>
                <w:numId w:val="0"/>
              </w:numPr>
              <w:ind w:left="57"/>
              <w:rPr>
                <w:lang w:val="it-IT"/>
              </w:rPr>
            </w:pPr>
          </w:p>
        </w:tc>
        <w:tc>
          <w:tcPr>
            <w:tcW w:w="851" w:type="dxa"/>
            <w:tcMar>
              <w:left w:w="108" w:type="dxa"/>
              <w:right w:w="0" w:type="dxa"/>
            </w:tcMar>
          </w:tcPr>
          <w:p w:rsidR="00D26424" w:rsidRPr="00D51324" w:rsidRDefault="00D26424" w:rsidP="004300E2">
            <w:pPr>
              <w:pStyle w:val="IAS"/>
              <w:rPr>
                <w:sz w:val="12"/>
                <w:szCs w:val="12"/>
                <w:lang w:val="it-IT"/>
              </w:rPr>
            </w:pPr>
          </w:p>
        </w:tc>
        <w:tc>
          <w:tcPr>
            <w:tcW w:w="7079" w:type="dxa"/>
            <w:tcMar>
              <w:left w:w="108" w:type="dxa"/>
            </w:tcMar>
          </w:tcPr>
          <w:p w:rsidR="00D26424" w:rsidRPr="00116478" w:rsidRDefault="00D26424" w:rsidP="004300E2">
            <w:pPr>
              <w:pStyle w:val="CM4"/>
              <w:numPr>
                <w:ilvl w:val="0"/>
                <w:numId w:val="213"/>
              </w:numPr>
              <w:spacing w:before="20" w:after="20" w:line="220" w:lineRule="exact"/>
              <w:jc w:val="both"/>
              <w:rPr>
                <w:rFonts w:ascii="Arial Narrow" w:hAnsi="Arial Narrow" w:cs="EUAlbertina"/>
                <w:color w:val="000000"/>
                <w:sz w:val="20"/>
                <w:szCs w:val="20"/>
              </w:rPr>
            </w:pPr>
            <w:r w:rsidRPr="00F12965">
              <w:rPr>
                <w:rFonts w:ascii="Arial Narrow" w:hAnsi="Arial Narrow" w:cs="EUAlbertina"/>
                <w:color w:val="000000"/>
                <w:sz w:val="20"/>
                <w:szCs w:val="20"/>
              </w:rPr>
              <w:t xml:space="preserve">una descrizione del quadro normativo in cui opera il piano, per esempio il livello dei requisiti contributivi minimi e gli effetti del quadro normativo sul piano, come il massimale di attività; </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Default="00D26424" w:rsidP="004300E2">
            <w:pPr>
              <w:pStyle w:val="Numeroelenco"/>
              <w:numPr>
                <w:ilvl w:val="0"/>
                <w:numId w:val="0"/>
              </w:numPr>
              <w:ind w:left="57"/>
              <w:rPr>
                <w:lang w:val="it-IT"/>
              </w:rPr>
            </w:pPr>
          </w:p>
        </w:tc>
        <w:tc>
          <w:tcPr>
            <w:tcW w:w="851" w:type="dxa"/>
            <w:tcMar>
              <w:left w:w="108" w:type="dxa"/>
              <w:right w:w="0" w:type="dxa"/>
            </w:tcMar>
          </w:tcPr>
          <w:p w:rsidR="00D26424" w:rsidRPr="00D51324" w:rsidRDefault="00D26424" w:rsidP="004300E2">
            <w:pPr>
              <w:pStyle w:val="IAS"/>
              <w:rPr>
                <w:sz w:val="12"/>
                <w:szCs w:val="12"/>
                <w:lang w:val="it-IT"/>
              </w:rPr>
            </w:pPr>
          </w:p>
        </w:tc>
        <w:tc>
          <w:tcPr>
            <w:tcW w:w="7079" w:type="dxa"/>
            <w:tcMar>
              <w:left w:w="108" w:type="dxa"/>
            </w:tcMar>
          </w:tcPr>
          <w:p w:rsidR="00D26424" w:rsidRPr="00116478" w:rsidRDefault="00D26424" w:rsidP="004300E2">
            <w:pPr>
              <w:pStyle w:val="CM4"/>
              <w:numPr>
                <w:ilvl w:val="0"/>
                <w:numId w:val="213"/>
              </w:numPr>
              <w:spacing w:before="20" w:after="20" w:line="220" w:lineRule="exact"/>
              <w:jc w:val="both"/>
              <w:rPr>
                <w:rFonts w:ascii="Arial Narrow" w:hAnsi="Arial Narrow" w:cs="EUAlbertina"/>
                <w:color w:val="000000"/>
                <w:sz w:val="20"/>
                <w:szCs w:val="20"/>
              </w:rPr>
            </w:pPr>
            <w:r w:rsidRPr="00F12965">
              <w:rPr>
                <w:rFonts w:ascii="Arial Narrow" w:hAnsi="Arial Narrow" w:cs="EUAlbertina"/>
                <w:color w:val="000000"/>
                <w:sz w:val="20"/>
                <w:szCs w:val="20"/>
              </w:rPr>
              <w:t xml:space="preserve">una descrizione di tutte le altre responsabilità dell’entità nel governo del piano, per esempio le responsabilità dei fiduciari o dei membri del consiglio d’amministrazione del piano. </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Default="00D26424" w:rsidP="004300E2">
            <w:pPr>
              <w:pStyle w:val="Numeroelenco"/>
              <w:numPr>
                <w:ilvl w:val="0"/>
                <w:numId w:val="0"/>
              </w:numPr>
              <w:ind w:left="57"/>
              <w:rPr>
                <w:lang w:val="it-IT"/>
              </w:rPr>
            </w:pPr>
          </w:p>
        </w:tc>
        <w:tc>
          <w:tcPr>
            <w:tcW w:w="851" w:type="dxa"/>
            <w:tcMar>
              <w:left w:w="108" w:type="dxa"/>
              <w:right w:w="0" w:type="dxa"/>
            </w:tcMar>
          </w:tcPr>
          <w:p w:rsidR="00D26424" w:rsidRPr="00D51324" w:rsidRDefault="00D26424" w:rsidP="004300E2">
            <w:pPr>
              <w:pStyle w:val="IAS"/>
              <w:rPr>
                <w:sz w:val="12"/>
                <w:szCs w:val="12"/>
                <w:lang w:val="it-IT"/>
              </w:rPr>
            </w:pPr>
          </w:p>
        </w:tc>
        <w:tc>
          <w:tcPr>
            <w:tcW w:w="7079" w:type="dxa"/>
            <w:tcMar>
              <w:left w:w="108" w:type="dxa"/>
            </w:tcMar>
          </w:tcPr>
          <w:p w:rsidR="00D26424" w:rsidRPr="00F12965" w:rsidRDefault="00D26424" w:rsidP="00BE0F86">
            <w:pPr>
              <w:pStyle w:val="CM4"/>
              <w:spacing w:before="20" w:after="20" w:line="220" w:lineRule="exact"/>
              <w:ind w:left="318" w:hanging="318"/>
              <w:jc w:val="both"/>
              <w:rPr>
                <w:rFonts w:ascii="Arial Narrow" w:hAnsi="Arial Narrow" w:cs="EUAlbertina"/>
                <w:color w:val="000000"/>
                <w:sz w:val="20"/>
                <w:szCs w:val="20"/>
              </w:rPr>
            </w:pPr>
            <w:r>
              <w:rPr>
                <w:rFonts w:ascii="Arial Narrow" w:hAnsi="Arial Narrow" w:cs="EUAlbertina"/>
                <w:color w:val="000000"/>
                <w:sz w:val="20"/>
                <w:szCs w:val="20"/>
              </w:rPr>
              <w:t>(b)</w:t>
            </w:r>
            <w:r>
              <w:rPr>
                <w:rFonts w:ascii="Arial Narrow" w:hAnsi="Arial Narrow" w:cs="EUAlbertina"/>
                <w:color w:val="000000"/>
                <w:sz w:val="20"/>
                <w:szCs w:val="20"/>
              </w:rPr>
              <w:tab/>
            </w:r>
            <w:r w:rsidRPr="00F12965">
              <w:rPr>
                <w:rFonts w:ascii="Arial Narrow" w:hAnsi="Arial Narrow" w:cs="EUAlbertina"/>
                <w:color w:val="000000"/>
                <w:sz w:val="20"/>
                <w:szCs w:val="20"/>
              </w:rPr>
              <w:t xml:space="preserve">una descrizione dei rischi a cui il piano espone l'entità, con particolare riferimento ai rischi imprevisti, specifici dell'entità o del piano, e a qualsiasi altra concentrazione di rischio significativa. </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Default="004300E2" w:rsidP="004300E2">
            <w:pPr>
              <w:pStyle w:val="Numeroelenco"/>
              <w:numPr>
                <w:ilvl w:val="0"/>
                <w:numId w:val="0"/>
              </w:numPr>
              <w:ind w:left="57"/>
              <w:rPr>
                <w:lang w:val="it-IT"/>
              </w:rPr>
            </w:pPr>
          </w:p>
        </w:tc>
        <w:tc>
          <w:tcPr>
            <w:tcW w:w="851" w:type="dxa"/>
            <w:tcMar>
              <w:left w:w="108" w:type="dxa"/>
              <w:right w:w="0" w:type="dxa"/>
            </w:tcMar>
          </w:tcPr>
          <w:p w:rsidR="004300E2" w:rsidRPr="00D51324" w:rsidRDefault="004300E2" w:rsidP="004300E2">
            <w:pPr>
              <w:pStyle w:val="IAS"/>
              <w:rPr>
                <w:sz w:val="12"/>
                <w:szCs w:val="12"/>
                <w:lang w:val="it-IT"/>
              </w:rPr>
            </w:pPr>
          </w:p>
        </w:tc>
        <w:tc>
          <w:tcPr>
            <w:tcW w:w="7079" w:type="dxa"/>
            <w:tcMar>
              <w:left w:w="108" w:type="dxa"/>
            </w:tcMar>
          </w:tcPr>
          <w:p w:rsidR="004300E2" w:rsidRPr="00E41648" w:rsidRDefault="004300E2" w:rsidP="00634317">
            <w:pPr>
              <w:pStyle w:val="Paragarfobordato"/>
            </w:pPr>
            <w:r w:rsidRPr="00E41648">
              <w:t>Per esempio, se le attività a servizio del piano sono investite principalmente in una classe specifica di investimenti, come ad esempio gli immobili, il piano può esporre l’entità a una concentrazione di rischio sui mercati immobiliari</w:t>
            </w:r>
            <w:r w:rsidR="007B3B0B">
              <w:t>.</w:t>
            </w:r>
            <w:r w:rsidRPr="00E41648">
              <w:t xml:space="preserve"> </w:t>
            </w:r>
          </w:p>
        </w:tc>
        <w:tc>
          <w:tcPr>
            <w:tcW w:w="575" w:type="dxa"/>
            <w:tcMar>
              <w:left w:w="85" w:type="dxa"/>
              <w:right w:w="85" w:type="dxa"/>
            </w:tcMar>
            <w:vAlign w:val="center"/>
          </w:tcPr>
          <w:p w:rsidR="004300E2" w:rsidRPr="004979D5" w:rsidRDefault="004300E2" w:rsidP="004300E2">
            <w:pPr>
              <w:jc w:val="center"/>
              <w:rPr>
                <w:lang w:val="it-IT"/>
              </w:rPr>
            </w:pPr>
          </w:p>
        </w:tc>
        <w:tc>
          <w:tcPr>
            <w:tcW w:w="567" w:type="dxa"/>
            <w:tcMar>
              <w:left w:w="108" w:type="dxa"/>
            </w:tcMar>
            <w:vAlign w:val="center"/>
          </w:tcPr>
          <w:p w:rsidR="004300E2" w:rsidRPr="00116478" w:rsidRDefault="004300E2" w:rsidP="004300E2">
            <w:pPr>
              <w:jc w:val="center"/>
              <w:rPr>
                <w:lang w:val="it-IT"/>
              </w:rPr>
            </w:pPr>
          </w:p>
        </w:tc>
        <w:tc>
          <w:tcPr>
            <w:tcW w:w="567" w:type="dxa"/>
            <w:tcMar>
              <w:left w:w="108" w:type="dxa"/>
            </w:tcMar>
            <w:vAlign w:val="center"/>
          </w:tcPr>
          <w:p w:rsidR="004300E2" w:rsidRPr="00116478" w:rsidRDefault="004300E2" w:rsidP="004300E2">
            <w:pPr>
              <w:jc w:val="center"/>
              <w:rPr>
                <w:lang w:val="it-IT"/>
              </w:rPr>
            </w:pPr>
          </w:p>
        </w:tc>
      </w:tr>
      <w:tr w:rsidR="00D26424" w:rsidRPr="008129DA" w:rsidTr="00940A6F">
        <w:trPr>
          <w:cantSplit/>
        </w:trPr>
        <w:tc>
          <w:tcPr>
            <w:tcW w:w="567" w:type="dxa"/>
            <w:tcMar>
              <w:left w:w="108" w:type="dxa"/>
            </w:tcMar>
          </w:tcPr>
          <w:p w:rsidR="00D26424" w:rsidRDefault="00D26424" w:rsidP="004300E2">
            <w:pPr>
              <w:pStyle w:val="Numeroelenco"/>
              <w:numPr>
                <w:ilvl w:val="0"/>
                <w:numId w:val="0"/>
              </w:numPr>
              <w:ind w:left="57"/>
              <w:rPr>
                <w:lang w:val="it-IT"/>
              </w:rPr>
            </w:pPr>
          </w:p>
        </w:tc>
        <w:tc>
          <w:tcPr>
            <w:tcW w:w="851" w:type="dxa"/>
            <w:tcMar>
              <w:left w:w="108" w:type="dxa"/>
              <w:right w:w="0" w:type="dxa"/>
            </w:tcMar>
          </w:tcPr>
          <w:p w:rsidR="00D26424" w:rsidRPr="00D51324" w:rsidRDefault="00D26424" w:rsidP="004300E2">
            <w:pPr>
              <w:pStyle w:val="IAS"/>
              <w:rPr>
                <w:sz w:val="12"/>
                <w:szCs w:val="12"/>
                <w:lang w:val="it-IT"/>
              </w:rPr>
            </w:pPr>
          </w:p>
        </w:tc>
        <w:tc>
          <w:tcPr>
            <w:tcW w:w="7079" w:type="dxa"/>
            <w:tcMar>
              <w:left w:w="108" w:type="dxa"/>
            </w:tcMar>
          </w:tcPr>
          <w:p w:rsidR="00D26424" w:rsidRPr="00F12965" w:rsidRDefault="00D26424" w:rsidP="004300E2">
            <w:pPr>
              <w:pStyle w:val="CM4"/>
              <w:spacing w:before="20" w:after="20" w:line="220" w:lineRule="exact"/>
              <w:ind w:left="315" w:hanging="315"/>
              <w:jc w:val="both"/>
              <w:rPr>
                <w:rFonts w:ascii="Arial Narrow" w:hAnsi="Arial Narrow" w:cs="EUAlbertina"/>
                <w:color w:val="000000"/>
                <w:sz w:val="20"/>
                <w:szCs w:val="20"/>
              </w:rPr>
            </w:pPr>
            <w:r w:rsidRPr="00116478">
              <w:rPr>
                <w:rFonts w:ascii="Arial Narrow" w:hAnsi="Arial Narrow" w:cs="EUAlbertina"/>
                <w:color w:val="000000"/>
                <w:sz w:val="20"/>
                <w:szCs w:val="20"/>
              </w:rPr>
              <w:t>(c)</w:t>
            </w:r>
            <w:r w:rsidRPr="00116478">
              <w:rPr>
                <w:rFonts w:ascii="Arial Narrow" w:hAnsi="Arial Narrow" w:cs="EUAlbertina"/>
                <w:color w:val="000000"/>
                <w:sz w:val="20"/>
                <w:szCs w:val="20"/>
              </w:rPr>
              <w:tab/>
              <w:t>una descrizione delle modifiche, delle riduzioni e delle estinzioni nell’ambito del piano.</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Numeroelenco"/>
              <w:numPr>
                <w:ilvl w:val="0"/>
                <w:numId w:val="0"/>
              </w:numPr>
              <w:ind w:left="57"/>
              <w:rPr>
                <w:lang w:val="it-IT"/>
              </w:rPr>
            </w:pPr>
          </w:p>
        </w:tc>
        <w:tc>
          <w:tcPr>
            <w:tcW w:w="851" w:type="dxa"/>
            <w:tcMar>
              <w:left w:w="108" w:type="dxa"/>
              <w:right w:w="0" w:type="dxa"/>
            </w:tcMar>
          </w:tcPr>
          <w:p w:rsidR="004300E2" w:rsidRPr="00D51324" w:rsidRDefault="004300E2" w:rsidP="004300E2">
            <w:pPr>
              <w:pStyle w:val="IAS"/>
              <w:rPr>
                <w:sz w:val="12"/>
                <w:szCs w:val="12"/>
                <w:lang w:val="it-IT"/>
              </w:rPr>
            </w:pPr>
          </w:p>
        </w:tc>
        <w:tc>
          <w:tcPr>
            <w:tcW w:w="7079" w:type="dxa"/>
            <w:tcMar>
              <w:left w:w="108" w:type="dxa"/>
            </w:tcMar>
          </w:tcPr>
          <w:p w:rsidR="004300E2" w:rsidRPr="000B583A" w:rsidRDefault="004300E2" w:rsidP="004300E2">
            <w:pPr>
              <w:rPr>
                <w:b/>
                <w:sz w:val="18"/>
                <w:szCs w:val="18"/>
                <w:lang w:val="it-IT"/>
              </w:rPr>
            </w:pPr>
            <w:r w:rsidRPr="000B583A">
              <w:rPr>
                <w:rFonts w:cs="EUAlbertina"/>
                <w:b/>
                <w:i/>
                <w:iCs/>
                <w:color w:val="000000"/>
                <w:sz w:val="18"/>
                <w:szCs w:val="18"/>
                <w:lang w:val="it-IT"/>
              </w:rPr>
              <w:t>Illustrazione degli importi nel bilancio</w:t>
            </w:r>
          </w:p>
        </w:tc>
        <w:tc>
          <w:tcPr>
            <w:tcW w:w="575" w:type="dxa"/>
            <w:tcMar>
              <w:left w:w="85" w:type="dxa"/>
              <w:right w:w="85" w:type="dxa"/>
            </w:tcMar>
            <w:vAlign w:val="center"/>
          </w:tcPr>
          <w:p w:rsidR="004300E2" w:rsidRPr="009E6BCD" w:rsidRDefault="004300E2" w:rsidP="004300E2">
            <w:pPr>
              <w:jc w:val="center"/>
              <w:rPr>
                <w:lang w:val="it-IT"/>
              </w:rPr>
            </w:pPr>
          </w:p>
        </w:tc>
        <w:tc>
          <w:tcPr>
            <w:tcW w:w="567" w:type="dxa"/>
            <w:tcMar>
              <w:left w:w="108" w:type="dxa"/>
            </w:tcMar>
            <w:vAlign w:val="center"/>
          </w:tcPr>
          <w:p w:rsidR="004300E2" w:rsidRPr="009E6BCD" w:rsidRDefault="004300E2" w:rsidP="004300E2">
            <w:pPr>
              <w:jc w:val="center"/>
              <w:rPr>
                <w:lang w:val="it-IT"/>
              </w:rPr>
            </w:pPr>
          </w:p>
        </w:tc>
        <w:tc>
          <w:tcPr>
            <w:tcW w:w="567" w:type="dxa"/>
            <w:tcMar>
              <w:left w:w="108" w:type="dxa"/>
            </w:tcMar>
            <w:vAlign w:val="center"/>
          </w:tcPr>
          <w:p w:rsidR="004300E2" w:rsidRPr="009E6BCD" w:rsidRDefault="004300E2" w:rsidP="004300E2">
            <w:pPr>
              <w:jc w:val="center"/>
              <w:rPr>
                <w:lang w:val="it-IT"/>
              </w:rPr>
            </w:pPr>
          </w:p>
        </w:tc>
      </w:tr>
      <w:tr w:rsidR="004300E2" w:rsidRPr="00A44ECD" w:rsidTr="00940A6F">
        <w:trPr>
          <w:cantSplit/>
        </w:trPr>
        <w:tc>
          <w:tcPr>
            <w:tcW w:w="567" w:type="dxa"/>
            <w:tcMar>
              <w:left w:w="108" w:type="dxa"/>
            </w:tcMar>
          </w:tcPr>
          <w:p w:rsidR="004300E2" w:rsidRDefault="004300E2" w:rsidP="004300E2">
            <w:pPr>
              <w:pStyle w:val="Numeroelenco"/>
              <w:ind w:left="0" w:firstLine="57"/>
              <w:rPr>
                <w:lang w:val="it-IT"/>
              </w:rPr>
            </w:pPr>
          </w:p>
        </w:tc>
        <w:tc>
          <w:tcPr>
            <w:tcW w:w="851" w:type="dxa"/>
            <w:tcMar>
              <w:left w:w="108" w:type="dxa"/>
              <w:right w:w="0" w:type="dxa"/>
            </w:tcMar>
          </w:tcPr>
          <w:p w:rsidR="004300E2" w:rsidRPr="00D51324" w:rsidRDefault="004300E2" w:rsidP="004300E2">
            <w:pPr>
              <w:pStyle w:val="IAS"/>
              <w:rPr>
                <w:sz w:val="12"/>
                <w:szCs w:val="12"/>
                <w:lang w:val="it-IT"/>
              </w:rPr>
            </w:pPr>
            <w:r w:rsidRPr="00D51324">
              <w:rPr>
                <w:sz w:val="12"/>
                <w:szCs w:val="12"/>
                <w:lang w:val="it-IT"/>
              </w:rPr>
              <w:t>IAS 19.140</w:t>
            </w:r>
          </w:p>
        </w:tc>
        <w:tc>
          <w:tcPr>
            <w:tcW w:w="7079" w:type="dxa"/>
            <w:tcMar>
              <w:left w:w="108" w:type="dxa"/>
            </w:tcMar>
          </w:tcPr>
          <w:p w:rsidR="004300E2" w:rsidRPr="00753086" w:rsidRDefault="004300E2" w:rsidP="004300E2">
            <w:pPr>
              <w:pStyle w:val="CM4"/>
              <w:spacing w:before="20" w:after="20" w:line="220" w:lineRule="exact"/>
              <w:jc w:val="both"/>
              <w:rPr>
                <w:rFonts w:ascii="Arial Narrow" w:hAnsi="Arial Narrow" w:cs="EUAlbertina"/>
                <w:color w:val="000000"/>
                <w:sz w:val="20"/>
                <w:szCs w:val="20"/>
              </w:rPr>
            </w:pPr>
            <w:r w:rsidRPr="00F12965">
              <w:rPr>
                <w:rFonts w:ascii="Arial Narrow" w:hAnsi="Arial Narrow" w:cs="EUAlbertina"/>
                <w:color w:val="000000"/>
                <w:sz w:val="20"/>
                <w:szCs w:val="20"/>
              </w:rPr>
              <w:t xml:space="preserve">Un’entità deve fornire una riconciliazione tra il saldo di apertura e il saldo di chiusura per ciascuna delle seguenti voci, se applicabili: </w:t>
            </w:r>
          </w:p>
        </w:tc>
        <w:tc>
          <w:tcPr>
            <w:tcW w:w="575" w:type="dxa"/>
            <w:tcMar>
              <w:left w:w="85" w:type="dxa"/>
              <w:right w:w="85" w:type="dxa"/>
            </w:tcMar>
            <w:vAlign w:val="bottom"/>
          </w:tcPr>
          <w:p w:rsidR="004300E2" w:rsidRPr="00A32A16" w:rsidRDefault="004300E2" w:rsidP="004300E2">
            <w:pPr>
              <w:jc w:val="center"/>
              <w:rPr>
                <w:lang w:val="it-IT"/>
              </w:rPr>
            </w:pPr>
          </w:p>
        </w:tc>
        <w:tc>
          <w:tcPr>
            <w:tcW w:w="567" w:type="dxa"/>
            <w:tcMar>
              <w:left w:w="108" w:type="dxa"/>
            </w:tcMar>
            <w:vAlign w:val="bottom"/>
          </w:tcPr>
          <w:p w:rsidR="004300E2" w:rsidRPr="00A32A16" w:rsidRDefault="004300E2" w:rsidP="004300E2">
            <w:pPr>
              <w:jc w:val="center"/>
              <w:rPr>
                <w:lang w:val="it-IT"/>
              </w:rPr>
            </w:pPr>
          </w:p>
        </w:tc>
        <w:tc>
          <w:tcPr>
            <w:tcW w:w="567" w:type="dxa"/>
            <w:tcMar>
              <w:left w:w="108" w:type="dxa"/>
            </w:tcMar>
            <w:vAlign w:val="bottom"/>
          </w:tcPr>
          <w:p w:rsidR="004300E2" w:rsidRPr="00A32A16" w:rsidRDefault="004300E2" w:rsidP="004300E2">
            <w:pPr>
              <w:jc w:val="center"/>
              <w:rPr>
                <w:lang w:val="it-IT"/>
              </w:rPr>
            </w:pPr>
          </w:p>
        </w:tc>
      </w:tr>
      <w:tr w:rsidR="00D26424" w:rsidRPr="008129DA" w:rsidTr="00D26424">
        <w:trPr>
          <w:cantSplit/>
        </w:trPr>
        <w:tc>
          <w:tcPr>
            <w:tcW w:w="567" w:type="dxa"/>
            <w:tcMar>
              <w:left w:w="108" w:type="dxa"/>
            </w:tcMar>
          </w:tcPr>
          <w:p w:rsidR="00D26424" w:rsidRDefault="00D26424" w:rsidP="004300E2">
            <w:pPr>
              <w:pStyle w:val="Numeroelenco"/>
              <w:numPr>
                <w:ilvl w:val="0"/>
                <w:numId w:val="0"/>
              </w:numPr>
              <w:ind w:left="57"/>
              <w:rPr>
                <w:lang w:val="it-IT"/>
              </w:rPr>
            </w:pPr>
          </w:p>
        </w:tc>
        <w:tc>
          <w:tcPr>
            <w:tcW w:w="851" w:type="dxa"/>
            <w:tcMar>
              <w:left w:w="108" w:type="dxa"/>
              <w:right w:w="0" w:type="dxa"/>
            </w:tcMar>
          </w:tcPr>
          <w:p w:rsidR="00D26424" w:rsidRPr="00D51324" w:rsidRDefault="00D26424" w:rsidP="004300E2">
            <w:pPr>
              <w:pStyle w:val="IAS"/>
              <w:rPr>
                <w:sz w:val="12"/>
                <w:szCs w:val="12"/>
                <w:lang w:val="it-IT"/>
              </w:rPr>
            </w:pPr>
          </w:p>
        </w:tc>
        <w:tc>
          <w:tcPr>
            <w:tcW w:w="7079" w:type="dxa"/>
            <w:tcMar>
              <w:left w:w="108" w:type="dxa"/>
            </w:tcMar>
          </w:tcPr>
          <w:p w:rsidR="00D26424" w:rsidRPr="00F12965" w:rsidRDefault="00D26424" w:rsidP="004300E2">
            <w:pPr>
              <w:pStyle w:val="CM4"/>
              <w:spacing w:before="20" w:after="20" w:line="220" w:lineRule="exact"/>
              <w:ind w:left="315" w:hanging="315"/>
              <w:jc w:val="both"/>
              <w:rPr>
                <w:rFonts w:ascii="Arial Narrow" w:hAnsi="Arial Narrow" w:cs="EUAlbertina"/>
                <w:color w:val="000000"/>
                <w:sz w:val="20"/>
                <w:szCs w:val="20"/>
              </w:rPr>
            </w:pPr>
            <w:r>
              <w:rPr>
                <w:rFonts w:ascii="Arial Narrow" w:hAnsi="Arial Narrow" w:cs="EUAlbertina"/>
                <w:color w:val="000000"/>
                <w:sz w:val="20"/>
                <w:szCs w:val="20"/>
              </w:rPr>
              <w:t>(a)</w:t>
            </w:r>
            <w:r>
              <w:rPr>
                <w:rFonts w:ascii="Arial Narrow" w:hAnsi="Arial Narrow" w:cs="EUAlbertina"/>
                <w:color w:val="000000"/>
                <w:sz w:val="20"/>
                <w:szCs w:val="20"/>
              </w:rPr>
              <w:tab/>
            </w:r>
            <w:r w:rsidRPr="00F12965">
              <w:rPr>
                <w:rFonts w:ascii="Arial Narrow" w:hAnsi="Arial Narrow" w:cs="EUAlbertina"/>
                <w:color w:val="000000"/>
                <w:sz w:val="20"/>
                <w:szCs w:val="20"/>
              </w:rPr>
              <w:t>la passività</w:t>
            </w:r>
            <w:r>
              <w:rPr>
                <w:rFonts w:ascii="Arial Narrow" w:hAnsi="Arial Narrow" w:cs="EUAlbertina"/>
                <w:color w:val="000000"/>
                <w:sz w:val="20"/>
                <w:szCs w:val="20"/>
              </w:rPr>
              <w:t>/</w:t>
            </w:r>
            <w:r w:rsidRPr="00F12965">
              <w:rPr>
                <w:rFonts w:ascii="Arial Narrow" w:hAnsi="Arial Narrow" w:cs="EUAlbertina"/>
                <w:color w:val="000000"/>
                <w:sz w:val="20"/>
                <w:szCs w:val="20"/>
              </w:rPr>
              <w:t xml:space="preserve">(attività) netta per benefici definiti, illustrando riconciliazioni distinte per: </w:t>
            </w:r>
          </w:p>
        </w:tc>
        <w:tc>
          <w:tcPr>
            <w:tcW w:w="575" w:type="dxa"/>
            <w:tcMar>
              <w:left w:w="85" w:type="dxa"/>
              <w:right w:w="85" w:type="dxa"/>
            </w:tcMar>
            <w:vAlign w:val="center"/>
          </w:tcPr>
          <w:p w:rsidR="00D26424" w:rsidRPr="0075308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5308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5308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Default="00D26424" w:rsidP="004300E2">
            <w:pPr>
              <w:pStyle w:val="Numeroelenco"/>
              <w:numPr>
                <w:ilvl w:val="0"/>
                <w:numId w:val="0"/>
              </w:numPr>
              <w:ind w:left="57"/>
              <w:rPr>
                <w:lang w:val="it-IT"/>
              </w:rPr>
            </w:pPr>
          </w:p>
        </w:tc>
        <w:tc>
          <w:tcPr>
            <w:tcW w:w="851" w:type="dxa"/>
            <w:tcMar>
              <w:left w:w="108" w:type="dxa"/>
              <w:right w:w="0" w:type="dxa"/>
            </w:tcMar>
          </w:tcPr>
          <w:p w:rsidR="00D26424" w:rsidRPr="00D51324" w:rsidRDefault="00D26424" w:rsidP="004300E2">
            <w:pPr>
              <w:pStyle w:val="IAS"/>
              <w:rPr>
                <w:sz w:val="12"/>
                <w:szCs w:val="12"/>
                <w:lang w:val="it-IT"/>
              </w:rPr>
            </w:pPr>
          </w:p>
        </w:tc>
        <w:tc>
          <w:tcPr>
            <w:tcW w:w="7079" w:type="dxa"/>
            <w:tcMar>
              <w:left w:w="108" w:type="dxa"/>
            </w:tcMar>
          </w:tcPr>
          <w:p w:rsidR="00D26424" w:rsidRPr="00753086" w:rsidRDefault="00D26424" w:rsidP="004300E2">
            <w:pPr>
              <w:pStyle w:val="CM4"/>
              <w:numPr>
                <w:ilvl w:val="0"/>
                <w:numId w:val="214"/>
              </w:numPr>
              <w:spacing w:before="20" w:after="20" w:line="220" w:lineRule="exact"/>
              <w:jc w:val="both"/>
              <w:rPr>
                <w:rFonts w:ascii="Arial Narrow" w:hAnsi="Arial Narrow" w:cs="EUAlbertina"/>
                <w:color w:val="000000"/>
                <w:sz w:val="20"/>
                <w:szCs w:val="20"/>
              </w:rPr>
            </w:pPr>
            <w:r w:rsidRPr="00F12965">
              <w:rPr>
                <w:rFonts w:ascii="Arial Narrow" w:hAnsi="Arial Narrow" w:cs="EUAlbertina"/>
                <w:color w:val="000000"/>
                <w:sz w:val="20"/>
                <w:szCs w:val="20"/>
              </w:rPr>
              <w:t xml:space="preserve">le attività a servizio del piano; </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Default="00D26424" w:rsidP="004300E2">
            <w:pPr>
              <w:pStyle w:val="Numeroelenco"/>
              <w:numPr>
                <w:ilvl w:val="0"/>
                <w:numId w:val="0"/>
              </w:numPr>
              <w:ind w:left="57"/>
              <w:rPr>
                <w:lang w:val="it-IT"/>
              </w:rPr>
            </w:pPr>
          </w:p>
        </w:tc>
        <w:tc>
          <w:tcPr>
            <w:tcW w:w="851" w:type="dxa"/>
            <w:tcMar>
              <w:left w:w="108" w:type="dxa"/>
              <w:right w:w="0" w:type="dxa"/>
            </w:tcMar>
          </w:tcPr>
          <w:p w:rsidR="00D26424" w:rsidRPr="00D51324" w:rsidRDefault="00D26424" w:rsidP="004300E2">
            <w:pPr>
              <w:pStyle w:val="IAS"/>
              <w:rPr>
                <w:sz w:val="12"/>
                <w:szCs w:val="12"/>
                <w:lang w:val="it-IT"/>
              </w:rPr>
            </w:pPr>
          </w:p>
        </w:tc>
        <w:tc>
          <w:tcPr>
            <w:tcW w:w="7079" w:type="dxa"/>
            <w:tcMar>
              <w:left w:w="108" w:type="dxa"/>
            </w:tcMar>
          </w:tcPr>
          <w:p w:rsidR="00D26424" w:rsidRPr="00753086" w:rsidRDefault="00D26424" w:rsidP="004300E2">
            <w:pPr>
              <w:pStyle w:val="CM4"/>
              <w:numPr>
                <w:ilvl w:val="0"/>
                <w:numId w:val="214"/>
              </w:numPr>
              <w:spacing w:before="20" w:after="20" w:line="220" w:lineRule="exact"/>
              <w:jc w:val="both"/>
              <w:rPr>
                <w:rFonts w:ascii="Arial Narrow" w:hAnsi="Arial Narrow" w:cs="EUAlbertina"/>
                <w:color w:val="000000"/>
                <w:sz w:val="20"/>
                <w:szCs w:val="20"/>
              </w:rPr>
            </w:pPr>
            <w:r w:rsidRPr="00F12965">
              <w:rPr>
                <w:rFonts w:ascii="Arial Narrow" w:hAnsi="Arial Narrow" w:cs="EUAlbertina"/>
                <w:color w:val="000000"/>
                <w:sz w:val="20"/>
                <w:szCs w:val="20"/>
              </w:rPr>
              <w:t xml:space="preserve">il valore attuale dell’obbligazione per benefici definiti; </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Default="00D26424" w:rsidP="004300E2">
            <w:pPr>
              <w:pStyle w:val="Numeroelenco"/>
              <w:numPr>
                <w:ilvl w:val="0"/>
                <w:numId w:val="0"/>
              </w:numPr>
              <w:ind w:left="57"/>
              <w:rPr>
                <w:lang w:val="it-IT"/>
              </w:rPr>
            </w:pPr>
          </w:p>
        </w:tc>
        <w:tc>
          <w:tcPr>
            <w:tcW w:w="851" w:type="dxa"/>
            <w:tcMar>
              <w:left w:w="108" w:type="dxa"/>
              <w:right w:w="0" w:type="dxa"/>
            </w:tcMar>
          </w:tcPr>
          <w:p w:rsidR="00D26424" w:rsidRPr="00D51324" w:rsidRDefault="00D26424" w:rsidP="004300E2">
            <w:pPr>
              <w:pStyle w:val="IAS"/>
              <w:rPr>
                <w:sz w:val="12"/>
                <w:szCs w:val="12"/>
                <w:lang w:val="it-IT"/>
              </w:rPr>
            </w:pPr>
          </w:p>
        </w:tc>
        <w:tc>
          <w:tcPr>
            <w:tcW w:w="7079" w:type="dxa"/>
            <w:tcMar>
              <w:left w:w="108" w:type="dxa"/>
            </w:tcMar>
          </w:tcPr>
          <w:p w:rsidR="00D26424" w:rsidRPr="00753086" w:rsidRDefault="00D26424" w:rsidP="004300E2">
            <w:pPr>
              <w:pStyle w:val="CM4"/>
              <w:numPr>
                <w:ilvl w:val="0"/>
                <w:numId w:val="214"/>
              </w:numPr>
              <w:spacing w:before="20" w:after="20" w:line="220" w:lineRule="exact"/>
              <w:jc w:val="both"/>
              <w:rPr>
                <w:rFonts w:ascii="Arial Narrow" w:hAnsi="Arial Narrow" w:cs="EUAlbertina"/>
                <w:color w:val="000000"/>
                <w:sz w:val="20"/>
                <w:szCs w:val="20"/>
              </w:rPr>
            </w:pPr>
            <w:r w:rsidRPr="00F12965">
              <w:rPr>
                <w:rFonts w:ascii="Arial Narrow" w:hAnsi="Arial Narrow" w:cs="EUAlbertina"/>
                <w:color w:val="000000"/>
                <w:sz w:val="20"/>
                <w:szCs w:val="20"/>
              </w:rPr>
              <w:t>l’effetto del massimale di attività;</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Default="00D26424" w:rsidP="004300E2">
            <w:pPr>
              <w:pStyle w:val="Numeroelenco"/>
              <w:numPr>
                <w:ilvl w:val="0"/>
                <w:numId w:val="0"/>
              </w:numPr>
              <w:ind w:left="57"/>
              <w:rPr>
                <w:lang w:val="it-IT"/>
              </w:rPr>
            </w:pPr>
          </w:p>
        </w:tc>
        <w:tc>
          <w:tcPr>
            <w:tcW w:w="851" w:type="dxa"/>
            <w:tcMar>
              <w:left w:w="108" w:type="dxa"/>
              <w:right w:w="0" w:type="dxa"/>
            </w:tcMar>
          </w:tcPr>
          <w:p w:rsidR="00D26424" w:rsidRPr="00D51324" w:rsidRDefault="00D26424" w:rsidP="004300E2">
            <w:pPr>
              <w:pStyle w:val="IAS"/>
              <w:rPr>
                <w:sz w:val="12"/>
                <w:szCs w:val="12"/>
                <w:lang w:val="it-IT"/>
              </w:rPr>
            </w:pPr>
          </w:p>
        </w:tc>
        <w:tc>
          <w:tcPr>
            <w:tcW w:w="7079" w:type="dxa"/>
            <w:tcMar>
              <w:left w:w="108" w:type="dxa"/>
            </w:tcMar>
          </w:tcPr>
          <w:p w:rsidR="00D26424" w:rsidRPr="00F12965" w:rsidRDefault="00D26424" w:rsidP="004300E2">
            <w:pPr>
              <w:pStyle w:val="CM4"/>
              <w:spacing w:before="20" w:after="20" w:line="220" w:lineRule="exact"/>
              <w:ind w:left="315" w:hanging="315"/>
              <w:jc w:val="both"/>
              <w:rPr>
                <w:rFonts w:ascii="Arial Narrow" w:hAnsi="Arial Narrow" w:cs="EUAlbertina"/>
                <w:color w:val="000000"/>
                <w:sz w:val="20"/>
                <w:szCs w:val="20"/>
              </w:rPr>
            </w:pPr>
            <w:r w:rsidRPr="00753086">
              <w:rPr>
                <w:rFonts w:ascii="Arial Narrow" w:hAnsi="Arial Narrow" w:cs="EUAlbertina"/>
                <w:color w:val="000000"/>
                <w:sz w:val="20"/>
                <w:szCs w:val="20"/>
              </w:rPr>
              <w:t>(b)</w:t>
            </w:r>
            <w:r w:rsidRPr="00753086">
              <w:rPr>
                <w:rFonts w:ascii="Arial Narrow" w:hAnsi="Arial Narrow" w:cs="EUAlbertina"/>
                <w:color w:val="000000"/>
                <w:sz w:val="20"/>
                <w:szCs w:val="20"/>
              </w:rPr>
              <w:tab/>
              <w:t>i diritti a ricevere un indennizzo. Un'entità deve inoltre descrivere la relazione tra il diritto a ricevere un indennizzo e l'obbligazione correlata.</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Default="004300E2" w:rsidP="004300E2">
            <w:pPr>
              <w:pStyle w:val="Numeroelenco"/>
              <w:ind w:left="0" w:firstLine="57"/>
              <w:rPr>
                <w:lang w:val="it-IT"/>
              </w:rPr>
            </w:pPr>
          </w:p>
        </w:tc>
        <w:tc>
          <w:tcPr>
            <w:tcW w:w="851" w:type="dxa"/>
            <w:tcMar>
              <w:left w:w="108" w:type="dxa"/>
              <w:right w:w="0" w:type="dxa"/>
            </w:tcMar>
          </w:tcPr>
          <w:p w:rsidR="004300E2" w:rsidRPr="001D3205" w:rsidRDefault="004300E2" w:rsidP="004300E2">
            <w:pPr>
              <w:pStyle w:val="IAS"/>
              <w:jc w:val="both"/>
              <w:rPr>
                <w:sz w:val="12"/>
                <w:szCs w:val="12"/>
                <w:lang w:val="fr-FR"/>
              </w:rPr>
            </w:pPr>
            <w:r>
              <w:rPr>
                <w:sz w:val="12"/>
                <w:szCs w:val="12"/>
                <w:lang w:val="fr-FR"/>
              </w:rPr>
              <w:t>IAS 19</w:t>
            </w:r>
            <w:r w:rsidRPr="001D3205">
              <w:rPr>
                <w:sz w:val="12"/>
                <w:szCs w:val="12"/>
                <w:lang w:val="fr-FR"/>
              </w:rPr>
              <w:t>.141</w:t>
            </w:r>
          </w:p>
          <w:p w:rsidR="004300E2" w:rsidRPr="001D3205" w:rsidRDefault="004300E2" w:rsidP="004300E2">
            <w:pPr>
              <w:pStyle w:val="IAS"/>
              <w:jc w:val="both"/>
              <w:rPr>
                <w:sz w:val="12"/>
                <w:szCs w:val="12"/>
                <w:lang w:val="fr-FR"/>
              </w:rPr>
            </w:pPr>
          </w:p>
          <w:p w:rsidR="004300E2" w:rsidRPr="00A4435B" w:rsidRDefault="004300E2" w:rsidP="004300E2">
            <w:pPr>
              <w:pStyle w:val="IAS"/>
              <w:jc w:val="both"/>
              <w:rPr>
                <w:sz w:val="12"/>
                <w:szCs w:val="12"/>
                <w:lang w:val="fr-FR"/>
              </w:rPr>
            </w:pPr>
          </w:p>
        </w:tc>
        <w:tc>
          <w:tcPr>
            <w:tcW w:w="7079" w:type="dxa"/>
            <w:tcMar>
              <w:left w:w="108" w:type="dxa"/>
            </w:tcMar>
          </w:tcPr>
          <w:p w:rsidR="004300E2" w:rsidRPr="00A4435B" w:rsidRDefault="004300E2" w:rsidP="004300E2">
            <w:pPr>
              <w:pStyle w:val="CM4"/>
              <w:spacing w:before="20" w:after="20" w:line="220" w:lineRule="exact"/>
              <w:jc w:val="both"/>
              <w:rPr>
                <w:rFonts w:ascii="Arial Narrow" w:hAnsi="Arial Narrow" w:cs="EUAlbertina"/>
                <w:color w:val="000000"/>
                <w:sz w:val="20"/>
                <w:szCs w:val="20"/>
              </w:rPr>
            </w:pPr>
            <w:r w:rsidRPr="00F12965">
              <w:rPr>
                <w:rFonts w:ascii="Arial Narrow" w:hAnsi="Arial Narrow" w:cs="EUAlbertina"/>
                <w:color w:val="000000"/>
                <w:sz w:val="20"/>
                <w:szCs w:val="20"/>
              </w:rPr>
              <w:t xml:space="preserve">Ogni riconciliazione elencata </w:t>
            </w:r>
            <w:r w:rsidRPr="004F522B">
              <w:rPr>
                <w:rFonts w:ascii="Arial Narrow" w:hAnsi="Arial Narrow" w:cs="EUAlbertina"/>
                <w:color w:val="000000"/>
                <w:sz w:val="20"/>
                <w:szCs w:val="20"/>
              </w:rPr>
              <w:t>al punto 16</w:t>
            </w:r>
            <w:r w:rsidR="00D20202">
              <w:rPr>
                <w:rFonts w:ascii="Arial Narrow" w:hAnsi="Arial Narrow" w:cs="EUAlbertina"/>
                <w:color w:val="000000"/>
                <w:sz w:val="20"/>
                <w:szCs w:val="20"/>
              </w:rPr>
              <w:t>5</w:t>
            </w:r>
            <w:r w:rsidRPr="004F522B">
              <w:rPr>
                <w:rFonts w:ascii="Arial Narrow" w:hAnsi="Arial Narrow" w:cs="EUAlbertina"/>
                <w:color w:val="000000"/>
                <w:sz w:val="20"/>
                <w:szCs w:val="20"/>
              </w:rPr>
              <w:t xml:space="preserve"> deve illustrare uno dei seguenti elementi, se applicabile:</w:t>
            </w:r>
            <w:r w:rsidRPr="00F12965">
              <w:rPr>
                <w:rFonts w:ascii="Arial Narrow" w:hAnsi="Arial Narrow" w:cs="EUAlbertina"/>
                <w:color w:val="000000"/>
                <w:sz w:val="20"/>
                <w:szCs w:val="20"/>
              </w:rPr>
              <w:t xml:space="preserve"> </w:t>
            </w:r>
          </w:p>
        </w:tc>
        <w:tc>
          <w:tcPr>
            <w:tcW w:w="575" w:type="dxa"/>
            <w:tcMar>
              <w:left w:w="85" w:type="dxa"/>
              <w:right w:w="85" w:type="dxa"/>
            </w:tcMar>
          </w:tcPr>
          <w:p w:rsidR="004300E2" w:rsidRPr="00A32A16" w:rsidRDefault="004300E2" w:rsidP="004300E2">
            <w:pPr>
              <w:rPr>
                <w:lang w:val="it-IT"/>
              </w:rPr>
            </w:pPr>
          </w:p>
        </w:tc>
        <w:tc>
          <w:tcPr>
            <w:tcW w:w="567" w:type="dxa"/>
            <w:tcMar>
              <w:left w:w="108" w:type="dxa"/>
            </w:tcMar>
          </w:tcPr>
          <w:p w:rsidR="004300E2" w:rsidRPr="00A32A16" w:rsidRDefault="004300E2" w:rsidP="004300E2">
            <w:pPr>
              <w:rPr>
                <w:lang w:val="it-IT"/>
              </w:rPr>
            </w:pPr>
          </w:p>
        </w:tc>
        <w:tc>
          <w:tcPr>
            <w:tcW w:w="567" w:type="dxa"/>
            <w:tcMar>
              <w:left w:w="108" w:type="dxa"/>
            </w:tcMar>
          </w:tcPr>
          <w:p w:rsidR="004300E2" w:rsidRPr="00A32A16" w:rsidRDefault="004300E2" w:rsidP="004300E2">
            <w:pPr>
              <w:rPr>
                <w:lang w:val="it-IT"/>
              </w:rPr>
            </w:pPr>
          </w:p>
        </w:tc>
      </w:tr>
      <w:tr w:rsidR="00D26424" w:rsidRPr="008129DA" w:rsidTr="00D26424">
        <w:trPr>
          <w:cantSplit/>
        </w:trPr>
        <w:tc>
          <w:tcPr>
            <w:tcW w:w="567" w:type="dxa"/>
            <w:tcMar>
              <w:left w:w="108" w:type="dxa"/>
            </w:tcMar>
          </w:tcPr>
          <w:p w:rsidR="00D26424" w:rsidRDefault="00D26424" w:rsidP="004300E2">
            <w:pPr>
              <w:pStyle w:val="Numeroelenco"/>
              <w:numPr>
                <w:ilvl w:val="0"/>
                <w:numId w:val="0"/>
              </w:numPr>
              <w:ind w:left="57"/>
              <w:rPr>
                <w:lang w:val="it-IT"/>
              </w:rPr>
            </w:pPr>
          </w:p>
        </w:tc>
        <w:tc>
          <w:tcPr>
            <w:tcW w:w="851" w:type="dxa"/>
            <w:tcMar>
              <w:left w:w="108" w:type="dxa"/>
              <w:right w:w="0" w:type="dxa"/>
            </w:tcMar>
          </w:tcPr>
          <w:p w:rsidR="00D26424" w:rsidRPr="00C03AF3" w:rsidRDefault="00D26424" w:rsidP="004300E2">
            <w:pPr>
              <w:pStyle w:val="IAS"/>
              <w:jc w:val="both"/>
              <w:rPr>
                <w:sz w:val="12"/>
                <w:szCs w:val="12"/>
                <w:lang w:val="it-IT"/>
              </w:rPr>
            </w:pPr>
          </w:p>
        </w:tc>
        <w:tc>
          <w:tcPr>
            <w:tcW w:w="7079" w:type="dxa"/>
            <w:tcMar>
              <w:left w:w="108" w:type="dxa"/>
            </w:tcMar>
          </w:tcPr>
          <w:p w:rsidR="00D26424" w:rsidRPr="00F12965" w:rsidRDefault="00D26424" w:rsidP="004300E2">
            <w:pPr>
              <w:pStyle w:val="CM4"/>
              <w:spacing w:before="20" w:after="20" w:line="220" w:lineRule="exact"/>
              <w:ind w:left="316" w:hanging="316"/>
              <w:jc w:val="both"/>
              <w:rPr>
                <w:rFonts w:ascii="Arial Narrow" w:hAnsi="Arial Narrow" w:cs="EUAlbertina"/>
                <w:color w:val="000000"/>
                <w:sz w:val="20"/>
                <w:szCs w:val="20"/>
              </w:rPr>
            </w:pPr>
            <w:r>
              <w:rPr>
                <w:rFonts w:ascii="Arial Narrow" w:hAnsi="Arial Narrow" w:cs="EUAlbertina"/>
                <w:color w:val="000000"/>
                <w:sz w:val="20"/>
                <w:szCs w:val="20"/>
              </w:rPr>
              <w:t>(a)</w:t>
            </w:r>
            <w:r>
              <w:rPr>
                <w:rFonts w:ascii="Arial Narrow" w:hAnsi="Arial Narrow" w:cs="EUAlbertina"/>
                <w:color w:val="000000"/>
                <w:sz w:val="20"/>
                <w:szCs w:val="20"/>
              </w:rPr>
              <w:tab/>
            </w:r>
            <w:r w:rsidRPr="00F12965">
              <w:rPr>
                <w:rFonts w:ascii="Arial Narrow" w:hAnsi="Arial Narrow" w:cs="EUAlbertina"/>
                <w:color w:val="000000"/>
                <w:sz w:val="20"/>
                <w:szCs w:val="20"/>
              </w:rPr>
              <w:t xml:space="preserve">costo previdenziale relativo alle prestazioni di lavoro correnti; </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D26424">
        <w:trPr>
          <w:cantSplit/>
        </w:trPr>
        <w:tc>
          <w:tcPr>
            <w:tcW w:w="567" w:type="dxa"/>
            <w:tcMar>
              <w:left w:w="108" w:type="dxa"/>
            </w:tcMar>
          </w:tcPr>
          <w:p w:rsidR="00D26424" w:rsidRDefault="00D26424" w:rsidP="004300E2">
            <w:pPr>
              <w:pStyle w:val="Numeroelenco"/>
              <w:numPr>
                <w:ilvl w:val="0"/>
                <w:numId w:val="0"/>
              </w:numPr>
              <w:ind w:left="57"/>
              <w:rPr>
                <w:lang w:val="it-IT"/>
              </w:rPr>
            </w:pPr>
          </w:p>
        </w:tc>
        <w:tc>
          <w:tcPr>
            <w:tcW w:w="851" w:type="dxa"/>
            <w:tcMar>
              <w:left w:w="108" w:type="dxa"/>
              <w:right w:w="0" w:type="dxa"/>
            </w:tcMar>
          </w:tcPr>
          <w:p w:rsidR="00D26424" w:rsidRDefault="00D26424" w:rsidP="004300E2">
            <w:pPr>
              <w:pStyle w:val="IAS"/>
              <w:jc w:val="both"/>
              <w:rPr>
                <w:sz w:val="12"/>
                <w:szCs w:val="12"/>
                <w:lang w:val="fr-FR"/>
              </w:rPr>
            </w:pPr>
          </w:p>
        </w:tc>
        <w:tc>
          <w:tcPr>
            <w:tcW w:w="7079" w:type="dxa"/>
            <w:tcMar>
              <w:left w:w="108" w:type="dxa"/>
            </w:tcMar>
          </w:tcPr>
          <w:p w:rsidR="00D26424" w:rsidRPr="00F12965" w:rsidRDefault="00D26424" w:rsidP="004300E2">
            <w:pPr>
              <w:pStyle w:val="CM4"/>
              <w:spacing w:before="20" w:after="20" w:line="220" w:lineRule="exact"/>
              <w:ind w:left="316" w:hanging="316"/>
              <w:jc w:val="both"/>
              <w:rPr>
                <w:rFonts w:ascii="Arial Narrow" w:hAnsi="Arial Narrow" w:cs="EUAlbertina"/>
                <w:color w:val="000000"/>
                <w:sz w:val="20"/>
                <w:szCs w:val="20"/>
              </w:rPr>
            </w:pPr>
            <w:r>
              <w:rPr>
                <w:rFonts w:ascii="Arial Narrow" w:hAnsi="Arial Narrow" w:cs="EUAlbertina"/>
                <w:color w:val="000000"/>
                <w:sz w:val="20"/>
                <w:szCs w:val="20"/>
              </w:rPr>
              <w:t>(b)</w:t>
            </w:r>
            <w:r>
              <w:rPr>
                <w:rFonts w:ascii="Arial Narrow" w:hAnsi="Arial Narrow" w:cs="EUAlbertina"/>
                <w:color w:val="000000"/>
                <w:sz w:val="20"/>
                <w:szCs w:val="20"/>
              </w:rPr>
              <w:tab/>
            </w:r>
            <w:r w:rsidRPr="00F12965">
              <w:rPr>
                <w:rFonts w:ascii="Arial Narrow" w:hAnsi="Arial Narrow" w:cs="EUAlbertina"/>
                <w:color w:val="000000"/>
                <w:sz w:val="20"/>
                <w:szCs w:val="20"/>
              </w:rPr>
              <w:t xml:space="preserve">interessi attivi o passivi; </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D26424">
        <w:trPr>
          <w:cantSplit/>
        </w:trPr>
        <w:tc>
          <w:tcPr>
            <w:tcW w:w="567" w:type="dxa"/>
            <w:tcMar>
              <w:left w:w="108" w:type="dxa"/>
            </w:tcMar>
          </w:tcPr>
          <w:p w:rsidR="00D26424" w:rsidRDefault="00D26424" w:rsidP="004300E2">
            <w:pPr>
              <w:pStyle w:val="Numeroelenco"/>
              <w:numPr>
                <w:ilvl w:val="0"/>
                <w:numId w:val="0"/>
              </w:numPr>
              <w:ind w:left="57"/>
              <w:rPr>
                <w:lang w:val="it-IT"/>
              </w:rPr>
            </w:pPr>
          </w:p>
        </w:tc>
        <w:tc>
          <w:tcPr>
            <w:tcW w:w="851" w:type="dxa"/>
            <w:tcMar>
              <w:left w:w="108" w:type="dxa"/>
              <w:right w:w="0" w:type="dxa"/>
            </w:tcMar>
          </w:tcPr>
          <w:p w:rsidR="00D26424" w:rsidRDefault="00D26424" w:rsidP="004300E2">
            <w:pPr>
              <w:pStyle w:val="IAS"/>
              <w:jc w:val="both"/>
              <w:rPr>
                <w:sz w:val="12"/>
                <w:szCs w:val="12"/>
                <w:lang w:val="fr-FR"/>
              </w:rPr>
            </w:pPr>
          </w:p>
        </w:tc>
        <w:tc>
          <w:tcPr>
            <w:tcW w:w="7079" w:type="dxa"/>
            <w:tcMar>
              <w:left w:w="108" w:type="dxa"/>
            </w:tcMar>
          </w:tcPr>
          <w:p w:rsidR="00D26424" w:rsidRPr="00F12965" w:rsidRDefault="00D26424" w:rsidP="004300E2">
            <w:pPr>
              <w:pStyle w:val="CM4"/>
              <w:spacing w:before="20" w:after="20" w:line="220" w:lineRule="exact"/>
              <w:ind w:left="316" w:hanging="316"/>
              <w:jc w:val="both"/>
              <w:rPr>
                <w:rFonts w:ascii="Arial Narrow" w:hAnsi="Arial Narrow" w:cs="EUAlbertina"/>
                <w:color w:val="000000"/>
                <w:sz w:val="20"/>
                <w:szCs w:val="20"/>
              </w:rPr>
            </w:pPr>
            <w:r>
              <w:rPr>
                <w:rFonts w:ascii="Arial Narrow" w:hAnsi="Arial Narrow" w:cs="EUAlbertina"/>
                <w:color w:val="000000"/>
                <w:sz w:val="20"/>
                <w:szCs w:val="20"/>
              </w:rPr>
              <w:t>(c)</w:t>
            </w:r>
            <w:r>
              <w:rPr>
                <w:rFonts w:ascii="Arial Narrow" w:hAnsi="Arial Narrow" w:cs="EUAlbertina"/>
                <w:color w:val="000000"/>
                <w:sz w:val="20"/>
                <w:szCs w:val="20"/>
              </w:rPr>
              <w:tab/>
            </w:r>
            <w:r w:rsidRPr="00F12965">
              <w:rPr>
                <w:rFonts w:ascii="Arial Narrow" w:hAnsi="Arial Narrow" w:cs="EUAlbertina"/>
                <w:color w:val="000000"/>
                <w:sz w:val="20"/>
                <w:szCs w:val="20"/>
              </w:rPr>
              <w:t>rivalutazioni della passività</w:t>
            </w:r>
            <w:r>
              <w:rPr>
                <w:rFonts w:ascii="Arial Narrow" w:hAnsi="Arial Narrow" w:cs="EUAlbertina"/>
                <w:color w:val="000000"/>
                <w:sz w:val="20"/>
                <w:szCs w:val="20"/>
              </w:rPr>
              <w:t>/</w:t>
            </w:r>
            <w:r w:rsidRPr="00F12965">
              <w:rPr>
                <w:rFonts w:ascii="Arial Narrow" w:hAnsi="Arial Narrow" w:cs="EUAlbertina"/>
                <w:color w:val="000000"/>
                <w:sz w:val="20"/>
                <w:szCs w:val="20"/>
              </w:rPr>
              <w:t xml:space="preserve">(attività) netta per benefici definiti, illustrando separatamente: </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D26424">
        <w:trPr>
          <w:cantSplit/>
        </w:trPr>
        <w:tc>
          <w:tcPr>
            <w:tcW w:w="567" w:type="dxa"/>
            <w:tcMar>
              <w:left w:w="108" w:type="dxa"/>
            </w:tcMar>
          </w:tcPr>
          <w:p w:rsidR="00D26424" w:rsidRDefault="00D26424" w:rsidP="004300E2">
            <w:pPr>
              <w:pStyle w:val="Numeroelenco"/>
              <w:numPr>
                <w:ilvl w:val="0"/>
                <w:numId w:val="0"/>
              </w:numPr>
              <w:ind w:left="57"/>
              <w:rPr>
                <w:lang w:val="it-IT"/>
              </w:rPr>
            </w:pPr>
          </w:p>
        </w:tc>
        <w:tc>
          <w:tcPr>
            <w:tcW w:w="851" w:type="dxa"/>
            <w:tcMar>
              <w:left w:w="108" w:type="dxa"/>
              <w:right w:w="0" w:type="dxa"/>
            </w:tcMar>
          </w:tcPr>
          <w:p w:rsidR="00D26424" w:rsidRDefault="00D26424" w:rsidP="004300E2">
            <w:pPr>
              <w:pStyle w:val="IAS"/>
              <w:jc w:val="both"/>
              <w:rPr>
                <w:sz w:val="12"/>
                <w:szCs w:val="12"/>
                <w:lang w:val="fr-FR"/>
              </w:rPr>
            </w:pPr>
          </w:p>
        </w:tc>
        <w:tc>
          <w:tcPr>
            <w:tcW w:w="7079" w:type="dxa"/>
            <w:tcMar>
              <w:left w:w="108" w:type="dxa"/>
            </w:tcMar>
          </w:tcPr>
          <w:p w:rsidR="00D26424" w:rsidRPr="000846DC" w:rsidRDefault="00D26424" w:rsidP="004300E2">
            <w:pPr>
              <w:pStyle w:val="CM4"/>
              <w:numPr>
                <w:ilvl w:val="0"/>
                <w:numId w:val="215"/>
              </w:numPr>
              <w:spacing w:before="20" w:after="20" w:line="220" w:lineRule="exact"/>
              <w:ind w:left="600" w:hanging="284"/>
              <w:jc w:val="both"/>
              <w:rPr>
                <w:rFonts w:ascii="Arial Narrow" w:hAnsi="Arial Narrow" w:cs="EUAlbertina"/>
                <w:color w:val="000000"/>
                <w:sz w:val="20"/>
                <w:szCs w:val="20"/>
              </w:rPr>
            </w:pPr>
            <w:r w:rsidRPr="00F12965">
              <w:rPr>
                <w:rFonts w:ascii="Arial Narrow" w:hAnsi="Arial Narrow" w:cs="EUAlbertina"/>
                <w:color w:val="000000"/>
                <w:sz w:val="20"/>
                <w:szCs w:val="20"/>
              </w:rPr>
              <w:t xml:space="preserve">il rendimento delle attività a servizio del piano, esclusi gli importi compresi negli interessi di cui al punto (b); </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D26424">
        <w:trPr>
          <w:cantSplit/>
        </w:trPr>
        <w:tc>
          <w:tcPr>
            <w:tcW w:w="567" w:type="dxa"/>
            <w:tcMar>
              <w:left w:w="108" w:type="dxa"/>
            </w:tcMar>
          </w:tcPr>
          <w:p w:rsidR="00D26424" w:rsidRDefault="00D26424" w:rsidP="004300E2">
            <w:pPr>
              <w:pStyle w:val="Numeroelenco"/>
              <w:numPr>
                <w:ilvl w:val="0"/>
                <w:numId w:val="0"/>
              </w:numPr>
              <w:ind w:left="57"/>
              <w:rPr>
                <w:lang w:val="it-IT"/>
              </w:rPr>
            </w:pPr>
          </w:p>
        </w:tc>
        <w:tc>
          <w:tcPr>
            <w:tcW w:w="851" w:type="dxa"/>
            <w:tcMar>
              <w:left w:w="108" w:type="dxa"/>
              <w:right w:w="0" w:type="dxa"/>
            </w:tcMar>
          </w:tcPr>
          <w:p w:rsidR="00D26424" w:rsidRDefault="00D26424" w:rsidP="004300E2">
            <w:pPr>
              <w:pStyle w:val="IAS"/>
              <w:jc w:val="both"/>
              <w:rPr>
                <w:sz w:val="12"/>
                <w:szCs w:val="12"/>
                <w:lang w:val="fr-FR"/>
              </w:rPr>
            </w:pPr>
          </w:p>
        </w:tc>
        <w:tc>
          <w:tcPr>
            <w:tcW w:w="7079" w:type="dxa"/>
            <w:tcMar>
              <w:left w:w="108" w:type="dxa"/>
            </w:tcMar>
          </w:tcPr>
          <w:p w:rsidR="00D26424" w:rsidRPr="000846DC" w:rsidRDefault="00D26424" w:rsidP="004300E2">
            <w:pPr>
              <w:pStyle w:val="CM4"/>
              <w:numPr>
                <w:ilvl w:val="0"/>
                <w:numId w:val="215"/>
              </w:numPr>
              <w:spacing w:before="20" w:after="20" w:line="220" w:lineRule="exact"/>
              <w:ind w:left="600" w:hanging="284"/>
              <w:jc w:val="both"/>
              <w:rPr>
                <w:rFonts w:ascii="Arial Narrow" w:hAnsi="Arial Narrow" w:cs="EUAlbertina"/>
                <w:color w:val="000000"/>
                <w:sz w:val="20"/>
                <w:szCs w:val="20"/>
              </w:rPr>
            </w:pPr>
            <w:r w:rsidRPr="00F12965">
              <w:rPr>
                <w:rFonts w:ascii="Arial Narrow" w:hAnsi="Arial Narrow" w:cs="EUAlbertina"/>
                <w:color w:val="000000"/>
                <w:sz w:val="20"/>
                <w:szCs w:val="20"/>
              </w:rPr>
              <w:t>gli utili e le perdite attuariali risultanti da variazioni nelle ipotesi demografiche;</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Default="004300E2" w:rsidP="004300E2">
            <w:pPr>
              <w:pStyle w:val="Numeroelenco"/>
              <w:numPr>
                <w:ilvl w:val="0"/>
                <w:numId w:val="0"/>
              </w:numPr>
              <w:ind w:left="57"/>
              <w:rPr>
                <w:lang w:val="it-IT"/>
              </w:rPr>
            </w:pPr>
          </w:p>
        </w:tc>
        <w:tc>
          <w:tcPr>
            <w:tcW w:w="851" w:type="dxa"/>
            <w:tcMar>
              <w:left w:w="108" w:type="dxa"/>
              <w:right w:w="0" w:type="dxa"/>
            </w:tcMar>
          </w:tcPr>
          <w:p w:rsidR="004300E2" w:rsidRPr="001D3205" w:rsidRDefault="004300E2" w:rsidP="004300E2">
            <w:pPr>
              <w:pStyle w:val="IAS"/>
              <w:jc w:val="both"/>
              <w:rPr>
                <w:sz w:val="12"/>
                <w:szCs w:val="12"/>
                <w:lang w:val="fr-FR"/>
              </w:rPr>
            </w:pPr>
            <w:r>
              <w:rPr>
                <w:sz w:val="12"/>
                <w:szCs w:val="12"/>
                <w:lang w:val="fr-FR"/>
              </w:rPr>
              <w:t>IAS 19</w:t>
            </w:r>
            <w:r w:rsidRPr="001D3205">
              <w:rPr>
                <w:sz w:val="12"/>
                <w:szCs w:val="12"/>
                <w:lang w:val="fr-FR"/>
              </w:rPr>
              <w:t>.76 (a)</w:t>
            </w:r>
          </w:p>
          <w:p w:rsidR="004300E2" w:rsidRDefault="004300E2" w:rsidP="004300E2">
            <w:pPr>
              <w:pStyle w:val="IAS"/>
              <w:jc w:val="both"/>
              <w:rPr>
                <w:sz w:val="12"/>
                <w:szCs w:val="12"/>
                <w:lang w:val="fr-FR"/>
              </w:rPr>
            </w:pPr>
          </w:p>
        </w:tc>
        <w:tc>
          <w:tcPr>
            <w:tcW w:w="7079" w:type="dxa"/>
            <w:tcMar>
              <w:left w:w="108" w:type="dxa"/>
            </w:tcMar>
          </w:tcPr>
          <w:p w:rsidR="004300E2" w:rsidRDefault="004300E2" w:rsidP="00C10AFA">
            <w:pPr>
              <w:pStyle w:val="Paragarfobordato"/>
            </w:pPr>
            <w:r w:rsidRPr="003E6CC6">
              <w:t xml:space="preserve">Le ipotesi demografiche comprendono aspetti quali: </w:t>
            </w:r>
          </w:p>
          <w:p w:rsidR="004300E2" w:rsidRPr="006D05A0" w:rsidRDefault="004300E2" w:rsidP="00C10AFA">
            <w:pPr>
              <w:pStyle w:val="Paragarfobordato"/>
              <w:ind w:left="295" w:hanging="295"/>
            </w:pPr>
            <w:r>
              <w:t>(i)</w:t>
            </w:r>
            <w:r w:rsidR="00BE0F86">
              <w:tab/>
            </w:r>
            <w:r w:rsidRPr="006D05A0">
              <w:t xml:space="preserve">mortalità; </w:t>
            </w:r>
          </w:p>
          <w:p w:rsidR="004300E2" w:rsidRPr="006D05A0" w:rsidRDefault="004300E2" w:rsidP="00C10AFA">
            <w:pPr>
              <w:pStyle w:val="Paragarfobordato"/>
              <w:ind w:left="295" w:hanging="295"/>
            </w:pPr>
            <w:r w:rsidRPr="006D05A0">
              <w:t xml:space="preserve">(ii) </w:t>
            </w:r>
            <w:r w:rsidR="00C10AFA">
              <w:tab/>
            </w:r>
            <w:r w:rsidRPr="006D05A0">
              <w:t xml:space="preserve">tassi di rotazione del personale, invalidità e pensionamento anticipato; </w:t>
            </w:r>
          </w:p>
          <w:p w:rsidR="004300E2" w:rsidRPr="006D05A0" w:rsidRDefault="004300E2" w:rsidP="00C10AFA">
            <w:pPr>
              <w:pStyle w:val="Paragarfobordato"/>
              <w:ind w:left="295" w:hanging="295"/>
            </w:pPr>
            <w:r w:rsidRPr="006D05A0">
              <w:t xml:space="preserve">(iii) </w:t>
            </w:r>
            <w:r w:rsidR="00C10AFA">
              <w:tab/>
            </w:r>
            <w:r w:rsidRPr="006D05A0">
              <w:t xml:space="preserve">percentuale di partecipanti al piano con persone a carico che avranno diritto ai benefici; </w:t>
            </w:r>
          </w:p>
          <w:p w:rsidR="004300E2" w:rsidRPr="006D05A0" w:rsidRDefault="004300E2" w:rsidP="00C10AFA">
            <w:pPr>
              <w:pStyle w:val="Paragarfobordato"/>
              <w:ind w:left="295" w:hanging="295"/>
            </w:pPr>
            <w:r w:rsidRPr="006D05A0">
              <w:t xml:space="preserve">(iv) </w:t>
            </w:r>
            <w:r w:rsidR="00BE0F86">
              <w:tab/>
            </w:r>
            <w:r w:rsidRPr="006D05A0">
              <w:t>la percentuale dei partecipanti al piano che sceglieranno ogn</w:t>
            </w:r>
            <w:r w:rsidR="00BE0F86">
              <w:t xml:space="preserve">i forma di opzione di pagamento </w:t>
            </w:r>
            <w:r w:rsidRPr="006D05A0">
              <w:t xml:space="preserve">disponibile in base ai termini contrattuali del piano; e </w:t>
            </w:r>
          </w:p>
          <w:p w:rsidR="004300E2" w:rsidRPr="002C377E" w:rsidRDefault="004300E2" w:rsidP="00C10AFA">
            <w:pPr>
              <w:pStyle w:val="Paragarfobordato"/>
              <w:ind w:left="295" w:hanging="295"/>
            </w:pPr>
            <w:r w:rsidRPr="006D05A0">
              <w:t>(v)</w:t>
            </w:r>
            <w:r w:rsidR="00C10AFA">
              <w:tab/>
            </w:r>
            <w:r w:rsidRPr="006D05A0">
              <w:t xml:space="preserve"> tassi di incidenza delle richieste di rimbors</w:t>
            </w:r>
            <w:r>
              <w:t>o nell’ambito di piani sanitari.</w:t>
            </w:r>
          </w:p>
        </w:tc>
        <w:tc>
          <w:tcPr>
            <w:tcW w:w="575" w:type="dxa"/>
            <w:tcMar>
              <w:left w:w="85" w:type="dxa"/>
              <w:right w:w="85" w:type="dxa"/>
            </w:tcMar>
          </w:tcPr>
          <w:p w:rsidR="004300E2" w:rsidRPr="004979D5" w:rsidRDefault="004300E2" w:rsidP="004300E2">
            <w:pPr>
              <w:jc w:val="center"/>
              <w:rPr>
                <w:lang w:val="it-IT"/>
              </w:rPr>
            </w:pPr>
          </w:p>
        </w:tc>
        <w:tc>
          <w:tcPr>
            <w:tcW w:w="567" w:type="dxa"/>
            <w:tcMar>
              <w:left w:w="108" w:type="dxa"/>
            </w:tcMar>
          </w:tcPr>
          <w:p w:rsidR="004300E2" w:rsidRPr="000846DC" w:rsidRDefault="004300E2" w:rsidP="004300E2">
            <w:pPr>
              <w:jc w:val="center"/>
              <w:rPr>
                <w:lang w:val="it-IT"/>
              </w:rPr>
            </w:pPr>
          </w:p>
        </w:tc>
        <w:tc>
          <w:tcPr>
            <w:tcW w:w="567" w:type="dxa"/>
            <w:tcMar>
              <w:left w:w="108" w:type="dxa"/>
            </w:tcMar>
          </w:tcPr>
          <w:p w:rsidR="004300E2" w:rsidRPr="000846DC" w:rsidRDefault="004300E2" w:rsidP="004300E2">
            <w:pPr>
              <w:jc w:val="center"/>
              <w:rPr>
                <w:lang w:val="it-IT"/>
              </w:rPr>
            </w:pPr>
          </w:p>
        </w:tc>
      </w:tr>
      <w:tr w:rsidR="00D26424" w:rsidRPr="008129DA" w:rsidTr="00D26424">
        <w:trPr>
          <w:cantSplit/>
        </w:trPr>
        <w:tc>
          <w:tcPr>
            <w:tcW w:w="567" w:type="dxa"/>
            <w:tcMar>
              <w:left w:w="108" w:type="dxa"/>
            </w:tcMar>
          </w:tcPr>
          <w:p w:rsidR="00D26424" w:rsidRDefault="00D26424" w:rsidP="004300E2">
            <w:pPr>
              <w:pStyle w:val="Numeroelenco"/>
              <w:numPr>
                <w:ilvl w:val="0"/>
                <w:numId w:val="0"/>
              </w:numPr>
              <w:ind w:left="57"/>
              <w:rPr>
                <w:lang w:val="it-IT"/>
              </w:rPr>
            </w:pPr>
          </w:p>
        </w:tc>
        <w:tc>
          <w:tcPr>
            <w:tcW w:w="851" w:type="dxa"/>
            <w:tcMar>
              <w:left w:w="108" w:type="dxa"/>
              <w:right w:w="0" w:type="dxa"/>
            </w:tcMar>
          </w:tcPr>
          <w:p w:rsidR="00D26424" w:rsidRPr="00C03AF3" w:rsidRDefault="00D26424" w:rsidP="004300E2">
            <w:pPr>
              <w:pStyle w:val="IAS"/>
              <w:jc w:val="both"/>
              <w:rPr>
                <w:sz w:val="12"/>
                <w:szCs w:val="12"/>
                <w:lang w:val="it-IT"/>
              </w:rPr>
            </w:pPr>
          </w:p>
        </w:tc>
        <w:tc>
          <w:tcPr>
            <w:tcW w:w="7079" w:type="dxa"/>
            <w:tcMar>
              <w:left w:w="108" w:type="dxa"/>
            </w:tcMar>
          </w:tcPr>
          <w:p w:rsidR="00D26424" w:rsidRPr="002C377E" w:rsidRDefault="00D26424" w:rsidP="004300E2">
            <w:pPr>
              <w:pStyle w:val="CM4"/>
              <w:numPr>
                <w:ilvl w:val="0"/>
                <w:numId w:val="216"/>
              </w:numPr>
              <w:spacing w:before="20" w:after="20" w:line="220" w:lineRule="exact"/>
              <w:ind w:left="600" w:hanging="284"/>
              <w:jc w:val="both"/>
              <w:rPr>
                <w:rFonts w:ascii="Arial Narrow" w:hAnsi="Arial Narrow" w:cs="EUAlbertina"/>
                <w:color w:val="000000"/>
                <w:sz w:val="20"/>
                <w:szCs w:val="20"/>
              </w:rPr>
            </w:pPr>
            <w:r w:rsidRPr="00F12965">
              <w:rPr>
                <w:rFonts w:ascii="Arial Narrow" w:hAnsi="Arial Narrow" w:cs="EUAlbertina"/>
                <w:color w:val="000000"/>
                <w:sz w:val="20"/>
                <w:szCs w:val="20"/>
              </w:rPr>
              <w:t xml:space="preserve">gli utili e le perdite attuariali risultanti da variazioni nelle ipotesi finanziarie; </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Default="004300E2" w:rsidP="004300E2">
            <w:pPr>
              <w:pStyle w:val="Numeroelenco"/>
              <w:numPr>
                <w:ilvl w:val="0"/>
                <w:numId w:val="0"/>
              </w:numPr>
              <w:ind w:left="57"/>
              <w:rPr>
                <w:lang w:val="it-IT"/>
              </w:rPr>
            </w:pPr>
          </w:p>
        </w:tc>
        <w:tc>
          <w:tcPr>
            <w:tcW w:w="851" w:type="dxa"/>
            <w:tcMar>
              <w:left w:w="108" w:type="dxa"/>
              <w:right w:w="0" w:type="dxa"/>
            </w:tcMar>
          </w:tcPr>
          <w:p w:rsidR="004300E2" w:rsidRPr="001D3205" w:rsidRDefault="004300E2" w:rsidP="004300E2">
            <w:pPr>
              <w:pStyle w:val="IAS"/>
              <w:jc w:val="both"/>
              <w:rPr>
                <w:sz w:val="12"/>
                <w:szCs w:val="12"/>
                <w:lang w:val="fr-FR"/>
              </w:rPr>
            </w:pPr>
            <w:r>
              <w:rPr>
                <w:sz w:val="12"/>
                <w:szCs w:val="12"/>
                <w:lang w:val="fr-FR"/>
              </w:rPr>
              <w:t>IAS 19</w:t>
            </w:r>
            <w:r w:rsidRPr="001D3205">
              <w:rPr>
                <w:sz w:val="12"/>
                <w:szCs w:val="12"/>
                <w:lang w:val="fr-FR"/>
              </w:rPr>
              <w:t>.76 (b)</w:t>
            </w:r>
          </w:p>
          <w:p w:rsidR="004300E2" w:rsidRDefault="004300E2" w:rsidP="004300E2">
            <w:pPr>
              <w:pStyle w:val="IAS"/>
              <w:jc w:val="both"/>
              <w:rPr>
                <w:sz w:val="12"/>
                <w:szCs w:val="12"/>
                <w:lang w:val="fr-FR"/>
              </w:rPr>
            </w:pPr>
          </w:p>
        </w:tc>
        <w:tc>
          <w:tcPr>
            <w:tcW w:w="7079" w:type="dxa"/>
            <w:tcMar>
              <w:left w:w="108" w:type="dxa"/>
            </w:tcMar>
          </w:tcPr>
          <w:p w:rsidR="004300E2" w:rsidRPr="00FF64B1" w:rsidRDefault="007B3B0B" w:rsidP="00C10AFA">
            <w:pPr>
              <w:pStyle w:val="Paragarfobordato"/>
            </w:pPr>
            <w:r>
              <w:t xml:space="preserve">Le </w:t>
            </w:r>
            <w:r w:rsidR="004300E2" w:rsidRPr="00FF64B1">
              <w:t xml:space="preserve">ipotesi finanziarie, che riguardano elementi quali: </w:t>
            </w:r>
          </w:p>
          <w:p w:rsidR="004300E2" w:rsidRPr="00FF64B1" w:rsidRDefault="004300E2" w:rsidP="00C10AFA">
            <w:pPr>
              <w:pStyle w:val="Paragarfobordato"/>
              <w:ind w:left="295" w:hanging="295"/>
            </w:pPr>
            <w:r w:rsidRPr="00FF64B1">
              <w:t xml:space="preserve">(i) </w:t>
            </w:r>
            <w:r w:rsidR="00E80DA1">
              <w:tab/>
            </w:r>
            <w:r w:rsidRPr="00FF64B1">
              <w:t xml:space="preserve">tasso di sconto; </w:t>
            </w:r>
          </w:p>
          <w:p w:rsidR="004300E2" w:rsidRPr="00FF64B1" w:rsidRDefault="004300E2" w:rsidP="00C10AFA">
            <w:pPr>
              <w:pStyle w:val="Paragarfobordato"/>
              <w:ind w:left="295" w:hanging="295"/>
            </w:pPr>
            <w:r w:rsidRPr="00FF64B1">
              <w:t xml:space="preserve">(ii) </w:t>
            </w:r>
            <w:r w:rsidR="00E80DA1">
              <w:tab/>
            </w:r>
            <w:r w:rsidRPr="00FF64B1">
              <w:t xml:space="preserve">livelli di benefici, esclusi i costi dei benefici a carico dei dipendenti e le retribuzioni future; </w:t>
            </w:r>
          </w:p>
          <w:p w:rsidR="004300E2" w:rsidRPr="00FF64B1" w:rsidRDefault="004300E2" w:rsidP="00C10AFA">
            <w:pPr>
              <w:pStyle w:val="Paragarfobordato"/>
              <w:ind w:left="295" w:hanging="295"/>
            </w:pPr>
            <w:r w:rsidRPr="00FF64B1">
              <w:t xml:space="preserve">(iii) </w:t>
            </w:r>
            <w:r w:rsidR="00C10AFA">
              <w:tab/>
            </w:r>
            <w:r w:rsidRPr="00FF64B1">
              <w:t xml:space="preserve">nel caso di benefici per l’assistenza sanitaria, costi per assistenza medica futuri, inclusi costi di gestione dei sinistri (ossia i costi che saranno sostenuti nella trattazione e nella risoluzione dei sinistri, incluse le spese legali e i compensi ai periti); </w:t>
            </w:r>
          </w:p>
          <w:p w:rsidR="004300E2" w:rsidRPr="00A4435B" w:rsidRDefault="004300E2" w:rsidP="00C10AFA">
            <w:pPr>
              <w:pStyle w:val="Paragarfobordato"/>
              <w:ind w:left="295" w:hanging="295"/>
            </w:pPr>
            <w:r w:rsidRPr="007E58F0">
              <w:t>(iv)</w:t>
            </w:r>
            <w:r w:rsidR="00E80DA1">
              <w:tab/>
            </w:r>
            <w:r w:rsidRPr="007E58F0">
              <w:t>imposte dovute dal piano sui contributi relativi all’attività lavorativa prestata prima della data di chiusura dell’esercizio o sui benefici risultanti da tale attività lavorativa.</w:t>
            </w:r>
          </w:p>
        </w:tc>
        <w:tc>
          <w:tcPr>
            <w:tcW w:w="575" w:type="dxa"/>
            <w:tcMar>
              <w:left w:w="85" w:type="dxa"/>
              <w:right w:w="85" w:type="dxa"/>
            </w:tcMar>
          </w:tcPr>
          <w:p w:rsidR="004300E2" w:rsidRPr="00A4435B" w:rsidRDefault="004300E2" w:rsidP="004300E2">
            <w:pPr>
              <w:rPr>
                <w:lang w:val="it-IT"/>
              </w:rPr>
            </w:pPr>
          </w:p>
        </w:tc>
        <w:tc>
          <w:tcPr>
            <w:tcW w:w="567" w:type="dxa"/>
            <w:tcMar>
              <w:left w:w="108" w:type="dxa"/>
            </w:tcMar>
          </w:tcPr>
          <w:p w:rsidR="004300E2" w:rsidRPr="00A4435B" w:rsidRDefault="004300E2" w:rsidP="004300E2">
            <w:pPr>
              <w:rPr>
                <w:lang w:val="it-IT"/>
              </w:rPr>
            </w:pPr>
          </w:p>
        </w:tc>
        <w:tc>
          <w:tcPr>
            <w:tcW w:w="567" w:type="dxa"/>
            <w:tcMar>
              <w:left w:w="108" w:type="dxa"/>
            </w:tcMar>
          </w:tcPr>
          <w:p w:rsidR="004300E2" w:rsidRPr="00A4435B" w:rsidRDefault="004300E2" w:rsidP="004300E2">
            <w:pPr>
              <w:rPr>
                <w:lang w:val="it-IT"/>
              </w:rPr>
            </w:pPr>
          </w:p>
        </w:tc>
      </w:tr>
      <w:tr w:rsidR="00D26424" w:rsidRPr="008129DA" w:rsidTr="00D26424">
        <w:trPr>
          <w:cantSplit/>
        </w:trPr>
        <w:tc>
          <w:tcPr>
            <w:tcW w:w="567" w:type="dxa"/>
            <w:tcMar>
              <w:left w:w="108" w:type="dxa"/>
            </w:tcMar>
          </w:tcPr>
          <w:p w:rsidR="00D26424" w:rsidRDefault="00D26424" w:rsidP="004300E2">
            <w:pPr>
              <w:pStyle w:val="Numeroelenco"/>
              <w:numPr>
                <w:ilvl w:val="0"/>
                <w:numId w:val="0"/>
              </w:numPr>
              <w:ind w:left="57"/>
              <w:rPr>
                <w:lang w:val="it-IT"/>
              </w:rPr>
            </w:pPr>
          </w:p>
        </w:tc>
        <w:tc>
          <w:tcPr>
            <w:tcW w:w="851" w:type="dxa"/>
            <w:tcMar>
              <w:left w:w="108" w:type="dxa"/>
              <w:right w:w="0" w:type="dxa"/>
            </w:tcMar>
          </w:tcPr>
          <w:p w:rsidR="00D26424" w:rsidRPr="00C03AF3" w:rsidRDefault="00D26424" w:rsidP="004300E2">
            <w:pPr>
              <w:pStyle w:val="IAS"/>
              <w:jc w:val="both"/>
              <w:rPr>
                <w:sz w:val="12"/>
                <w:szCs w:val="12"/>
                <w:lang w:val="it-IT"/>
              </w:rPr>
            </w:pPr>
          </w:p>
        </w:tc>
        <w:tc>
          <w:tcPr>
            <w:tcW w:w="7079" w:type="dxa"/>
            <w:tcMar>
              <w:left w:w="108" w:type="dxa"/>
            </w:tcMar>
          </w:tcPr>
          <w:p w:rsidR="00D26424" w:rsidRPr="002C377E" w:rsidRDefault="00D26424" w:rsidP="004300E2">
            <w:pPr>
              <w:pStyle w:val="CM4"/>
              <w:numPr>
                <w:ilvl w:val="0"/>
                <w:numId w:val="216"/>
              </w:numPr>
              <w:spacing w:before="20" w:after="20" w:line="220" w:lineRule="exact"/>
              <w:ind w:left="600" w:hanging="284"/>
              <w:jc w:val="both"/>
              <w:rPr>
                <w:rFonts w:ascii="Arial Narrow" w:hAnsi="Arial Narrow" w:cs="EUAlbertina"/>
                <w:color w:val="000000"/>
                <w:sz w:val="20"/>
                <w:szCs w:val="20"/>
              </w:rPr>
            </w:pPr>
            <w:r w:rsidRPr="00F12965">
              <w:rPr>
                <w:rFonts w:ascii="Arial Narrow" w:hAnsi="Arial Narrow" w:cs="EUAlbertina"/>
                <w:color w:val="000000"/>
                <w:sz w:val="20"/>
                <w:szCs w:val="20"/>
              </w:rPr>
              <w:t xml:space="preserve">le variazioni nell’effetto della limitazione di un’attività netta per benefici definiti al massimale di attività, esclusi gli importi compresi negli interessi di cui al punto (b). Un’entità deve inoltre indicare il modo in cui ha determinato il beneficio economico massimo disponibile, ossia se tali benefici sarebbero erogati nella forma di rimborsi, di riduzioni di contributi futuri o di una combinazione di entrambi; </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D26424">
        <w:trPr>
          <w:cantSplit/>
        </w:trPr>
        <w:tc>
          <w:tcPr>
            <w:tcW w:w="567" w:type="dxa"/>
            <w:tcMar>
              <w:left w:w="108" w:type="dxa"/>
            </w:tcMar>
          </w:tcPr>
          <w:p w:rsidR="00D26424" w:rsidRDefault="00D26424" w:rsidP="004300E2">
            <w:pPr>
              <w:pStyle w:val="Numeroelenco"/>
              <w:numPr>
                <w:ilvl w:val="0"/>
                <w:numId w:val="0"/>
              </w:numPr>
              <w:ind w:left="57"/>
              <w:rPr>
                <w:lang w:val="it-IT"/>
              </w:rPr>
            </w:pPr>
          </w:p>
        </w:tc>
        <w:tc>
          <w:tcPr>
            <w:tcW w:w="851" w:type="dxa"/>
            <w:tcMar>
              <w:left w:w="108" w:type="dxa"/>
              <w:right w:w="0" w:type="dxa"/>
            </w:tcMar>
          </w:tcPr>
          <w:p w:rsidR="00D26424" w:rsidRDefault="00D26424" w:rsidP="004300E2">
            <w:pPr>
              <w:pStyle w:val="IAS"/>
              <w:jc w:val="both"/>
              <w:rPr>
                <w:sz w:val="12"/>
                <w:szCs w:val="12"/>
                <w:lang w:val="fr-FR"/>
              </w:rPr>
            </w:pPr>
          </w:p>
        </w:tc>
        <w:tc>
          <w:tcPr>
            <w:tcW w:w="7079" w:type="dxa"/>
            <w:tcMar>
              <w:left w:w="108" w:type="dxa"/>
            </w:tcMar>
          </w:tcPr>
          <w:p w:rsidR="00D26424" w:rsidRPr="00F12965" w:rsidRDefault="00D26424" w:rsidP="004300E2">
            <w:pPr>
              <w:pStyle w:val="CM4"/>
              <w:spacing w:before="20" w:after="20" w:line="220" w:lineRule="exact"/>
              <w:ind w:left="316" w:hanging="316"/>
              <w:jc w:val="both"/>
              <w:rPr>
                <w:rFonts w:ascii="Arial Narrow" w:hAnsi="Arial Narrow" w:cs="EUAlbertina"/>
                <w:color w:val="000000"/>
                <w:sz w:val="20"/>
                <w:szCs w:val="20"/>
              </w:rPr>
            </w:pPr>
            <w:r>
              <w:rPr>
                <w:rFonts w:ascii="Arial Narrow" w:hAnsi="Arial Narrow" w:cs="EUAlbertina"/>
                <w:color w:val="000000"/>
                <w:sz w:val="20"/>
                <w:szCs w:val="20"/>
              </w:rPr>
              <w:t>(d)</w:t>
            </w:r>
            <w:r>
              <w:rPr>
                <w:rFonts w:ascii="Arial Narrow" w:hAnsi="Arial Narrow" w:cs="EUAlbertina"/>
                <w:color w:val="000000"/>
                <w:sz w:val="20"/>
                <w:szCs w:val="20"/>
              </w:rPr>
              <w:tab/>
            </w:r>
            <w:r w:rsidRPr="00F12965">
              <w:rPr>
                <w:rFonts w:ascii="Arial Narrow" w:hAnsi="Arial Narrow" w:cs="EUAlbertina"/>
                <w:color w:val="000000"/>
                <w:sz w:val="20"/>
                <w:szCs w:val="20"/>
              </w:rPr>
              <w:t xml:space="preserve">il costo previdenziale relativo alle prestazioni di lavoro passate e gli utili e le perdite al momento dell’estinzione. </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Default="004300E2" w:rsidP="004300E2">
            <w:pPr>
              <w:pStyle w:val="Numeroelenco"/>
              <w:numPr>
                <w:ilvl w:val="0"/>
                <w:numId w:val="0"/>
              </w:numPr>
              <w:ind w:left="57"/>
              <w:rPr>
                <w:lang w:val="it-IT"/>
              </w:rPr>
            </w:pPr>
          </w:p>
        </w:tc>
        <w:tc>
          <w:tcPr>
            <w:tcW w:w="851" w:type="dxa"/>
            <w:tcMar>
              <w:left w:w="108" w:type="dxa"/>
              <w:right w:w="0" w:type="dxa"/>
            </w:tcMar>
          </w:tcPr>
          <w:p w:rsidR="004300E2" w:rsidRDefault="004300E2" w:rsidP="004300E2">
            <w:pPr>
              <w:pStyle w:val="IAS"/>
              <w:jc w:val="both"/>
              <w:rPr>
                <w:sz w:val="12"/>
                <w:szCs w:val="12"/>
                <w:lang w:val="fr-FR"/>
              </w:rPr>
            </w:pPr>
            <w:r w:rsidRPr="00BF03D1">
              <w:rPr>
                <w:sz w:val="12"/>
              </w:rPr>
              <w:t>IAS 19.141</w:t>
            </w:r>
          </w:p>
        </w:tc>
        <w:tc>
          <w:tcPr>
            <w:tcW w:w="7079" w:type="dxa"/>
            <w:tcMar>
              <w:left w:w="108" w:type="dxa"/>
            </w:tcMar>
          </w:tcPr>
          <w:p w:rsidR="004300E2" w:rsidRPr="002C377E" w:rsidRDefault="004300E2" w:rsidP="00C10AFA">
            <w:pPr>
              <w:pStyle w:val="Paragarfobordato"/>
            </w:pPr>
            <w:r w:rsidRPr="00FF64B1">
              <w:t>Il costo previdenziale relativo alle prestazioni di lavoro passate e gli utili e le perdite al momento dell’estinzione non devono essere distinti se si</w:t>
            </w:r>
            <w:r>
              <w:t xml:space="preserve"> verificano contemporaneamente.</w:t>
            </w:r>
          </w:p>
        </w:tc>
        <w:tc>
          <w:tcPr>
            <w:tcW w:w="575" w:type="dxa"/>
            <w:tcMar>
              <w:left w:w="85" w:type="dxa"/>
              <w:right w:w="85" w:type="dxa"/>
            </w:tcMar>
          </w:tcPr>
          <w:p w:rsidR="004300E2" w:rsidRPr="004979D5" w:rsidRDefault="004300E2" w:rsidP="004300E2">
            <w:pPr>
              <w:jc w:val="center"/>
              <w:rPr>
                <w:lang w:val="it-IT"/>
              </w:rPr>
            </w:pPr>
          </w:p>
        </w:tc>
        <w:tc>
          <w:tcPr>
            <w:tcW w:w="567" w:type="dxa"/>
            <w:tcMar>
              <w:left w:w="108" w:type="dxa"/>
            </w:tcMar>
          </w:tcPr>
          <w:p w:rsidR="004300E2" w:rsidRPr="000846DC" w:rsidRDefault="004300E2" w:rsidP="004300E2">
            <w:pPr>
              <w:jc w:val="center"/>
              <w:rPr>
                <w:lang w:val="it-IT"/>
              </w:rPr>
            </w:pPr>
          </w:p>
        </w:tc>
        <w:tc>
          <w:tcPr>
            <w:tcW w:w="567" w:type="dxa"/>
            <w:tcMar>
              <w:left w:w="108" w:type="dxa"/>
            </w:tcMar>
          </w:tcPr>
          <w:p w:rsidR="004300E2" w:rsidRPr="000846DC" w:rsidRDefault="004300E2" w:rsidP="004300E2">
            <w:pPr>
              <w:jc w:val="center"/>
              <w:rPr>
                <w:lang w:val="it-IT"/>
              </w:rPr>
            </w:pPr>
          </w:p>
        </w:tc>
      </w:tr>
      <w:tr w:rsidR="00D26424" w:rsidRPr="008129DA" w:rsidTr="00D26424">
        <w:trPr>
          <w:cantSplit/>
        </w:trPr>
        <w:tc>
          <w:tcPr>
            <w:tcW w:w="567" w:type="dxa"/>
            <w:tcMar>
              <w:left w:w="108" w:type="dxa"/>
            </w:tcMar>
          </w:tcPr>
          <w:p w:rsidR="00D26424" w:rsidRDefault="00D26424" w:rsidP="004300E2">
            <w:pPr>
              <w:pStyle w:val="Numeroelenco"/>
              <w:numPr>
                <w:ilvl w:val="0"/>
                <w:numId w:val="0"/>
              </w:numPr>
              <w:ind w:left="57"/>
              <w:rPr>
                <w:lang w:val="it-IT"/>
              </w:rPr>
            </w:pPr>
          </w:p>
        </w:tc>
        <w:tc>
          <w:tcPr>
            <w:tcW w:w="851" w:type="dxa"/>
            <w:tcMar>
              <w:left w:w="108" w:type="dxa"/>
              <w:right w:w="0" w:type="dxa"/>
            </w:tcMar>
          </w:tcPr>
          <w:p w:rsidR="00D26424" w:rsidRPr="00C03AF3" w:rsidRDefault="00D26424" w:rsidP="004300E2">
            <w:pPr>
              <w:pStyle w:val="IAS"/>
              <w:jc w:val="both"/>
              <w:rPr>
                <w:sz w:val="12"/>
                <w:szCs w:val="12"/>
                <w:lang w:val="it-IT"/>
              </w:rPr>
            </w:pPr>
          </w:p>
        </w:tc>
        <w:tc>
          <w:tcPr>
            <w:tcW w:w="7079" w:type="dxa"/>
            <w:tcMar>
              <w:left w:w="108" w:type="dxa"/>
            </w:tcMar>
          </w:tcPr>
          <w:p w:rsidR="00D26424" w:rsidRPr="00C03AF3" w:rsidRDefault="00D26424" w:rsidP="004300E2">
            <w:pPr>
              <w:pStyle w:val="CM4"/>
              <w:spacing w:before="20" w:after="20" w:line="220" w:lineRule="exact"/>
              <w:ind w:left="316" w:hanging="316"/>
              <w:jc w:val="both"/>
              <w:rPr>
                <w:rFonts w:ascii="Arial Narrow" w:hAnsi="Arial Narrow" w:cs="EUAlbertina"/>
                <w:color w:val="000000"/>
                <w:sz w:val="20"/>
                <w:szCs w:val="20"/>
              </w:rPr>
            </w:pPr>
            <w:r>
              <w:rPr>
                <w:rFonts w:ascii="Arial Narrow" w:hAnsi="Arial Narrow" w:cs="EUAlbertina"/>
                <w:color w:val="000000"/>
                <w:sz w:val="20"/>
                <w:szCs w:val="20"/>
              </w:rPr>
              <w:t>(e)</w:t>
            </w:r>
            <w:r>
              <w:rPr>
                <w:rFonts w:ascii="Arial Narrow" w:hAnsi="Arial Narrow" w:cs="EUAlbertina"/>
                <w:color w:val="000000"/>
                <w:sz w:val="20"/>
                <w:szCs w:val="20"/>
              </w:rPr>
              <w:tab/>
            </w:r>
            <w:r w:rsidRPr="00F12965">
              <w:rPr>
                <w:rFonts w:ascii="Arial Narrow" w:hAnsi="Arial Narrow" w:cs="EUAlbertina"/>
                <w:color w:val="000000"/>
                <w:sz w:val="20"/>
                <w:szCs w:val="20"/>
              </w:rPr>
              <w:t>l’effetto delle variazioni nei tassi di cambio;</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D26424">
        <w:trPr>
          <w:cantSplit/>
        </w:trPr>
        <w:tc>
          <w:tcPr>
            <w:tcW w:w="567" w:type="dxa"/>
            <w:tcMar>
              <w:left w:w="108" w:type="dxa"/>
            </w:tcMar>
          </w:tcPr>
          <w:p w:rsidR="00D26424" w:rsidRDefault="00D26424" w:rsidP="004300E2">
            <w:pPr>
              <w:pStyle w:val="Numeroelenco"/>
              <w:numPr>
                <w:ilvl w:val="0"/>
                <w:numId w:val="0"/>
              </w:numPr>
              <w:ind w:left="57"/>
              <w:rPr>
                <w:lang w:val="it-IT"/>
              </w:rPr>
            </w:pPr>
          </w:p>
        </w:tc>
        <w:tc>
          <w:tcPr>
            <w:tcW w:w="851" w:type="dxa"/>
            <w:tcMar>
              <w:left w:w="108" w:type="dxa"/>
              <w:right w:w="0" w:type="dxa"/>
            </w:tcMar>
          </w:tcPr>
          <w:p w:rsidR="00D26424" w:rsidRDefault="00D26424" w:rsidP="004300E2">
            <w:pPr>
              <w:pStyle w:val="IAS"/>
              <w:jc w:val="both"/>
              <w:rPr>
                <w:sz w:val="12"/>
                <w:szCs w:val="12"/>
                <w:lang w:val="fr-FR"/>
              </w:rPr>
            </w:pPr>
          </w:p>
        </w:tc>
        <w:tc>
          <w:tcPr>
            <w:tcW w:w="7079" w:type="dxa"/>
            <w:tcMar>
              <w:left w:w="108" w:type="dxa"/>
            </w:tcMar>
          </w:tcPr>
          <w:p w:rsidR="00D26424" w:rsidRPr="00F12965" w:rsidRDefault="00D26424" w:rsidP="004300E2">
            <w:pPr>
              <w:pStyle w:val="CM4"/>
              <w:spacing w:before="20" w:after="20" w:line="220" w:lineRule="exact"/>
              <w:ind w:left="316" w:hanging="316"/>
              <w:jc w:val="both"/>
              <w:rPr>
                <w:rFonts w:ascii="Arial Narrow" w:hAnsi="Arial Narrow" w:cs="EUAlbertina"/>
                <w:color w:val="000000"/>
                <w:sz w:val="20"/>
                <w:szCs w:val="20"/>
              </w:rPr>
            </w:pPr>
            <w:r>
              <w:rPr>
                <w:rFonts w:ascii="Arial Narrow" w:hAnsi="Arial Narrow" w:cs="EUAlbertina"/>
                <w:color w:val="000000"/>
                <w:sz w:val="20"/>
                <w:szCs w:val="20"/>
              </w:rPr>
              <w:t>(f)</w:t>
            </w:r>
            <w:r>
              <w:rPr>
                <w:rFonts w:ascii="Arial Narrow" w:hAnsi="Arial Narrow" w:cs="EUAlbertina"/>
                <w:color w:val="000000"/>
                <w:sz w:val="20"/>
                <w:szCs w:val="20"/>
              </w:rPr>
              <w:tab/>
            </w:r>
            <w:r w:rsidRPr="00F12965">
              <w:rPr>
                <w:rFonts w:ascii="Arial Narrow" w:hAnsi="Arial Narrow" w:cs="EUAlbertina"/>
                <w:color w:val="000000"/>
                <w:sz w:val="20"/>
                <w:szCs w:val="20"/>
              </w:rPr>
              <w:t xml:space="preserve">i contributi nel piano, indicando separatamente quelli del datore di lavoro e quelli dei partecipanti al piano; </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D26424">
        <w:trPr>
          <w:cantSplit/>
        </w:trPr>
        <w:tc>
          <w:tcPr>
            <w:tcW w:w="567" w:type="dxa"/>
            <w:tcMar>
              <w:left w:w="108" w:type="dxa"/>
            </w:tcMar>
          </w:tcPr>
          <w:p w:rsidR="00D26424" w:rsidRDefault="00D26424" w:rsidP="004300E2">
            <w:pPr>
              <w:pStyle w:val="Numeroelenco"/>
              <w:numPr>
                <w:ilvl w:val="0"/>
                <w:numId w:val="0"/>
              </w:numPr>
              <w:ind w:left="57"/>
              <w:rPr>
                <w:lang w:val="it-IT"/>
              </w:rPr>
            </w:pPr>
          </w:p>
        </w:tc>
        <w:tc>
          <w:tcPr>
            <w:tcW w:w="851" w:type="dxa"/>
            <w:tcMar>
              <w:left w:w="108" w:type="dxa"/>
              <w:right w:w="0" w:type="dxa"/>
            </w:tcMar>
          </w:tcPr>
          <w:p w:rsidR="00D26424" w:rsidRDefault="00D26424" w:rsidP="004300E2">
            <w:pPr>
              <w:pStyle w:val="IAS"/>
              <w:jc w:val="both"/>
              <w:rPr>
                <w:sz w:val="12"/>
                <w:szCs w:val="12"/>
                <w:lang w:val="fr-FR"/>
              </w:rPr>
            </w:pPr>
          </w:p>
        </w:tc>
        <w:tc>
          <w:tcPr>
            <w:tcW w:w="7079" w:type="dxa"/>
            <w:tcMar>
              <w:left w:w="108" w:type="dxa"/>
            </w:tcMar>
          </w:tcPr>
          <w:p w:rsidR="00D26424" w:rsidRPr="00F12965" w:rsidRDefault="00D26424" w:rsidP="004300E2">
            <w:pPr>
              <w:pStyle w:val="CM4"/>
              <w:spacing w:before="20" w:after="20" w:line="220" w:lineRule="exact"/>
              <w:ind w:left="316" w:hanging="316"/>
              <w:jc w:val="both"/>
              <w:rPr>
                <w:rFonts w:ascii="Arial Narrow" w:hAnsi="Arial Narrow" w:cs="EUAlbertina"/>
                <w:color w:val="000000"/>
                <w:sz w:val="20"/>
                <w:szCs w:val="20"/>
              </w:rPr>
            </w:pPr>
            <w:r w:rsidRPr="00F12965">
              <w:rPr>
                <w:rFonts w:ascii="Arial Narrow" w:hAnsi="Arial Narrow" w:cs="EUAlbertina"/>
                <w:color w:val="000000"/>
                <w:sz w:val="20"/>
                <w:szCs w:val="20"/>
              </w:rPr>
              <w:t>(g)</w:t>
            </w:r>
            <w:r>
              <w:rPr>
                <w:rFonts w:ascii="Arial Narrow" w:hAnsi="Arial Narrow" w:cs="EUAlbertina"/>
                <w:color w:val="000000"/>
                <w:sz w:val="20"/>
                <w:szCs w:val="20"/>
              </w:rPr>
              <w:tab/>
            </w:r>
            <w:r w:rsidRPr="00F12965">
              <w:rPr>
                <w:rFonts w:ascii="Arial Narrow" w:hAnsi="Arial Narrow" w:cs="EUAlbertina"/>
                <w:color w:val="000000"/>
                <w:sz w:val="20"/>
                <w:szCs w:val="20"/>
              </w:rPr>
              <w:t xml:space="preserve"> i pagamenti previsti dal piano, indicando separatamente l'importo pagato per le estinzioni; </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D26424">
        <w:trPr>
          <w:cantSplit/>
        </w:trPr>
        <w:tc>
          <w:tcPr>
            <w:tcW w:w="567" w:type="dxa"/>
            <w:tcMar>
              <w:left w:w="108" w:type="dxa"/>
            </w:tcMar>
          </w:tcPr>
          <w:p w:rsidR="00D26424" w:rsidRDefault="00D26424" w:rsidP="004300E2">
            <w:pPr>
              <w:pStyle w:val="Numeroelenco"/>
              <w:numPr>
                <w:ilvl w:val="0"/>
                <w:numId w:val="0"/>
              </w:numPr>
              <w:ind w:left="57"/>
              <w:rPr>
                <w:lang w:val="it-IT"/>
              </w:rPr>
            </w:pPr>
          </w:p>
        </w:tc>
        <w:tc>
          <w:tcPr>
            <w:tcW w:w="851" w:type="dxa"/>
            <w:tcMar>
              <w:left w:w="108" w:type="dxa"/>
              <w:right w:w="0" w:type="dxa"/>
            </w:tcMar>
          </w:tcPr>
          <w:p w:rsidR="00D26424" w:rsidRDefault="00D26424" w:rsidP="004300E2">
            <w:pPr>
              <w:pStyle w:val="IAS"/>
              <w:jc w:val="both"/>
              <w:rPr>
                <w:sz w:val="12"/>
                <w:szCs w:val="12"/>
                <w:lang w:val="fr-FR"/>
              </w:rPr>
            </w:pPr>
          </w:p>
        </w:tc>
        <w:tc>
          <w:tcPr>
            <w:tcW w:w="7079" w:type="dxa"/>
            <w:tcMar>
              <w:left w:w="108" w:type="dxa"/>
            </w:tcMar>
          </w:tcPr>
          <w:p w:rsidR="00D26424" w:rsidRPr="00F12965" w:rsidRDefault="00D26424" w:rsidP="004300E2">
            <w:pPr>
              <w:pStyle w:val="CM4"/>
              <w:spacing w:before="20" w:after="20" w:line="220" w:lineRule="exact"/>
              <w:ind w:left="316" w:hanging="316"/>
              <w:jc w:val="both"/>
              <w:rPr>
                <w:rFonts w:ascii="Arial Narrow" w:hAnsi="Arial Narrow" w:cs="EUAlbertina"/>
                <w:color w:val="000000"/>
                <w:sz w:val="20"/>
                <w:szCs w:val="20"/>
              </w:rPr>
            </w:pPr>
            <w:r w:rsidRPr="002C377E">
              <w:rPr>
                <w:rFonts w:ascii="Arial Narrow" w:hAnsi="Arial Narrow" w:cs="EUAlbertina"/>
                <w:color w:val="000000"/>
                <w:sz w:val="20"/>
                <w:szCs w:val="20"/>
              </w:rPr>
              <w:t>(h)</w:t>
            </w:r>
            <w:r w:rsidRPr="002C377E">
              <w:rPr>
                <w:rFonts w:ascii="Arial Narrow" w:hAnsi="Arial Narrow" w:cs="EUAlbertina"/>
                <w:color w:val="000000"/>
                <w:sz w:val="20"/>
                <w:szCs w:val="20"/>
              </w:rPr>
              <w:tab/>
              <w:t>gli effetti delle aggregazioni aziendali e delle dismissioni.</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Default="004300E2" w:rsidP="004300E2">
            <w:pPr>
              <w:pStyle w:val="Numeroelenco"/>
              <w:ind w:left="0" w:firstLine="57"/>
              <w:rPr>
                <w:lang w:val="it-IT"/>
              </w:rPr>
            </w:pPr>
          </w:p>
        </w:tc>
        <w:tc>
          <w:tcPr>
            <w:tcW w:w="851" w:type="dxa"/>
            <w:tcMar>
              <w:left w:w="108" w:type="dxa"/>
              <w:right w:w="0" w:type="dxa"/>
            </w:tcMar>
          </w:tcPr>
          <w:p w:rsidR="004300E2" w:rsidRPr="00D51324" w:rsidRDefault="004300E2" w:rsidP="004300E2">
            <w:pPr>
              <w:pStyle w:val="IAS"/>
              <w:rPr>
                <w:sz w:val="12"/>
                <w:szCs w:val="12"/>
                <w:lang w:val="it-IT"/>
              </w:rPr>
            </w:pPr>
            <w:r w:rsidRPr="00D51324">
              <w:rPr>
                <w:sz w:val="12"/>
                <w:szCs w:val="12"/>
                <w:lang w:val="it-IT"/>
              </w:rPr>
              <w:t>IAS 19.142</w:t>
            </w:r>
          </w:p>
        </w:tc>
        <w:tc>
          <w:tcPr>
            <w:tcW w:w="7079" w:type="dxa"/>
            <w:tcMar>
              <w:left w:w="108" w:type="dxa"/>
            </w:tcMar>
          </w:tcPr>
          <w:p w:rsidR="004300E2" w:rsidRPr="000226E9" w:rsidRDefault="004300E2" w:rsidP="00C10AFA">
            <w:pPr>
              <w:pStyle w:val="CM4"/>
              <w:spacing w:beforeLines="20" w:before="48" w:afterLines="20" w:after="48" w:line="220" w:lineRule="exact"/>
              <w:jc w:val="both"/>
              <w:rPr>
                <w:rFonts w:ascii="Arial Narrow" w:hAnsi="Arial Narrow" w:cs="EUAlbertina"/>
                <w:color w:val="000000"/>
                <w:sz w:val="20"/>
                <w:szCs w:val="20"/>
              </w:rPr>
            </w:pPr>
            <w:r w:rsidRPr="00F12965">
              <w:rPr>
                <w:rFonts w:ascii="Arial Narrow" w:hAnsi="Arial Narrow" w:cs="EUAlbertina"/>
                <w:color w:val="000000"/>
                <w:sz w:val="20"/>
                <w:szCs w:val="20"/>
              </w:rPr>
              <w:t xml:space="preserve">Una entità deve disaggregare in classi il </w:t>
            </w:r>
            <w:r w:rsidRPr="00F12965">
              <w:rPr>
                <w:rFonts w:ascii="Arial Narrow" w:hAnsi="Arial Narrow" w:cs="EUAlbertina"/>
                <w:i/>
                <w:iCs/>
                <w:color w:val="000000"/>
                <w:sz w:val="20"/>
                <w:szCs w:val="20"/>
              </w:rPr>
              <w:t xml:space="preserve">fair value </w:t>
            </w:r>
            <w:r w:rsidRPr="00F12965">
              <w:rPr>
                <w:rFonts w:ascii="Arial Narrow" w:hAnsi="Arial Narrow" w:cs="EUAlbertina"/>
                <w:color w:val="000000"/>
                <w:sz w:val="20"/>
                <w:szCs w:val="20"/>
              </w:rPr>
              <w:t xml:space="preserve">delle attività a servizio del piano in maniera tale da indicare distintamente la natura e i rischi di tali attività, suddividendo ciascuna classe di attività a servizio del piano tra quelle che hanno un prezzo di mercato quotato in un mercato attivo e quelle per le quali tale prezzo non è disponibile. Per esempio, considerando il livello delle informazioni integrative trattato nel paragrafo IAS 19.136, un’entità potrebbe distinguere tra: </w:t>
            </w:r>
          </w:p>
        </w:tc>
        <w:tc>
          <w:tcPr>
            <w:tcW w:w="575" w:type="dxa"/>
            <w:tcMar>
              <w:left w:w="85" w:type="dxa"/>
              <w:right w:w="85" w:type="dxa"/>
            </w:tcMar>
          </w:tcPr>
          <w:p w:rsidR="004300E2" w:rsidRPr="00A32A16" w:rsidRDefault="004300E2" w:rsidP="004300E2">
            <w:pPr>
              <w:rPr>
                <w:lang w:val="it-IT"/>
              </w:rPr>
            </w:pPr>
          </w:p>
        </w:tc>
        <w:tc>
          <w:tcPr>
            <w:tcW w:w="567" w:type="dxa"/>
            <w:tcMar>
              <w:left w:w="108" w:type="dxa"/>
            </w:tcMar>
          </w:tcPr>
          <w:p w:rsidR="004300E2" w:rsidRPr="00A32A16" w:rsidRDefault="004300E2" w:rsidP="004300E2">
            <w:pPr>
              <w:rPr>
                <w:lang w:val="it-IT"/>
              </w:rPr>
            </w:pPr>
          </w:p>
        </w:tc>
        <w:tc>
          <w:tcPr>
            <w:tcW w:w="567" w:type="dxa"/>
            <w:tcMar>
              <w:left w:w="108" w:type="dxa"/>
            </w:tcMar>
          </w:tcPr>
          <w:p w:rsidR="004300E2" w:rsidRPr="00A32A16" w:rsidRDefault="004300E2" w:rsidP="004300E2">
            <w:pPr>
              <w:rPr>
                <w:lang w:val="it-IT"/>
              </w:rPr>
            </w:pPr>
          </w:p>
        </w:tc>
      </w:tr>
      <w:tr w:rsidR="00D26424" w:rsidRPr="008129DA" w:rsidTr="00940A6F">
        <w:trPr>
          <w:cantSplit/>
        </w:trPr>
        <w:tc>
          <w:tcPr>
            <w:tcW w:w="567" w:type="dxa"/>
            <w:tcMar>
              <w:left w:w="108" w:type="dxa"/>
            </w:tcMar>
          </w:tcPr>
          <w:p w:rsidR="00D26424" w:rsidRDefault="00D26424" w:rsidP="004300E2">
            <w:pPr>
              <w:pStyle w:val="Numeroelenco"/>
              <w:numPr>
                <w:ilvl w:val="0"/>
                <w:numId w:val="0"/>
              </w:numPr>
              <w:ind w:left="57"/>
              <w:rPr>
                <w:lang w:val="it-IT"/>
              </w:rPr>
            </w:pPr>
          </w:p>
        </w:tc>
        <w:tc>
          <w:tcPr>
            <w:tcW w:w="851" w:type="dxa"/>
            <w:tcMar>
              <w:left w:w="108" w:type="dxa"/>
              <w:right w:w="0" w:type="dxa"/>
            </w:tcMar>
          </w:tcPr>
          <w:p w:rsidR="00D26424" w:rsidRPr="00D51324" w:rsidRDefault="00D26424" w:rsidP="004300E2">
            <w:pPr>
              <w:pStyle w:val="IAS"/>
              <w:rPr>
                <w:sz w:val="12"/>
                <w:szCs w:val="12"/>
                <w:lang w:val="it-IT"/>
              </w:rPr>
            </w:pPr>
          </w:p>
        </w:tc>
        <w:tc>
          <w:tcPr>
            <w:tcW w:w="7079" w:type="dxa"/>
            <w:tcMar>
              <w:left w:w="108" w:type="dxa"/>
            </w:tcMar>
          </w:tcPr>
          <w:p w:rsidR="00D26424" w:rsidRPr="00F12965" w:rsidRDefault="00D26424" w:rsidP="00C10AFA">
            <w:pPr>
              <w:pStyle w:val="CM4"/>
              <w:spacing w:beforeLines="20" w:before="48" w:afterLines="20" w:after="48" w:line="220" w:lineRule="exact"/>
              <w:ind w:left="316" w:hanging="316"/>
              <w:jc w:val="both"/>
              <w:rPr>
                <w:rFonts w:ascii="Arial Narrow" w:hAnsi="Arial Narrow" w:cs="EUAlbertina"/>
                <w:color w:val="000000"/>
                <w:sz w:val="20"/>
                <w:szCs w:val="20"/>
              </w:rPr>
            </w:pPr>
            <w:r>
              <w:rPr>
                <w:rFonts w:ascii="Arial Narrow" w:hAnsi="Arial Narrow" w:cs="EUAlbertina"/>
                <w:color w:val="000000"/>
                <w:sz w:val="20"/>
                <w:szCs w:val="20"/>
              </w:rPr>
              <w:t>(a)</w:t>
            </w:r>
            <w:r>
              <w:rPr>
                <w:rFonts w:ascii="Arial Narrow" w:hAnsi="Arial Narrow" w:cs="EUAlbertina"/>
                <w:color w:val="000000"/>
                <w:sz w:val="20"/>
                <w:szCs w:val="20"/>
              </w:rPr>
              <w:tab/>
            </w:r>
            <w:r w:rsidRPr="00F12965">
              <w:rPr>
                <w:rFonts w:ascii="Arial Narrow" w:hAnsi="Arial Narrow" w:cs="EUAlbertina"/>
                <w:color w:val="000000"/>
                <w:sz w:val="20"/>
                <w:szCs w:val="20"/>
              </w:rPr>
              <w:t xml:space="preserve">disponibilità liquide e mezzi equivalenti; </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Default="00D26424" w:rsidP="004300E2">
            <w:pPr>
              <w:pStyle w:val="Numeroelenco"/>
              <w:numPr>
                <w:ilvl w:val="0"/>
                <w:numId w:val="0"/>
              </w:numPr>
              <w:ind w:left="57"/>
              <w:rPr>
                <w:lang w:val="it-IT"/>
              </w:rPr>
            </w:pPr>
          </w:p>
        </w:tc>
        <w:tc>
          <w:tcPr>
            <w:tcW w:w="851" w:type="dxa"/>
            <w:tcMar>
              <w:left w:w="108" w:type="dxa"/>
              <w:right w:w="0" w:type="dxa"/>
            </w:tcMar>
          </w:tcPr>
          <w:p w:rsidR="00D26424" w:rsidRPr="00D51324" w:rsidRDefault="00D26424" w:rsidP="004300E2">
            <w:pPr>
              <w:pStyle w:val="IAS"/>
              <w:rPr>
                <w:sz w:val="12"/>
                <w:szCs w:val="12"/>
                <w:lang w:val="it-IT"/>
              </w:rPr>
            </w:pPr>
          </w:p>
        </w:tc>
        <w:tc>
          <w:tcPr>
            <w:tcW w:w="7079" w:type="dxa"/>
            <w:tcMar>
              <w:left w:w="108" w:type="dxa"/>
            </w:tcMar>
          </w:tcPr>
          <w:p w:rsidR="00D26424" w:rsidRPr="00F12965" w:rsidRDefault="00D26424" w:rsidP="00C10AFA">
            <w:pPr>
              <w:pStyle w:val="CM4"/>
              <w:spacing w:beforeLines="20" w:before="48" w:afterLines="20" w:after="48" w:line="220" w:lineRule="exact"/>
              <w:ind w:left="316" w:hanging="316"/>
              <w:jc w:val="both"/>
              <w:rPr>
                <w:rFonts w:ascii="Arial Narrow" w:hAnsi="Arial Narrow" w:cs="EUAlbertina"/>
                <w:color w:val="000000"/>
                <w:sz w:val="20"/>
                <w:szCs w:val="20"/>
              </w:rPr>
            </w:pPr>
            <w:r>
              <w:rPr>
                <w:rFonts w:ascii="Arial Narrow" w:hAnsi="Arial Narrow" w:cs="EUAlbertina"/>
                <w:color w:val="000000"/>
                <w:sz w:val="20"/>
                <w:szCs w:val="20"/>
              </w:rPr>
              <w:t>(b)</w:t>
            </w:r>
            <w:r>
              <w:rPr>
                <w:rFonts w:ascii="Arial Narrow" w:hAnsi="Arial Narrow" w:cs="EUAlbertina"/>
                <w:color w:val="000000"/>
                <w:sz w:val="20"/>
                <w:szCs w:val="20"/>
              </w:rPr>
              <w:tab/>
            </w:r>
            <w:r w:rsidRPr="00F12965">
              <w:rPr>
                <w:rFonts w:ascii="Arial Narrow" w:hAnsi="Arial Narrow" w:cs="EUAlbertina"/>
                <w:color w:val="000000"/>
                <w:sz w:val="20"/>
                <w:szCs w:val="20"/>
              </w:rPr>
              <w:t xml:space="preserve">strumenti rappresentativi di capitale (distinti per tipo di attività, dimensione dell’azienda, area geografica, ecc.); </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Default="00D26424" w:rsidP="004300E2">
            <w:pPr>
              <w:pStyle w:val="Numeroelenco"/>
              <w:numPr>
                <w:ilvl w:val="0"/>
                <w:numId w:val="0"/>
              </w:numPr>
              <w:ind w:left="57"/>
              <w:rPr>
                <w:lang w:val="it-IT"/>
              </w:rPr>
            </w:pPr>
          </w:p>
        </w:tc>
        <w:tc>
          <w:tcPr>
            <w:tcW w:w="851" w:type="dxa"/>
            <w:tcMar>
              <w:left w:w="108" w:type="dxa"/>
              <w:right w:w="0" w:type="dxa"/>
            </w:tcMar>
          </w:tcPr>
          <w:p w:rsidR="00D26424" w:rsidRPr="00D51324" w:rsidRDefault="00D26424" w:rsidP="004300E2">
            <w:pPr>
              <w:pStyle w:val="IAS"/>
              <w:rPr>
                <w:sz w:val="12"/>
                <w:szCs w:val="12"/>
                <w:lang w:val="it-IT"/>
              </w:rPr>
            </w:pPr>
          </w:p>
        </w:tc>
        <w:tc>
          <w:tcPr>
            <w:tcW w:w="7079" w:type="dxa"/>
            <w:tcMar>
              <w:left w:w="108" w:type="dxa"/>
            </w:tcMar>
          </w:tcPr>
          <w:p w:rsidR="00D26424" w:rsidRPr="00F12965" w:rsidRDefault="00D26424" w:rsidP="00C10AFA">
            <w:pPr>
              <w:pStyle w:val="CM4"/>
              <w:spacing w:beforeLines="20" w:before="48" w:afterLines="20" w:after="48" w:line="220" w:lineRule="exact"/>
              <w:ind w:left="316" w:hanging="316"/>
              <w:jc w:val="both"/>
              <w:rPr>
                <w:rFonts w:ascii="Arial Narrow" w:hAnsi="Arial Narrow" w:cs="EUAlbertina"/>
                <w:color w:val="000000"/>
                <w:sz w:val="20"/>
                <w:szCs w:val="20"/>
              </w:rPr>
            </w:pPr>
            <w:r>
              <w:rPr>
                <w:rFonts w:ascii="Arial Narrow" w:hAnsi="Arial Narrow" w:cs="EUAlbertina"/>
                <w:color w:val="000000"/>
                <w:sz w:val="20"/>
                <w:szCs w:val="20"/>
              </w:rPr>
              <w:t>(c)</w:t>
            </w:r>
            <w:r>
              <w:rPr>
                <w:rFonts w:ascii="Arial Narrow" w:hAnsi="Arial Narrow" w:cs="EUAlbertina"/>
                <w:color w:val="000000"/>
                <w:sz w:val="20"/>
                <w:szCs w:val="20"/>
              </w:rPr>
              <w:tab/>
            </w:r>
            <w:r w:rsidRPr="00F12965">
              <w:rPr>
                <w:rFonts w:ascii="Arial Narrow" w:hAnsi="Arial Narrow" w:cs="EUAlbertina"/>
                <w:color w:val="000000"/>
                <w:sz w:val="20"/>
                <w:szCs w:val="20"/>
              </w:rPr>
              <w:t xml:space="preserve">strumenti rappresentavi di debito (distinti per tipo di emittente, qualità del credito, area geografica, ecc.); </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Default="00D26424" w:rsidP="004300E2">
            <w:pPr>
              <w:pStyle w:val="Numeroelenco"/>
              <w:numPr>
                <w:ilvl w:val="0"/>
                <w:numId w:val="0"/>
              </w:numPr>
              <w:ind w:left="57"/>
              <w:rPr>
                <w:lang w:val="it-IT"/>
              </w:rPr>
            </w:pPr>
          </w:p>
        </w:tc>
        <w:tc>
          <w:tcPr>
            <w:tcW w:w="851" w:type="dxa"/>
            <w:tcMar>
              <w:left w:w="108" w:type="dxa"/>
              <w:right w:w="0" w:type="dxa"/>
            </w:tcMar>
          </w:tcPr>
          <w:p w:rsidR="00D26424" w:rsidRPr="00D51324" w:rsidRDefault="00D26424" w:rsidP="004300E2">
            <w:pPr>
              <w:pStyle w:val="IAS"/>
              <w:rPr>
                <w:sz w:val="12"/>
                <w:szCs w:val="12"/>
                <w:lang w:val="it-IT"/>
              </w:rPr>
            </w:pPr>
          </w:p>
        </w:tc>
        <w:tc>
          <w:tcPr>
            <w:tcW w:w="7079" w:type="dxa"/>
            <w:tcMar>
              <w:left w:w="108" w:type="dxa"/>
            </w:tcMar>
          </w:tcPr>
          <w:p w:rsidR="00D26424" w:rsidRPr="00F12965" w:rsidRDefault="00D26424" w:rsidP="00C10AFA">
            <w:pPr>
              <w:pStyle w:val="CM4"/>
              <w:spacing w:beforeLines="20" w:before="48" w:afterLines="20" w:after="48" w:line="220" w:lineRule="exact"/>
              <w:ind w:left="316" w:hanging="316"/>
              <w:jc w:val="both"/>
              <w:rPr>
                <w:rFonts w:ascii="Arial Narrow" w:hAnsi="Arial Narrow" w:cs="EUAlbertina"/>
                <w:color w:val="000000"/>
                <w:sz w:val="20"/>
                <w:szCs w:val="20"/>
              </w:rPr>
            </w:pPr>
            <w:r>
              <w:rPr>
                <w:rFonts w:ascii="Arial Narrow" w:hAnsi="Arial Narrow" w:cs="EUAlbertina"/>
                <w:color w:val="000000"/>
                <w:sz w:val="20"/>
                <w:szCs w:val="20"/>
              </w:rPr>
              <w:t>(d)</w:t>
            </w:r>
            <w:r>
              <w:rPr>
                <w:rFonts w:ascii="Arial Narrow" w:hAnsi="Arial Narrow" w:cs="EUAlbertina"/>
                <w:color w:val="000000"/>
                <w:sz w:val="20"/>
                <w:szCs w:val="20"/>
              </w:rPr>
              <w:tab/>
            </w:r>
            <w:r w:rsidRPr="00F12965">
              <w:rPr>
                <w:rFonts w:ascii="Arial Narrow" w:hAnsi="Arial Narrow" w:cs="EUAlbertina"/>
                <w:color w:val="000000"/>
                <w:sz w:val="20"/>
                <w:szCs w:val="20"/>
              </w:rPr>
              <w:t xml:space="preserve">immobili (distinti per area geografica, ecc.); </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Default="00D26424" w:rsidP="004300E2">
            <w:pPr>
              <w:pStyle w:val="Numeroelenco"/>
              <w:numPr>
                <w:ilvl w:val="0"/>
                <w:numId w:val="0"/>
              </w:numPr>
              <w:ind w:left="57"/>
              <w:rPr>
                <w:lang w:val="it-IT"/>
              </w:rPr>
            </w:pPr>
          </w:p>
        </w:tc>
        <w:tc>
          <w:tcPr>
            <w:tcW w:w="851" w:type="dxa"/>
            <w:tcMar>
              <w:left w:w="108" w:type="dxa"/>
              <w:right w:w="0" w:type="dxa"/>
            </w:tcMar>
          </w:tcPr>
          <w:p w:rsidR="00D26424" w:rsidRPr="00D51324" w:rsidRDefault="00D26424" w:rsidP="004300E2">
            <w:pPr>
              <w:pStyle w:val="IAS"/>
              <w:rPr>
                <w:sz w:val="12"/>
                <w:szCs w:val="12"/>
                <w:lang w:val="it-IT"/>
              </w:rPr>
            </w:pPr>
          </w:p>
        </w:tc>
        <w:tc>
          <w:tcPr>
            <w:tcW w:w="7079" w:type="dxa"/>
            <w:tcMar>
              <w:left w:w="108" w:type="dxa"/>
            </w:tcMar>
          </w:tcPr>
          <w:p w:rsidR="00D26424" w:rsidRPr="00F12965" w:rsidRDefault="00D26424" w:rsidP="00C10AFA">
            <w:pPr>
              <w:pStyle w:val="CM4"/>
              <w:spacing w:beforeLines="20" w:before="48" w:afterLines="20" w:after="48" w:line="220" w:lineRule="exact"/>
              <w:ind w:left="316" w:hanging="316"/>
              <w:jc w:val="both"/>
              <w:rPr>
                <w:rFonts w:ascii="Arial Narrow" w:hAnsi="Arial Narrow" w:cs="EUAlbertina"/>
                <w:color w:val="000000"/>
                <w:sz w:val="20"/>
                <w:szCs w:val="20"/>
              </w:rPr>
            </w:pPr>
            <w:r>
              <w:rPr>
                <w:rFonts w:ascii="Arial Narrow" w:hAnsi="Arial Narrow" w:cs="EUAlbertina"/>
                <w:color w:val="000000"/>
                <w:sz w:val="20"/>
                <w:szCs w:val="20"/>
              </w:rPr>
              <w:t>(e)</w:t>
            </w:r>
            <w:r>
              <w:rPr>
                <w:rFonts w:ascii="Arial Narrow" w:hAnsi="Arial Narrow" w:cs="EUAlbertina"/>
                <w:color w:val="000000"/>
                <w:sz w:val="20"/>
                <w:szCs w:val="20"/>
              </w:rPr>
              <w:tab/>
            </w:r>
            <w:r w:rsidRPr="00F12965">
              <w:rPr>
                <w:rFonts w:ascii="Arial Narrow" w:hAnsi="Arial Narrow" w:cs="EUAlbertina"/>
                <w:color w:val="000000"/>
                <w:sz w:val="20"/>
                <w:szCs w:val="20"/>
              </w:rPr>
              <w:t xml:space="preserve">derivati (distinti per tipo di rischio sottostante, per esempio contratti su tassi di interesse, contratti su cambi, contratti su titoli di capitale, contratti su crediti, swap, ecc.); </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Default="00D26424" w:rsidP="004300E2">
            <w:pPr>
              <w:pStyle w:val="Numeroelenco"/>
              <w:numPr>
                <w:ilvl w:val="0"/>
                <w:numId w:val="0"/>
              </w:numPr>
              <w:ind w:left="57"/>
              <w:rPr>
                <w:lang w:val="it-IT"/>
              </w:rPr>
            </w:pPr>
          </w:p>
        </w:tc>
        <w:tc>
          <w:tcPr>
            <w:tcW w:w="851" w:type="dxa"/>
            <w:tcMar>
              <w:left w:w="108" w:type="dxa"/>
              <w:right w:w="0" w:type="dxa"/>
            </w:tcMar>
          </w:tcPr>
          <w:p w:rsidR="00D26424" w:rsidRPr="00D51324" w:rsidRDefault="00D26424" w:rsidP="004300E2">
            <w:pPr>
              <w:pStyle w:val="IAS"/>
              <w:rPr>
                <w:sz w:val="12"/>
                <w:szCs w:val="12"/>
                <w:lang w:val="it-IT"/>
              </w:rPr>
            </w:pPr>
          </w:p>
        </w:tc>
        <w:tc>
          <w:tcPr>
            <w:tcW w:w="7079" w:type="dxa"/>
            <w:tcMar>
              <w:left w:w="108" w:type="dxa"/>
            </w:tcMar>
          </w:tcPr>
          <w:p w:rsidR="00D26424" w:rsidRPr="00F12965" w:rsidRDefault="00D26424" w:rsidP="00C10AFA">
            <w:pPr>
              <w:pStyle w:val="CM4"/>
              <w:spacing w:beforeLines="20" w:before="48" w:afterLines="20" w:after="48" w:line="220" w:lineRule="exact"/>
              <w:ind w:left="316" w:hanging="316"/>
              <w:jc w:val="both"/>
              <w:rPr>
                <w:rFonts w:ascii="Arial Narrow" w:hAnsi="Arial Narrow" w:cs="EUAlbertina"/>
                <w:color w:val="000000"/>
                <w:sz w:val="20"/>
                <w:szCs w:val="20"/>
              </w:rPr>
            </w:pPr>
            <w:r>
              <w:rPr>
                <w:rFonts w:ascii="Arial Narrow" w:hAnsi="Arial Narrow" w:cs="EUAlbertina"/>
                <w:color w:val="000000"/>
                <w:sz w:val="20"/>
                <w:szCs w:val="20"/>
              </w:rPr>
              <w:t>(f)</w:t>
            </w:r>
            <w:r>
              <w:rPr>
                <w:rFonts w:ascii="Arial Narrow" w:hAnsi="Arial Narrow" w:cs="EUAlbertina"/>
                <w:color w:val="000000"/>
                <w:sz w:val="20"/>
                <w:szCs w:val="20"/>
              </w:rPr>
              <w:tab/>
            </w:r>
            <w:r w:rsidRPr="00F12965">
              <w:rPr>
                <w:rFonts w:ascii="Arial Narrow" w:hAnsi="Arial Narrow" w:cs="EUAlbertina"/>
                <w:color w:val="000000"/>
                <w:sz w:val="20"/>
                <w:szCs w:val="20"/>
              </w:rPr>
              <w:t xml:space="preserve">fondi comuni di investimento (distinti per tipo di fondo); </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Default="00D26424" w:rsidP="004300E2">
            <w:pPr>
              <w:pStyle w:val="Numeroelenco"/>
              <w:numPr>
                <w:ilvl w:val="0"/>
                <w:numId w:val="0"/>
              </w:numPr>
              <w:ind w:left="57"/>
              <w:rPr>
                <w:lang w:val="it-IT"/>
              </w:rPr>
            </w:pPr>
          </w:p>
        </w:tc>
        <w:tc>
          <w:tcPr>
            <w:tcW w:w="851" w:type="dxa"/>
            <w:tcMar>
              <w:left w:w="108" w:type="dxa"/>
              <w:right w:w="0" w:type="dxa"/>
            </w:tcMar>
          </w:tcPr>
          <w:p w:rsidR="00D26424" w:rsidRPr="00D51324" w:rsidRDefault="00D26424" w:rsidP="004300E2">
            <w:pPr>
              <w:pStyle w:val="IAS"/>
              <w:rPr>
                <w:sz w:val="12"/>
                <w:szCs w:val="12"/>
                <w:lang w:val="it-IT"/>
              </w:rPr>
            </w:pPr>
          </w:p>
        </w:tc>
        <w:tc>
          <w:tcPr>
            <w:tcW w:w="7079" w:type="dxa"/>
            <w:tcMar>
              <w:left w:w="108" w:type="dxa"/>
            </w:tcMar>
          </w:tcPr>
          <w:p w:rsidR="00D26424" w:rsidRPr="00F12965" w:rsidRDefault="00D26424" w:rsidP="00C10AFA">
            <w:pPr>
              <w:pStyle w:val="CM4"/>
              <w:spacing w:beforeLines="20" w:before="48" w:afterLines="20" w:after="48" w:line="220" w:lineRule="exact"/>
              <w:ind w:left="316" w:hanging="316"/>
              <w:jc w:val="both"/>
              <w:rPr>
                <w:rFonts w:ascii="Arial Narrow" w:hAnsi="Arial Narrow" w:cs="EUAlbertina"/>
                <w:color w:val="000000"/>
                <w:sz w:val="20"/>
                <w:szCs w:val="20"/>
              </w:rPr>
            </w:pPr>
            <w:r>
              <w:rPr>
                <w:rFonts w:ascii="Arial Narrow" w:hAnsi="Arial Narrow" w:cs="EUAlbertina"/>
                <w:color w:val="000000"/>
                <w:sz w:val="20"/>
                <w:szCs w:val="20"/>
              </w:rPr>
              <w:t>(g)</w:t>
            </w:r>
            <w:r>
              <w:rPr>
                <w:rFonts w:ascii="Arial Narrow" w:hAnsi="Arial Narrow" w:cs="EUAlbertina"/>
                <w:color w:val="000000"/>
                <w:sz w:val="20"/>
                <w:szCs w:val="20"/>
              </w:rPr>
              <w:tab/>
            </w:r>
            <w:r w:rsidRPr="00F12965">
              <w:rPr>
                <w:rFonts w:ascii="Arial Narrow" w:hAnsi="Arial Narrow" w:cs="EUAlbertina"/>
                <w:color w:val="000000"/>
                <w:sz w:val="20"/>
                <w:szCs w:val="20"/>
              </w:rPr>
              <w:t xml:space="preserve">titoli garantiti da attività; e </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Default="00D26424" w:rsidP="004300E2">
            <w:pPr>
              <w:pStyle w:val="Numeroelenco"/>
              <w:numPr>
                <w:ilvl w:val="0"/>
                <w:numId w:val="0"/>
              </w:numPr>
              <w:ind w:left="57"/>
              <w:rPr>
                <w:lang w:val="it-IT"/>
              </w:rPr>
            </w:pPr>
          </w:p>
        </w:tc>
        <w:tc>
          <w:tcPr>
            <w:tcW w:w="851" w:type="dxa"/>
            <w:tcMar>
              <w:left w:w="108" w:type="dxa"/>
              <w:right w:w="0" w:type="dxa"/>
            </w:tcMar>
          </w:tcPr>
          <w:p w:rsidR="00D26424" w:rsidRPr="00D51324" w:rsidRDefault="00D26424" w:rsidP="004300E2">
            <w:pPr>
              <w:pStyle w:val="IAS"/>
              <w:rPr>
                <w:sz w:val="12"/>
                <w:szCs w:val="12"/>
                <w:lang w:val="it-IT"/>
              </w:rPr>
            </w:pPr>
          </w:p>
        </w:tc>
        <w:tc>
          <w:tcPr>
            <w:tcW w:w="7079" w:type="dxa"/>
            <w:tcMar>
              <w:left w:w="108" w:type="dxa"/>
            </w:tcMar>
          </w:tcPr>
          <w:p w:rsidR="00D26424" w:rsidRPr="00F12965" w:rsidRDefault="00D26424" w:rsidP="00C10AFA">
            <w:pPr>
              <w:pStyle w:val="CM4"/>
              <w:spacing w:beforeLines="20" w:before="48" w:afterLines="20" w:after="48" w:line="220" w:lineRule="exact"/>
              <w:ind w:left="316" w:hanging="316"/>
              <w:jc w:val="both"/>
              <w:rPr>
                <w:rFonts w:ascii="Arial Narrow" w:hAnsi="Arial Narrow" w:cs="EUAlbertina"/>
                <w:color w:val="000000"/>
                <w:sz w:val="20"/>
                <w:szCs w:val="20"/>
              </w:rPr>
            </w:pPr>
            <w:r w:rsidRPr="00AB44C9">
              <w:rPr>
                <w:rFonts w:ascii="Arial Narrow" w:hAnsi="Arial Narrow" w:cs="EUAlbertina"/>
                <w:color w:val="000000"/>
                <w:sz w:val="20"/>
                <w:szCs w:val="20"/>
              </w:rPr>
              <w:t>(h)</w:t>
            </w:r>
            <w:r w:rsidRPr="00AB44C9">
              <w:rPr>
                <w:rFonts w:ascii="Arial Narrow" w:hAnsi="Arial Narrow" w:cs="EUAlbertina"/>
                <w:color w:val="000000"/>
                <w:sz w:val="20"/>
                <w:szCs w:val="20"/>
              </w:rPr>
              <w:tab/>
              <w:t>titoli di debito strutturati.</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Numeroelenco"/>
              <w:numPr>
                <w:ilvl w:val="0"/>
                <w:numId w:val="0"/>
              </w:numPr>
              <w:ind w:left="57"/>
              <w:rPr>
                <w:lang w:val="it-IT"/>
              </w:rPr>
            </w:pPr>
          </w:p>
        </w:tc>
        <w:tc>
          <w:tcPr>
            <w:tcW w:w="851" w:type="dxa"/>
            <w:tcMar>
              <w:left w:w="108" w:type="dxa"/>
              <w:right w:w="0" w:type="dxa"/>
            </w:tcMar>
          </w:tcPr>
          <w:p w:rsidR="004300E2" w:rsidRPr="00D51324" w:rsidRDefault="004300E2" w:rsidP="004300E2">
            <w:pPr>
              <w:pStyle w:val="IAS"/>
              <w:rPr>
                <w:sz w:val="12"/>
                <w:szCs w:val="12"/>
                <w:lang w:val="it-IT"/>
              </w:rPr>
            </w:pPr>
          </w:p>
        </w:tc>
        <w:tc>
          <w:tcPr>
            <w:tcW w:w="7079" w:type="dxa"/>
            <w:tcMar>
              <w:left w:w="108" w:type="dxa"/>
            </w:tcMar>
          </w:tcPr>
          <w:p w:rsidR="004300E2" w:rsidRPr="00E41648" w:rsidRDefault="004300E2" w:rsidP="00C10AFA">
            <w:pPr>
              <w:pStyle w:val="Paragarfobordato"/>
            </w:pPr>
            <w:r w:rsidRPr="00E41648">
              <w:t>L’informativa di cui al punto 16</w:t>
            </w:r>
            <w:r w:rsidR="00D20202">
              <w:t>7</w:t>
            </w:r>
            <w:r w:rsidRPr="00E41648">
              <w:t xml:space="preserve"> è indicata dallo IAS 19.142 come un suggerimento esempio. Tenuto conto che l’informativa che deve essere fornita in accordo con questo paragrafo intende offrire al lettore tutte le informazioni necessarie per capire i rischi associati alle attività al servizio di un piano a benefici definiti, può essere considerata come l’informativa minima che dovrebbe essere fornita.</w:t>
            </w:r>
          </w:p>
        </w:tc>
        <w:tc>
          <w:tcPr>
            <w:tcW w:w="575" w:type="dxa"/>
            <w:tcMar>
              <w:left w:w="85" w:type="dxa"/>
              <w:right w:w="85" w:type="dxa"/>
            </w:tcMar>
            <w:vAlign w:val="center"/>
          </w:tcPr>
          <w:p w:rsidR="004300E2" w:rsidRPr="009E6BCD" w:rsidRDefault="004300E2" w:rsidP="004300E2">
            <w:pPr>
              <w:jc w:val="center"/>
              <w:rPr>
                <w:lang w:val="it-IT"/>
              </w:rPr>
            </w:pPr>
          </w:p>
        </w:tc>
        <w:tc>
          <w:tcPr>
            <w:tcW w:w="567" w:type="dxa"/>
            <w:tcMar>
              <w:left w:w="108" w:type="dxa"/>
            </w:tcMar>
            <w:vAlign w:val="center"/>
          </w:tcPr>
          <w:p w:rsidR="004300E2" w:rsidRPr="009E6BCD" w:rsidRDefault="004300E2" w:rsidP="004300E2">
            <w:pPr>
              <w:jc w:val="center"/>
              <w:rPr>
                <w:lang w:val="it-IT"/>
              </w:rPr>
            </w:pPr>
          </w:p>
        </w:tc>
        <w:tc>
          <w:tcPr>
            <w:tcW w:w="567" w:type="dxa"/>
            <w:tcMar>
              <w:left w:w="108" w:type="dxa"/>
            </w:tcMar>
            <w:vAlign w:val="center"/>
          </w:tcPr>
          <w:p w:rsidR="004300E2" w:rsidRPr="009E6BCD" w:rsidRDefault="004300E2" w:rsidP="004300E2">
            <w:pPr>
              <w:jc w:val="center"/>
              <w:rPr>
                <w:lang w:val="it-IT"/>
              </w:rPr>
            </w:pPr>
          </w:p>
        </w:tc>
      </w:tr>
      <w:tr w:rsidR="00D26424" w:rsidRPr="008129DA" w:rsidTr="00940A6F">
        <w:trPr>
          <w:cantSplit/>
        </w:trPr>
        <w:tc>
          <w:tcPr>
            <w:tcW w:w="567" w:type="dxa"/>
            <w:tcMar>
              <w:left w:w="108" w:type="dxa"/>
            </w:tcMar>
          </w:tcPr>
          <w:p w:rsidR="00D26424" w:rsidRDefault="00D26424" w:rsidP="004300E2">
            <w:pPr>
              <w:pStyle w:val="Numeroelenco"/>
              <w:ind w:left="0" w:firstLine="57"/>
              <w:rPr>
                <w:lang w:val="it-IT"/>
              </w:rPr>
            </w:pPr>
          </w:p>
        </w:tc>
        <w:tc>
          <w:tcPr>
            <w:tcW w:w="851" w:type="dxa"/>
            <w:tcMar>
              <w:left w:w="108" w:type="dxa"/>
              <w:right w:w="0" w:type="dxa"/>
            </w:tcMar>
          </w:tcPr>
          <w:p w:rsidR="00D26424" w:rsidRPr="00D51324" w:rsidRDefault="00D26424" w:rsidP="004300E2">
            <w:pPr>
              <w:pStyle w:val="IAS"/>
              <w:rPr>
                <w:sz w:val="12"/>
                <w:szCs w:val="12"/>
                <w:lang w:val="it-IT"/>
              </w:rPr>
            </w:pPr>
            <w:r w:rsidRPr="00D51324">
              <w:rPr>
                <w:sz w:val="12"/>
                <w:szCs w:val="12"/>
                <w:lang w:val="it-IT"/>
              </w:rPr>
              <w:t>IAS 19.143</w:t>
            </w:r>
          </w:p>
        </w:tc>
        <w:tc>
          <w:tcPr>
            <w:tcW w:w="7079" w:type="dxa"/>
            <w:tcMar>
              <w:left w:w="108" w:type="dxa"/>
            </w:tcMar>
          </w:tcPr>
          <w:p w:rsidR="00D26424" w:rsidRPr="00EF6C46" w:rsidRDefault="00D26424" w:rsidP="004300E2">
            <w:pPr>
              <w:rPr>
                <w:lang w:val="it-IT"/>
              </w:rPr>
            </w:pPr>
            <w:r w:rsidRPr="00F12965">
              <w:rPr>
                <w:rFonts w:cs="EUAlbertina"/>
                <w:color w:val="000000"/>
                <w:lang w:val="it-IT"/>
              </w:rPr>
              <w:t xml:space="preserve">Un’entità deve indicare il </w:t>
            </w:r>
            <w:r w:rsidRPr="00F12965">
              <w:rPr>
                <w:rFonts w:cs="EUAlbertina"/>
                <w:i/>
                <w:iCs/>
                <w:color w:val="000000"/>
                <w:lang w:val="it-IT"/>
              </w:rPr>
              <w:t xml:space="preserve">fair value </w:t>
            </w:r>
            <w:r w:rsidRPr="00F12965">
              <w:rPr>
                <w:rFonts w:cs="EUAlbertina"/>
                <w:color w:val="000000"/>
                <w:lang w:val="it-IT"/>
              </w:rPr>
              <w:t xml:space="preserve">degli strumenti finanziari trasferibili da essa posseduti come attività a servizio del piano e il </w:t>
            </w:r>
            <w:r w:rsidRPr="00F12965">
              <w:rPr>
                <w:rFonts w:cs="EUAlbertina"/>
                <w:i/>
                <w:iCs/>
                <w:color w:val="000000"/>
                <w:lang w:val="it-IT"/>
              </w:rPr>
              <w:t xml:space="preserve">fair value </w:t>
            </w:r>
            <w:r w:rsidRPr="00F12965">
              <w:rPr>
                <w:rFonts w:cs="EUAlbertina"/>
                <w:color w:val="000000"/>
                <w:lang w:val="it-IT"/>
              </w:rPr>
              <w:t>delle attività a servizio del piano consistenti in immobili occupati dall’entità o altre attività da essa utilizzate.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Height w:val="1439"/>
        </w:trPr>
        <w:tc>
          <w:tcPr>
            <w:tcW w:w="567" w:type="dxa"/>
            <w:tcMar>
              <w:left w:w="108" w:type="dxa"/>
            </w:tcMar>
          </w:tcPr>
          <w:p w:rsidR="00D26424" w:rsidRDefault="00D26424" w:rsidP="004300E2">
            <w:pPr>
              <w:pStyle w:val="Numeroelenco"/>
              <w:ind w:left="0" w:firstLine="57"/>
              <w:rPr>
                <w:lang w:val="it-IT"/>
              </w:rPr>
            </w:pPr>
          </w:p>
        </w:tc>
        <w:tc>
          <w:tcPr>
            <w:tcW w:w="851" w:type="dxa"/>
            <w:tcMar>
              <w:left w:w="108" w:type="dxa"/>
              <w:right w:w="0" w:type="dxa"/>
            </w:tcMar>
          </w:tcPr>
          <w:p w:rsidR="00D26424" w:rsidRPr="00D51324" w:rsidRDefault="00D26424" w:rsidP="004300E2">
            <w:pPr>
              <w:pStyle w:val="IAS"/>
              <w:rPr>
                <w:sz w:val="12"/>
                <w:szCs w:val="12"/>
                <w:lang w:val="it-IT"/>
              </w:rPr>
            </w:pPr>
            <w:r w:rsidRPr="00D51324">
              <w:rPr>
                <w:sz w:val="12"/>
                <w:szCs w:val="12"/>
                <w:lang w:val="it-IT"/>
              </w:rPr>
              <w:t>IAS 19.144</w:t>
            </w:r>
          </w:p>
        </w:tc>
        <w:tc>
          <w:tcPr>
            <w:tcW w:w="7079" w:type="dxa"/>
            <w:tcMar>
              <w:left w:w="108" w:type="dxa"/>
            </w:tcMar>
          </w:tcPr>
          <w:p w:rsidR="00D26424" w:rsidRPr="00EF6C46" w:rsidRDefault="00D26424" w:rsidP="004300E2">
            <w:pPr>
              <w:rPr>
                <w:lang w:val="it-IT"/>
              </w:rPr>
            </w:pPr>
            <w:r w:rsidRPr="00F12965">
              <w:rPr>
                <w:rFonts w:cs="EUAlbertina"/>
                <w:color w:val="000000"/>
                <w:lang w:val="it-IT"/>
              </w:rPr>
              <w:t>Un’entità deve indicare le ipotesi attuariali rilevanti utilizzate per determinare il valore attuale dell'obbligazione per benefici definiti (vedi paragrafo IAS19.76). Tali informazioni integrative saranno in termini assoluti (per esempio, una percentuale assoluta e non soltanto un margine tra diverse percentuali e altre variabili). Quando l’entità presenta le informazioni integrative in forma aggregata per un insieme di piani, deve esporle in bilancio nella forma di medie ponderate o di intervalli relativamente ristretti.</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Numeroelenco"/>
              <w:numPr>
                <w:ilvl w:val="0"/>
                <w:numId w:val="0"/>
              </w:numPr>
              <w:ind w:left="57"/>
              <w:rPr>
                <w:lang w:val="it-IT"/>
              </w:rPr>
            </w:pPr>
          </w:p>
        </w:tc>
        <w:tc>
          <w:tcPr>
            <w:tcW w:w="851" w:type="dxa"/>
            <w:tcMar>
              <w:left w:w="108" w:type="dxa"/>
              <w:right w:w="0" w:type="dxa"/>
            </w:tcMar>
          </w:tcPr>
          <w:p w:rsidR="004300E2" w:rsidRPr="00D51324" w:rsidRDefault="004300E2" w:rsidP="004300E2">
            <w:pPr>
              <w:pStyle w:val="IAS"/>
              <w:rPr>
                <w:sz w:val="12"/>
                <w:szCs w:val="12"/>
                <w:lang w:val="it-IT"/>
              </w:rPr>
            </w:pPr>
          </w:p>
        </w:tc>
        <w:tc>
          <w:tcPr>
            <w:tcW w:w="7079" w:type="dxa"/>
            <w:tcMar>
              <w:left w:w="108" w:type="dxa"/>
            </w:tcMar>
          </w:tcPr>
          <w:p w:rsidR="004300E2" w:rsidRPr="000B583A" w:rsidRDefault="004300E2" w:rsidP="004300E2">
            <w:pPr>
              <w:rPr>
                <w:rFonts w:cs="EUAlbertina"/>
                <w:b/>
                <w:i/>
                <w:iCs/>
                <w:color w:val="000000"/>
                <w:sz w:val="18"/>
                <w:szCs w:val="18"/>
                <w:lang w:val="it-IT"/>
              </w:rPr>
            </w:pPr>
            <w:r w:rsidRPr="000B583A">
              <w:rPr>
                <w:rFonts w:cs="EUAlbertina"/>
                <w:b/>
                <w:i/>
                <w:iCs/>
                <w:color w:val="000000"/>
                <w:sz w:val="18"/>
                <w:szCs w:val="18"/>
                <w:lang w:val="it-IT"/>
              </w:rPr>
              <w:t>Importo, tempistica e incertezza dei flussi finanziari futuri</w:t>
            </w:r>
          </w:p>
        </w:tc>
        <w:tc>
          <w:tcPr>
            <w:tcW w:w="575" w:type="dxa"/>
            <w:tcMar>
              <w:left w:w="85" w:type="dxa"/>
              <w:right w:w="85" w:type="dxa"/>
            </w:tcMar>
            <w:vAlign w:val="center"/>
          </w:tcPr>
          <w:p w:rsidR="004300E2" w:rsidRPr="009E6BCD" w:rsidRDefault="004300E2" w:rsidP="004300E2">
            <w:pPr>
              <w:jc w:val="center"/>
              <w:rPr>
                <w:lang w:val="it-IT"/>
              </w:rPr>
            </w:pPr>
          </w:p>
        </w:tc>
        <w:tc>
          <w:tcPr>
            <w:tcW w:w="567" w:type="dxa"/>
            <w:tcMar>
              <w:left w:w="108" w:type="dxa"/>
            </w:tcMar>
            <w:vAlign w:val="center"/>
          </w:tcPr>
          <w:p w:rsidR="004300E2" w:rsidRPr="009E6BCD" w:rsidRDefault="004300E2" w:rsidP="004300E2">
            <w:pPr>
              <w:jc w:val="center"/>
              <w:rPr>
                <w:lang w:val="it-IT"/>
              </w:rPr>
            </w:pPr>
          </w:p>
        </w:tc>
        <w:tc>
          <w:tcPr>
            <w:tcW w:w="567" w:type="dxa"/>
            <w:tcMar>
              <w:left w:w="108" w:type="dxa"/>
            </w:tcMar>
            <w:vAlign w:val="center"/>
          </w:tcPr>
          <w:p w:rsidR="004300E2" w:rsidRPr="009E6BCD" w:rsidRDefault="004300E2" w:rsidP="004300E2">
            <w:pPr>
              <w:jc w:val="center"/>
              <w:rPr>
                <w:lang w:val="it-IT"/>
              </w:rPr>
            </w:pPr>
          </w:p>
        </w:tc>
      </w:tr>
      <w:tr w:rsidR="004300E2" w:rsidRPr="008361A3" w:rsidTr="00940A6F">
        <w:trPr>
          <w:cantSplit/>
        </w:trPr>
        <w:tc>
          <w:tcPr>
            <w:tcW w:w="567" w:type="dxa"/>
            <w:tcMar>
              <w:left w:w="108" w:type="dxa"/>
            </w:tcMar>
          </w:tcPr>
          <w:p w:rsidR="004300E2" w:rsidRDefault="004300E2" w:rsidP="004300E2">
            <w:pPr>
              <w:pStyle w:val="Numeroelenco"/>
              <w:ind w:left="0" w:firstLine="57"/>
              <w:rPr>
                <w:lang w:val="it-IT"/>
              </w:rPr>
            </w:pPr>
          </w:p>
        </w:tc>
        <w:tc>
          <w:tcPr>
            <w:tcW w:w="851" w:type="dxa"/>
            <w:tcMar>
              <w:left w:w="108" w:type="dxa"/>
              <w:right w:w="0" w:type="dxa"/>
            </w:tcMar>
          </w:tcPr>
          <w:p w:rsidR="004300E2" w:rsidRPr="00D51324" w:rsidRDefault="004300E2" w:rsidP="004300E2">
            <w:pPr>
              <w:pStyle w:val="IAS"/>
              <w:rPr>
                <w:sz w:val="12"/>
                <w:szCs w:val="12"/>
                <w:lang w:val="it-IT"/>
              </w:rPr>
            </w:pPr>
            <w:r w:rsidRPr="00D51324">
              <w:rPr>
                <w:sz w:val="12"/>
                <w:szCs w:val="12"/>
                <w:lang w:val="it-IT"/>
              </w:rPr>
              <w:t>IAS 19.145</w:t>
            </w:r>
          </w:p>
        </w:tc>
        <w:tc>
          <w:tcPr>
            <w:tcW w:w="7079" w:type="dxa"/>
            <w:tcMar>
              <w:left w:w="108" w:type="dxa"/>
            </w:tcMar>
          </w:tcPr>
          <w:p w:rsidR="004300E2" w:rsidRPr="0016229C" w:rsidRDefault="004300E2" w:rsidP="004300E2">
            <w:pPr>
              <w:pStyle w:val="CM4"/>
              <w:spacing w:before="60" w:after="60"/>
              <w:jc w:val="both"/>
              <w:rPr>
                <w:rFonts w:ascii="Arial Narrow" w:hAnsi="Arial Narrow" w:cs="EUAlbertina"/>
                <w:color w:val="000000"/>
                <w:sz w:val="20"/>
                <w:szCs w:val="20"/>
              </w:rPr>
            </w:pPr>
            <w:r w:rsidRPr="00F12965">
              <w:rPr>
                <w:rFonts w:ascii="Arial Narrow" w:hAnsi="Arial Narrow" w:cs="EUAlbertina"/>
                <w:color w:val="000000"/>
                <w:sz w:val="20"/>
                <w:szCs w:val="20"/>
              </w:rPr>
              <w:t xml:space="preserve">L'entità deve indicare: </w:t>
            </w:r>
          </w:p>
        </w:tc>
        <w:tc>
          <w:tcPr>
            <w:tcW w:w="575" w:type="dxa"/>
            <w:tcMar>
              <w:left w:w="85" w:type="dxa"/>
              <w:right w:w="85" w:type="dxa"/>
            </w:tcMar>
          </w:tcPr>
          <w:p w:rsidR="004300E2" w:rsidRPr="00A32A16" w:rsidRDefault="004300E2" w:rsidP="004300E2">
            <w:pPr>
              <w:jc w:val="center"/>
              <w:rPr>
                <w:lang w:val="it-IT"/>
              </w:rPr>
            </w:pPr>
          </w:p>
        </w:tc>
        <w:tc>
          <w:tcPr>
            <w:tcW w:w="567" w:type="dxa"/>
            <w:tcMar>
              <w:left w:w="108" w:type="dxa"/>
            </w:tcMar>
          </w:tcPr>
          <w:p w:rsidR="004300E2" w:rsidRPr="00A32A16" w:rsidRDefault="004300E2" w:rsidP="004300E2">
            <w:pPr>
              <w:jc w:val="center"/>
              <w:rPr>
                <w:lang w:val="it-IT"/>
              </w:rPr>
            </w:pPr>
          </w:p>
        </w:tc>
        <w:tc>
          <w:tcPr>
            <w:tcW w:w="567" w:type="dxa"/>
            <w:tcMar>
              <w:left w:w="108" w:type="dxa"/>
            </w:tcMar>
          </w:tcPr>
          <w:p w:rsidR="004300E2" w:rsidRPr="00A32A16" w:rsidRDefault="004300E2" w:rsidP="004300E2">
            <w:pPr>
              <w:jc w:val="center"/>
              <w:rPr>
                <w:lang w:val="it-IT"/>
              </w:rPr>
            </w:pPr>
          </w:p>
        </w:tc>
      </w:tr>
      <w:tr w:rsidR="00D26424" w:rsidRPr="008129DA" w:rsidTr="00940A6F">
        <w:trPr>
          <w:cantSplit/>
        </w:trPr>
        <w:tc>
          <w:tcPr>
            <w:tcW w:w="567" w:type="dxa"/>
            <w:tcMar>
              <w:left w:w="108" w:type="dxa"/>
            </w:tcMar>
          </w:tcPr>
          <w:p w:rsidR="00D26424" w:rsidRDefault="00D26424" w:rsidP="004300E2">
            <w:pPr>
              <w:pStyle w:val="Numeroelenco"/>
              <w:numPr>
                <w:ilvl w:val="0"/>
                <w:numId w:val="0"/>
              </w:numPr>
              <w:ind w:left="57"/>
              <w:rPr>
                <w:lang w:val="it-IT"/>
              </w:rPr>
            </w:pPr>
          </w:p>
        </w:tc>
        <w:tc>
          <w:tcPr>
            <w:tcW w:w="851" w:type="dxa"/>
            <w:tcMar>
              <w:left w:w="108" w:type="dxa"/>
              <w:right w:w="0" w:type="dxa"/>
            </w:tcMar>
          </w:tcPr>
          <w:p w:rsidR="00D26424" w:rsidRPr="00D51324" w:rsidRDefault="00D26424" w:rsidP="004300E2">
            <w:pPr>
              <w:pStyle w:val="IAS"/>
              <w:rPr>
                <w:sz w:val="12"/>
                <w:szCs w:val="12"/>
                <w:lang w:val="it-IT"/>
              </w:rPr>
            </w:pPr>
          </w:p>
        </w:tc>
        <w:tc>
          <w:tcPr>
            <w:tcW w:w="7079" w:type="dxa"/>
            <w:tcMar>
              <w:left w:w="108" w:type="dxa"/>
            </w:tcMar>
          </w:tcPr>
          <w:p w:rsidR="00D26424" w:rsidRPr="00F12965" w:rsidRDefault="00D26424" w:rsidP="00537014">
            <w:pPr>
              <w:pStyle w:val="CM4"/>
              <w:spacing w:before="20" w:after="20" w:line="220" w:lineRule="exact"/>
              <w:ind w:left="318" w:hanging="318"/>
              <w:jc w:val="both"/>
              <w:rPr>
                <w:rFonts w:ascii="Arial Narrow" w:hAnsi="Arial Narrow" w:cs="EUAlbertina"/>
                <w:color w:val="000000"/>
                <w:sz w:val="20"/>
                <w:szCs w:val="20"/>
              </w:rPr>
            </w:pPr>
            <w:r>
              <w:rPr>
                <w:rFonts w:ascii="Arial Narrow" w:hAnsi="Arial Narrow" w:cs="EUAlbertina"/>
                <w:color w:val="000000"/>
                <w:sz w:val="20"/>
                <w:szCs w:val="20"/>
              </w:rPr>
              <w:t>(a)</w:t>
            </w:r>
            <w:r>
              <w:rPr>
                <w:rFonts w:ascii="Arial Narrow" w:hAnsi="Arial Narrow" w:cs="EUAlbertina"/>
                <w:color w:val="000000"/>
                <w:sz w:val="20"/>
                <w:szCs w:val="20"/>
              </w:rPr>
              <w:tab/>
            </w:r>
            <w:r w:rsidRPr="00F12965">
              <w:rPr>
                <w:rFonts w:ascii="Arial Narrow" w:hAnsi="Arial Narrow" w:cs="EUAlbertina"/>
                <w:color w:val="000000"/>
                <w:sz w:val="20"/>
                <w:szCs w:val="20"/>
              </w:rPr>
              <w:t>un’analisi di sensitività per ciascuna ipotesi attuariale rilevante (secondo quanto indicato al paragrafo IAS 19.144) alla fine dell'esercizio, mostrando gli effetti che ci sarebbero stati sull'obbligazione per benefici definiti a seguito delle variazioni ragionevolmente possibili a tale data de</w:t>
            </w:r>
            <w:r>
              <w:rPr>
                <w:rFonts w:ascii="Arial Narrow" w:hAnsi="Arial Narrow" w:cs="EUAlbertina"/>
                <w:color w:val="000000"/>
                <w:sz w:val="20"/>
                <w:szCs w:val="20"/>
              </w:rPr>
              <w:t>ll'ipotesi attuariale rilevante</w:t>
            </w:r>
            <w:r w:rsidRPr="00F12965">
              <w:rPr>
                <w:rFonts w:ascii="Arial Narrow" w:hAnsi="Arial Narrow" w:cs="EUAlbertina"/>
                <w:color w:val="000000"/>
                <w:sz w:val="20"/>
                <w:szCs w:val="20"/>
              </w:rPr>
              <w:t xml:space="preserve">; </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Default="00D26424" w:rsidP="004300E2">
            <w:pPr>
              <w:pStyle w:val="Numeroelenco"/>
              <w:numPr>
                <w:ilvl w:val="0"/>
                <w:numId w:val="0"/>
              </w:numPr>
              <w:ind w:left="57"/>
              <w:rPr>
                <w:lang w:val="it-IT"/>
              </w:rPr>
            </w:pPr>
          </w:p>
        </w:tc>
        <w:tc>
          <w:tcPr>
            <w:tcW w:w="851" w:type="dxa"/>
            <w:tcMar>
              <w:left w:w="108" w:type="dxa"/>
              <w:right w:w="0" w:type="dxa"/>
            </w:tcMar>
          </w:tcPr>
          <w:p w:rsidR="00D26424" w:rsidRPr="00D51324" w:rsidRDefault="00D26424" w:rsidP="004300E2">
            <w:pPr>
              <w:pStyle w:val="IAS"/>
              <w:rPr>
                <w:sz w:val="12"/>
                <w:szCs w:val="12"/>
                <w:lang w:val="it-IT"/>
              </w:rPr>
            </w:pPr>
          </w:p>
        </w:tc>
        <w:tc>
          <w:tcPr>
            <w:tcW w:w="7079" w:type="dxa"/>
            <w:tcMar>
              <w:left w:w="108" w:type="dxa"/>
            </w:tcMar>
          </w:tcPr>
          <w:p w:rsidR="00D26424" w:rsidRPr="00F12965" w:rsidRDefault="00D26424" w:rsidP="004300E2">
            <w:pPr>
              <w:pStyle w:val="CM4"/>
              <w:spacing w:before="60" w:after="60"/>
              <w:ind w:left="316" w:hanging="316"/>
              <w:jc w:val="both"/>
              <w:rPr>
                <w:rFonts w:ascii="Arial Narrow" w:hAnsi="Arial Narrow" w:cs="EUAlbertina"/>
                <w:color w:val="000000"/>
                <w:sz w:val="20"/>
                <w:szCs w:val="20"/>
              </w:rPr>
            </w:pPr>
            <w:r>
              <w:rPr>
                <w:rFonts w:ascii="Arial Narrow" w:hAnsi="Arial Narrow" w:cs="EUAlbertina"/>
                <w:color w:val="000000"/>
                <w:sz w:val="20"/>
                <w:szCs w:val="20"/>
              </w:rPr>
              <w:t>(b)</w:t>
            </w:r>
            <w:r>
              <w:rPr>
                <w:rFonts w:ascii="Arial Narrow" w:hAnsi="Arial Narrow" w:cs="EUAlbertina"/>
                <w:color w:val="000000"/>
                <w:sz w:val="20"/>
                <w:szCs w:val="20"/>
              </w:rPr>
              <w:tab/>
            </w:r>
            <w:r w:rsidRPr="00F12965">
              <w:rPr>
                <w:rFonts w:ascii="Arial Narrow" w:hAnsi="Arial Narrow" w:cs="EUAlbertina"/>
                <w:color w:val="000000"/>
                <w:sz w:val="20"/>
                <w:szCs w:val="20"/>
              </w:rPr>
              <w:t xml:space="preserve">i metodi e le ipotesi utilizzati nella preparazione delle analisi di sensitività richieste al </w:t>
            </w:r>
            <w:r>
              <w:rPr>
                <w:rFonts w:ascii="Arial Narrow" w:hAnsi="Arial Narrow" w:cs="EUAlbertina"/>
                <w:color w:val="000000"/>
                <w:sz w:val="20"/>
                <w:szCs w:val="20"/>
              </w:rPr>
              <w:br/>
            </w:r>
            <w:r w:rsidRPr="00F12965">
              <w:rPr>
                <w:rFonts w:ascii="Arial Narrow" w:hAnsi="Arial Narrow" w:cs="EUAlbertina"/>
                <w:color w:val="000000"/>
                <w:sz w:val="20"/>
                <w:szCs w:val="20"/>
              </w:rPr>
              <w:t xml:space="preserve">punto (a) e i limiti di tali metodi; </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Default="00D26424" w:rsidP="004300E2">
            <w:pPr>
              <w:pStyle w:val="Numeroelenco"/>
              <w:numPr>
                <w:ilvl w:val="0"/>
                <w:numId w:val="0"/>
              </w:numPr>
              <w:ind w:left="644" w:hanging="360"/>
              <w:rPr>
                <w:lang w:val="it-IT"/>
              </w:rPr>
            </w:pPr>
          </w:p>
        </w:tc>
        <w:tc>
          <w:tcPr>
            <w:tcW w:w="851" w:type="dxa"/>
            <w:tcMar>
              <w:left w:w="108" w:type="dxa"/>
              <w:right w:w="0" w:type="dxa"/>
            </w:tcMar>
          </w:tcPr>
          <w:p w:rsidR="00D26424" w:rsidRPr="00D51324" w:rsidRDefault="00D26424" w:rsidP="004300E2">
            <w:pPr>
              <w:pStyle w:val="IAS"/>
              <w:rPr>
                <w:sz w:val="12"/>
                <w:szCs w:val="12"/>
                <w:lang w:val="it-IT"/>
              </w:rPr>
            </w:pPr>
          </w:p>
        </w:tc>
        <w:tc>
          <w:tcPr>
            <w:tcW w:w="7079" w:type="dxa"/>
            <w:tcMar>
              <w:left w:w="108" w:type="dxa"/>
            </w:tcMar>
          </w:tcPr>
          <w:p w:rsidR="00D26424" w:rsidRPr="00F12965" w:rsidRDefault="00D26424" w:rsidP="004300E2">
            <w:pPr>
              <w:pStyle w:val="CM4"/>
              <w:spacing w:before="60" w:after="60"/>
              <w:ind w:left="316" w:hanging="316"/>
              <w:jc w:val="both"/>
              <w:rPr>
                <w:rFonts w:ascii="Arial Narrow" w:hAnsi="Arial Narrow" w:cs="EUAlbertina"/>
                <w:color w:val="000000"/>
                <w:sz w:val="20"/>
                <w:szCs w:val="20"/>
              </w:rPr>
            </w:pPr>
            <w:r w:rsidRPr="0016229C">
              <w:rPr>
                <w:rFonts w:ascii="Arial Narrow" w:hAnsi="Arial Narrow" w:cs="EUAlbertina"/>
                <w:color w:val="000000"/>
                <w:sz w:val="20"/>
                <w:szCs w:val="20"/>
              </w:rPr>
              <w:t>(c)</w:t>
            </w:r>
            <w:r w:rsidRPr="0016229C">
              <w:rPr>
                <w:rFonts w:ascii="Arial Narrow" w:hAnsi="Arial Narrow" w:cs="EUAlbertina"/>
                <w:color w:val="000000"/>
                <w:sz w:val="20"/>
                <w:szCs w:val="20"/>
              </w:rPr>
              <w:tab/>
              <w:t>le modifiche ai metodi e alle ipotesi utilizzati nella preparazione delle analisi di sensitività  rispetto all’esercizio precedente, e le ragioni di dette modifiche.</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Default="00D26424" w:rsidP="004300E2">
            <w:pPr>
              <w:pStyle w:val="Numeroelenco"/>
              <w:ind w:left="0" w:firstLine="57"/>
              <w:rPr>
                <w:lang w:val="it-IT"/>
              </w:rPr>
            </w:pPr>
          </w:p>
        </w:tc>
        <w:tc>
          <w:tcPr>
            <w:tcW w:w="851" w:type="dxa"/>
            <w:tcMar>
              <w:left w:w="108" w:type="dxa"/>
              <w:right w:w="0" w:type="dxa"/>
            </w:tcMar>
          </w:tcPr>
          <w:p w:rsidR="00D26424" w:rsidRPr="00D51324" w:rsidRDefault="00D26424" w:rsidP="004300E2">
            <w:pPr>
              <w:pStyle w:val="IAS"/>
              <w:rPr>
                <w:sz w:val="12"/>
                <w:szCs w:val="12"/>
                <w:lang w:val="it-IT"/>
              </w:rPr>
            </w:pPr>
            <w:r w:rsidRPr="00D51324">
              <w:rPr>
                <w:sz w:val="12"/>
                <w:szCs w:val="12"/>
                <w:lang w:val="it-IT"/>
              </w:rPr>
              <w:t>IAS 19.146</w:t>
            </w:r>
          </w:p>
        </w:tc>
        <w:tc>
          <w:tcPr>
            <w:tcW w:w="7079" w:type="dxa"/>
            <w:tcMar>
              <w:left w:w="108" w:type="dxa"/>
            </w:tcMar>
          </w:tcPr>
          <w:p w:rsidR="00D26424" w:rsidRPr="00EF6C46" w:rsidRDefault="00D26424" w:rsidP="004300E2">
            <w:pPr>
              <w:rPr>
                <w:lang w:val="it-IT"/>
              </w:rPr>
            </w:pPr>
            <w:r w:rsidRPr="00F12965">
              <w:rPr>
                <w:rFonts w:cs="EUAlbertina"/>
                <w:color w:val="000000"/>
                <w:lang w:val="it-IT"/>
              </w:rPr>
              <w:t xml:space="preserve">Un’entità deve fornire una descrizione delle strategie di correlazione delle attività e delle passività utilizzate dal piano o dall'entità, inclusi l’utilizzo di rendite e di altre tecniche, come i contratti di </w:t>
            </w:r>
            <w:r w:rsidRPr="00F12965">
              <w:rPr>
                <w:rFonts w:cs="EUAlbertina"/>
                <w:i/>
                <w:iCs/>
                <w:color w:val="000000"/>
                <w:lang w:val="it-IT"/>
              </w:rPr>
              <w:t>longevity swap</w:t>
            </w:r>
            <w:r w:rsidRPr="00F12965">
              <w:rPr>
                <w:rFonts w:cs="EUAlbertina"/>
                <w:color w:val="000000"/>
                <w:lang w:val="it-IT"/>
              </w:rPr>
              <w:t>, per la gestione del rischio.</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Default="004300E2" w:rsidP="00537014">
            <w:pPr>
              <w:pStyle w:val="Numeroelenco"/>
              <w:ind w:left="0" w:firstLine="57"/>
              <w:rPr>
                <w:lang w:val="it-IT"/>
              </w:rPr>
            </w:pPr>
          </w:p>
        </w:tc>
        <w:tc>
          <w:tcPr>
            <w:tcW w:w="851" w:type="dxa"/>
            <w:tcMar>
              <w:left w:w="108" w:type="dxa"/>
              <w:right w:w="0" w:type="dxa"/>
            </w:tcMar>
          </w:tcPr>
          <w:p w:rsidR="004300E2" w:rsidRPr="008A0F36" w:rsidRDefault="004300E2" w:rsidP="00537014">
            <w:pPr>
              <w:pStyle w:val="IAS"/>
              <w:rPr>
                <w:lang w:val="it-IT"/>
              </w:rPr>
            </w:pPr>
            <w:r w:rsidRPr="00D51324">
              <w:rPr>
                <w:sz w:val="12"/>
                <w:szCs w:val="12"/>
                <w:lang w:val="it-IT"/>
              </w:rPr>
              <w:t>IAS 19.147</w:t>
            </w:r>
          </w:p>
        </w:tc>
        <w:tc>
          <w:tcPr>
            <w:tcW w:w="7079" w:type="dxa"/>
            <w:tcMar>
              <w:left w:w="108" w:type="dxa"/>
            </w:tcMar>
          </w:tcPr>
          <w:p w:rsidR="004300E2" w:rsidRPr="00BE61F6" w:rsidRDefault="004300E2" w:rsidP="004300E2">
            <w:pPr>
              <w:pStyle w:val="CM4"/>
              <w:pageBreakBefore/>
              <w:spacing w:before="60" w:after="60"/>
              <w:jc w:val="both"/>
              <w:rPr>
                <w:rFonts w:ascii="Arial Narrow" w:hAnsi="Arial Narrow" w:cs="EUAlbertina"/>
                <w:color w:val="000000"/>
                <w:sz w:val="20"/>
                <w:szCs w:val="20"/>
              </w:rPr>
            </w:pPr>
            <w:r w:rsidRPr="00F12965">
              <w:rPr>
                <w:rFonts w:ascii="Arial Narrow" w:hAnsi="Arial Narrow" w:cs="EUAlbertina"/>
                <w:color w:val="000000"/>
                <w:sz w:val="20"/>
                <w:szCs w:val="20"/>
              </w:rPr>
              <w:t xml:space="preserve">Per fornire un'indicazione dell'effetto del piano a benefici definiti sui flussi finanziari futuri dell'entità, un'entità deve indicare: </w:t>
            </w:r>
          </w:p>
        </w:tc>
        <w:tc>
          <w:tcPr>
            <w:tcW w:w="575" w:type="dxa"/>
            <w:tcMar>
              <w:left w:w="85" w:type="dxa"/>
              <w:right w:w="85" w:type="dxa"/>
            </w:tcMar>
          </w:tcPr>
          <w:p w:rsidR="004300E2" w:rsidRPr="004979D5" w:rsidRDefault="004300E2" w:rsidP="004300E2">
            <w:pPr>
              <w:pageBreakBefore/>
              <w:jc w:val="center"/>
              <w:rPr>
                <w:lang w:val="it-IT"/>
              </w:rPr>
            </w:pPr>
          </w:p>
          <w:p w:rsidR="004300E2" w:rsidRPr="00A32A16" w:rsidRDefault="004300E2" w:rsidP="004300E2">
            <w:pPr>
              <w:pageBreakBefore/>
              <w:rPr>
                <w:lang w:val="it-IT"/>
              </w:rPr>
            </w:pPr>
          </w:p>
        </w:tc>
        <w:tc>
          <w:tcPr>
            <w:tcW w:w="567" w:type="dxa"/>
            <w:tcMar>
              <w:left w:w="108" w:type="dxa"/>
            </w:tcMar>
          </w:tcPr>
          <w:p w:rsidR="004300E2" w:rsidRPr="00BE61F6" w:rsidRDefault="004300E2" w:rsidP="004300E2">
            <w:pPr>
              <w:pageBreakBefore/>
              <w:jc w:val="center"/>
              <w:rPr>
                <w:lang w:val="it-IT"/>
              </w:rPr>
            </w:pPr>
          </w:p>
          <w:p w:rsidR="004300E2" w:rsidRPr="00A32A16" w:rsidRDefault="004300E2" w:rsidP="004300E2">
            <w:pPr>
              <w:pageBreakBefore/>
              <w:rPr>
                <w:lang w:val="it-IT"/>
              </w:rPr>
            </w:pPr>
          </w:p>
        </w:tc>
        <w:tc>
          <w:tcPr>
            <w:tcW w:w="567" w:type="dxa"/>
            <w:tcMar>
              <w:left w:w="108" w:type="dxa"/>
            </w:tcMar>
          </w:tcPr>
          <w:p w:rsidR="004300E2" w:rsidRPr="00BE61F6" w:rsidRDefault="004300E2" w:rsidP="004300E2">
            <w:pPr>
              <w:pageBreakBefore/>
              <w:jc w:val="center"/>
              <w:rPr>
                <w:lang w:val="it-IT"/>
              </w:rPr>
            </w:pPr>
          </w:p>
          <w:p w:rsidR="004300E2" w:rsidRPr="00A32A16" w:rsidRDefault="004300E2" w:rsidP="004300E2">
            <w:pPr>
              <w:pageBreakBefore/>
              <w:rPr>
                <w:lang w:val="it-IT"/>
              </w:rPr>
            </w:pPr>
          </w:p>
        </w:tc>
      </w:tr>
      <w:tr w:rsidR="00D26424" w:rsidRPr="008129DA" w:rsidTr="00940A6F">
        <w:trPr>
          <w:cantSplit/>
        </w:trPr>
        <w:tc>
          <w:tcPr>
            <w:tcW w:w="567" w:type="dxa"/>
            <w:tcMar>
              <w:left w:w="108" w:type="dxa"/>
            </w:tcMar>
          </w:tcPr>
          <w:p w:rsidR="00D26424" w:rsidRDefault="00D26424" w:rsidP="004300E2">
            <w:pPr>
              <w:pStyle w:val="Numeroelenco"/>
              <w:numPr>
                <w:ilvl w:val="0"/>
                <w:numId w:val="0"/>
              </w:numPr>
              <w:ind w:left="57"/>
              <w:rPr>
                <w:lang w:val="it-IT"/>
              </w:rPr>
            </w:pPr>
          </w:p>
        </w:tc>
        <w:tc>
          <w:tcPr>
            <w:tcW w:w="851" w:type="dxa"/>
            <w:tcMar>
              <w:left w:w="108" w:type="dxa"/>
              <w:right w:w="0" w:type="dxa"/>
            </w:tcMar>
          </w:tcPr>
          <w:p w:rsidR="00D26424" w:rsidRPr="00D51324" w:rsidRDefault="00D26424" w:rsidP="004300E2">
            <w:pPr>
              <w:pStyle w:val="IAS"/>
              <w:rPr>
                <w:sz w:val="12"/>
                <w:szCs w:val="12"/>
                <w:lang w:val="it-IT"/>
              </w:rPr>
            </w:pPr>
          </w:p>
        </w:tc>
        <w:tc>
          <w:tcPr>
            <w:tcW w:w="7079" w:type="dxa"/>
            <w:tcMar>
              <w:left w:w="108" w:type="dxa"/>
            </w:tcMar>
          </w:tcPr>
          <w:p w:rsidR="00D26424" w:rsidRPr="00F12965" w:rsidRDefault="00D26424" w:rsidP="004300E2">
            <w:pPr>
              <w:pStyle w:val="CM4"/>
              <w:spacing w:before="60" w:after="60"/>
              <w:ind w:left="316" w:hanging="316"/>
              <w:jc w:val="both"/>
              <w:rPr>
                <w:rFonts w:ascii="Arial Narrow" w:hAnsi="Arial Narrow" w:cs="EUAlbertina"/>
                <w:color w:val="000000"/>
                <w:sz w:val="20"/>
                <w:szCs w:val="20"/>
              </w:rPr>
            </w:pPr>
            <w:r>
              <w:rPr>
                <w:rFonts w:ascii="Arial Narrow" w:hAnsi="Arial Narrow" w:cs="EUAlbertina"/>
                <w:color w:val="000000"/>
                <w:sz w:val="20"/>
                <w:szCs w:val="20"/>
              </w:rPr>
              <w:t>(a)</w:t>
            </w:r>
            <w:r>
              <w:rPr>
                <w:rFonts w:ascii="Arial Narrow" w:hAnsi="Arial Narrow" w:cs="EUAlbertina"/>
                <w:color w:val="000000"/>
                <w:sz w:val="20"/>
                <w:szCs w:val="20"/>
              </w:rPr>
              <w:tab/>
            </w:r>
            <w:r w:rsidRPr="00F12965">
              <w:rPr>
                <w:rFonts w:ascii="Arial Narrow" w:hAnsi="Arial Narrow" w:cs="EUAlbertina"/>
                <w:color w:val="000000"/>
                <w:sz w:val="20"/>
                <w:szCs w:val="20"/>
              </w:rPr>
              <w:t xml:space="preserve">una descrizione degli accordi e delle politiche di finanziamento che incidono sui contributi futuri; </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Default="00D26424" w:rsidP="004300E2">
            <w:pPr>
              <w:pStyle w:val="Numeroelenco"/>
              <w:numPr>
                <w:ilvl w:val="0"/>
                <w:numId w:val="0"/>
              </w:numPr>
              <w:ind w:left="57"/>
              <w:rPr>
                <w:lang w:val="it-IT"/>
              </w:rPr>
            </w:pPr>
          </w:p>
        </w:tc>
        <w:tc>
          <w:tcPr>
            <w:tcW w:w="851" w:type="dxa"/>
            <w:tcMar>
              <w:left w:w="108" w:type="dxa"/>
              <w:right w:w="0" w:type="dxa"/>
            </w:tcMar>
          </w:tcPr>
          <w:p w:rsidR="00D26424" w:rsidRPr="00D51324" w:rsidRDefault="00D26424" w:rsidP="004300E2">
            <w:pPr>
              <w:pStyle w:val="IAS"/>
              <w:rPr>
                <w:sz w:val="12"/>
                <w:szCs w:val="12"/>
                <w:lang w:val="it-IT"/>
              </w:rPr>
            </w:pPr>
          </w:p>
        </w:tc>
        <w:tc>
          <w:tcPr>
            <w:tcW w:w="7079" w:type="dxa"/>
            <w:tcMar>
              <w:left w:w="108" w:type="dxa"/>
            </w:tcMar>
          </w:tcPr>
          <w:p w:rsidR="00D26424" w:rsidRPr="00BE61F6" w:rsidRDefault="00D26424" w:rsidP="004300E2">
            <w:pPr>
              <w:pStyle w:val="CM4"/>
              <w:spacing w:before="60" w:after="60"/>
              <w:ind w:left="316" w:hanging="316"/>
              <w:jc w:val="both"/>
              <w:rPr>
                <w:rFonts w:cs="EUAlbertina"/>
                <w:color w:val="000000"/>
                <w:sz w:val="20"/>
                <w:szCs w:val="20"/>
              </w:rPr>
            </w:pPr>
            <w:r>
              <w:rPr>
                <w:rFonts w:ascii="Arial Narrow" w:hAnsi="Arial Narrow" w:cs="EUAlbertina"/>
                <w:color w:val="000000"/>
                <w:sz w:val="20"/>
                <w:szCs w:val="20"/>
              </w:rPr>
              <w:t>(b)</w:t>
            </w:r>
            <w:r>
              <w:rPr>
                <w:rFonts w:ascii="Arial Narrow" w:hAnsi="Arial Narrow" w:cs="EUAlbertina"/>
                <w:color w:val="000000"/>
                <w:sz w:val="20"/>
                <w:szCs w:val="20"/>
              </w:rPr>
              <w:tab/>
            </w:r>
            <w:r w:rsidRPr="00F12965">
              <w:rPr>
                <w:rFonts w:ascii="Arial Narrow" w:hAnsi="Arial Narrow" w:cs="EUAlbertina"/>
                <w:color w:val="000000"/>
                <w:sz w:val="20"/>
                <w:szCs w:val="20"/>
              </w:rPr>
              <w:t xml:space="preserve">i contributi al piano previsti per il prossimo esercizio; </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Pr>
        <w:tc>
          <w:tcPr>
            <w:tcW w:w="567" w:type="dxa"/>
            <w:tcMar>
              <w:left w:w="108" w:type="dxa"/>
            </w:tcMar>
          </w:tcPr>
          <w:p w:rsidR="00D26424" w:rsidRDefault="00D26424" w:rsidP="004300E2">
            <w:pPr>
              <w:pStyle w:val="Numeroelenco"/>
              <w:numPr>
                <w:ilvl w:val="0"/>
                <w:numId w:val="0"/>
              </w:numPr>
              <w:ind w:left="57"/>
              <w:rPr>
                <w:lang w:val="it-IT"/>
              </w:rPr>
            </w:pPr>
          </w:p>
        </w:tc>
        <w:tc>
          <w:tcPr>
            <w:tcW w:w="851" w:type="dxa"/>
            <w:tcMar>
              <w:left w:w="108" w:type="dxa"/>
              <w:right w:w="0" w:type="dxa"/>
            </w:tcMar>
          </w:tcPr>
          <w:p w:rsidR="00D26424" w:rsidRPr="00D51324" w:rsidRDefault="00D26424" w:rsidP="004300E2">
            <w:pPr>
              <w:pStyle w:val="IAS"/>
              <w:rPr>
                <w:sz w:val="12"/>
                <w:szCs w:val="12"/>
                <w:lang w:val="it-IT"/>
              </w:rPr>
            </w:pPr>
          </w:p>
        </w:tc>
        <w:tc>
          <w:tcPr>
            <w:tcW w:w="7079" w:type="dxa"/>
            <w:tcMar>
              <w:left w:w="108" w:type="dxa"/>
            </w:tcMar>
          </w:tcPr>
          <w:p w:rsidR="00D26424" w:rsidRPr="00F12965" w:rsidRDefault="00D26424" w:rsidP="004300E2">
            <w:pPr>
              <w:pStyle w:val="CM4"/>
              <w:spacing w:before="60" w:after="60"/>
              <w:ind w:left="316" w:hanging="316"/>
              <w:jc w:val="both"/>
              <w:rPr>
                <w:rFonts w:ascii="Arial Narrow" w:hAnsi="Arial Narrow" w:cs="EUAlbertina"/>
                <w:color w:val="000000"/>
                <w:sz w:val="20"/>
                <w:szCs w:val="20"/>
              </w:rPr>
            </w:pPr>
            <w:r>
              <w:rPr>
                <w:rFonts w:ascii="Arial Narrow" w:hAnsi="Arial Narrow" w:cs="EUAlbertina"/>
                <w:color w:val="000000"/>
                <w:sz w:val="20"/>
                <w:szCs w:val="20"/>
              </w:rPr>
              <w:t xml:space="preserve">(c) </w:t>
            </w:r>
            <w:r w:rsidRPr="00AB2C1C">
              <w:rPr>
                <w:rFonts w:ascii="Arial Narrow" w:hAnsi="Arial Narrow" w:cs="EUAlbertina"/>
                <w:color w:val="000000"/>
                <w:sz w:val="20"/>
                <w:szCs w:val="20"/>
              </w:rPr>
              <w:t>le informazioni sul profilo di scadenza dell’obbligazi</w:t>
            </w:r>
            <w:r>
              <w:rPr>
                <w:rFonts w:ascii="Arial Narrow" w:hAnsi="Arial Narrow" w:cs="EUAlbertina"/>
                <w:color w:val="000000"/>
                <w:sz w:val="20"/>
                <w:szCs w:val="20"/>
              </w:rPr>
              <w:t xml:space="preserve">one per benefici definiti. Esse </w:t>
            </w:r>
            <w:r w:rsidRPr="00AB2C1C">
              <w:rPr>
                <w:rFonts w:ascii="Arial Narrow" w:hAnsi="Arial Narrow" w:cs="EUAlbertina"/>
                <w:color w:val="000000"/>
                <w:sz w:val="20"/>
                <w:szCs w:val="20"/>
              </w:rPr>
              <w:t>comprenderanno la durata media ponderata dell’obbligazione per benefici definiti e possono includere altre informazioni sulla distribuzione dei tempi di pagamento dei benefici, come un'analisi delle scadenze di pagamento dei benefici.</w:t>
            </w:r>
          </w:p>
        </w:tc>
        <w:tc>
          <w:tcPr>
            <w:tcW w:w="575" w:type="dxa"/>
            <w:tcMar>
              <w:left w:w="85" w:type="dxa"/>
              <w:right w:w="85"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725691"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Default="004300E2" w:rsidP="004300E2">
            <w:pPr>
              <w:pStyle w:val="Numeroelenco"/>
              <w:numPr>
                <w:ilvl w:val="0"/>
                <w:numId w:val="0"/>
              </w:numPr>
              <w:ind w:left="57"/>
              <w:rPr>
                <w:lang w:val="it-IT"/>
              </w:rPr>
            </w:pPr>
          </w:p>
        </w:tc>
        <w:tc>
          <w:tcPr>
            <w:tcW w:w="851" w:type="dxa"/>
            <w:tcMar>
              <w:left w:w="108" w:type="dxa"/>
              <w:right w:w="0" w:type="dxa"/>
            </w:tcMar>
          </w:tcPr>
          <w:p w:rsidR="004300E2" w:rsidRDefault="004300E2" w:rsidP="004300E2">
            <w:pPr>
              <w:pStyle w:val="IAS"/>
              <w:jc w:val="left"/>
              <w:rPr>
                <w:iCs/>
                <w:sz w:val="12"/>
                <w:szCs w:val="12"/>
                <w:lang w:val="it-IT"/>
              </w:rPr>
            </w:pPr>
            <w:r>
              <w:rPr>
                <w:sz w:val="12"/>
                <w:szCs w:val="12"/>
                <w:lang w:val="it-IT"/>
              </w:rPr>
              <w:t>IAS 19.151IAS 19.152</w:t>
            </w:r>
          </w:p>
        </w:tc>
        <w:tc>
          <w:tcPr>
            <w:tcW w:w="7079" w:type="dxa"/>
            <w:tcMar>
              <w:left w:w="108" w:type="dxa"/>
            </w:tcMar>
          </w:tcPr>
          <w:p w:rsidR="004300E2" w:rsidRDefault="004300E2" w:rsidP="00C10AFA">
            <w:pPr>
              <w:pStyle w:val="Paragarfobordato"/>
            </w:pPr>
            <w:r>
              <w:t>Lo IAS 19 con riferimento ai piani a benefici definiti, segnala inoltre i seguenti obblighi informativi, ove applicabili, derivanti da altri principi contabili:</w:t>
            </w:r>
          </w:p>
          <w:p w:rsidR="004300E2" w:rsidRDefault="00C10AFA" w:rsidP="00C10AFA">
            <w:pPr>
              <w:pStyle w:val="Paragarfobordato"/>
              <w:ind w:left="205" w:hanging="205"/>
            </w:pPr>
            <w:r>
              <w:t>a)</w:t>
            </w:r>
            <w:r>
              <w:tab/>
            </w:r>
            <w:r w:rsidR="004300E2">
              <w:t>in base allo IAS 24, devono essere indicati le operazioni fra parti correlate con piani per benefici definiti successivi alla fine del rapporto di lavoro nonchè i benefici successivi alla fine del rapporto di lavoro per i dirigenti con responsabilità strategiche</w:t>
            </w:r>
          </w:p>
          <w:p w:rsidR="004300E2" w:rsidRPr="00CE0185" w:rsidRDefault="00C10AFA" w:rsidP="00C10AFA">
            <w:pPr>
              <w:pStyle w:val="Paragarfobordato"/>
              <w:ind w:left="205" w:hanging="205"/>
              <w:rPr>
                <w:rFonts w:cs="EUAlbertina"/>
                <w:color w:val="000000"/>
                <w:sz w:val="20"/>
                <w:szCs w:val="20"/>
              </w:rPr>
            </w:pPr>
            <w:r>
              <w:t>a)</w:t>
            </w:r>
            <w:r>
              <w:tab/>
            </w:r>
            <w:r w:rsidR="004300E2">
              <w:t>in base allo IAS 37 devono essere fornite le informazioni integrative sulle passività potenziali derivanti da obbligazioni per benefici successivi alla fine del rapporto di lavoro.</w:t>
            </w:r>
          </w:p>
        </w:tc>
        <w:tc>
          <w:tcPr>
            <w:tcW w:w="575" w:type="dxa"/>
            <w:tcMar>
              <w:left w:w="85" w:type="dxa"/>
              <w:right w:w="85" w:type="dxa"/>
            </w:tcMar>
            <w:vAlign w:val="center"/>
          </w:tcPr>
          <w:p w:rsidR="004300E2" w:rsidRPr="009E6BCD" w:rsidRDefault="004300E2" w:rsidP="004300E2">
            <w:pPr>
              <w:jc w:val="center"/>
              <w:rPr>
                <w:lang w:val="it-IT"/>
              </w:rPr>
            </w:pPr>
          </w:p>
        </w:tc>
        <w:tc>
          <w:tcPr>
            <w:tcW w:w="567" w:type="dxa"/>
            <w:tcMar>
              <w:left w:w="108" w:type="dxa"/>
            </w:tcMar>
            <w:vAlign w:val="center"/>
          </w:tcPr>
          <w:p w:rsidR="004300E2" w:rsidRPr="009E6BCD" w:rsidRDefault="004300E2" w:rsidP="004300E2">
            <w:pPr>
              <w:jc w:val="center"/>
              <w:rPr>
                <w:lang w:val="it-IT"/>
              </w:rPr>
            </w:pPr>
          </w:p>
        </w:tc>
        <w:tc>
          <w:tcPr>
            <w:tcW w:w="567" w:type="dxa"/>
            <w:tcMar>
              <w:left w:w="108" w:type="dxa"/>
            </w:tcMar>
            <w:vAlign w:val="center"/>
          </w:tcPr>
          <w:p w:rsidR="004300E2" w:rsidRPr="009E6BCD" w:rsidRDefault="004300E2" w:rsidP="004300E2">
            <w:pPr>
              <w:jc w:val="center"/>
              <w:rPr>
                <w:lang w:val="it-IT"/>
              </w:rPr>
            </w:pPr>
          </w:p>
        </w:tc>
      </w:tr>
      <w:tr w:rsidR="004300E2" w:rsidRPr="00A44ECD" w:rsidTr="00940A6F">
        <w:trPr>
          <w:cantSplit/>
          <w:trHeight w:val="57"/>
        </w:trPr>
        <w:tc>
          <w:tcPr>
            <w:tcW w:w="567" w:type="dxa"/>
            <w:tcMar>
              <w:left w:w="108" w:type="dxa"/>
              <w:right w:w="0" w:type="dxa"/>
            </w:tcMar>
          </w:tcPr>
          <w:p w:rsidR="004300E2" w:rsidRPr="008A0F36" w:rsidRDefault="004300E2" w:rsidP="004300E2">
            <w:pPr>
              <w:pStyle w:val="IAS"/>
              <w:rPr>
                <w:lang w:val="it-IT"/>
              </w:rPr>
            </w:pPr>
          </w:p>
        </w:tc>
        <w:tc>
          <w:tcPr>
            <w:tcW w:w="851" w:type="dxa"/>
            <w:tcMar>
              <w:right w:w="0" w:type="dxa"/>
            </w:tcMar>
          </w:tcPr>
          <w:p w:rsidR="004300E2" w:rsidRPr="008A0F36" w:rsidRDefault="004300E2" w:rsidP="004300E2">
            <w:pPr>
              <w:pStyle w:val="IAS"/>
              <w:rPr>
                <w:lang w:val="it-IT"/>
              </w:rPr>
            </w:pPr>
          </w:p>
        </w:tc>
        <w:tc>
          <w:tcPr>
            <w:tcW w:w="7079" w:type="dxa"/>
          </w:tcPr>
          <w:p w:rsidR="004300E2" w:rsidRPr="004F522B" w:rsidRDefault="004300E2" w:rsidP="004300E2">
            <w:pPr>
              <w:pStyle w:val="Titolo2"/>
              <w:jc w:val="both"/>
              <w:rPr>
                <w:lang w:val="it-IT"/>
              </w:rPr>
            </w:pPr>
            <w:r w:rsidRPr="004F522B">
              <w:rPr>
                <w:lang w:val="it-IT"/>
              </w:rPr>
              <w:t>Limitazioni alle attività nette di un piano a benefici definiti, requisiti minimi di finanziamento e loro interazione</w:t>
            </w:r>
          </w:p>
        </w:tc>
        <w:tc>
          <w:tcPr>
            <w:tcW w:w="575" w:type="dxa"/>
            <w:vAlign w:val="center"/>
          </w:tcPr>
          <w:p w:rsidR="004300E2" w:rsidRPr="00090BE7" w:rsidRDefault="004300E2" w:rsidP="004300E2">
            <w:pPr>
              <w:jc w:val="center"/>
              <w:rPr>
                <w:lang w:val="it-IT"/>
              </w:rPr>
            </w:pPr>
          </w:p>
        </w:tc>
        <w:tc>
          <w:tcPr>
            <w:tcW w:w="567" w:type="dxa"/>
            <w:vAlign w:val="center"/>
          </w:tcPr>
          <w:p w:rsidR="004300E2" w:rsidRPr="00090BE7" w:rsidRDefault="004300E2" w:rsidP="004300E2">
            <w:pPr>
              <w:jc w:val="center"/>
              <w:rPr>
                <w:lang w:val="it-IT"/>
              </w:rPr>
            </w:pPr>
          </w:p>
        </w:tc>
        <w:tc>
          <w:tcPr>
            <w:tcW w:w="567" w:type="dxa"/>
            <w:vAlign w:val="center"/>
          </w:tcPr>
          <w:p w:rsidR="004300E2" w:rsidRPr="00090BE7" w:rsidRDefault="004300E2" w:rsidP="004300E2">
            <w:pPr>
              <w:jc w:val="center"/>
              <w:rPr>
                <w:lang w:val="it-IT"/>
              </w:rPr>
            </w:pPr>
          </w:p>
        </w:tc>
      </w:tr>
      <w:tr w:rsidR="00D26424" w:rsidRPr="008129DA" w:rsidTr="00940A6F">
        <w:trPr>
          <w:cantSplit/>
          <w:trHeight w:val="57"/>
        </w:trPr>
        <w:tc>
          <w:tcPr>
            <w:tcW w:w="567" w:type="dxa"/>
            <w:tcMar>
              <w:left w:w="108" w:type="dxa"/>
              <w:right w:w="0" w:type="dxa"/>
            </w:tcMar>
          </w:tcPr>
          <w:p w:rsidR="00D26424" w:rsidRPr="008A0F36" w:rsidRDefault="00D26424" w:rsidP="004300E2">
            <w:pPr>
              <w:pStyle w:val="Numeroelenco"/>
              <w:ind w:left="0" w:firstLine="57"/>
              <w:rPr>
                <w:lang w:val="it-IT"/>
              </w:rPr>
            </w:pPr>
          </w:p>
        </w:tc>
        <w:tc>
          <w:tcPr>
            <w:tcW w:w="851" w:type="dxa"/>
            <w:tcMar>
              <w:right w:w="0" w:type="dxa"/>
            </w:tcMar>
          </w:tcPr>
          <w:p w:rsidR="00D26424" w:rsidRPr="008A0F36" w:rsidRDefault="00D26424" w:rsidP="004300E2">
            <w:pPr>
              <w:pStyle w:val="IAS"/>
              <w:rPr>
                <w:lang w:val="it-IT"/>
              </w:rPr>
            </w:pPr>
            <w:r w:rsidRPr="008A0F36">
              <w:rPr>
                <w:lang w:val="it-IT"/>
              </w:rPr>
              <w:t>IFRIC14.10</w:t>
            </w:r>
          </w:p>
        </w:tc>
        <w:tc>
          <w:tcPr>
            <w:tcW w:w="7079" w:type="dxa"/>
          </w:tcPr>
          <w:p w:rsidR="00D26424" w:rsidRPr="004F522B" w:rsidRDefault="00D26424" w:rsidP="004300E2">
            <w:pPr>
              <w:rPr>
                <w:lang w:val="it-IT"/>
              </w:rPr>
            </w:pPr>
            <w:r w:rsidRPr="004F522B">
              <w:rPr>
                <w:lang w:val="it-IT"/>
              </w:rPr>
              <w:t>L’entità fornisce informazioni su qualsiasi restrizione sulla corrente realizzabilità del surplus di un piano a benefici definiti o la base utilizzata per determinare l’importo del beneficio economico disponibile.</w:t>
            </w:r>
          </w:p>
        </w:tc>
        <w:tc>
          <w:tcPr>
            <w:tcW w:w="575" w:type="dxa"/>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57"/>
        </w:trPr>
        <w:tc>
          <w:tcPr>
            <w:tcW w:w="567" w:type="dxa"/>
            <w:tcMar>
              <w:left w:w="108" w:type="dxa"/>
              <w:right w:w="0" w:type="dxa"/>
            </w:tcMar>
          </w:tcPr>
          <w:p w:rsidR="004300E2" w:rsidRPr="008A0F36" w:rsidRDefault="004300E2" w:rsidP="004300E2">
            <w:pPr>
              <w:pStyle w:val="IAS"/>
              <w:rPr>
                <w:lang w:val="it-IT"/>
              </w:rPr>
            </w:pPr>
          </w:p>
        </w:tc>
        <w:tc>
          <w:tcPr>
            <w:tcW w:w="851" w:type="dxa"/>
            <w:tcMar>
              <w:right w:w="0" w:type="dxa"/>
            </w:tcMar>
          </w:tcPr>
          <w:p w:rsidR="004300E2" w:rsidRPr="008A0F36" w:rsidRDefault="004300E2" w:rsidP="004300E2">
            <w:pPr>
              <w:pStyle w:val="IAS"/>
              <w:rPr>
                <w:lang w:val="it-IT"/>
              </w:rPr>
            </w:pPr>
            <w:r w:rsidRPr="008A0F36">
              <w:rPr>
                <w:lang w:val="it-IT"/>
              </w:rPr>
              <w:t>IFRIC 14.10</w:t>
            </w:r>
          </w:p>
          <w:p w:rsidR="004300E2" w:rsidRPr="008A0F36" w:rsidRDefault="004300E2" w:rsidP="004300E2">
            <w:pPr>
              <w:pStyle w:val="IAS"/>
              <w:rPr>
                <w:lang w:val="it-IT"/>
              </w:rPr>
            </w:pPr>
            <w:r w:rsidRPr="008A0F36">
              <w:rPr>
                <w:lang w:val="it-IT"/>
              </w:rPr>
              <w:t>IAS 1.125</w:t>
            </w:r>
          </w:p>
        </w:tc>
        <w:tc>
          <w:tcPr>
            <w:tcW w:w="7079" w:type="dxa"/>
          </w:tcPr>
          <w:p w:rsidR="004300E2" w:rsidRPr="004F522B" w:rsidRDefault="004300E2" w:rsidP="00C10AFA">
            <w:pPr>
              <w:pStyle w:val="Paragarfobordato"/>
              <w:rPr>
                <w:b/>
              </w:rPr>
            </w:pPr>
            <w:r w:rsidRPr="004F522B">
              <w:t>In accordo con lo IAS 1, l’entità fornisce l’informativa sulle fonti chiave di incertezza delle stime alla data di chiusura dell’esercizio che presentano un rischio significativo di causare una variazione significativa al valore contabile delle attività o passività nette di bilancio.</w:t>
            </w:r>
          </w:p>
        </w:tc>
        <w:tc>
          <w:tcPr>
            <w:tcW w:w="575" w:type="dxa"/>
            <w:vAlign w:val="center"/>
          </w:tcPr>
          <w:p w:rsidR="004300E2" w:rsidRPr="00090BE7" w:rsidRDefault="004300E2" w:rsidP="004300E2">
            <w:pPr>
              <w:jc w:val="center"/>
              <w:rPr>
                <w:lang w:val="it-IT"/>
              </w:rPr>
            </w:pPr>
          </w:p>
        </w:tc>
        <w:tc>
          <w:tcPr>
            <w:tcW w:w="567" w:type="dxa"/>
            <w:vAlign w:val="center"/>
          </w:tcPr>
          <w:p w:rsidR="004300E2" w:rsidRPr="00090BE7" w:rsidRDefault="004300E2" w:rsidP="004300E2">
            <w:pPr>
              <w:jc w:val="center"/>
              <w:rPr>
                <w:lang w:val="it-IT"/>
              </w:rPr>
            </w:pPr>
          </w:p>
        </w:tc>
        <w:tc>
          <w:tcPr>
            <w:tcW w:w="567" w:type="dxa"/>
            <w:vAlign w:val="center"/>
          </w:tcPr>
          <w:p w:rsidR="004300E2" w:rsidRPr="00090BE7" w:rsidRDefault="004300E2" w:rsidP="004300E2">
            <w:pPr>
              <w:jc w:val="center"/>
              <w:rPr>
                <w:lang w:val="it-IT"/>
              </w:rPr>
            </w:pPr>
          </w:p>
        </w:tc>
      </w:tr>
      <w:tr w:rsidR="004300E2" w:rsidRPr="008A0F36" w:rsidTr="00940A6F">
        <w:trPr>
          <w:cantSplit/>
          <w:trHeight w:val="57"/>
        </w:trPr>
        <w:tc>
          <w:tcPr>
            <w:tcW w:w="567" w:type="dxa"/>
            <w:tcMar>
              <w:left w:w="108" w:type="dxa"/>
              <w:right w:w="0" w:type="dxa"/>
            </w:tcMar>
          </w:tcPr>
          <w:p w:rsidR="004300E2" w:rsidRPr="008A0F36" w:rsidRDefault="004300E2" w:rsidP="004300E2">
            <w:pPr>
              <w:pStyle w:val="IAS"/>
              <w:spacing w:before="20"/>
              <w:rPr>
                <w:lang w:val="it-IT"/>
              </w:rPr>
            </w:pPr>
          </w:p>
        </w:tc>
        <w:tc>
          <w:tcPr>
            <w:tcW w:w="851" w:type="dxa"/>
            <w:tcMar>
              <w:right w:w="0" w:type="dxa"/>
            </w:tcMar>
          </w:tcPr>
          <w:p w:rsidR="004300E2" w:rsidRPr="008A0F36" w:rsidRDefault="004300E2" w:rsidP="004300E2">
            <w:pPr>
              <w:pStyle w:val="IAS"/>
              <w:spacing w:before="20"/>
              <w:rPr>
                <w:lang w:val="it-IT"/>
              </w:rPr>
            </w:pPr>
          </w:p>
        </w:tc>
        <w:tc>
          <w:tcPr>
            <w:tcW w:w="7079" w:type="dxa"/>
          </w:tcPr>
          <w:p w:rsidR="004300E2" w:rsidRPr="004F522B" w:rsidRDefault="004300E2" w:rsidP="004300E2">
            <w:pPr>
              <w:pStyle w:val="Titolo1"/>
              <w:spacing w:before="20" w:after="20"/>
            </w:pPr>
            <w:r w:rsidRPr="004F522B">
              <w:t>patrimonio netto</w:t>
            </w:r>
          </w:p>
        </w:tc>
        <w:tc>
          <w:tcPr>
            <w:tcW w:w="575" w:type="dxa"/>
            <w:vAlign w:val="center"/>
          </w:tcPr>
          <w:p w:rsidR="004300E2" w:rsidRDefault="004300E2" w:rsidP="004300E2">
            <w:pPr>
              <w:jc w:val="center"/>
            </w:pPr>
          </w:p>
        </w:tc>
        <w:tc>
          <w:tcPr>
            <w:tcW w:w="567" w:type="dxa"/>
            <w:vAlign w:val="center"/>
          </w:tcPr>
          <w:p w:rsidR="004300E2" w:rsidRDefault="004300E2" w:rsidP="004300E2">
            <w:pPr>
              <w:jc w:val="center"/>
            </w:pPr>
          </w:p>
        </w:tc>
        <w:tc>
          <w:tcPr>
            <w:tcW w:w="567" w:type="dxa"/>
            <w:vAlign w:val="center"/>
          </w:tcPr>
          <w:p w:rsidR="004300E2" w:rsidRDefault="004300E2" w:rsidP="004300E2">
            <w:pPr>
              <w:jc w:val="center"/>
            </w:pPr>
          </w:p>
        </w:tc>
      </w:tr>
      <w:tr w:rsidR="004300E2" w:rsidRPr="00A44ECD" w:rsidTr="00940A6F">
        <w:trPr>
          <w:cantSplit/>
          <w:trHeight w:val="57"/>
        </w:trPr>
        <w:tc>
          <w:tcPr>
            <w:tcW w:w="567" w:type="dxa"/>
            <w:tcMar>
              <w:left w:w="108" w:type="dxa"/>
              <w:right w:w="0" w:type="dxa"/>
            </w:tcMar>
          </w:tcPr>
          <w:p w:rsidR="004300E2" w:rsidRPr="008A0F36" w:rsidRDefault="004300E2" w:rsidP="004300E2">
            <w:pPr>
              <w:pStyle w:val="IAS"/>
              <w:rPr>
                <w:lang w:val="it-IT"/>
              </w:rPr>
            </w:pPr>
          </w:p>
        </w:tc>
        <w:tc>
          <w:tcPr>
            <w:tcW w:w="851" w:type="dxa"/>
            <w:tcMar>
              <w:right w:w="0" w:type="dxa"/>
            </w:tcMar>
          </w:tcPr>
          <w:p w:rsidR="004300E2" w:rsidRPr="008A0F36" w:rsidRDefault="004300E2" w:rsidP="004300E2">
            <w:pPr>
              <w:pStyle w:val="IAS"/>
              <w:rPr>
                <w:lang w:val="it-IT"/>
              </w:rPr>
            </w:pPr>
            <w:r w:rsidRPr="008A0F36">
              <w:rPr>
                <w:lang w:val="it-IT"/>
              </w:rPr>
              <w:t>IAS 1.80</w:t>
            </w:r>
          </w:p>
        </w:tc>
        <w:tc>
          <w:tcPr>
            <w:tcW w:w="7079" w:type="dxa"/>
          </w:tcPr>
          <w:p w:rsidR="004300E2" w:rsidRPr="004F522B" w:rsidRDefault="004300E2" w:rsidP="00C10AFA">
            <w:pPr>
              <w:pStyle w:val="Paragarfobordato"/>
            </w:pPr>
            <w:r w:rsidRPr="004F522B">
              <w:t xml:space="preserve">Un’entità senza capitale sociale, come una società fiduciaria, darà informativa equivalente a quella richiesta dal punto </w:t>
            </w:r>
            <w:r>
              <w:t>21</w:t>
            </w:r>
            <w:r w:rsidR="00D20202">
              <w:t>5</w:t>
            </w:r>
            <w:r w:rsidRPr="004F522B">
              <w:t xml:space="preserve"> mostrando i movimenti intervenuti nell’esercizio per ogni categoria di elementi di patrimonio netto e i diritti, privilegi e vincoli relativi a ciascuna categoria di elementi del patrimonio netto.</w:t>
            </w:r>
          </w:p>
        </w:tc>
        <w:tc>
          <w:tcPr>
            <w:tcW w:w="575" w:type="dxa"/>
            <w:vAlign w:val="center"/>
          </w:tcPr>
          <w:p w:rsidR="004300E2" w:rsidRPr="00090BE7" w:rsidRDefault="004300E2" w:rsidP="004300E2">
            <w:pPr>
              <w:jc w:val="center"/>
              <w:rPr>
                <w:lang w:val="it-IT"/>
              </w:rPr>
            </w:pPr>
          </w:p>
        </w:tc>
        <w:tc>
          <w:tcPr>
            <w:tcW w:w="567" w:type="dxa"/>
            <w:vAlign w:val="center"/>
          </w:tcPr>
          <w:p w:rsidR="004300E2" w:rsidRPr="00090BE7" w:rsidRDefault="004300E2" w:rsidP="004300E2">
            <w:pPr>
              <w:jc w:val="center"/>
              <w:rPr>
                <w:lang w:val="it-IT"/>
              </w:rPr>
            </w:pPr>
          </w:p>
        </w:tc>
        <w:tc>
          <w:tcPr>
            <w:tcW w:w="567" w:type="dxa"/>
            <w:vAlign w:val="center"/>
          </w:tcPr>
          <w:p w:rsidR="004300E2" w:rsidRPr="00090BE7" w:rsidRDefault="004300E2" w:rsidP="004300E2">
            <w:pPr>
              <w:jc w:val="center"/>
              <w:rPr>
                <w:lang w:val="it-IT"/>
              </w:rPr>
            </w:pPr>
          </w:p>
        </w:tc>
      </w:tr>
      <w:tr w:rsidR="004300E2" w:rsidRPr="00A44ECD" w:rsidTr="00940A6F">
        <w:trPr>
          <w:cantSplit/>
          <w:trHeight w:val="57"/>
        </w:trPr>
        <w:tc>
          <w:tcPr>
            <w:tcW w:w="567" w:type="dxa"/>
            <w:tcMar>
              <w:left w:w="108" w:type="dxa"/>
              <w:right w:w="0" w:type="dxa"/>
            </w:tcMar>
          </w:tcPr>
          <w:p w:rsidR="004300E2" w:rsidRPr="008A0F36" w:rsidRDefault="004300E2" w:rsidP="004300E2">
            <w:pPr>
              <w:pStyle w:val="Numeroelenco"/>
              <w:ind w:left="0" w:firstLine="57"/>
              <w:rPr>
                <w:lang w:val="it-IT"/>
              </w:rPr>
            </w:pPr>
          </w:p>
        </w:tc>
        <w:tc>
          <w:tcPr>
            <w:tcW w:w="851" w:type="dxa"/>
            <w:tcMar>
              <w:right w:w="0" w:type="dxa"/>
            </w:tcMar>
          </w:tcPr>
          <w:p w:rsidR="004300E2" w:rsidRPr="008A0F36" w:rsidRDefault="004300E2" w:rsidP="004300E2">
            <w:pPr>
              <w:pStyle w:val="IAS"/>
              <w:rPr>
                <w:lang w:val="it-IT"/>
              </w:rPr>
            </w:pPr>
            <w:r w:rsidRPr="008A0F36">
              <w:rPr>
                <w:lang w:val="it-IT"/>
              </w:rPr>
              <w:t>IAS 1.79</w:t>
            </w:r>
          </w:p>
        </w:tc>
        <w:tc>
          <w:tcPr>
            <w:tcW w:w="7079" w:type="dxa"/>
          </w:tcPr>
          <w:p w:rsidR="004300E2" w:rsidRPr="008A0F36" w:rsidRDefault="004300E2" w:rsidP="004300E2">
            <w:pPr>
              <w:rPr>
                <w:lang w:val="it-IT"/>
              </w:rPr>
            </w:pPr>
            <w:r w:rsidRPr="008A0F36">
              <w:rPr>
                <w:lang w:val="it-IT"/>
              </w:rPr>
              <w:t xml:space="preserve">L’entità ha fornito nel prospetto della situazione patrimoniale-finanziaria, nel prospetto dei movimenti del patrimonio netto o nelle note al bilancio, le seguenti informazioni relative ad ogni categoria di azione (o per ogni categoria di patrimonio netto per un’entità senza capitale sociale) </w:t>
            </w:r>
          </w:p>
        </w:tc>
        <w:tc>
          <w:tcPr>
            <w:tcW w:w="575" w:type="dxa"/>
            <w:vAlign w:val="center"/>
          </w:tcPr>
          <w:p w:rsidR="004300E2" w:rsidRPr="00090BE7" w:rsidRDefault="004300E2" w:rsidP="004300E2">
            <w:pPr>
              <w:jc w:val="center"/>
              <w:rPr>
                <w:lang w:val="it-IT"/>
              </w:rPr>
            </w:pPr>
          </w:p>
        </w:tc>
        <w:tc>
          <w:tcPr>
            <w:tcW w:w="567" w:type="dxa"/>
            <w:vAlign w:val="center"/>
          </w:tcPr>
          <w:p w:rsidR="004300E2" w:rsidRPr="00090BE7" w:rsidRDefault="004300E2" w:rsidP="004300E2">
            <w:pPr>
              <w:jc w:val="center"/>
              <w:rPr>
                <w:lang w:val="it-IT"/>
              </w:rPr>
            </w:pPr>
          </w:p>
        </w:tc>
        <w:tc>
          <w:tcPr>
            <w:tcW w:w="567" w:type="dxa"/>
            <w:vAlign w:val="center"/>
          </w:tcPr>
          <w:p w:rsidR="004300E2" w:rsidRPr="00090BE7" w:rsidRDefault="004300E2" w:rsidP="004300E2">
            <w:pPr>
              <w:jc w:val="center"/>
              <w:rPr>
                <w:lang w:val="it-IT"/>
              </w:rPr>
            </w:pPr>
          </w:p>
        </w:tc>
      </w:tr>
      <w:tr w:rsidR="00D26424" w:rsidRPr="008A0F36" w:rsidTr="00940A6F">
        <w:trPr>
          <w:cantSplit/>
          <w:trHeight w:val="57"/>
        </w:trPr>
        <w:tc>
          <w:tcPr>
            <w:tcW w:w="567" w:type="dxa"/>
            <w:tcMar>
              <w:left w:w="108" w:type="dxa"/>
            </w:tcMar>
          </w:tcPr>
          <w:p w:rsidR="00D26424" w:rsidRPr="008A0F36" w:rsidRDefault="00D26424" w:rsidP="004300E2">
            <w:pPr>
              <w:pStyle w:val="IAS"/>
              <w:rPr>
                <w:lang w:val="it-IT"/>
              </w:rPr>
            </w:pPr>
          </w:p>
        </w:tc>
        <w:tc>
          <w:tcPr>
            <w:tcW w:w="851" w:type="dxa"/>
            <w:tcMar>
              <w:right w:w="0" w:type="dxa"/>
            </w:tcMar>
          </w:tcPr>
          <w:p w:rsidR="00D26424" w:rsidRPr="008A0F36" w:rsidRDefault="00D26424" w:rsidP="004300E2">
            <w:pPr>
              <w:pStyle w:val="IAS"/>
              <w:rPr>
                <w:lang w:val="it-IT"/>
              </w:rPr>
            </w:pPr>
          </w:p>
        </w:tc>
        <w:tc>
          <w:tcPr>
            <w:tcW w:w="7079" w:type="dxa"/>
          </w:tcPr>
          <w:p w:rsidR="00D26424" w:rsidRPr="008A0F36" w:rsidRDefault="00D26424" w:rsidP="004300E2">
            <w:pPr>
              <w:pStyle w:val="Rientroa"/>
              <w:numPr>
                <w:ilvl w:val="0"/>
                <w:numId w:val="59"/>
              </w:numPr>
              <w:rPr>
                <w:iCs/>
              </w:rPr>
            </w:pPr>
            <w:r w:rsidRPr="008A0F36">
              <w:t>numero di azioni autorizzate</w:t>
            </w:r>
          </w:p>
        </w:tc>
        <w:tc>
          <w:tcPr>
            <w:tcW w:w="575" w:type="dxa"/>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Height w:val="57"/>
        </w:trPr>
        <w:tc>
          <w:tcPr>
            <w:tcW w:w="567" w:type="dxa"/>
            <w:tcMar>
              <w:left w:w="108" w:type="dxa"/>
            </w:tcMar>
          </w:tcPr>
          <w:p w:rsidR="00D26424" w:rsidRPr="008A0F36" w:rsidRDefault="00D26424" w:rsidP="004300E2">
            <w:pPr>
              <w:pStyle w:val="IAS"/>
              <w:rPr>
                <w:lang w:val="it-IT"/>
              </w:rPr>
            </w:pPr>
          </w:p>
        </w:tc>
        <w:tc>
          <w:tcPr>
            <w:tcW w:w="851" w:type="dxa"/>
            <w:tcMar>
              <w:right w:w="0" w:type="dxa"/>
            </w:tcMar>
          </w:tcPr>
          <w:p w:rsidR="00D26424" w:rsidRPr="008A0F36" w:rsidRDefault="00D26424" w:rsidP="004300E2">
            <w:pPr>
              <w:pStyle w:val="IAS"/>
              <w:rPr>
                <w:lang w:val="it-IT"/>
              </w:rPr>
            </w:pPr>
          </w:p>
        </w:tc>
        <w:tc>
          <w:tcPr>
            <w:tcW w:w="7079" w:type="dxa"/>
          </w:tcPr>
          <w:p w:rsidR="00D26424" w:rsidRPr="008A0F36" w:rsidRDefault="00D26424" w:rsidP="004300E2">
            <w:pPr>
              <w:pStyle w:val="Rientroa"/>
            </w:pPr>
            <w:r w:rsidRPr="008A0F36">
              <w:t>numero di azioni emesse interamente versate ed emesse e non interamente versate</w:t>
            </w:r>
          </w:p>
        </w:tc>
        <w:tc>
          <w:tcPr>
            <w:tcW w:w="575" w:type="dxa"/>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Height w:val="57"/>
        </w:trPr>
        <w:tc>
          <w:tcPr>
            <w:tcW w:w="567" w:type="dxa"/>
            <w:tcMar>
              <w:left w:w="108" w:type="dxa"/>
            </w:tcMar>
          </w:tcPr>
          <w:p w:rsidR="00D26424" w:rsidRPr="008A0F36" w:rsidRDefault="00D26424" w:rsidP="004300E2">
            <w:pPr>
              <w:pStyle w:val="IAS"/>
              <w:rPr>
                <w:lang w:val="it-IT"/>
              </w:rPr>
            </w:pPr>
          </w:p>
        </w:tc>
        <w:tc>
          <w:tcPr>
            <w:tcW w:w="851" w:type="dxa"/>
            <w:tcMar>
              <w:right w:w="0" w:type="dxa"/>
            </w:tcMar>
          </w:tcPr>
          <w:p w:rsidR="00D26424" w:rsidRPr="008A0F36" w:rsidRDefault="00D26424" w:rsidP="004300E2">
            <w:pPr>
              <w:pStyle w:val="IAS"/>
              <w:rPr>
                <w:lang w:val="it-IT"/>
              </w:rPr>
            </w:pPr>
          </w:p>
        </w:tc>
        <w:tc>
          <w:tcPr>
            <w:tcW w:w="7079" w:type="dxa"/>
          </w:tcPr>
          <w:p w:rsidR="00D26424" w:rsidRPr="008A0F36" w:rsidRDefault="00D26424" w:rsidP="004300E2">
            <w:pPr>
              <w:pStyle w:val="Rientroa"/>
            </w:pPr>
            <w:r w:rsidRPr="008A0F36">
              <w:t>valore nominale per azione o il fatto che le azioni non hanno valore nominale</w:t>
            </w:r>
          </w:p>
        </w:tc>
        <w:tc>
          <w:tcPr>
            <w:tcW w:w="575" w:type="dxa"/>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Height w:val="57"/>
        </w:trPr>
        <w:tc>
          <w:tcPr>
            <w:tcW w:w="567" w:type="dxa"/>
            <w:tcMar>
              <w:left w:w="108" w:type="dxa"/>
            </w:tcMar>
          </w:tcPr>
          <w:p w:rsidR="00D26424" w:rsidRPr="008A0F36" w:rsidRDefault="00D26424" w:rsidP="004300E2">
            <w:pPr>
              <w:pStyle w:val="IAS"/>
              <w:rPr>
                <w:lang w:val="it-IT"/>
              </w:rPr>
            </w:pPr>
          </w:p>
        </w:tc>
        <w:tc>
          <w:tcPr>
            <w:tcW w:w="851" w:type="dxa"/>
            <w:tcMar>
              <w:right w:w="0" w:type="dxa"/>
            </w:tcMar>
          </w:tcPr>
          <w:p w:rsidR="00D26424" w:rsidRPr="008A0F36" w:rsidRDefault="00D26424" w:rsidP="004300E2">
            <w:pPr>
              <w:pStyle w:val="IAS"/>
              <w:rPr>
                <w:lang w:val="it-IT"/>
              </w:rPr>
            </w:pPr>
          </w:p>
        </w:tc>
        <w:tc>
          <w:tcPr>
            <w:tcW w:w="7079" w:type="dxa"/>
          </w:tcPr>
          <w:p w:rsidR="00D26424" w:rsidRPr="008A0F36" w:rsidRDefault="00D26424" w:rsidP="004300E2">
            <w:pPr>
              <w:pStyle w:val="Rientroa"/>
            </w:pPr>
            <w:r w:rsidRPr="008A0F36">
              <w:t>una riconciliazione fra il numero di azioni in circolazione all’inizio e alla fine dell’esercizio</w:t>
            </w:r>
          </w:p>
        </w:tc>
        <w:tc>
          <w:tcPr>
            <w:tcW w:w="575" w:type="dxa"/>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Height w:val="57"/>
        </w:trPr>
        <w:tc>
          <w:tcPr>
            <w:tcW w:w="567" w:type="dxa"/>
            <w:tcMar>
              <w:left w:w="108" w:type="dxa"/>
            </w:tcMar>
          </w:tcPr>
          <w:p w:rsidR="00D26424" w:rsidRPr="008A0F36" w:rsidRDefault="00D26424" w:rsidP="004300E2">
            <w:pPr>
              <w:pStyle w:val="IAS"/>
              <w:rPr>
                <w:lang w:val="it-IT"/>
              </w:rPr>
            </w:pPr>
          </w:p>
        </w:tc>
        <w:tc>
          <w:tcPr>
            <w:tcW w:w="851" w:type="dxa"/>
            <w:tcMar>
              <w:right w:w="0" w:type="dxa"/>
            </w:tcMar>
          </w:tcPr>
          <w:p w:rsidR="00D26424" w:rsidRPr="008A0F36" w:rsidRDefault="00D26424" w:rsidP="004300E2">
            <w:pPr>
              <w:pStyle w:val="IAS"/>
              <w:rPr>
                <w:lang w:val="it-IT"/>
              </w:rPr>
            </w:pPr>
          </w:p>
        </w:tc>
        <w:tc>
          <w:tcPr>
            <w:tcW w:w="7079" w:type="dxa"/>
          </w:tcPr>
          <w:p w:rsidR="00D26424" w:rsidRPr="008A0F36" w:rsidRDefault="00D26424" w:rsidP="00633C3A">
            <w:pPr>
              <w:pStyle w:val="Rientroa"/>
              <w:spacing w:line="214" w:lineRule="exact"/>
            </w:pPr>
            <w:r w:rsidRPr="008A0F36">
              <w:t>diritti, privilegi e vincoli relativi a ciascuna categoria di azioni inclusi i vincoli nella distribuzione dei dividendi e nel rimborso del capitale</w:t>
            </w:r>
          </w:p>
        </w:tc>
        <w:tc>
          <w:tcPr>
            <w:tcW w:w="575" w:type="dxa"/>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Height w:val="57"/>
        </w:trPr>
        <w:tc>
          <w:tcPr>
            <w:tcW w:w="567" w:type="dxa"/>
            <w:tcMar>
              <w:left w:w="108" w:type="dxa"/>
            </w:tcMar>
          </w:tcPr>
          <w:p w:rsidR="00D26424" w:rsidRPr="008A0F36" w:rsidRDefault="00D26424" w:rsidP="004300E2">
            <w:pPr>
              <w:pStyle w:val="IAS"/>
              <w:rPr>
                <w:lang w:val="it-IT"/>
              </w:rPr>
            </w:pPr>
          </w:p>
        </w:tc>
        <w:tc>
          <w:tcPr>
            <w:tcW w:w="851" w:type="dxa"/>
            <w:tcMar>
              <w:right w:w="0" w:type="dxa"/>
            </w:tcMar>
          </w:tcPr>
          <w:p w:rsidR="00D26424" w:rsidRPr="008A0F36" w:rsidRDefault="00D26424" w:rsidP="004300E2">
            <w:pPr>
              <w:pStyle w:val="IAS"/>
              <w:rPr>
                <w:lang w:val="it-IT"/>
              </w:rPr>
            </w:pPr>
            <w:r w:rsidRPr="008A0F36">
              <w:rPr>
                <w:lang w:val="it-IT"/>
              </w:rPr>
              <w:t>IAS 32.34</w:t>
            </w:r>
          </w:p>
          <w:p w:rsidR="00D26424" w:rsidRPr="008A0F36" w:rsidRDefault="00D26424" w:rsidP="004300E2">
            <w:pPr>
              <w:pStyle w:val="IAS"/>
              <w:rPr>
                <w:lang w:val="it-IT"/>
              </w:rPr>
            </w:pPr>
            <w:r w:rsidRPr="008A0F36">
              <w:rPr>
                <w:lang w:val="it-IT"/>
              </w:rPr>
              <w:t xml:space="preserve"> IAS 24.18</w:t>
            </w:r>
          </w:p>
        </w:tc>
        <w:tc>
          <w:tcPr>
            <w:tcW w:w="7079" w:type="dxa"/>
          </w:tcPr>
          <w:p w:rsidR="00D26424" w:rsidRPr="008A0F36" w:rsidRDefault="00D26424" w:rsidP="00633C3A">
            <w:pPr>
              <w:pStyle w:val="Rientroa"/>
              <w:spacing w:line="214" w:lineRule="exact"/>
            </w:pPr>
            <w:r w:rsidRPr="008A0F36">
              <w:t>le azioni proprie detenute dall’entità stessa o da sue controllate o collegate; e</w:t>
            </w:r>
          </w:p>
        </w:tc>
        <w:tc>
          <w:tcPr>
            <w:tcW w:w="575" w:type="dxa"/>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Height w:val="57"/>
        </w:trPr>
        <w:tc>
          <w:tcPr>
            <w:tcW w:w="567" w:type="dxa"/>
            <w:tcMar>
              <w:left w:w="108" w:type="dxa"/>
            </w:tcMar>
          </w:tcPr>
          <w:p w:rsidR="00D26424" w:rsidRPr="008A0F36" w:rsidRDefault="00D26424" w:rsidP="004300E2">
            <w:pPr>
              <w:pStyle w:val="IAS"/>
              <w:rPr>
                <w:lang w:val="it-IT"/>
              </w:rPr>
            </w:pPr>
          </w:p>
        </w:tc>
        <w:tc>
          <w:tcPr>
            <w:tcW w:w="851" w:type="dxa"/>
            <w:tcMar>
              <w:right w:w="0" w:type="dxa"/>
            </w:tcMar>
          </w:tcPr>
          <w:p w:rsidR="00D26424" w:rsidRPr="008A0F36" w:rsidRDefault="00D26424" w:rsidP="004300E2">
            <w:pPr>
              <w:pStyle w:val="IAS"/>
              <w:rPr>
                <w:lang w:val="it-IT"/>
              </w:rPr>
            </w:pPr>
          </w:p>
        </w:tc>
        <w:tc>
          <w:tcPr>
            <w:tcW w:w="7079" w:type="dxa"/>
          </w:tcPr>
          <w:p w:rsidR="00D26424" w:rsidRPr="008A0F36" w:rsidRDefault="00D26424" w:rsidP="00633C3A">
            <w:pPr>
              <w:pStyle w:val="Rientroa"/>
              <w:spacing w:line="214" w:lineRule="exact"/>
            </w:pPr>
            <w:r w:rsidRPr="008A0F36">
              <w:t>le azioni riservate per emissione sotto opzione e contratti di vendita incluse le condizioni e gli importi.</w:t>
            </w:r>
          </w:p>
        </w:tc>
        <w:tc>
          <w:tcPr>
            <w:tcW w:w="575" w:type="dxa"/>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Height w:val="57"/>
        </w:trPr>
        <w:tc>
          <w:tcPr>
            <w:tcW w:w="567" w:type="dxa"/>
            <w:tcMar>
              <w:left w:w="108" w:type="dxa"/>
            </w:tcMar>
          </w:tcPr>
          <w:p w:rsidR="00D26424" w:rsidRPr="008A0F36" w:rsidRDefault="00D26424" w:rsidP="004300E2">
            <w:pPr>
              <w:pStyle w:val="Numeroelenco"/>
              <w:ind w:left="0" w:firstLine="57"/>
              <w:rPr>
                <w:lang w:val="it-IT"/>
              </w:rPr>
            </w:pPr>
          </w:p>
        </w:tc>
        <w:tc>
          <w:tcPr>
            <w:tcW w:w="851" w:type="dxa"/>
            <w:tcMar>
              <w:right w:w="0" w:type="dxa"/>
            </w:tcMar>
          </w:tcPr>
          <w:p w:rsidR="00D26424" w:rsidRPr="008A0F36" w:rsidRDefault="00D26424" w:rsidP="004300E2">
            <w:pPr>
              <w:pStyle w:val="IAS"/>
              <w:rPr>
                <w:lang w:val="it-IT"/>
              </w:rPr>
            </w:pPr>
            <w:r w:rsidRPr="008A0F36">
              <w:rPr>
                <w:lang w:val="it-IT"/>
              </w:rPr>
              <w:t>IAS 1.79</w:t>
            </w:r>
          </w:p>
        </w:tc>
        <w:tc>
          <w:tcPr>
            <w:tcW w:w="7079" w:type="dxa"/>
          </w:tcPr>
          <w:p w:rsidR="00D26424" w:rsidRPr="008A0F36" w:rsidRDefault="00D26424" w:rsidP="00633C3A">
            <w:pPr>
              <w:spacing w:line="214" w:lineRule="exact"/>
              <w:rPr>
                <w:lang w:val="it-IT"/>
              </w:rPr>
            </w:pPr>
            <w:r w:rsidRPr="008A0F36">
              <w:rPr>
                <w:lang w:val="it-IT"/>
              </w:rPr>
              <w:t>L’entità descrive la natura e obiettivo di ogni riserva inclusa nel patrimonio netto.</w:t>
            </w:r>
          </w:p>
        </w:tc>
        <w:tc>
          <w:tcPr>
            <w:tcW w:w="575" w:type="dxa"/>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Height w:val="57"/>
        </w:trPr>
        <w:tc>
          <w:tcPr>
            <w:tcW w:w="567" w:type="dxa"/>
            <w:tcMar>
              <w:left w:w="108" w:type="dxa"/>
            </w:tcMar>
          </w:tcPr>
          <w:p w:rsidR="00D26424" w:rsidRPr="008A0F36" w:rsidRDefault="00D26424" w:rsidP="004300E2">
            <w:pPr>
              <w:pStyle w:val="Numeroelenco"/>
              <w:ind w:left="0" w:firstLine="57"/>
              <w:rPr>
                <w:lang w:val="it-IT"/>
              </w:rPr>
            </w:pPr>
          </w:p>
        </w:tc>
        <w:tc>
          <w:tcPr>
            <w:tcW w:w="851" w:type="dxa"/>
            <w:tcMar>
              <w:right w:w="0" w:type="dxa"/>
            </w:tcMar>
          </w:tcPr>
          <w:p w:rsidR="00D26424" w:rsidRPr="008A0F36" w:rsidRDefault="00D26424" w:rsidP="004300E2">
            <w:pPr>
              <w:pStyle w:val="IAS"/>
              <w:rPr>
                <w:lang w:val="it-IT"/>
              </w:rPr>
            </w:pPr>
            <w:r w:rsidRPr="008A0F36">
              <w:rPr>
                <w:lang w:val="it-IT"/>
              </w:rPr>
              <w:t>IAS 32.34</w:t>
            </w:r>
          </w:p>
          <w:p w:rsidR="00D26424" w:rsidRPr="008A0F36" w:rsidRDefault="00D26424" w:rsidP="004300E2">
            <w:pPr>
              <w:pStyle w:val="IAS"/>
              <w:rPr>
                <w:lang w:val="it-IT"/>
              </w:rPr>
            </w:pPr>
            <w:r w:rsidRPr="008A0F36">
              <w:rPr>
                <w:lang w:val="it-IT"/>
              </w:rPr>
              <w:t xml:space="preserve"> IAS 24.18</w:t>
            </w:r>
          </w:p>
        </w:tc>
        <w:tc>
          <w:tcPr>
            <w:tcW w:w="7079" w:type="dxa"/>
          </w:tcPr>
          <w:p w:rsidR="00D26424" w:rsidRPr="008A0F36" w:rsidRDefault="00D26424" w:rsidP="00633C3A">
            <w:pPr>
              <w:spacing w:line="214" w:lineRule="exact"/>
              <w:rPr>
                <w:lang w:val="it-IT"/>
              </w:rPr>
            </w:pPr>
            <w:r w:rsidRPr="008A0F36">
              <w:rPr>
                <w:lang w:val="it-IT"/>
              </w:rPr>
              <w:t>L’entità ha dato un’informativa in conformità allo IAS 24, se ha riacquistato le proprie azioni da parti correlate.</w:t>
            </w:r>
          </w:p>
        </w:tc>
        <w:tc>
          <w:tcPr>
            <w:tcW w:w="575" w:type="dxa"/>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57"/>
        </w:trPr>
        <w:tc>
          <w:tcPr>
            <w:tcW w:w="567" w:type="dxa"/>
            <w:tcMar>
              <w:left w:w="108" w:type="dxa"/>
              <w:right w:w="0" w:type="dxa"/>
            </w:tcMar>
          </w:tcPr>
          <w:p w:rsidR="004300E2" w:rsidRPr="008A0F36" w:rsidRDefault="004300E2" w:rsidP="004300E2">
            <w:pPr>
              <w:pStyle w:val="IAS"/>
              <w:spacing w:after="0"/>
              <w:rPr>
                <w:lang w:val="it-IT"/>
              </w:rPr>
            </w:pPr>
          </w:p>
        </w:tc>
        <w:tc>
          <w:tcPr>
            <w:tcW w:w="851" w:type="dxa"/>
            <w:tcMar>
              <w:right w:w="0" w:type="dxa"/>
            </w:tcMar>
          </w:tcPr>
          <w:p w:rsidR="004300E2" w:rsidRPr="008A0F36" w:rsidRDefault="004300E2" w:rsidP="004300E2">
            <w:pPr>
              <w:pStyle w:val="IAS"/>
              <w:spacing w:after="0"/>
              <w:rPr>
                <w:lang w:val="it-IT"/>
              </w:rPr>
            </w:pPr>
          </w:p>
        </w:tc>
        <w:tc>
          <w:tcPr>
            <w:tcW w:w="7079" w:type="dxa"/>
          </w:tcPr>
          <w:p w:rsidR="004300E2" w:rsidRPr="008A0F36" w:rsidRDefault="004300E2" w:rsidP="004300E2">
            <w:pPr>
              <w:pStyle w:val="Titolo2"/>
              <w:spacing w:after="0"/>
              <w:rPr>
                <w:lang w:val="it-IT"/>
              </w:rPr>
            </w:pPr>
            <w:r w:rsidRPr="008A0F36">
              <w:rPr>
                <w:lang w:val="it-IT"/>
              </w:rPr>
              <w:t>Azioni di soci in società cooperative e strumenti simili</w:t>
            </w:r>
          </w:p>
        </w:tc>
        <w:tc>
          <w:tcPr>
            <w:tcW w:w="575" w:type="dxa"/>
            <w:vAlign w:val="center"/>
          </w:tcPr>
          <w:p w:rsidR="004300E2" w:rsidRPr="00090BE7" w:rsidRDefault="004300E2" w:rsidP="004300E2">
            <w:pPr>
              <w:spacing w:after="0"/>
              <w:jc w:val="center"/>
              <w:rPr>
                <w:lang w:val="it-IT"/>
              </w:rPr>
            </w:pPr>
          </w:p>
        </w:tc>
        <w:tc>
          <w:tcPr>
            <w:tcW w:w="567" w:type="dxa"/>
            <w:vAlign w:val="center"/>
          </w:tcPr>
          <w:p w:rsidR="004300E2" w:rsidRPr="00090BE7" w:rsidRDefault="004300E2" w:rsidP="004300E2">
            <w:pPr>
              <w:spacing w:after="0"/>
              <w:jc w:val="center"/>
              <w:rPr>
                <w:lang w:val="it-IT"/>
              </w:rPr>
            </w:pPr>
          </w:p>
        </w:tc>
        <w:tc>
          <w:tcPr>
            <w:tcW w:w="567" w:type="dxa"/>
            <w:vAlign w:val="center"/>
          </w:tcPr>
          <w:p w:rsidR="004300E2" w:rsidRPr="00090BE7" w:rsidRDefault="004300E2" w:rsidP="004300E2">
            <w:pPr>
              <w:spacing w:after="0"/>
              <w:jc w:val="center"/>
              <w:rPr>
                <w:lang w:val="it-IT"/>
              </w:rPr>
            </w:pPr>
          </w:p>
        </w:tc>
      </w:tr>
      <w:tr w:rsidR="004300E2" w:rsidRPr="00A44ECD" w:rsidTr="00940A6F">
        <w:trPr>
          <w:cantSplit/>
          <w:trHeight w:val="57"/>
        </w:trPr>
        <w:tc>
          <w:tcPr>
            <w:tcW w:w="567" w:type="dxa"/>
            <w:tcMar>
              <w:left w:w="108" w:type="dxa"/>
            </w:tcMar>
          </w:tcPr>
          <w:p w:rsidR="004300E2" w:rsidRPr="008A0F36" w:rsidRDefault="004300E2" w:rsidP="004300E2">
            <w:pPr>
              <w:pStyle w:val="IAS"/>
              <w:rPr>
                <w:lang w:val="it-IT"/>
              </w:rPr>
            </w:pPr>
          </w:p>
        </w:tc>
        <w:tc>
          <w:tcPr>
            <w:tcW w:w="851" w:type="dxa"/>
            <w:tcMar>
              <w:right w:w="0" w:type="dxa"/>
            </w:tcMar>
          </w:tcPr>
          <w:p w:rsidR="004300E2" w:rsidRPr="008A0F36" w:rsidRDefault="004300E2" w:rsidP="004300E2">
            <w:pPr>
              <w:pStyle w:val="IAS"/>
              <w:rPr>
                <w:lang w:val="it-IT"/>
              </w:rPr>
            </w:pPr>
            <w:r w:rsidRPr="008A0F36">
              <w:rPr>
                <w:lang w:val="it-IT"/>
              </w:rPr>
              <w:t>IFRIC 2.5</w:t>
            </w:r>
          </w:p>
          <w:p w:rsidR="004300E2" w:rsidRPr="008A0F36" w:rsidRDefault="004300E2" w:rsidP="004300E2">
            <w:pPr>
              <w:pStyle w:val="IAS"/>
              <w:rPr>
                <w:lang w:val="it-IT"/>
              </w:rPr>
            </w:pPr>
            <w:r w:rsidRPr="008A0F36">
              <w:rPr>
                <w:lang w:val="it-IT"/>
              </w:rPr>
              <w:t>IFRIC 2.8</w:t>
            </w:r>
          </w:p>
        </w:tc>
        <w:tc>
          <w:tcPr>
            <w:tcW w:w="7079" w:type="dxa"/>
          </w:tcPr>
          <w:p w:rsidR="004300E2" w:rsidRPr="008A0F36" w:rsidRDefault="004300E2" w:rsidP="00C10AFA">
            <w:pPr>
              <w:pStyle w:val="Paragarfobordato"/>
            </w:pPr>
            <w:r w:rsidRPr="008A0F36">
              <w:t>Il diritto contrattuale del possessore di uno strumento finanziario (incluse le azioni dei soci in entità cooperative) di richiedere il rimborso non comporta di per sé che uno strumento finanziario sia classificato come una passività finanziaria. Piuttosto, l’entità deve considerare tutti i termini e le condizioni dello strumento finanziario nel determinare la sua classificazione come passività finanziaria o patrimonio netto. Tali termini e condizioni includono le leggi locali pertinenti, i regolamenti e lo statuto dell’entità che possono imporre diversi tipi di divieti in merito al rimborso delle azioni dei soci.</w:t>
            </w:r>
          </w:p>
        </w:tc>
        <w:tc>
          <w:tcPr>
            <w:tcW w:w="575" w:type="dxa"/>
            <w:vAlign w:val="center"/>
          </w:tcPr>
          <w:p w:rsidR="004300E2" w:rsidRPr="00090BE7" w:rsidRDefault="004300E2" w:rsidP="004300E2">
            <w:pPr>
              <w:jc w:val="center"/>
              <w:rPr>
                <w:lang w:val="it-IT"/>
              </w:rPr>
            </w:pPr>
          </w:p>
        </w:tc>
        <w:tc>
          <w:tcPr>
            <w:tcW w:w="567" w:type="dxa"/>
            <w:vAlign w:val="center"/>
          </w:tcPr>
          <w:p w:rsidR="004300E2" w:rsidRPr="00090BE7" w:rsidRDefault="004300E2" w:rsidP="004300E2">
            <w:pPr>
              <w:jc w:val="center"/>
              <w:rPr>
                <w:lang w:val="it-IT"/>
              </w:rPr>
            </w:pPr>
          </w:p>
        </w:tc>
        <w:tc>
          <w:tcPr>
            <w:tcW w:w="567" w:type="dxa"/>
            <w:vAlign w:val="center"/>
          </w:tcPr>
          <w:p w:rsidR="004300E2" w:rsidRPr="00090BE7" w:rsidRDefault="004300E2" w:rsidP="004300E2">
            <w:pPr>
              <w:jc w:val="center"/>
              <w:rPr>
                <w:lang w:val="it-IT"/>
              </w:rPr>
            </w:pPr>
          </w:p>
        </w:tc>
      </w:tr>
      <w:tr w:rsidR="00D26424" w:rsidRPr="008129DA" w:rsidTr="00940A6F">
        <w:trPr>
          <w:cantSplit/>
          <w:trHeight w:val="57"/>
        </w:trPr>
        <w:tc>
          <w:tcPr>
            <w:tcW w:w="567" w:type="dxa"/>
            <w:tcMar>
              <w:left w:w="108" w:type="dxa"/>
            </w:tcMar>
          </w:tcPr>
          <w:p w:rsidR="00D26424" w:rsidRPr="008A0F36" w:rsidRDefault="00D26424" w:rsidP="004300E2">
            <w:pPr>
              <w:pStyle w:val="Numeroelenco"/>
              <w:ind w:left="0" w:firstLine="57"/>
              <w:rPr>
                <w:lang w:val="it-IT"/>
              </w:rPr>
            </w:pPr>
          </w:p>
        </w:tc>
        <w:tc>
          <w:tcPr>
            <w:tcW w:w="851" w:type="dxa"/>
            <w:tcMar>
              <w:right w:w="0" w:type="dxa"/>
            </w:tcMar>
          </w:tcPr>
          <w:p w:rsidR="00D26424" w:rsidRPr="008A0F36" w:rsidRDefault="00D26424" w:rsidP="004300E2">
            <w:pPr>
              <w:pStyle w:val="IAS"/>
              <w:rPr>
                <w:lang w:val="it-IT"/>
              </w:rPr>
            </w:pPr>
            <w:r w:rsidRPr="008A0F36">
              <w:rPr>
                <w:lang w:val="it-IT"/>
              </w:rPr>
              <w:t>IFRIC 2.13</w:t>
            </w:r>
          </w:p>
        </w:tc>
        <w:tc>
          <w:tcPr>
            <w:tcW w:w="7079" w:type="dxa"/>
          </w:tcPr>
          <w:p w:rsidR="00D26424" w:rsidRPr="008A0F36" w:rsidRDefault="00D26424" w:rsidP="00633C3A">
            <w:pPr>
              <w:spacing w:line="214" w:lineRule="exact"/>
              <w:rPr>
                <w:lang w:val="it-IT"/>
              </w:rPr>
            </w:pPr>
            <w:r w:rsidRPr="008A0F36">
              <w:rPr>
                <w:lang w:val="it-IT"/>
              </w:rPr>
              <w:t>Quando un cambiamento nel divieto di rimborso porta a un trasferimento tra passività finanziarie e patrimonio netto, l’entità deve indicare separatamente l’importo, i tempi e la ragione del trasferimento.</w:t>
            </w:r>
          </w:p>
        </w:tc>
        <w:tc>
          <w:tcPr>
            <w:tcW w:w="575" w:type="dxa"/>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57"/>
        </w:trPr>
        <w:tc>
          <w:tcPr>
            <w:tcW w:w="567" w:type="dxa"/>
            <w:tcMar>
              <w:left w:w="108" w:type="dxa"/>
            </w:tcMar>
            <w:vAlign w:val="center"/>
          </w:tcPr>
          <w:p w:rsidR="004300E2" w:rsidRPr="008A0F36" w:rsidRDefault="004300E2" w:rsidP="00537014">
            <w:pPr>
              <w:pStyle w:val="IAS"/>
              <w:spacing w:before="20"/>
              <w:jc w:val="left"/>
              <w:rPr>
                <w:lang w:val="it-IT"/>
              </w:rPr>
            </w:pPr>
          </w:p>
        </w:tc>
        <w:tc>
          <w:tcPr>
            <w:tcW w:w="851" w:type="dxa"/>
            <w:tcMar>
              <w:left w:w="108" w:type="dxa"/>
              <w:right w:w="0" w:type="dxa"/>
            </w:tcMar>
            <w:vAlign w:val="center"/>
          </w:tcPr>
          <w:p w:rsidR="004300E2" w:rsidRPr="008A0F36" w:rsidRDefault="004300E2" w:rsidP="004300E2">
            <w:pPr>
              <w:pStyle w:val="IAS"/>
              <w:pageBreakBefore/>
              <w:spacing w:before="20"/>
              <w:jc w:val="left"/>
              <w:rPr>
                <w:lang w:val="it-IT"/>
              </w:rPr>
            </w:pPr>
          </w:p>
        </w:tc>
        <w:tc>
          <w:tcPr>
            <w:tcW w:w="7079" w:type="dxa"/>
            <w:tcMar>
              <w:left w:w="108" w:type="dxa"/>
            </w:tcMar>
            <w:vAlign w:val="center"/>
          </w:tcPr>
          <w:p w:rsidR="004300E2" w:rsidRPr="008A0F36" w:rsidRDefault="004300E2" w:rsidP="004300E2">
            <w:pPr>
              <w:pStyle w:val="Titolo1"/>
              <w:pageBreakBefore/>
              <w:spacing w:before="20" w:after="20"/>
            </w:pPr>
            <w:r w:rsidRPr="008A0F36">
              <w:t>EVENTI SUCCESSIVI ALLA CHIUSURA DELL’ESERCIZIO</w:t>
            </w:r>
          </w:p>
        </w:tc>
        <w:tc>
          <w:tcPr>
            <w:tcW w:w="575" w:type="dxa"/>
            <w:tcMar>
              <w:left w:w="85" w:type="dxa"/>
              <w:right w:w="85" w:type="dxa"/>
            </w:tcMar>
            <w:vAlign w:val="center"/>
          </w:tcPr>
          <w:p w:rsidR="004300E2" w:rsidRPr="00090BE7" w:rsidRDefault="004300E2" w:rsidP="004300E2">
            <w:pPr>
              <w:pageBreakBefore/>
              <w:jc w:val="left"/>
              <w:rPr>
                <w:lang w:val="it-IT"/>
              </w:rPr>
            </w:pPr>
          </w:p>
        </w:tc>
        <w:tc>
          <w:tcPr>
            <w:tcW w:w="567" w:type="dxa"/>
            <w:tcMar>
              <w:left w:w="108" w:type="dxa"/>
            </w:tcMar>
            <w:vAlign w:val="center"/>
          </w:tcPr>
          <w:p w:rsidR="004300E2" w:rsidRPr="00090BE7" w:rsidRDefault="004300E2" w:rsidP="004300E2">
            <w:pPr>
              <w:pageBreakBefore/>
              <w:jc w:val="left"/>
              <w:rPr>
                <w:lang w:val="it-IT"/>
              </w:rPr>
            </w:pPr>
          </w:p>
        </w:tc>
        <w:tc>
          <w:tcPr>
            <w:tcW w:w="567" w:type="dxa"/>
            <w:tcMar>
              <w:left w:w="108" w:type="dxa"/>
            </w:tcMar>
            <w:vAlign w:val="center"/>
          </w:tcPr>
          <w:p w:rsidR="004300E2" w:rsidRPr="00090BE7" w:rsidRDefault="004300E2" w:rsidP="004300E2">
            <w:pPr>
              <w:pageBreakBefore/>
              <w:jc w:val="left"/>
              <w:rPr>
                <w:lang w:val="it-IT"/>
              </w:rPr>
            </w:pPr>
          </w:p>
        </w:tc>
      </w:tr>
      <w:tr w:rsidR="00D26424" w:rsidRPr="008129DA" w:rsidTr="00940A6F">
        <w:trPr>
          <w:cantSplit/>
          <w:trHeight w:val="57"/>
        </w:trPr>
        <w:tc>
          <w:tcPr>
            <w:tcW w:w="567" w:type="dxa"/>
            <w:tcMar>
              <w:left w:w="108" w:type="dxa"/>
            </w:tcMar>
          </w:tcPr>
          <w:p w:rsidR="00D26424" w:rsidRPr="008A0F36" w:rsidRDefault="00D26424" w:rsidP="004300E2">
            <w:pPr>
              <w:pStyle w:val="Numeroelenco"/>
              <w:ind w:left="0" w:firstLine="57"/>
              <w:rPr>
                <w:lang w:val="it-IT"/>
              </w:rPr>
            </w:pPr>
          </w:p>
        </w:tc>
        <w:tc>
          <w:tcPr>
            <w:tcW w:w="851" w:type="dxa"/>
            <w:tcMar>
              <w:left w:w="108" w:type="dxa"/>
              <w:right w:w="0" w:type="dxa"/>
            </w:tcMar>
          </w:tcPr>
          <w:p w:rsidR="00D26424" w:rsidRPr="008A0F36" w:rsidRDefault="00D26424" w:rsidP="004300E2">
            <w:pPr>
              <w:pStyle w:val="IAS"/>
              <w:rPr>
                <w:lang w:val="it-IT"/>
              </w:rPr>
            </w:pPr>
            <w:r w:rsidRPr="008A0F36">
              <w:rPr>
                <w:lang w:val="it-IT"/>
              </w:rPr>
              <w:t>IAS 10.19</w:t>
            </w:r>
          </w:p>
        </w:tc>
        <w:tc>
          <w:tcPr>
            <w:tcW w:w="7079" w:type="dxa"/>
            <w:tcMar>
              <w:left w:w="108" w:type="dxa"/>
            </w:tcMar>
          </w:tcPr>
          <w:p w:rsidR="00D26424" w:rsidRPr="008A0F36" w:rsidRDefault="00D26424" w:rsidP="00E80DA1">
            <w:pPr>
              <w:pageBreakBefore/>
              <w:rPr>
                <w:lang w:val="it-IT"/>
              </w:rPr>
            </w:pPr>
            <w:r w:rsidRPr="008A0F36">
              <w:rPr>
                <w:lang w:val="it-IT"/>
              </w:rPr>
              <w:t>E’ stato effettuato un aggiornamento dell’informativa contenuta nel bilancio al fine di riflettere l’informazione ricevuta dopo la data di chiusura dell’esercizio, ma che è relativa a condizioni che esistevano a tale data</w:t>
            </w:r>
            <w:r>
              <w:rPr>
                <w:lang w:val="it-IT"/>
              </w:rPr>
              <w:t>.</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57"/>
        </w:trPr>
        <w:tc>
          <w:tcPr>
            <w:tcW w:w="567" w:type="dxa"/>
            <w:tcMar>
              <w:left w:w="108" w:type="dxa"/>
            </w:tcMar>
          </w:tcPr>
          <w:p w:rsidR="004300E2" w:rsidRPr="008A0F36" w:rsidRDefault="004300E2" w:rsidP="00636C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10.21</w:t>
            </w:r>
          </w:p>
          <w:p w:rsidR="004300E2" w:rsidRPr="008A0F36" w:rsidRDefault="004300E2" w:rsidP="004300E2">
            <w:pPr>
              <w:pStyle w:val="IAS"/>
              <w:rPr>
                <w:lang w:val="it-IT"/>
              </w:rPr>
            </w:pPr>
            <w:r w:rsidRPr="008A0F36">
              <w:rPr>
                <w:lang w:val="it-IT"/>
              </w:rPr>
              <w:t xml:space="preserve"> IAS 10.22</w:t>
            </w:r>
          </w:p>
          <w:p w:rsidR="004300E2" w:rsidRPr="008A0F36" w:rsidRDefault="004300E2" w:rsidP="004300E2">
            <w:pPr>
              <w:pStyle w:val="IAS"/>
              <w:rPr>
                <w:lang w:val="it-IT"/>
              </w:rPr>
            </w:pPr>
          </w:p>
        </w:tc>
        <w:tc>
          <w:tcPr>
            <w:tcW w:w="7079" w:type="dxa"/>
            <w:tcMar>
              <w:left w:w="108" w:type="dxa"/>
            </w:tcMar>
          </w:tcPr>
          <w:p w:rsidR="004300E2" w:rsidRPr="008A0F36" w:rsidRDefault="004300E2" w:rsidP="00E80DA1">
            <w:pPr>
              <w:pageBreakBefore/>
              <w:rPr>
                <w:lang w:val="it-IT"/>
              </w:rPr>
            </w:pPr>
            <w:r w:rsidRPr="008A0F36">
              <w:rPr>
                <w:lang w:val="it-IT"/>
              </w:rPr>
              <w:t>Se i fatti successivi che non comportano rettifica sono significativi al punto che la loro omessa informazione potrebbe influenzare le decisioni economiche degli utilizzatori del bilancio prese sulla base del bilancio, l’entità ha dato le seguenti informazioni per ogni significativa categoria di fatti successivi che non comportano rettifica (lo IAS 10.22 fornisce esempi di tali eventi):</w:t>
            </w:r>
          </w:p>
        </w:tc>
        <w:tc>
          <w:tcPr>
            <w:tcW w:w="575" w:type="dxa"/>
            <w:tcMar>
              <w:left w:w="85" w:type="dxa"/>
              <w:right w:w="85" w:type="dxa"/>
            </w:tcMar>
            <w:vAlign w:val="center"/>
          </w:tcPr>
          <w:p w:rsidR="004300E2" w:rsidRPr="003E3E83" w:rsidRDefault="004300E2" w:rsidP="004300E2">
            <w:pPr>
              <w:jc w:val="center"/>
              <w:rPr>
                <w:lang w:val="it-IT"/>
              </w:rPr>
            </w:pPr>
          </w:p>
        </w:tc>
        <w:tc>
          <w:tcPr>
            <w:tcW w:w="567" w:type="dxa"/>
            <w:tcMar>
              <w:left w:w="108" w:type="dxa"/>
            </w:tcMar>
            <w:vAlign w:val="center"/>
          </w:tcPr>
          <w:p w:rsidR="004300E2" w:rsidRPr="003E3E83" w:rsidRDefault="004300E2" w:rsidP="004300E2">
            <w:pPr>
              <w:jc w:val="center"/>
              <w:rPr>
                <w:lang w:val="it-IT"/>
              </w:rPr>
            </w:pPr>
          </w:p>
        </w:tc>
        <w:tc>
          <w:tcPr>
            <w:tcW w:w="567" w:type="dxa"/>
            <w:tcMar>
              <w:left w:w="108" w:type="dxa"/>
            </w:tcMar>
            <w:vAlign w:val="center"/>
          </w:tcPr>
          <w:p w:rsidR="004300E2" w:rsidRPr="003E3E83" w:rsidRDefault="004300E2" w:rsidP="004300E2">
            <w:pPr>
              <w:jc w:val="center"/>
              <w:rPr>
                <w:lang w:val="it-IT"/>
              </w:rPr>
            </w:pPr>
          </w:p>
        </w:tc>
      </w:tr>
      <w:tr w:rsidR="00D26424" w:rsidRPr="008A0F36" w:rsidTr="00940A6F">
        <w:trPr>
          <w:cantSplit/>
          <w:trHeight w:val="57"/>
        </w:trPr>
        <w:tc>
          <w:tcPr>
            <w:tcW w:w="567" w:type="dxa"/>
            <w:tcMar>
              <w:left w:w="108" w:type="dxa"/>
            </w:tcMar>
          </w:tcPr>
          <w:p w:rsidR="00D26424" w:rsidRPr="008A0F36" w:rsidRDefault="00D26424" w:rsidP="004300E2">
            <w:pPr>
              <w:pStyle w:val="IAS"/>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8A0F36" w:rsidRDefault="00D26424" w:rsidP="00E80DA1">
            <w:pPr>
              <w:pStyle w:val="Rientroa"/>
              <w:numPr>
                <w:ilvl w:val="0"/>
                <w:numId w:val="60"/>
              </w:numPr>
              <w:rPr>
                <w:iCs/>
              </w:rPr>
            </w:pPr>
            <w:r w:rsidRPr="008A0F36">
              <w:t>la natura dell’evento; e</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26424" w:rsidRPr="008129DA" w:rsidTr="00940A6F">
        <w:trPr>
          <w:cantSplit/>
          <w:trHeight w:val="57"/>
        </w:trPr>
        <w:tc>
          <w:tcPr>
            <w:tcW w:w="567" w:type="dxa"/>
            <w:tcMar>
              <w:left w:w="108" w:type="dxa"/>
            </w:tcMar>
          </w:tcPr>
          <w:p w:rsidR="00D26424" w:rsidRPr="008A0F36" w:rsidRDefault="00D26424" w:rsidP="004300E2">
            <w:pPr>
              <w:pStyle w:val="IAS"/>
              <w:rPr>
                <w:lang w:val="it-IT"/>
              </w:rPr>
            </w:pPr>
          </w:p>
        </w:tc>
        <w:tc>
          <w:tcPr>
            <w:tcW w:w="851" w:type="dxa"/>
            <w:tcMar>
              <w:left w:w="108" w:type="dxa"/>
              <w:right w:w="0" w:type="dxa"/>
            </w:tcMar>
          </w:tcPr>
          <w:p w:rsidR="00D26424" w:rsidRPr="008A0F36" w:rsidRDefault="00D26424" w:rsidP="004300E2">
            <w:pPr>
              <w:pStyle w:val="IAS"/>
              <w:rPr>
                <w:lang w:val="it-IT"/>
              </w:rPr>
            </w:pPr>
          </w:p>
        </w:tc>
        <w:tc>
          <w:tcPr>
            <w:tcW w:w="7079" w:type="dxa"/>
            <w:tcMar>
              <w:left w:w="108" w:type="dxa"/>
            </w:tcMar>
          </w:tcPr>
          <w:p w:rsidR="00D26424" w:rsidRPr="008A0F36" w:rsidRDefault="00D26424" w:rsidP="00E80DA1">
            <w:pPr>
              <w:pStyle w:val="Rientroa"/>
            </w:pPr>
            <w:r w:rsidRPr="008A0F36">
              <w:t>una stima del suo effetto sul bilancio o una dichiarazione che tale stima non può essere effettuata</w:t>
            </w:r>
            <w:r w:rsidRPr="008A0F36">
              <w:rPr>
                <w:i/>
              </w:rPr>
              <w:t>.</w:t>
            </w:r>
          </w:p>
        </w:tc>
        <w:tc>
          <w:tcPr>
            <w:tcW w:w="575" w:type="dxa"/>
            <w:tcMar>
              <w:left w:w="85" w:type="dxa"/>
              <w:right w:w="85"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D26424" w:rsidRPr="00A32A16" w:rsidRDefault="00D2642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3A7F8A" w:rsidTr="00940A6F">
        <w:trPr>
          <w:cantSplit/>
          <w:trHeight w:val="57"/>
        </w:trPr>
        <w:tc>
          <w:tcPr>
            <w:tcW w:w="567" w:type="dxa"/>
            <w:tcMar>
              <w:left w:w="108" w:type="dxa"/>
            </w:tcMar>
            <w:vAlign w:val="center"/>
          </w:tcPr>
          <w:p w:rsidR="004300E2" w:rsidRPr="008A0F36" w:rsidRDefault="004300E2" w:rsidP="004300E2">
            <w:pPr>
              <w:pStyle w:val="IAS"/>
              <w:spacing w:before="20"/>
              <w:jc w:val="left"/>
              <w:rPr>
                <w:lang w:val="it-IT"/>
              </w:rPr>
            </w:pPr>
          </w:p>
        </w:tc>
        <w:tc>
          <w:tcPr>
            <w:tcW w:w="851" w:type="dxa"/>
            <w:tcMar>
              <w:left w:w="108" w:type="dxa"/>
              <w:right w:w="0" w:type="dxa"/>
            </w:tcMar>
            <w:vAlign w:val="center"/>
          </w:tcPr>
          <w:p w:rsidR="004300E2" w:rsidRPr="008A0F36" w:rsidRDefault="004300E2" w:rsidP="004300E2">
            <w:pPr>
              <w:pStyle w:val="IAS"/>
              <w:spacing w:before="20"/>
              <w:jc w:val="left"/>
              <w:rPr>
                <w:lang w:val="it-IT"/>
              </w:rPr>
            </w:pPr>
          </w:p>
        </w:tc>
        <w:tc>
          <w:tcPr>
            <w:tcW w:w="7079" w:type="dxa"/>
            <w:tcMar>
              <w:left w:w="108" w:type="dxa"/>
            </w:tcMar>
            <w:vAlign w:val="center"/>
          </w:tcPr>
          <w:p w:rsidR="004300E2" w:rsidRDefault="004300E2" w:rsidP="004300E2">
            <w:pPr>
              <w:pStyle w:val="Titolo1"/>
              <w:spacing w:before="20" w:after="20"/>
              <w:rPr>
                <w:iCs/>
              </w:rPr>
            </w:pPr>
            <w:r>
              <w:t xml:space="preserve">VALUTAZIONE DEL </w:t>
            </w:r>
            <w:r w:rsidRPr="005F6918">
              <w:rPr>
                <w:i/>
              </w:rPr>
              <w:t>FAIR VALUE</w:t>
            </w:r>
          </w:p>
        </w:tc>
        <w:tc>
          <w:tcPr>
            <w:tcW w:w="575" w:type="dxa"/>
            <w:tcMar>
              <w:left w:w="85" w:type="dxa"/>
              <w:right w:w="85" w:type="dxa"/>
            </w:tcMar>
            <w:vAlign w:val="center"/>
          </w:tcPr>
          <w:p w:rsidR="004300E2" w:rsidRPr="003E3E83" w:rsidRDefault="004300E2" w:rsidP="004300E2">
            <w:pPr>
              <w:jc w:val="left"/>
              <w:rPr>
                <w:lang w:val="it-IT"/>
              </w:rPr>
            </w:pPr>
          </w:p>
        </w:tc>
        <w:tc>
          <w:tcPr>
            <w:tcW w:w="567" w:type="dxa"/>
            <w:tcMar>
              <w:left w:w="108" w:type="dxa"/>
            </w:tcMar>
            <w:vAlign w:val="center"/>
          </w:tcPr>
          <w:p w:rsidR="004300E2" w:rsidRPr="003E3E83" w:rsidRDefault="004300E2" w:rsidP="004300E2">
            <w:pPr>
              <w:jc w:val="left"/>
              <w:rPr>
                <w:lang w:val="it-IT"/>
              </w:rPr>
            </w:pPr>
          </w:p>
        </w:tc>
        <w:tc>
          <w:tcPr>
            <w:tcW w:w="567" w:type="dxa"/>
            <w:tcMar>
              <w:left w:w="108" w:type="dxa"/>
            </w:tcMar>
            <w:vAlign w:val="center"/>
          </w:tcPr>
          <w:p w:rsidR="004300E2" w:rsidRPr="003E3E83" w:rsidRDefault="004300E2" w:rsidP="004300E2">
            <w:pPr>
              <w:jc w:val="left"/>
              <w:rPr>
                <w:lang w:val="it-IT"/>
              </w:rPr>
            </w:pPr>
          </w:p>
        </w:tc>
      </w:tr>
      <w:tr w:rsidR="004300E2" w:rsidRPr="00A44ECD" w:rsidTr="00633C3A">
        <w:trPr>
          <w:cantSplit/>
          <w:trHeight w:val="3370"/>
        </w:trPr>
        <w:tc>
          <w:tcPr>
            <w:tcW w:w="567" w:type="dxa"/>
            <w:tcMar>
              <w:left w:w="108" w:type="dxa"/>
            </w:tcMar>
          </w:tcPr>
          <w:p w:rsidR="004300E2" w:rsidRPr="008A0F36" w:rsidRDefault="004300E2" w:rsidP="004300E2">
            <w:pPr>
              <w:pStyle w:val="IAS"/>
              <w:rPr>
                <w:lang w:val="it-IT"/>
              </w:rPr>
            </w:pPr>
          </w:p>
        </w:tc>
        <w:tc>
          <w:tcPr>
            <w:tcW w:w="851" w:type="dxa"/>
            <w:tcMar>
              <w:left w:w="108" w:type="dxa"/>
              <w:right w:w="0" w:type="dxa"/>
            </w:tcMar>
          </w:tcPr>
          <w:p w:rsidR="004300E2" w:rsidRPr="00AB2C1C" w:rsidRDefault="004300E2" w:rsidP="004300E2">
            <w:pPr>
              <w:pStyle w:val="IAS"/>
              <w:jc w:val="both"/>
            </w:pPr>
            <w:r w:rsidRPr="00AB2C1C">
              <w:t>IFRS 13.5</w:t>
            </w:r>
          </w:p>
          <w:p w:rsidR="004300E2" w:rsidRPr="00FB2AB6" w:rsidRDefault="004300E2" w:rsidP="004300E2">
            <w:pPr>
              <w:pStyle w:val="IAS"/>
            </w:pPr>
          </w:p>
          <w:p w:rsidR="004300E2" w:rsidRPr="00FB2AB6" w:rsidRDefault="004300E2" w:rsidP="004300E2">
            <w:pPr>
              <w:pStyle w:val="IAS"/>
            </w:pPr>
          </w:p>
          <w:p w:rsidR="004300E2" w:rsidRPr="00FB2AB6" w:rsidRDefault="004300E2" w:rsidP="00E80DA1">
            <w:pPr>
              <w:pStyle w:val="IAS"/>
              <w:spacing w:before="120"/>
            </w:pPr>
          </w:p>
          <w:p w:rsidR="004300E2" w:rsidRPr="00FB2AB6" w:rsidRDefault="004300E2" w:rsidP="004300E2">
            <w:pPr>
              <w:pStyle w:val="IAS"/>
            </w:pPr>
            <w:r w:rsidRPr="00AB2C1C">
              <w:t>IFRS 13.6</w:t>
            </w:r>
          </w:p>
          <w:p w:rsidR="004300E2" w:rsidRPr="00FB2AB6" w:rsidRDefault="004300E2" w:rsidP="004300E2">
            <w:pPr>
              <w:pStyle w:val="IAS"/>
            </w:pPr>
          </w:p>
          <w:p w:rsidR="004300E2" w:rsidRPr="00FB2AB6" w:rsidRDefault="004300E2" w:rsidP="004300E2">
            <w:pPr>
              <w:pStyle w:val="IAS"/>
            </w:pPr>
          </w:p>
          <w:p w:rsidR="004300E2" w:rsidRPr="00FB2AB6" w:rsidRDefault="004300E2" w:rsidP="004300E2">
            <w:pPr>
              <w:pStyle w:val="IAS"/>
            </w:pPr>
          </w:p>
          <w:p w:rsidR="004300E2" w:rsidRPr="00FB2AB6" w:rsidRDefault="004300E2" w:rsidP="004300E2">
            <w:pPr>
              <w:pStyle w:val="IAS"/>
            </w:pPr>
          </w:p>
          <w:p w:rsidR="004300E2" w:rsidRPr="00FB2AB6" w:rsidRDefault="004300E2" w:rsidP="004300E2">
            <w:pPr>
              <w:pStyle w:val="IAS"/>
              <w:spacing w:after="60"/>
            </w:pPr>
          </w:p>
          <w:p w:rsidR="004300E2" w:rsidRPr="00FB2AB6" w:rsidRDefault="004300E2" w:rsidP="004300E2">
            <w:pPr>
              <w:pStyle w:val="IAS"/>
              <w:jc w:val="both"/>
            </w:pPr>
          </w:p>
          <w:p w:rsidR="004300E2" w:rsidRPr="00AB2C1C" w:rsidRDefault="004300E2" w:rsidP="004300E2">
            <w:pPr>
              <w:pStyle w:val="IAS"/>
            </w:pPr>
            <w:r w:rsidRPr="00AB2C1C">
              <w:t>IFRS 13.7</w:t>
            </w:r>
          </w:p>
          <w:p w:rsidR="004300E2" w:rsidRPr="00FB2AB6" w:rsidRDefault="004300E2" w:rsidP="004300E2">
            <w:pPr>
              <w:pStyle w:val="IAS"/>
            </w:pPr>
          </w:p>
          <w:p w:rsidR="004300E2" w:rsidRPr="00FB2AB6" w:rsidRDefault="004300E2" w:rsidP="004300E2">
            <w:pPr>
              <w:pStyle w:val="IAS"/>
            </w:pPr>
          </w:p>
          <w:p w:rsidR="004300E2" w:rsidRPr="00FB2AB6" w:rsidRDefault="004300E2" w:rsidP="004300E2">
            <w:pPr>
              <w:pStyle w:val="IAS"/>
            </w:pPr>
          </w:p>
          <w:p w:rsidR="004300E2" w:rsidRPr="00FB2AB6" w:rsidRDefault="004300E2" w:rsidP="004300E2">
            <w:pPr>
              <w:pStyle w:val="IAS"/>
            </w:pPr>
          </w:p>
          <w:p w:rsidR="004300E2" w:rsidRPr="00FB2AB6" w:rsidRDefault="004300E2" w:rsidP="00633C3A">
            <w:pPr>
              <w:pStyle w:val="IAS"/>
              <w:jc w:val="both"/>
            </w:pPr>
          </w:p>
        </w:tc>
        <w:tc>
          <w:tcPr>
            <w:tcW w:w="7079" w:type="dxa"/>
            <w:tcMar>
              <w:left w:w="108" w:type="dxa"/>
            </w:tcMar>
          </w:tcPr>
          <w:p w:rsidR="004300E2" w:rsidRPr="00CE0185" w:rsidRDefault="004300E2" w:rsidP="00633C3A">
            <w:pPr>
              <w:pStyle w:val="Paragarfobordato"/>
            </w:pPr>
            <w:r w:rsidRPr="00AB2C1C">
              <w:t xml:space="preserve">L’IFRS 13 si applica quando un altro IFRS richiede o consente valutazioni del </w:t>
            </w:r>
            <w:r w:rsidRPr="00AB2C1C">
              <w:rPr>
                <w:i/>
              </w:rPr>
              <w:t xml:space="preserve">fair value </w:t>
            </w:r>
            <w:r w:rsidRPr="00AB2C1C">
              <w:t xml:space="preserve">o informazioni integrative sulle valutazioni del </w:t>
            </w:r>
            <w:r w:rsidRPr="00AB2C1C">
              <w:rPr>
                <w:i/>
              </w:rPr>
              <w:t xml:space="preserve">fair value </w:t>
            </w:r>
            <w:r w:rsidRPr="00AB2C1C">
              <w:t xml:space="preserve">(e valutazioni, come il </w:t>
            </w:r>
            <w:r w:rsidRPr="00AB2C1C">
              <w:rPr>
                <w:i/>
              </w:rPr>
              <w:t xml:space="preserve">fair value </w:t>
            </w:r>
            <w:r w:rsidRPr="00AB2C1C">
              <w:t>al netto dei costi di vendita</w:t>
            </w:r>
            <w:r>
              <w:t xml:space="preserve"> o di dismissione</w:t>
            </w:r>
            <w:r w:rsidRPr="00AB2C1C">
              <w:t xml:space="preserve">, basate sul </w:t>
            </w:r>
            <w:r w:rsidRPr="00AB2C1C">
              <w:rPr>
                <w:i/>
              </w:rPr>
              <w:t xml:space="preserve">fair value </w:t>
            </w:r>
            <w:r w:rsidRPr="00AB2C1C">
              <w:t xml:space="preserve">o sulle informazioni integrative relative a tali valutazioni). </w:t>
            </w:r>
          </w:p>
          <w:p w:rsidR="004300E2" w:rsidRPr="00AB2C1C" w:rsidRDefault="00633C3A" w:rsidP="00633C3A">
            <w:pPr>
              <w:pStyle w:val="Paragarfobordato"/>
              <w:tabs>
                <w:tab w:val="left" w:pos="1060"/>
              </w:tabs>
              <w:spacing w:line="160" w:lineRule="exact"/>
            </w:pPr>
            <w:r>
              <w:tab/>
            </w:r>
          </w:p>
          <w:p w:rsidR="004300E2" w:rsidRPr="00CE0185" w:rsidRDefault="004300E2" w:rsidP="00633C3A">
            <w:pPr>
              <w:pStyle w:val="Paragarfobordato"/>
            </w:pPr>
            <w:r w:rsidRPr="00AB2C1C">
              <w:t xml:space="preserve">Le disposizioni sulla valutazione e sull’informativa da fornire in base all’IFRS 13 non si applicano a: </w:t>
            </w:r>
          </w:p>
          <w:p w:rsidR="004300E2" w:rsidRPr="00CE0185" w:rsidRDefault="004300E2" w:rsidP="00633C3A">
            <w:pPr>
              <w:pStyle w:val="Paragarfobordato"/>
              <w:ind w:left="205" w:hanging="205"/>
            </w:pPr>
            <w:r w:rsidRPr="00AB2C1C">
              <w:t xml:space="preserve">(a) </w:t>
            </w:r>
            <w:r>
              <w:tab/>
            </w:r>
            <w:r w:rsidRPr="00AB2C1C">
              <w:t xml:space="preserve">operazioni con pagamento basato su azioni rientranti nell’ambito di applicazione dell’IFRS 2 </w:t>
            </w:r>
            <w:r w:rsidRPr="00AB2C1C">
              <w:rPr>
                <w:i/>
              </w:rPr>
              <w:t>Pagamenti basati su azioni</w:t>
            </w:r>
            <w:r w:rsidRPr="00AB2C1C">
              <w:t xml:space="preserve">; </w:t>
            </w:r>
          </w:p>
          <w:p w:rsidR="004300E2" w:rsidRPr="00CE0185" w:rsidRDefault="004300E2" w:rsidP="00633C3A">
            <w:pPr>
              <w:pStyle w:val="Paragarfobordato"/>
              <w:ind w:left="205" w:hanging="205"/>
            </w:pPr>
            <w:r w:rsidRPr="00AB2C1C">
              <w:t xml:space="preserve">(b) </w:t>
            </w:r>
            <w:r>
              <w:tab/>
            </w:r>
            <w:r w:rsidRPr="00AB2C1C">
              <w:t xml:space="preserve">operazioni di leasing rientranti nell’ambito di applicazione dello IAS 17 </w:t>
            </w:r>
            <w:r w:rsidRPr="00AB2C1C">
              <w:rPr>
                <w:i/>
              </w:rPr>
              <w:t xml:space="preserve">Leasing; </w:t>
            </w:r>
            <w:r w:rsidRPr="00AB2C1C">
              <w:t xml:space="preserve">e </w:t>
            </w:r>
          </w:p>
          <w:p w:rsidR="004300E2" w:rsidRPr="00CE0185" w:rsidRDefault="004300E2" w:rsidP="00633C3A">
            <w:pPr>
              <w:pStyle w:val="Paragarfobordato"/>
              <w:ind w:left="205" w:hanging="205"/>
            </w:pPr>
            <w:r w:rsidRPr="00AB2C1C">
              <w:t xml:space="preserve">(c) </w:t>
            </w:r>
            <w:r>
              <w:tab/>
            </w:r>
            <w:r w:rsidRPr="00AB2C1C">
              <w:t xml:space="preserve">valutazioni che presentano alcune similarità con il </w:t>
            </w:r>
            <w:r w:rsidRPr="00AB2C1C">
              <w:rPr>
                <w:i/>
              </w:rPr>
              <w:t xml:space="preserve">fair value </w:t>
            </w:r>
            <w:r w:rsidRPr="00AB2C1C">
              <w:t xml:space="preserve">ma non lo sono, quali il valore netto di realizzo di cui allo IAS 2 </w:t>
            </w:r>
            <w:r w:rsidRPr="00AB2C1C">
              <w:rPr>
                <w:i/>
              </w:rPr>
              <w:t xml:space="preserve">Rimanenze </w:t>
            </w:r>
            <w:r w:rsidRPr="00AB2C1C">
              <w:t xml:space="preserve">o il valore d’uso di cui allo IAS 36 </w:t>
            </w:r>
            <w:r w:rsidRPr="00AB2C1C">
              <w:rPr>
                <w:i/>
              </w:rPr>
              <w:t>Riduzioni di valore delle attività</w:t>
            </w:r>
            <w:r w:rsidRPr="00AB2C1C">
              <w:t xml:space="preserve">. </w:t>
            </w:r>
          </w:p>
          <w:p w:rsidR="004300E2" w:rsidRPr="00AB2C1C" w:rsidRDefault="004300E2" w:rsidP="00633C3A">
            <w:pPr>
              <w:pStyle w:val="Paragarfobordato"/>
              <w:spacing w:line="160" w:lineRule="exact"/>
            </w:pPr>
          </w:p>
          <w:p w:rsidR="004300E2" w:rsidRPr="00CE0185" w:rsidRDefault="004300E2" w:rsidP="00633C3A">
            <w:pPr>
              <w:pStyle w:val="Paragarfobordato"/>
            </w:pPr>
            <w:r w:rsidRPr="00AB2C1C">
              <w:t xml:space="preserve">Le informazioni integrative richieste dall’IFRS 13 non sono necessarie per: </w:t>
            </w:r>
          </w:p>
          <w:p w:rsidR="004300E2" w:rsidRPr="00CE0185" w:rsidRDefault="004300E2" w:rsidP="00633C3A">
            <w:pPr>
              <w:pStyle w:val="Paragarfobordato"/>
              <w:ind w:left="205" w:hanging="205"/>
            </w:pPr>
            <w:r w:rsidRPr="00AB2C1C">
              <w:t xml:space="preserve">(a) </w:t>
            </w:r>
            <w:r>
              <w:tab/>
            </w:r>
            <w:r w:rsidRPr="00AB2C1C">
              <w:t xml:space="preserve">attività al servizio del piano valutate al </w:t>
            </w:r>
            <w:r w:rsidRPr="00AB2C1C">
              <w:rPr>
                <w:i/>
              </w:rPr>
              <w:t xml:space="preserve">fair value </w:t>
            </w:r>
            <w:r w:rsidRPr="00AB2C1C">
              <w:t xml:space="preserve">in conformità allo IAS 19 </w:t>
            </w:r>
            <w:r w:rsidRPr="00AB2C1C">
              <w:rPr>
                <w:i/>
              </w:rPr>
              <w:t>Benefici per i dipendenti</w:t>
            </w:r>
            <w:r w:rsidRPr="00AB2C1C">
              <w:t xml:space="preserve">; </w:t>
            </w:r>
          </w:p>
          <w:p w:rsidR="004300E2" w:rsidRPr="00CE0185" w:rsidRDefault="004300E2" w:rsidP="00633C3A">
            <w:pPr>
              <w:pStyle w:val="Paragarfobordato"/>
              <w:ind w:left="205" w:hanging="205"/>
            </w:pPr>
            <w:r w:rsidRPr="00AB2C1C">
              <w:t xml:space="preserve">(b) </w:t>
            </w:r>
            <w:r>
              <w:tab/>
            </w:r>
            <w:r w:rsidRPr="00AB2C1C">
              <w:t xml:space="preserve">fondi pensione valutati al </w:t>
            </w:r>
            <w:r w:rsidRPr="00AB2C1C">
              <w:rPr>
                <w:i/>
              </w:rPr>
              <w:t xml:space="preserve">fair value </w:t>
            </w:r>
            <w:r w:rsidRPr="00AB2C1C">
              <w:t xml:space="preserve">in conformità allo IAS 26 </w:t>
            </w:r>
            <w:r w:rsidRPr="00AB2C1C">
              <w:rPr>
                <w:i/>
              </w:rPr>
              <w:t>Rilevazione e rappresentazione in bilancio dei fondi pensione</w:t>
            </w:r>
            <w:r w:rsidRPr="00AB2C1C">
              <w:t xml:space="preserve">; e </w:t>
            </w:r>
          </w:p>
          <w:p w:rsidR="004300E2" w:rsidRPr="00CE0185" w:rsidRDefault="004300E2" w:rsidP="00633C3A">
            <w:pPr>
              <w:pStyle w:val="Paragarfobordato"/>
              <w:ind w:left="205" w:hanging="205"/>
              <w:rPr>
                <w:b/>
                <w:caps/>
              </w:rPr>
            </w:pPr>
            <w:r w:rsidRPr="00AB2C1C">
              <w:t xml:space="preserve">(c) </w:t>
            </w:r>
            <w:r>
              <w:tab/>
            </w:r>
            <w:r w:rsidRPr="00AB2C1C">
              <w:t xml:space="preserve">attività per le quali il valore recuperabile è il </w:t>
            </w:r>
            <w:r w:rsidRPr="00AB2C1C">
              <w:rPr>
                <w:i/>
              </w:rPr>
              <w:t xml:space="preserve">fair value </w:t>
            </w:r>
            <w:r w:rsidRPr="00AB2C1C">
              <w:t xml:space="preserve">al netto dei costi di dismissione in conformità allo IAS 36. </w:t>
            </w:r>
          </w:p>
        </w:tc>
        <w:tc>
          <w:tcPr>
            <w:tcW w:w="575" w:type="dxa"/>
            <w:tcMar>
              <w:left w:w="85" w:type="dxa"/>
              <w:right w:w="85" w:type="dxa"/>
            </w:tcMar>
            <w:vAlign w:val="center"/>
          </w:tcPr>
          <w:p w:rsidR="004300E2" w:rsidRPr="003E3E83" w:rsidRDefault="004300E2" w:rsidP="004300E2">
            <w:pPr>
              <w:jc w:val="center"/>
              <w:rPr>
                <w:lang w:val="it-IT"/>
              </w:rPr>
            </w:pPr>
          </w:p>
        </w:tc>
        <w:tc>
          <w:tcPr>
            <w:tcW w:w="567" w:type="dxa"/>
            <w:tcMar>
              <w:left w:w="108" w:type="dxa"/>
            </w:tcMar>
            <w:vAlign w:val="center"/>
          </w:tcPr>
          <w:p w:rsidR="004300E2" w:rsidRPr="003E3E83" w:rsidRDefault="004300E2" w:rsidP="004300E2">
            <w:pPr>
              <w:jc w:val="center"/>
              <w:rPr>
                <w:lang w:val="it-IT"/>
              </w:rPr>
            </w:pPr>
          </w:p>
        </w:tc>
        <w:tc>
          <w:tcPr>
            <w:tcW w:w="567" w:type="dxa"/>
            <w:tcMar>
              <w:left w:w="108" w:type="dxa"/>
            </w:tcMar>
            <w:vAlign w:val="center"/>
          </w:tcPr>
          <w:p w:rsidR="004300E2" w:rsidRPr="003E3E83" w:rsidRDefault="004300E2" w:rsidP="004300E2">
            <w:pPr>
              <w:jc w:val="center"/>
              <w:rPr>
                <w:lang w:val="it-IT"/>
              </w:rPr>
            </w:pPr>
          </w:p>
        </w:tc>
      </w:tr>
      <w:tr w:rsidR="004300E2" w:rsidRPr="00A44ECD" w:rsidTr="00940A6F">
        <w:trPr>
          <w:cantSplit/>
          <w:trHeight w:val="57"/>
        </w:trPr>
        <w:tc>
          <w:tcPr>
            <w:tcW w:w="567" w:type="dxa"/>
            <w:tcMar>
              <w:left w:w="108" w:type="dxa"/>
            </w:tcMar>
          </w:tcPr>
          <w:p w:rsidR="004300E2" w:rsidRPr="008A0F36" w:rsidRDefault="004300E2" w:rsidP="004300E2">
            <w:pPr>
              <w:pStyle w:val="IAS"/>
              <w:rPr>
                <w:lang w:val="it-IT"/>
              </w:rPr>
            </w:pPr>
          </w:p>
        </w:tc>
        <w:tc>
          <w:tcPr>
            <w:tcW w:w="851" w:type="dxa"/>
            <w:tcMar>
              <w:left w:w="108" w:type="dxa"/>
              <w:right w:w="0" w:type="dxa"/>
            </w:tcMar>
          </w:tcPr>
          <w:p w:rsidR="004300E2" w:rsidRDefault="004300E2" w:rsidP="004300E2">
            <w:pPr>
              <w:pStyle w:val="IAS"/>
              <w:rPr>
                <w:lang w:val="it-IT"/>
              </w:rPr>
            </w:pPr>
          </w:p>
        </w:tc>
        <w:tc>
          <w:tcPr>
            <w:tcW w:w="7079" w:type="dxa"/>
            <w:tcMar>
              <w:left w:w="108" w:type="dxa"/>
            </w:tcMar>
          </w:tcPr>
          <w:p w:rsidR="004300E2" w:rsidRPr="00D81A48" w:rsidRDefault="004300E2" w:rsidP="004300E2">
            <w:pPr>
              <w:pStyle w:val="Titolo5"/>
              <w:spacing w:before="40" w:after="40"/>
              <w:rPr>
                <w:rStyle w:val="Enfasigrassetto"/>
                <w:b/>
                <w:i w:val="0"/>
                <w:sz w:val="22"/>
                <w:szCs w:val="22"/>
                <w:lang w:val="it-IT"/>
              </w:rPr>
            </w:pPr>
            <w:r w:rsidRPr="00D81A48">
              <w:rPr>
                <w:rStyle w:val="Enfasigrassetto"/>
                <w:b/>
                <w:i w:val="0"/>
                <w:sz w:val="22"/>
                <w:szCs w:val="22"/>
                <w:lang w:val="it-IT"/>
              </w:rPr>
              <w:t>Classi di attività e passività</w:t>
            </w:r>
          </w:p>
        </w:tc>
        <w:tc>
          <w:tcPr>
            <w:tcW w:w="575" w:type="dxa"/>
            <w:tcMar>
              <w:left w:w="85" w:type="dxa"/>
              <w:right w:w="85" w:type="dxa"/>
            </w:tcMar>
            <w:vAlign w:val="center"/>
          </w:tcPr>
          <w:p w:rsidR="004300E2" w:rsidRPr="003E3E83" w:rsidRDefault="004300E2" w:rsidP="004300E2">
            <w:pPr>
              <w:jc w:val="center"/>
              <w:rPr>
                <w:lang w:val="it-IT"/>
              </w:rPr>
            </w:pPr>
          </w:p>
        </w:tc>
        <w:tc>
          <w:tcPr>
            <w:tcW w:w="567" w:type="dxa"/>
            <w:tcMar>
              <w:left w:w="108" w:type="dxa"/>
            </w:tcMar>
            <w:vAlign w:val="center"/>
          </w:tcPr>
          <w:p w:rsidR="004300E2" w:rsidRPr="003E3E83" w:rsidRDefault="004300E2" w:rsidP="004300E2">
            <w:pPr>
              <w:jc w:val="center"/>
              <w:rPr>
                <w:lang w:val="it-IT"/>
              </w:rPr>
            </w:pPr>
          </w:p>
        </w:tc>
        <w:tc>
          <w:tcPr>
            <w:tcW w:w="567" w:type="dxa"/>
            <w:tcMar>
              <w:left w:w="108" w:type="dxa"/>
            </w:tcMar>
            <w:vAlign w:val="center"/>
          </w:tcPr>
          <w:p w:rsidR="004300E2" w:rsidRPr="003E3E83" w:rsidRDefault="004300E2" w:rsidP="004300E2">
            <w:pPr>
              <w:jc w:val="center"/>
              <w:rPr>
                <w:lang w:val="it-IT"/>
              </w:rPr>
            </w:pPr>
          </w:p>
        </w:tc>
      </w:tr>
      <w:tr w:rsidR="004300E2" w:rsidRPr="00A44ECD" w:rsidTr="00940A6F">
        <w:trPr>
          <w:cantSplit/>
          <w:trHeight w:val="57"/>
        </w:trPr>
        <w:tc>
          <w:tcPr>
            <w:tcW w:w="567" w:type="dxa"/>
            <w:tcMar>
              <w:left w:w="108" w:type="dxa"/>
            </w:tcMar>
          </w:tcPr>
          <w:p w:rsidR="004300E2" w:rsidRDefault="004300E2" w:rsidP="004300E2">
            <w:pPr>
              <w:pStyle w:val="Numeroelenco"/>
              <w:ind w:left="0" w:firstLine="57"/>
              <w:rPr>
                <w:lang w:val="it-IT"/>
              </w:rPr>
            </w:pPr>
          </w:p>
        </w:tc>
        <w:tc>
          <w:tcPr>
            <w:tcW w:w="851" w:type="dxa"/>
            <w:tcMar>
              <w:left w:w="108" w:type="dxa"/>
              <w:right w:w="0" w:type="dxa"/>
            </w:tcMar>
          </w:tcPr>
          <w:p w:rsidR="004300E2" w:rsidRPr="00022451" w:rsidRDefault="004300E2" w:rsidP="004300E2">
            <w:pPr>
              <w:pStyle w:val="IAS"/>
              <w:rPr>
                <w:lang w:val="it-IT"/>
              </w:rPr>
            </w:pPr>
            <w:r w:rsidRPr="00022451">
              <w:rPr>
                <w:lang w:val="it-IT"/>
              </w:rPr>
              <w:t>IFRS 13.94</w:t>
            </w:r>
          </w:p>
        </w:tc>
        <w:tc>
          <w:tcPr>
            <w:tcW w:w="7079" w:type="dxa"/>
            <w:tcMar>
              <w:left w:w="108" w:type="dxa"/>
            </w:tcMar>
          </w:tcPr>
          <w:p w:rsidR="004300E2" w:rsidRPr="00022451" w:rsidRDefault="004300E2" w:rsidP="00E80DA1">
            <w:pPr>
              <w:overflowPunct/>
              <w:spacing w:beforeLines="20" w:before="48"/>
              <w:textAlignment w:val="auto"/>
              <w:rPr>
                <w:rFonts w:cs="EUAlbertina"/>
                <w:color w:val="19161B"/>
                <w:lang w:val="it-IT" w:eastAsia="it-IT"/>
              </w:rPr>
            </w:pPr>
            <w:r w:rsidRPr="00022451">
              <w:rPr>
                <w:rFonts w:cs="EUAlbertina"/>
                <w:color w:val="19161B"/>
                <w:lang w:val="it-IT" w:eastAsia="it-IT"/>
              </w:rPr>
              <w:t>Un’entità deve determinare le classi di attività e passività più appropriate in base a quanto di seguito riportato:</w:t>
            </w:r>
          </w:p>
        </w:tc>
        <w:tc>
          <w:tcPr>
            <w:tcW w:w="575" w:type="dxa"/>
            <w:tcMar>
              <w:left w:w="85" w:type="dxa"/>
              <w:right w:w="85" w:type="dxa"/>
            </w:tcMar>
            <w:vAlign w:val="center"/>
          </w:tcPr>
          <w:p w:rsidR="004300E2" w:rsidRPr="00022451" w:rsidRDefault="004300E2" w:rsidP="004300E2">
            <w:pPr>
              <w:jc w:val="center"/>
              <w:rPr>
                <w:lang w:val="it-IT"/>
              </w:rPr>
            </w:pPr>
          </w:p>
        </w:tc>
        <w:tc>
          <w:tcPr>
            <w:tcW w:w="567" w:type="dxa"/>
            <w:tcMar>
              <w:left w:w="108" w:type="dxa"/>
            </w:tcMar>
            <w:vAlign w:val="center"/>
          </w:tcPr>
          <w:p w:rsidR="004300E2" w:rsidRPr="00022451" w:rsidRDefault="004300E2" w:rsidP="004300E2">
            <w:pPr>
              <w:jc w:val="center"/>
              <w:rPr>
                <w:lang w:val="it-IT"/>
              </w:rPr>
            </w:pPr>
          </w:p>
        </w:tc>
        <w:tc>
          <w:tcPr>
            <w:tcW w:w="567" w:type="dxa"/>
            <w:tcMar>
              <w:left w:w="108" w:type="dxa"/>
            </w:tcMar>
            <w:vAlign w:val="center"/>
          </w:tcPr>
          <w:p w:rsidR="004300E2" w:rsidRPr="00022451" w:rsidRDefault="004300E2" w:rsidP="004300E2">
            <w:pPr>
              <w:jc w:val="center"/>
              <w:rPr>
                <w:lang w:val="it-IT"/>
              </w:rPr>
            </w:pPr>
          </w:p>
        </w:tc>
      </w:tr>
      <w:tr w:rsidR="00E84B58" w:rsidRPr="008129DA" w:rsidTr="00940A6F">
        <w:trPr>
          <w:cantSplit/>
          <w:trHeight w:val="57"/>
        </w:trPr>
        <w:tc>
          <w:tcPr>
            <w:tcW w:w="567" w:type="dxa"/>
            <w:tcMar>
              <w:left w:w="108" w:type="dxa"/>
            </w:tcMar>
          </w:tcPr>
          <w:p w:rsidR="00E84B58" w:rsidRPr="00022451" w:rsidRDefault="00E84B58" w:rsidP="004300E2">
            <w:pPr>
              <w:pStyle w:val="Numeroelenco"/>
              <w:numPr>
                <w:ilvl w:val="0"/>
                <w:numId w:val="0"/>
              </w:numPr>
              <w:ind w:left="57"/>
              <w:rPr>
                <w:lang w:val="it-IT"/>
              </w:rPr>
            </w:pPr>
          </w:p>
        </w:tc>
        <w:tc>
          <w:tcPr>
            <w:tcW w:w="851" w:type="dxa"/>
            <w:tcMar>
              <w:left w:w="108" w:type="dxa"/>
              <w:right w:w="0" w:type="dxa"/>
            </w:tcMar>
          </w:tcPr>
          <w:p w:rsidR="00E84B58" w:rsidRPr="00022451" w:rsidRDefault="00E84B58" w:rsidP="004300E2">
            <w:pPr>
              <w:pStyle w:val="IAS"/>
              <w:rPr>
                <w:lang w:val="it-IT"/>
              </w:rPr>
            </w:pPr>
          </w:p>
        </w:tc>
        <w:tc>
          <w:tcPr>
            <w:tcW w:w="7079" w:type="dxa"/>
            <w:tcMar>
              <w:left w:w="108" w:type="dxa"/>
            </w:tcMar>
          </w:tcPr>
          <w:p w:rsidR="00E84B58" w:rsidRPr="00022451" w:rsidRDefault="00E84B58" w:rsidP="00526639">
            <w:pPr>
              <w:pStyle w:val="Paragrafoelenco"/>
              <w:numPr>
                <w:ilvl w:val="0"/>
                <w:numId w:val="246"/>
              </w:numPr>
              <w:overflowPunct/>
              <w:spacing w:beforeLines="20" w:before="48"/>
              <w:ind w:left="428" w:hanging="425"/>
              <w:contextualSpacing w:val="0"/>
              <w:jc w:val="left"/>
              <w:textAlignment w:val="auto"/>
              <w:rPr>
                <w:rFonts w:cs="EUAlbertina"/>
                <w:color w:val="19161B"/>
                <w:lang w:val="it-IT" w:eastAsia="it-IT"/>
              </w:rPr>
            </w:pPr>
            <w:r w:rsidRPr="00022451">
              <w:rPr>
                <w:rFonts w:cs="EUAlbertina"/>
                <w:color w:val="19161B"/>
                <w:lang w:val="it-IT" w:eastAsia="it-IT"/>
              </w:rPr>
              <w:t xml:space="preserve">la natura, le caratteristiche e i rischi dell’attività o della passività; e </w:t>
            </w:r>
          </w:p>
        </w:tc>
        <w:tc>
          <w:tcPr>
            <w:tcW w:w="575" w:type="dxa"/>
            <w:tcMar>
              <w:left w:w="85" w:type="dxa"/>
              <w:right w:w="85" w:type="dxa"/>
            </w:tcMar>
            <w:vAlign w:val="center"/>
          </w:tcPr>
          <w:p w:rsidR="00E84B58" w:rsidRPr="0002245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02245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02245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57"/>
        </w:trPr>
        <w:tc>
          <w:tcPr>
            <w:tcW w:w="567" w:type="dxa"/>
            <w:tcMar>
              <w:left w:w="108" w:type="dxa"/>
            </w:tcMar>
          </w:tcPr>
          <w:p w:rsidR="00E84B58" w:rsidRPr="00022451" w:rsidRDefault="00E84B58" w:rsidP="004300E2">
            <w:pPr>
              <w:pStyle w:val="Numeroelenco"/>
              <w:numPr>
                <w:ilvl w:val="0"/>
                <w:numId w:val="0"/>
              </w:numPr>
              <w:ind w:left="57"/>
              <w:rPr>
                <w:lang w:val="it-IT"/>
              </w:rPr>
            </w:pPr>
          </w:p>
        </w:tc>
        <w:tc>
          <w:tcPr>
            <w:tcW w:w="851" w:type="dxa"/>
            <w:tcMar>
              <w:left w:w="108" w:type="dxa"/>
              <w:right w:w="0" w:type="dxa"/>
            </w:tcMar>
          </w:tcPr>
          <w:p w:rsidR="00E84B58" w:rsidRPr="00022451" w:rsidRDefault="00E84B58" w:rsidP="004300E2">
            <w:pPr>
              <w:pStyle w:val="IAS"/>
              <w:rPr>
                <w:lang w:val="it-IT"/>
              </w:rPr>
            </w:pPr>
          </w:p>
        </w:tc>
        <w:tc>
          <w:tcPr>
            <w:tcW w:w="7079" w:type="dxa"/>
            <w:tcMar>
              <w:left w:w="108" w:type="dxa"/>
            </w:tcMar>
          </w:tcPr>
          <w:p w:rsidR="00E84B58" w:rsidRPr="00022451" w:rsidRDefault="00E84B58" w:rsidP="00526639">
            <w:pPr>
              <w:pStyle w:val="Paragrafoelenco"/>
              <w:numPr>
                <w:ilvl w:val="0"/>
                <w:numId w:val="246"/>
              </w:numPr>
              <w:overflowPunct/>
              <w:ind w:left="428" w:hanging="425"/>
              <w:contextualSpacing w:val="0"/>
              <w:textAlignment w:val="auto"/>
              <w:rPr>
                <w:rFonts w:cs="EUAlbertina"/>
                <w:color w:val="19161B"/>
                <w:lang w:val="it-IT" w:eastAsia="it-IT"/>
              </w:rPr>
            </w:pPr>
            <w:r w:rsidRPr="00022451">
              <w:rPr>
                <w:rFonts w:cs="EUAlbertina"/>
                <w:color w:val="19161B"/>
                <w:lang w:val="it-IT" w:eastAsia="it-IT"/>
              </w:rPr>
              <w:t xml:space="preserve">il livello della gerarchia del </w:t>
            </w:r>
            <w:r w:rsidRPr="00022451">
              <w:rPr>
                <w:rFonts w:cs="EUAlbertina"/>
                <w:i/>
                <w:iCs/>
                <w:color w:val="19161B"/>
                <w:lang w:val="it-IT" w:eastAsia="it-IT"/>
              </w:rPr>
              <w:t>fair value</w:t>
            </w:r>
            <w:r w:rsidRPr="00022451">
              <w:rPr>
                <w:rFonts w:cs="EUAlbertina"/>
                <w:iCs/>
                <w:color w:val="19161B"/>
                <w:lang w:val="it-IT" w:eastAsia="it-IT"/>
              </w:rPr>
              <w:t xml:space="preserve"> </w:t>
            </w:r>
            <w:r w:rsidRPr="00022451">
              <w:rPr>
                <w:rFonts w:cs="EUAlbertina"/>
                <w:color w:val="19161B"/>
                <w:lang w:val="it-IT" w:eastAsia="it-IT"/>
              </w:rPr>
              <w:t xml:space="preserve">entro il quale è classificata la valutazione del </w:t>
            </w:r>
            <w:r w:rsidRPr="000F56BA">
              <w:rPr>
                <w:rFonts w:cs="EUAlbertina"/>
                <w:i/>
                <w:iCs/>
                <w:color w:val="19161B"/>
                <w:lang w:val="it-IT" w:eastAsia="it-IT"/>
              </w:rPr>
              <w:t>fair value</w:t>
            </w:r>
            <w:r w:rsidRPr="00022451">
              <w:rPr>
                <w:rFonts w:cs="EUAlbertina"/>
                <w:color w:val="19161B"/>
                <w:lang w:val="it-IT" w:eastAsia="it-IT"/>
              </w:rPr>
              <w:t>.</w:t>
            </w:r>
          </w:p>
        </w:tc>
        <w:tc>
          <w:tcPr>
            <w:tcW w:w="575" w:type="dxa"/>
            <w:tcMar>
              <w:left w:w="85" w:type="dxa"/>
              <w:right w:w="85" w:type="dxa"/>
            </w:tcMar>
            <w:vAlign w:val="center"/>
          </w:tcPr>
          <w:p w:rsidR="00E84B58" w:rsidRPr="0002245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02245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02245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57"/>
        </w:trPr>
        <w:tc>
          <w:tcPr>
            <w:tcW w:w="567" w:type="dxa"/>
            <w:tcMar>
              <w:left w:w="108" w:type="dxa"/>
            </w:tcMar>
          </w:tcPr>
          <w:p w:rsidR="004300E2" w:rsidRPr="008A0F36" w:rsidRDefault="004300E2" w:rsidP="004300E2">
            <w:pPr>
              <w:pStyle w:val="IAS"/>
              <w:rPr>
                <w:lang w:val="it-IT"/>
              </w:rPr>
            </w:pPr>
          </w:p>
        </w:tc>
        <w:tc>
          <w:tcPr>
            <w:tcW w:w="851" w:type="dxa"/>
            <w:tcMar>
              <w:left w:w="108" w:type="dxa"/>
              <w:right w:w="0" w:type="dxa"/>
            </w:tcMar>
          </w:tcPr>
          <w:p w:rsidR="004300E2" w:rsidRDefault="004300E2" w:rsidP="004300E2">
            <w:pPr>
              <w:pStyle w:val="IAS"/>
              <w:rPr>
                <w:lang w:val="it-IT"/>
              </w:rPr>
            </w:pPr>
            <w:r>
              <w:rPr>
                <w:lang w:val="it-IT"/>
              </w:rPr>
              <w:t>IFRS 13.94</w:t>
            </w:r>
          </w:p>
        </w:tc>
        <w:tc>
          <w:tcPr>
            <w:tcW w:w="7079" w:type="dxa"/>
            <w:tcMar>
              <w:left w:w="108" w:type="dxa"/>
            </w:tcMar>
          </w:tcPr>
          <w:p w:rsidR="004300E2" w:rsidRDefault="004300E2" w:rsidP="00C10AFA">
            <w:pPr>
              <w:pStyle w:val="Paragarfobordato"/>
            </w:pPr>
            <w:r w:rsidRPr="005B14F4">
              <w:rPr>
                <w:lang w:eastAsia="it-IT"/>
              </w:rPr>
              <w:t xml:space="preserve">Il numero di classi potrebbe essere maggiore per le valutazioni del </w:t>
            </w:r>
            <w:r w:rsidRPr="008D5217">
              <w:rPr>
                <w:i/>
                <w:lang w:eastAsia="it-IT"/>
              </w:rPr>
              <w:t>fair value</w:t>
            </w:r>
            <w:r w:rsidRPr="00AC1078">
              <w:rPr>
                <w:lang w:eastAsia="it-IT"/>
              </w:rPr>
              <w:t xml:space="preserve"> </w:t>
            </w:r>
            <w:r w:rsidRPr="005B14F4">
              <w:rPr>
                <w:lang w:eastAsia="it-IT"/>
              </w:rPr>
              <w:t xml:space="preserve">classificate nel Livello 3 della gerarchia del </w:t>
            </w:r>
            <w:r w:rsidRPr="008D5217">
              <w:rPr>
                <w:i/>
                <w:lang w:eastAsia="it-IT"/>
              </w:rPr>
              <w:t>fair value</w:t>
            </w:r>
            <w:r w:rsidRPr="005B14F4">
              <w:rPr>
                <w:lang w:eastAsia="it-IT"/>
              </w:rPr>
              <w:t>, perché tali valutazioni presentano un maggiore grado di incertezza e soggettività.</w:t>
            </w:r>
          </w:p>
          <w:p w:rsidR="004300E2" w:rsidRDefault="004300E2" w:rsidP="00C10AFA">
            <w:pPr>
              <w:pStyle w:val="Paragarfobordato"/>
              <w:rPr>
                <w:lang w:eastAsia="it-IT"/>
              </w:rPr>
            </w:pPr>
            <w:r w:rsidRPr="005B14F4">
              <w:t xml:space="preserve">La determinazione delle classi di attività e passività più appropriate per le quali devono essere fornite informazioni integrative sulle valutazioni del </w:t>
            </w:r>
            <w:r w:rsidRPr="00B861DB">
              <w:rPr>
                <w:i/>
              </w:rPr>
              <w:t>fair value</w:t>
            </w:r>
            <w:r w:rsidRPr="005B14F4">
              <w:t xml:space="preserve"> richiede un giudizio soggettivo. Spesso, una classe di attività e di passività richiederà una maggiore disaggregazione delle voci esposte nel prospetto della situazione patrimoniale-finanziaria. Tuttavia, l’entità deve fornire informazioni sufficienti per consentire la riconciliazione con le voci esposte nel prospetto della situazione patrimoniale-finanziaria. Se un altro IFRS specifica la classe di un’attività o passività, e tale classe soddisfa i requisiti di cui al presente paragrafo, un’entità può utilizzare tale classe per fornire le informazioni integrative previste dall’IFRS 13</w:t>
            </w:r>
          </w:p>
        </w:tc>
        <w:tc>
          <w:tcPr>
            <w:tcW w:w="575" w:type="dxa"/>
            <w:tcMar>
              <w:left w:w="85" w:type="dxa"/>
              <w:right w:w="85" w:type="dxa"/>
            </w:tcMar>
            <w:vAlign w:val="center"/>
          </w:tcPr>
          <w:p w:rsidR="004300E2" w:rsidRPr="003E3E83" w:rsidRDefault="004300E2" w:rsidP="004300E2">
            <w:pPr>
              <w:jc w:val="center"/>
              <w:rPr>
                <w:lang w:val="it-IT"/>
              </w:rPr>
            </w:pPr>
          </w:p>
        </w:tc>
        <w:tc>
          <w:tcPr>
            <w:tcW w:w="567" w:type="dxa"/>
            <w:tcMar>
              <w:left w:w="108" w:type="dxa"/>
            </w:tcMar>
            <w:vAlign w:val="center"/>
          </w:tcPr>
          <w:p w:rsidR="004300E2" w:rsidRPr="003E3E83" w:rsidRDefault="004300E2" w:rsidP="004300E2">
            <w:pPr>
              <w:jc w:val="center"/>
              <w:rPr>
                <w:lang w:val="it-IT"/>
              </w:rPr>
            </w:pPr>
          </w:p>
        </w:tc>
        <w:tc>
          <w:tcPr>
            <w:tcW w:w="567" w:type="dxa"/>
            <w:tcMar>
              <w:left w:w="108" w:type="dxa"/>
            </w:tcMar>
            <w:vAlign w:val="center"/>
          </w:tcPr>
          <w:p w:rsidR="004300E2" w:rsidRPr="003E3E83" w:rsidRDefault="004300E2" w:rsidP="004300E2">
            <w:pPr>
              <w:jc w:val="center"/>
              <w:rPr>
                <w:lang w:val="it-IT"/>
              </w:rPr>
            </w:pPr>
          </w:p>
        </w:tc>
      </w:tr>
      <w:tr w:rsidR="00E84B58" w:rsidRPr="008129DA" w:rsidTr="00940A6F">
        <w:trPr>
          <w:cantSplit/>
          <w:trHeight w:val="57"/>
        </w:trPr>
        <w:tc>
          <w:tcPr>
            <w:tcW w:w="567" w:type="dxa"/>
            <w:tcMar>
              <w:left w:w="108" w:type="dxa"/>
            </w:tcMar>
          </w:tcPr>
          <w:p w:rsidR="00E84B58" w:rsidRDefault="00E84B58" w:rsidP="004300E2">
            <w:pPr>
              <w:pStyle w:val="Numeroelenco"/>
              <w:ind w:left="0" w:firstLine="57"/>
              <w:rPr>
                <w:lang w:val="it-IT"/>
              </w:rPr>
            </w:pPr>
          </w:p>
        </w:tc>
        <w:tc>
          <w:tcPr>
            <w:tcW w:w="851" w:type="dxa"/>
            <w:tcMar>
              <w:left w:w="108" w:type="dxa"/>
              <w:right w:w="0" w:type="dxa"/>
            </w:tcMar>
          </w:tcPr>
          <w:p w:rsidR="00E84B58" w:rsidRDefault="00E84B58" w:rsidP="004300E2">
            <w:pPr>
              <w:pStyle w:val="IAS"/>
              <w:rPr>
                <w:lang w:val="it-IT"/>
              </w:rPr>
            </w:pPr>
            <w:r>
              <w:rPr>
                <w:lang w:val="it-IT"/>
              </w:rPr>
              <w:t>IFRS 13.94</w:t>
            </w:r>
          </w:p>
        </w:tc>
        <w:tc>
          <w:tcPr>
            <w:tcW w:w="7079" w:type="dxa"/>
            <w:tcMar>
              <w:left w:w="108" w:type="dxa"/>
            </w:tcMar>
          </w:tcPr>
          <w:p w:rsidR="00E84B58" w:rsidRPr="005B14F4" w:rsidRDefault="00E84B58" w:rsidP="004300E2">
            <w:pPr>
              <w:overflowPunct/>
              <w:spacing w:before="60" w:after="60" w:line="240" w:lineRule="auto"/>
              <w:textAlignment w:val="auto"/>
              <w:rPr>
                <w:rFonts w:cs="EUAlbertina"/>
                <w:color w:val="19161B"/>
                <w:lang w:val="it-IT" w:eastAsia="it-IT"/>
              </w:rPr>
            </w:pPr>
            <w:r w:rsidRPr="008D5217">
              <w:rPr>
                <w:rFonts w:cs="EUAlbertina"/>
                <w:color w:val="19161B"/>
                <w:lang w:val="it-IT" w:eastAsia="it-IT"/>
              </w:rPr>
              <w:t>L’entità ha fornito informazioni sufficienti per consentire la riconciliazione tra le classi di attività e passività e le voci esposte nel prospetto della situazione patrimoniale-finanziaria</w:t>
            </w:r>
            <w:r>
              <w:rPr>
                <w:rFonts w:cs="EUAlbertina"/>
                <w:color w:val="19161B"/>
                <w:lang w:val="it-IT" w:eastAsia="it-IT"/>
              </w:rPr>
              <w:t>.</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57"/>
        </w:trPr>
        <w:tc>
          <w:tcPr>
            <w:tcW w:w="567" w:type="dxa"/>
            <w:tcMar>
              <w:left w:w="108" w:type="dxa"/>
            </w:tcMar>
          </w:tcPr>
          <w:p w:rsidR="004300E2" w:rsidRDefault="004300E2" w:rsidP="004300E2">
            <w:pPr>
              <w:pStyle w:val="Numeroelenco"/>
              <w:numPr>
                <w:ilvl w:val="0"/>
                <w:numId w:val="0"/>
              </w:numPr>
              <w:spacing w:before="40" w:after="40"/>
              <w:ind w:left="644" w:hanging="360"/>
              <w:rPr>
                <w:lang w:val="it-IT"/>
              </w:rPr>
            </w:pPr>
          </w:p>
        </w:tc>
        <w:tc>
          <w:tcPr>
            <w:tcW w:w="851" w:type="dxa"/>
            <w:tcMar>
              <w:left w:w="108" w:type="dxa"/>
              <w:right w:w="0" w:type="dxa"/>
            </w:tcMar>
          </w:tcPr>
          <w:p w:rsidR="004300E2" w:rsidRDefault="004300E2" w:rsidP="004300E2">
            <w:pPr>
              <w:pStyle w:val="IAS"/>
              <w:spacing w:after="40"/>
              <w:rPr>
                <w:lang w:val="it-IT"/>
              </w:rPr>
            </w:pPr>
          </w:p>
        </w:tc>
        <w:tc>
          <w:tcPr>
            <w:tcW w:w="7079" w:type="dxa"/>
            <w:tcMar>
              <w:left w:w="108" w:type="dxa"/>
            </w:tcMar>
          </w:tcPr>
          <w:p w:rsidR="004300E2" w:rsidRPr="001C3D28" w:rsidRDefault="004300E2" w:rsidP="004300E2">
            <w:pPr>
              <w:overflowPunct/>
              <w:spacing w:before="40" w:after="40" w:line="240" w:lineRule="auto"/>
              <w:textAlignment w:val="auto"/>
              <w:rPr>
                <w:rFonts w:cs="EUAlbertina"/>
                <w:b/>
                <w:i/>
                <w:color w:val="19161B"/>
                <w:lang w:val="it-IT" w:eastAsia="it-IT"/>
              </w:rPr>
            </w:pPr>
            <w:r w:rsidRPr="00AB2C1C">
              <w:rPr>
                <w:rFonts w:cs="EUAlbertina"/>
                <w:b/>
                <w:i/>
                <w:color w:val="19161B"/>
                <w:lang w:val="it-IT" w:eastAsia="it-IT"/>
              </w:rPr>
              <w:t xml:space="preserve">Attività e passività non valutate al </w:t>
            </w:r>
            <w:r w:rsidRPr="00AB2C1C">
              <w:rPr>
                <w:rFonts w:cs="EUAlbertina"/>
                <w:b/>
                <w:i/>
                <w:iCs/>
                <w:color w:val="19161B"/>
                <w:lang w:val="it-IT" w:eastAsia="it-IT"/>
              </w:rPr>
              <w:t xml:space="preserve">fair value </w:t>
            </w:r>
            <w:r w:rsidRPr="00AB2C1C">
              <w:rPr>
                <w:rFonts w:cs="EUAlbertina"/>
                <w:b/>
                <w:i/>
                <w:color w:val="19161B"/>
                <w:lang w:val="it-IT" w:eastAsia="it-IT"/>
              </w:rPr>
              <w:t xml:space="preserve">nel prospetto della situazione patrimoniale- finanziaria, ma per le quali il </w:t>
            </w:r>
            <w:r w:rsidRPr="00AB2C1C">
              <w:rPr>
                <w:rFonts w:cs="EUAlbertina"/>
                <w:b/>
                <w:i/>
                <w:iCs/>
                <w:color w:val="19161B"/>
                <w:lang w:val="it-IT" w:eastAsia="it-IT"/>
              </w:rPr>
              <w:t xml:space="preserve">fair value </w:t>
            </w:r>
            <w:r w:rsidRPr="00AB2C1C">
              <w:rPr>
                <w:rFonts w:cs="EUAlbertina"/>
                <w:b/>
                <w:i/>
                <w:color w:val="19161B"/>
                <w:lang w:val="it-IT" w:eastAsia="it-IT"/>
              </w:rPr>
              <w:t>è indicato nelle note</w:t>
            </w:r>
          </w:p>
        </w:tc>
        <w:tc>
          <w:tcPr>
            <w:tcW w:w="575" w:type="dxa"/>
            <w:tcMar>
              <w:left w:w="85" w:type="dxa"/>
              <w:right w:w="85" w:type="dxa"/>
            </w:tcMar>
            <w:vAlign w:val="center"/>
          </w:tcPr>
          <w:p w:rsidR="004300E2" w:rsidRPr="003E3E83" w:rsidRDefault="004300E2" w:rsidP="004300E2">
            <w:pPr>
              <w:spacing w:before="40" w:after="40"/>
              <w:jc w:val="center"/>
              <w:rPr>
                <w:lang w:val="it-IT"/>
              </w:rPr>
            </w:pPr>
          </w:p>
        </w:tc>
        <w:tc>
          <w:tcPr>
            <w:tcW w:w="567" w:type="dxa"/>
            <w:tcMar>
              <w:left w:w="108" w:type="dxa"/>
            </w:tcMar>
            <w:vAlign w:val="center"/>
          </w:tcPr>
          <w:p w:rsidR="004300E2" w:rsidRPr="003E3E83" w:rsidRDefault="004300E2" w:rsidP="004300E2">
            <w:pPr>
              <w:spacing w:before="40" w:after="40"/>
              <w:jc w:val="center"/>
              <w:rPr>
                <w:lang w:val="it-IT"/>
              </w:rPr>
            </w:pPr>
          </w:p>
        </w:tc>
        <w:tc>
          <w:tcPr>
            <w:tcW w:w="567" w:type="dxa"/>
            <w:tcMar>
              <w:left w:w="108" w:type="dxa"/>
            </w:tcMar>
            <w:vAlign w:val="center"/>
          </w:tcPr>
          <w:p w:rsidR="004300E2" w:rsidRPr="003E3E83" w:rsidRDefault="004300E2" w:rsidP="004300E2">
            <w:pPr>
              <w:spacing w:before="40" w:after="40"/>
              <w:jc w:val="center"/>
              <w:rPr>
                <w:lang w:val="it-IT"/>
              </w:rPr>
            </w:pPr>
          </w:p>
        </w:tc>
      </w:tr>
      <w:tr w:rsidR="00E84B58" w:rsidRPr="008129DA" w:rsidTr="00940A6F">
        <w:trPr>
          <w:cantSplit/>
          <w:trHeight w:val="57"/>
        </w:trPr>
        <w:tc>
          <w:tcPr>
            <w:tcW w:w="567" w:type="dxa"/>
            <w:tcMar>
              <w:left w:w="108" w:type="dxa"/>
            </w:tcMar>
          </w:tcPr>
          <w:p w:rsidR="00E84B58" w:rsidRDefault="00E84B58" w:rsidP="004300E2">
            <w:pPr>
              <w:pStyle w:val="Numeroelenco"/>
              <w:ind w:left="0" w:firstLine="57"/>
              <w:rPr>
                <w:lang w:val="it-IT"/>
              </w:rPr>
            </w:pPr>
          </w:p>
        </w:tc>
        <w:tc>
          <w:tcPr>
            <w:tcW w:w="851" w:type="dxa"/>
            <w:tcMar>
              <w:left w:w="108" w:type="dxa"/>
              <w:right w:w="0" w:type="dxa"/>
            </w:tcMar>
          </w:tcPr>
          <w:p w:rsidR="00E84B58" w:rsidRDefault="00E84B58" w:rsidP="004300E2">
            <w:pPr>
              <w:pStyle w:val="IAS"/>
              <w:rPr>
                <w:lang w:val="it-IT"/>
              </w:rPr>
            </w:pPr>
            <w:r>
              <w:rPr>
                <w:lang w:val="it-IT"/>
              </w:rPr>
              <w:t>IFRS 13.97</w:t>
            </w:r>
          </w:p>
        </w:tc>
        <w:tc>
          <w:tcPr>
            <w:tcW w:w="7079" w:type="dxa"/>
            <w:tcMar>
              <w:left w:w="108" w:type="dxa"/>
            </w:tcMar>
          </w:tcPr>
          <w:p w:rsidR="00E84B58" w:rsidRPr="005B14F4" w:rsidRDefault="00E84B58" w:rsidP="00E80DA1">
            <w:pPr>
              <w:overflowPunct/>
              <w:textAlignment w:val="auto"/>
              <w:rPr>
                <w:rFonts w:cs="EUAlbertina"/>
                <w:color w:val="19161B"/>
                <w:lang w:val="it-IT" w:eastAsia="it-IT"/>
              </w:rPr>
            </w:pPr>
            <w:r w:rsidRPr="005B14F4">
              <w:rPr>
                <w:rFonts w:cs="EUAlbertina"/>
                <w:color w:val="19161B"/>
                <w:lang w:val="it-IT" w:eastAsia="it-IT"/>
              </w:rPr>
              <w:t xml:space="preserve">Per ciascuna classe di attività e passività non valutata al </w:t>
            </w:r>
            <w:r w:rsidRPr="005B14F4">
              <w:rPr>
                <w:rFonts w:cs="EUAlbertina"/>
                <w:i/>
                <w:iCs/>
                <w:color w:val="19161B"/>
                <w:lang w:val="it-IT" w:eastAsia="it-IT"/>
              </w:rPr>
              <w:t xml:space="preserve">fair value </w:t>
            </w:r>
            <w:r w:rsidRPr="005B14F4">
              <w:rPr>
                <w:rFonts w:cs="EUAlbertina"/>
                <w:color w:val="19161B"/>
                <w:lang w:val="it-IT" w:eastAsia="it-IT"/>
              </w:rPr>
              <w:t xml:space="preserve">nel prospetto della situazione patrimoniale- finanziaria, ma per la quale il </w:t>
            </w:r>
            <w:r w:rsidRPr="005B14F4">
              <w:rPr>
                <w:rFonts w:cs="EUAlbertina"/>
                <w:i/>
                <w:iCs/>
                <w:color w:val="19161B"/>
                <w:lang w:val="it-IT" w:eastAsia="it-IT"/>
              </w:rPr>
              <w:t xml:space="preserve">fair value </w:t>
            </w:r>
            <w:r w:rsidRPr="005B14F4">
              <w:rPr>
                <w:rFonts w:cs="EUAlbertina"/>
                <w:color w:val="19161B"/>
                <w:lang w:val="it-IT" w:eastAsia="it-IT"/>
              </w:rPr>
              <w:t>è indicato</w:t>
            </w:r>
            <w:r>
              <w:rPr>
                <w:rFonts w:cs="EUAlbertina"/>
                <w:color w:val="19161B"/>
                <w:lang w:val="it-IT" w:eastAsia="it-IT"/>
              </w:rPr>
              <w:t xml:space="preserve"> nelle note</w:t>
            </w:r>
            <w:r w:rsidRPr="005B14F4">
              <w:rPr>
                <w:rFonts w:cs="EUAlbertina"/>
                <w:color w:val="19161B"/>
                <w:lang w:val="it-IT" w:eastAsia="it-IT"/>
              </w:rPr>
              <w:t xml:space="preserve">, un’entità </w:t>
            </w:r>
            <w:r w:rsidRPr="0052383B">
              <w:rPr>
                <w:rFonts w:cs="EUAlbertina"/>
                <w:color w:val="19161B"/>
                <w:lang w:val="it-IT" w:eastAsia="it-IT"/>
              </w:rPr>
              <w:t>deve fornire le informazioni richieste dal paragrafo 93(b), (d) e (i) dell’IFRS 13 (vedi punto 18</w:t>
            </w:r>
            <w:r>
              <w:rPr>
                <w:rFonts w:cs="EUAlbertina"/>
                <w:color w:val="19161B"/>
                <w:lang w:val="it-IT" w:eastAsia="it-IT"/>
              </w:rPr>
              <w:t>4</w:t>
            </w:r>
            <w:r w:rsidRPr="0052383B">
              <w:rPr>
                <w:rFonts w:cs="EUAlbertina"/>
                <w:color w:val="19161B"/>
                <w:lang w:val="it-IT" w:eastAsia="it-IT"/>
              </w:rPr>
              <w:t>).</w:t>
            </w:r>
            <w:r w:rsidRPr="005B14F4">
              <w:rPr>
                <w:rFonts w:cs="EUAlbertina"/>
                <w:color w:val="19161B"/>
                <w:lang w:val="it-IT" w:eastAsia="it-IT"/>
              </w:rPr>
              <w:t xml:space="preserve"> Tuttavia, un’entità non è tenuta a fornire informazioni quantitative sugli input non osservabili significativi utilizzati nelle valutazioni del </w:t>
            </w:r>
            <w:r w:rsidRPr="005B14F4">
              <w:rPr>
                <w:rFonts w:cs="EUAlbertina"/>
                <w:i/>
                <w:iCs/>
                <w:color w:val="19161B"/>
                <w:lang w:val="it-IT" w:eastAsia="it-IT"/>
              </w:rPr>
              <w:t xml:space="preserve">fair value </w:t>
            </w:r>
            <w:r w:rsidRPr="005B14F4">
              <w:rPr>
                <w:rFonts w:cs="EUAlbertina"/>
                <w:color w:val="19161B"/>
                <w:lang w:val="it-IT" w:eastAsia="it-IT"/>
              </w:rPr>
              <w:t xml:space="preserve">classificate nel Livello 3 della gerarchia del </w:t>
            </w:r>
            <w:r w:rsidRPr="005B14F4">
              <w:rPr>
                <w:rFonts w:cs="EUAlbertina"/>
                <w:i/>
                <w:iCs/>
                <w:color w:val="19161B"/>
                <w:lang w:val="it-IT" w:eastAsia="it-IT"/>
              </w:rPr>
              <w:t xml:space="preserve">fair value </w:t>
            </w:r>
            <w:r w:rsidRPr="005B14F4">
              <w:rPr>
                <w:rFonts w:cs="EUAlbertina"/>
                <w:color w:val="19161B"/>
                <w:lang w:val="it-IT" w:eastAsia="it-IT"/>
              </w:rPr>
              <w:t>secondo quanto richiesto dal paragrafo 93(d)</w:t>
            </w:r>
            <w:r>
              <w:rPr>
                <w:rFonts w:cs="EUAlbertina"/>
                <w:color w:val="19161B"/>
                <w:lang w:val="it-IT" w:eastAsia="it-IT"/>
              </w:rPr>
              <w:t xml:space="preserve"> dell’IFRS 13</w:t>
            </w:r>
            <w:r w:rsidRPr="005B14F4">
              <w:rPr>
                <w:rFonts w:cs="EUAlbertina"/>
                <w:color w:val="19161B"/>
                <w:lang w:val="it-IT" w:eastAsia="it-IT"/>
              </w:rPr>
              <w:t>. Per tali attività e passività, un’entità non è tenuta a fornire le altre informa</w:t>
            </w:r>
            <w:r>
              <w:rPr>
                <w:rFonts w:cs="EUAlbertina"/>
                <w:color w:val="19161B"/>
                <w:lang w:val="it-IT" w:eastAsia="it-IT"/>
              </w:rPr>
              <w:t>zioni integrative richieste dall’</w:t>
            </w:r>
            <w:r w:rsidRPr="005B14F4">
              <w:rPr>
                <w:rFonts w:cs="EUAlbertina"/>
                <w:color w:val="19161B"/>
                <w:lang w:val="it-IT" w:eastAsia="it-IT"/>
              </w:rPr>
              <w:t>IFRS.</w:t>
            </w:r>
          </w:p>
        </w:tc>
        <w:tc>
          <w:tcPr>
            <w:tcW w:w="575" w:type="dxa"/>
            <w:tcMar>
              <w:left w:w="85" w:type="dxa"/>
              <w:right w:w="85" w:type="dxa"/>
            </w:tcMar>
            <w:vAlign w:val="center"/>
          </w:tcPr>
          <w:p w:rsidR="00E84B58" w:rsidRPr="003E3E83"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3E3E83"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3E3E83"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57"/>
        </w:trPr>
        <w:tc>
          <w:tcPr>
            <w:tcW w:w="567" w:type="dxa"/>
            <w:tcMar>
              <w:left w:w="108" w:type="dxa"/>
            </w:tcMar>
          </w:tcPr>
          <w:p w:rsidR="004300E2" w:rsidRPr="008A0F36" w:rsidRDefault="004300E2" w:rsidP="00537014">
            <w:pPr>
              <w:pStyle w:val="IAS"/>
              <w:spacing w:after="40"/>
              <w:rPr>
                <w:lang w:val="it-IT"/>
              </w:rPr>
            </w:pPr>
          </w:p>
        </w:tc>
        <w:tc>
          <w:tcPr>
            <w:tcW w:w="851" w:type="dxa"/>
            <w:tcMar>
              <w:left w:w="108" w:type="dxa"/>
              <w:right w:w="0" w:type="dxa"/>
            </w:tcMar>
          </w:tcPr>
          <w:p w:rsidR="004300E2" w:rsidRDefault="004300E2" w:rsidP="004300E2">
            <w:pPr>
              <w:pStyle w:val="IAS"/>
              <w:pageBreakBefore/>
              <w:spacing w:after="40"/>
              <w:rPr>
                <w:lang w:val="it-IT"/>
              </w:rPr>
            </w:pPr>
          </w:p>
        </w:tc>
        <w:tc>
          <w:tcPr>
            <w:tcW w:w="7079" w:type="dxa"/>
            <w:tcMar>
              <w:left w:w="108" w:type="dxa"/>
            </w:tcMar>
          </w:tcPr>
          <w:p w:rsidR="004300E2" w:rsidRPr="00986144" w:rsidRDefault="004300E2" w:rsidP="004300E2">
            <w:pPr>
              <w:pageBreakBefore/>
              <w:overflowPunct/>
              <w:spacing w:before="40" w:after="40" w:line="240" w:lineRule="auto"/>
              <w:textAlignment w:val="auto"/>
              <w:rPr>
                <w:rFonts w:cs="EUAlbertina"/>
                <w:b/>
                <w:color w:val="19161B"/>
                <w:lang w:val="it-IT" w:eastAsia="it-IT"/>
              </w:rPr>
            </w:pPr>
            <w:r w:rsidRPr="00AB2C1C">
              <w:rPr>
                <w:b/>
                <w:i/>
                <w:lang w:val="it-IT"/>
              </w:rPr>
              <w:t>Informazioni integrative sul fair value</w:t>
            </w:r>
          </w:p>
        </w:tc>
        <w:tc>
          <w:tcPr>
            <w:tcW w:w="575" w:type="dxa"/>
            <w:tcMar>
              <w:left w:w="85" w:type="dxa"/>
              <w:right w:w="85" w:type="dxa"/>
            </w:tcMar>
            <w:vAlign w:val="center"/>
          </w:tcPr>
          <w:p w:rsidR="004300E2" w:rsidRPr="003E3E83" w:rsidRDefault="004300E2" w:rsidP="004300E2">
            <w:pPr>
              <w:pageBreakBefore/>
              <w:spacing w:before="40" w:after="40"/>
              <w:jc w:val="center"/>
              <w:rPr>
                <w:lang w:val="it-IT"/>
              </w:rPr>
            </w:pPr>
          </w:p>
        </w:tc>
        <w:tc>
          <w:tcPr>
            <w:tcW w:w="567" w:type="dxa"/>
            <w:tcMar>
              <w:left w:w="108" w:type="dxa"/>
            </w:tcMar>
            <w:vAlign w:val="center"/>
          </w:tcPr>
          <w:p w:rsidR="004300E2" w:rsidRPr="003E3E83" w:rsidRDefault="004300E2" w:rsidP="004300E2">
            <w:pPr>
              <w:pageBreakBefore/>
              <w:spacing w:before="40" w:after="40"/>
              <w:jc w:val="center"/>
              <w:rPr>
                <w:lang w:val="it-IT"/>
              </w:rPr>
            </w:pPr>
          </w:p>
        </w:tc>
        <w:tc>
          <w:tcPr>
            <w:tcW w:w="567" w:type="dxa"/>
            <w:tcMar>
              <w:left w:w="108" w:type="dxa"/>
            </w:tcMar>
            <w:vAlign w:val="center"/>
          </w:tcPr>
          <w:p w:rsidR="004300E2" w:rsidRPr="003E3E83" w:rsidRDefault="004300E2" w:rsidP="004300E2">
            <w:pPr>
              <w:pageBreakBefore/>
              <w:spacing w:before="40" w:after="40"/>
              <w:jc w:val="center"/>
              <w:rPr>
                <w:lang w:val="it-IT"/>
              </w:rPr>
            </w:pPr>
          </w:p>
        </w:tc>
      </w:tr>
      <w:tr w:rsidR="004300E2" w:rsidRPr="00A44ECD" w:rsidTr="00940A6F">
        <w:trPr>
          <w:cantSplit/>
          <w:trHeight w:val="57"/>
        </w:trPr>
        <w:tc>
          <w:tcPr>
            <w:tcW w:w="567" w:type="dxa"/>
            <w:tcMar>
              <w:left w:w="108" w:type="dxa"/>
            </w:tcMar>
          </w:tcPr>
          <w:p w:rsidR="004300E2" w:rsidRDefault="004300E2" w:rsidP="00160AA0">
            <w:pPr>
              <w:pStyle w:val="Numeroelenco"/>
              <w:ind w:left="0" w:firstLine="57"/>
              <w:rPr>
                <w:lang w:val="it-IT"/>
              </w:rPr>
            </w:pPr>
          </w:p>
        </w:tc>
        <w:tc>
          <w:tcPr>
            <w:tcW w:w="851" w:type="dxa"/>
            <w:tcMar>
              <w:left w:w="108" w:type="dxa"/>
              <w:right w:w="0" w:type="dxa"/>
            </w:tcMar>
          </w:tcPr>
          <w:p w:rsidR="004300E2" w:rsidRDefault="004300E2" w:rsidP="00160AA0">
            <w:pPr>
              <w:pStyle w:val="IAS"/>
              <w:spacing w:before="20" w:line="220" w:lineRule="exact"/>
              <w:rPr>
                <w:lang w:val="it-IT"/>
              </w:rPr>
            </w:pPr>
            <w:r>
              <w:rPr>
                <w:lang w:val="it-IT"/>
              </w:rPr>
              <w:t>IFRS 13.91</w:t>
            </w:r>
          </w:p>
        </w:tc>
        <w:tc>
          <w:tcPr>
            <w:tcW w:w="7079" w:type="dxa"/>
            <w:tcMar>
              <w:left w:w="108" w:type="dxa"/>
            </w:tcMar>
          </w:tcPr>
          <w:p w:rsidR="004300E2" w:rsidRPr="00F63DA6" w:rsidRDefault="004300E2" w:rsidP="00160AA0">
            <w:pPr>
              <w:overflowPunct/>
              <w:textAlignment w:val="auto"/>
              <w:rPr>
                <w:rFonts w:cs="EUAlbertina"/>
                <w:color w:val="19161B"/>
                <w:lang w:val="it-IT" w:eastAsia="it-IT"/>
              </w:rPr>
            </w:pPr>
            <w:r w:rsidRPr="005B14F4">
              <w:rPr>
                <w:rFonts w:cs="EUAlbertina"/>
                <w:bCs/>
                <w:color w:val="19161B"/>
                <w:lang w:val="it-IT" w:eastAsia="it-IT"/>
              </w:rPr>
              <w:t xml:space="preserve">Un’entità deve fornire informazioni integrative tali da </w:t>
            </w:r>
            <w:r>
              <w:rPr>
                <w:rFonts w:cs="EUAlbertina"/>
                <w:bCs/>
                <w:color w:val="19161B"/>
                <w:lang w:val="it-IT" w:eastAsia="it-IT"/>
              </w:rPr>
              <w:t>consentire a</w:t>
            </w:r>
            <w:r w:rsidRPr="005B14F4">
              <w:rPr>
                <w:rFonts w:cs="EUAlbertina"/>
                <w:bCs/>
                <w:color w:val="19161B"/>
                <w:lang w:val="it-IT" w:eastAsia="it-IT"/>
              </w:rPr>
              <w:t xml:space="preserve">gli utilizzatori del bilancio </w:t>
            </w:r>
            <w:r>
              <w:rPr>
                <w:rFonts w:cs="EUAlbertina"/>
                <w:bCs/>
                <w:color w:val="19161B"/>
                <w:lang w:val="it-IT" w:eastAsia="it-IT"/>
              </w:rPr>
              <w:t xml:space="preserve">di </w:t>
            </w:r>
            <w:r w:rsidRPr="005B14F4">
              <w:rPr>
                <w:rFonts w:cs="EUAlbertina"/>
                <w:bCs/>
                <w:color w:val="19161B"/>
                <w:lang w:val="it-IT" w:eastAsia="it-IT"/>
              </w:rPr>
              <w:t xml:space="preserve">valutare quanto segue: </w:t>
            </w:r>
          </w:p>
        </w:tc>
        <w:tc>
          <w:tcPr>
            <w:tcW w:w="575" w:type="dxa"/>
            <w:tcMar>
              <w:left w:w="85" w:type="dxa"/>
              <w:right w:w="85" w:type="dxa"/>
            </w:tcMar>
          </w:tcPr>
          <w:p w:rsidR="004300E2" w:rsidRPr="004979D5" w:rsidRDefault="004300E2" w:rsidP="00160AA0">
            <w:pPr>
              <w:jc w:val="center"/>
              <w:rPr>
                <w:lang w:val="it-IT"/>
              </w:rPr>
            </w:pPr>
          </w:p>
          <w:p w:rsidR="004300E2" w:rsidRPr="00A32A16" w:rsidRDefault="004300E2" w:rsidP="00160AA0">
            <w:pPr>
              <w:rPr>
                <w:lang w:val="it-IT"/>
              </w:rPr>
            </w:pPr>
          </w:p>
        </w:tc>
        <w:tc>
          <w:tcPr>
            <w:tcW w:w="567" w:type="dxa"/>
            <w:tcMar>
              <w:left w:w="108" w:type="dxa"/>
            </w:tcMar>
          </w:tcPr>
          <w:p w:rsidR="004300E2" w:rsidRPr="00F63DA6" w:rsidRDefault="004300E2" w:rsidP="00160AA0">
            <w:pPr>
              <w:jc w:val="center"/>
              <w:rPr>
                <w:lang w:val="it-IT"/>
              </w:rPr>
            </w:pPr>
          </w:p>
          <w:p w:rsidR="004300E2" w:rsidRPr="00A32A16" w:rsidRDefault="004300E2" w:rsidP="00160AA0">
            <w:pPr>
              <w:rPr>
                <w:lang w:val="it-IT"/>
              </w:rPr>
            </w:pPr>
          </w:p>
        </w:tc>
        <w:tc>
          <w:tcPr>
            <w:tcW w:w="567" w:type="dxa"/>
            <w:tcMar>
              <w:left w:w="108" w:type="dxa"/>
            </w:tcMar>
          </w:tcPr>
          <w:p w:rsidR="004300E2" w:rsidRPr="00F63DA6" w:rsidRDefault="004300E2" w:rsidP="00160AA0">
            <w:pPr>
              <w:jc w:val="center"/>
              <w:rPr>
                <w:lang w:val="it-IT"/>
              </w:rPr>
            </w:pPr>
          </w:p>
          <w:p w:rsidR="004300E2" w:rsidRPr="00A32A16" w:rsidRDefault="004300E2" w:rsidP="00160AA0">
            <w:pPr>
              <w:rPr>
                <w:lang w:val="it-IT"/>
              </w:rPr>
            </w:pPr>
          </w:p>
        </w:tc>
      </w:tr>
      <w:tr w:rsidR="00E84B58" w:rsidRPr="008129DA" w:rsidTr="00940A6F">
        <w:trPr>
          <w:cantSplit/>
          <w:trHeight w:val="57"/>
        </w:trPr>
        <w:tc>
          <w:tcPr>
            <w:tcW w:w="567" w:type="dxa"/>
            <w:tcMar>
              <w:left w:w="108" w:type="dxa"/>
            </w:tcMar>
          </w:tcPr>
          <w:p w:rsidR="00E84B58" w:rsidRDefault="00E84B58" w:rsidP="00160AA0">
            <w:pPr>
              <w:pStyle w:val="Numeroelenco"/>
              <w:numPr>
                <w:ilvl w:val="0"/>
                <w:numId w:val="0"/>
              </w:numPr>
              <w:ind w:left="57"/>
              <w:rPr>
                <w:lang w:val="it-IT"/>
              </w:rPr>
            </w:pPr>
          </w:p>
        </w:tc>
        <w:tc>
          <w:tcPr>
            <w:tcW w:w="851" w:type="dxa"/>
            <w:tcMar>
              <w:left w:w="108" w:type="dxa"/>
              <w:right w:w="0" w:type="dxa"/>
            </w:tcMar>
          </w:tcPr>
          <w:p w:rsidR="00E84B58" w:rsidRDefault="00E84B58" w:rsidP="00160AA0">
            <w:pPr>
              <w:pStyle w:val="IAS"/>
              <w:spacing w:before="20" w:line="220" w:lineRule="exact"/>
              <w:rPr>
                <w:lang w:val="it-IT"/>
              </w:rPr>
            </w:pPr>
          </w:p>
        </w:tc>
        <w:tc>
          <w:tcPr>
            <w:tcW w:w="7079" w:type="dxa"/>
            <w:tcMar>
              <w:left w:w="108" w:type="dxa"/>
            </w:tcMar>
          </w:tcPr>
          <w:p w:rsidR="00E84B58" w:rsidRPr="00F63DA6" w:rsidRDefault="00E84B58" w:rsidP="00160AA0">
            <w:pPr>
              <w:pStyle w:val="Paragrafoelenco"/>
              <w:numPr>
                <w:ilvl w:val="0"/>
                <w:numId w:val="227"/>
              </w:numPr>
              <w:overflowPunct/>
              <w:ind w:left="458" w:hanging="284"/>
              <w:contextualSpacing w:val="0"/>
              <w:textAlignment w:val="auto"/>
              <w:rPr>
                <w:rFonts w:cs="EUAlbertina"/>
                <w:bCs/>
                <w:color w:val="19161B"/>
                <w:lang w:val="it-IT" w:eastAsia="it-IT"/>
              </w:rPr>
            </w:pPr>
            <w:r w:rsidRPr="00AB2C1C">
              <w:rPr>
                <w:rFonts w:cs="EUAlbertina"/>
                <w:bCs/>
                <w:color w:val="19161B"/>
                <w:lang w:val="it-IT" w:eastAsia="it-IT"/>
              </w:rPr>
              <w:t xml:space="preserve">le tecniche di valutazione e gli input utilizzati per elaborare le valutazioni delle attività e delle passività valutate al </w:t>
            </w:r>
            <w:r w:rsidRPr="00AB2C1C">
              <w:rPr>
                <w:rFonts w:cs="EUAlbertina"/>
                <w:bCs/>
                <w:i/>
                <w:iCs/>
                <w:color w:val="19161B"/>
                <w:lang w:val="it-IT" w:eastAsia="it-IT"/>
              </w:rPr>
              <w:t xml:space="preserve">fair value </w:t>
            </w:r>
            <w:r w:rsidRPr="00AB2C1C">
              <w:rPr>
                <w:rFonts w:cs="EUAlbertina"/>
                <w:bCs/>
                <w:color w:val="19161B"/>
                <w:lang w:val="it-IT" w:eastAsia="it-IT"/>
              </w:rPr>
              <w:t xml:space="preserve">su base ricorrente o non ricorrente nel prospetto della situazione patrimoniale-finanziaria dopo la rilevazione iniziale; </w:t>
            </w:r>
          </w:p>
        </w:tc>
        <w:tc>
          <w:tcPr>
            <w:tcW w:w="575" w:type="dxa"/>
            <w:tcMar>
              <w:left w:w="85" w:type="dxa"/>
              <w:right w:w="85" w:type="dxa"/>
            </w:tcMar>
            <w:vAlign w:val="center"/>
          </w:tcPr>
          <w:p w:rsidR="00E84B58" w:rsidRPr="00725691" w:rsidRDefault="00E84B58" w:rsidP="00160AA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725691" w:rsidRDefault="00E84B58" w:rsidP="00160AA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725691" w:rsidRDefault="00E84B58" w:rsidP="00160AA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57"/>
        </w:trPr>
        <w:tc>
          <w:tcPr>
            <w:tcW w:w="567" w:type="dxa"/>
            <w:tcMar>
              <w:left w:w="108" w:type="dxa"/>
            </w:tcMar>
          </w:tcPr>
          <w:p w:rsidR="00E84B58" w:rsidRDefault="00E84B58" w:rsidP="00160AA0">
            <w:pPr>
              <w:pStyle w:val="Numeroelenco"/>
              <w:numPr>
                <w:ilvl w:val="0"/>
                <w:numId w:val="0"/>
              </w:numPr>
              <w:ind w:left="57"/>
              <w:rPr>
                <w:lang w:val="it-IT"/>
              </w:rPr>
            </w:pPr>
          </w:p>
        </w:tc>
        <w:tc>
          <w:tcPr>
            <w:tcW w:w="851" w:type="dxa"/>
            <w:tcMar>
              <w:left w:w="108" w:type="dxa"/>
              <w:right w:w="0" w:type="dxa"/>
            </w:tcMar>
          </w:tcPr>
          <w:p w:rsidR="00E84B58" w:rsidRDefault="00E84B58" w:rsidP="00160AA0">
            <w:pPr>
              <w:pStyle w:val="IAS"/>
              <w:spacing w:before="20" w:line="220" w:lineRule="exact"/>
              <w:rPr>
                <w:lang w:val="it-IT"/>
              </w:rPr>
            </w:pPr>
          </w:p>
        </w:tc>
        <w:tc>
          <w:tcPr>
            <w:tcW w:w="7079" w:type="dxa"/>
            <w:tcMar>
              <w:left w:w="108" w:type="dxa"/>
            </w:tcMar>
          </w:tcPr>
          <w:p w:rsidR="00E84B58" w:rsidRPr="007D0FF1" w:rsidRDefault="00E84B58" w:rsidP="00160AA0">
            <w:pPr>
              <w:pStyle w:val="Paragrafoelenco"/>
              <w:numPr>
                <w:ilvl w:val="0"/>
                <w:numId w:val="227"/>
              </w:numPr>
              <w:overflowPunct/>
              <w:ind w:left="458" w:hanging="284"/>
              <w:contextualSpacing w:val="0"/>
              <w:textAlignment w:val="auto"/>
              <w:rPr>
                <w:rFonts w:cs="EUAlbertina"/>
                <w:bCs/>
                <w:color w:val="19161B"/>
                <w:lang w:val="it-IT" w:eastAsia="it-IT"/>
              </w:rPr>
            </w:pPr>
            <w:r w:rsidRPr="00F63DA6">
              <w:rPr>
                <w:rFonts w:cs="EUAlbertina"/>
                <w:bCs/>
                <w:color w:val="19161B"/>
                <w:lang w:val="it-IT" w:eastAsia="it-IT"/>
              </w:rPr>
              <w:t xml:space="preserve">l’effetto sull’utile/(perdita) d’esercizio o sulle altre componenti di conto economico complessivo, delle valutazioni ricorrenti del </w:t>
            </w:r>
            <w:r w:rsidRPr="00F63DA6">
              <w:rPr>
                <w:rFonts w:cs="EUAlbertina"/>
                <w:bCs/>
                <w:i/>
                <w:iCs/>
                <w:color w:val="19161B"/>
                <w:lang w:val="it-IT" w:eastAsia="it-IT"/>
              </w:rPr>
              <w:t xml:space="preserve">fair value </w:t>
            </w:r>
            <w:r w:rsidRPr="00F63DA6">
              <w:rPr>
                <w:rFonts w:cs="EUAlbertina"/>
                <w:bCs/>
                <w:color w:val="19161B"/>
                <w:lang w:val="it-IT" w:eastAsia="it-IT"/>
              </w:rPr>
              <w:t>basato sull’utilizzo di significativi input non osservabili (Livello 3)</w:t>
            </w:r>
            <w:r>
              <w:rPr>
                <w:rFonts w:cs="EUAlbertina"/>
                <w:bCs/>
                <w:color w:val="19161B"/>
                <w:lang w:val="it-IT" w:eastAsia="it-IT"/>
              </w:rPr>
              <w:t>.</w:t>
            </w:r>
          </w:p>
        </w:tc>
        <w:tc>
          <w:tcPr>
            <w:tcW w:w="575" w:type="dxa"/>
            <w:tcMar>
              <w:left w:w="85" w:type="dxa"/>
              <w:right w:w="85" w:type="dxa"/>
            </w:tcMar>
            <w:vAlign w:val="center"/>
          </w:tcPr>
          <w:p w:rsidR="00E84B58" w:rsidRPr="00725691" w:rsidRDefault="00E84B58" w:rsidP="00160AA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725691" w:rsidRDefault="00E84B58" w:rsidP="00160AA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725691" w:rsidRDefault="00E84B58" w:rsidP="00160AA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57"/>
        </w:trPr>
        <w:tc>
          <w:tcPr>
            <w:tcW w:w="567" w:type="dxa"/>
            <w:tcMar>
              <w:left w:w="108" w:type="dxa"/>
            </w:tcMar>
          </w:tcPr>
          <w:p w:rsidR="004300E2" w:rsidRPr="008A0F36" w:rsidRDefault="004300E2" w:rsidP="004300E2">
            <w:pPr>
              <w:pStyle w:val="IAS"/>
              <w:rPr>
                <w:lang w:val="it-IT"/>
              </w:rPr>
            </w:pPr>
          </w:p>
        </w:tc>
        <w:tc>
          <w:tcPr>
            <w:tcW w:w="851" w:type="dxa"/>
            <w:tcMar>
              <w:left w:w="108" w:type="dxa"/>
              <w:right w:w="0" w:type="dxa"/>
            </w:tcMar>
          </w:tcPr>
          <w:p w:rsidR="004300E2" w:rsidRDefault="004300E2" w:rsidP="004300E2">
            <w:pPr>
              <w:pStyle w:val="IAS"/>
              <w:rPr>
                <w:lang w:val="it-IT"/>
              </w:rPr>
            </w:pPr>
            <w:r>
              <w:rPr>
                <w:lang w:val="it-IT"/>
              </w:rPr>
              <w:t>IFRS 13.92</w:t>
            </w:r>
          </w:p>
        </w:tc>
        <w:tc>
          <w:tcPr>
            <w:tcW w:w="7079" w:type="dxa"/>
            <w:tcMar>
              <w:left w:w="108" w:type="dxa"/>
            </w:tcMar>
          </w:tcPr>
          <w:p w:rsidR="00633C3A" w:rsidRDefault="004300E2" w:rsidP="00633C3A">
            <w:pPr>
              <w:pStyle w:val="Paragarfobordato"/>
              <w:rPr>
                <w:lang w:eastAsia="it-IT"/>
              </w:rPr>
            </w:pPr>
            <w:r w:rsidRPr="005B14F4">
              <w:rPr>
                <w:lang w:eastAsia="it-IT"/>
              </w:rPr>
              <w:t xml:space="preserve">Se le informazioni integrative fornite in conformità </w:t>
            </w:r>
            <w:r>
              <w:rPr>
                <w:lang w:eastAsia="it-IT"/>
              </w:rPr>
              <w:t xml:space="preserve">all’IFRS 13 </w:t>
            </w:r>
            <w:r w:rsidRPr="005B14F4">
              <w:rPr>
                <w:lang w:eastAsia="it-IT"/>
              </w:rPr>
              <w:t xml:space="preserve">e ad altri IFRS sono insufficienti a soddisfare le finalità di cui al paragrafo 91, un’entità deve fornire le informazioni integrative necessarie a soddisfare tali finalità. </w:t>
            </w:r>
          </w:p>
          <w:p w:rsidR="004300E2" w:rsidRPr="00F903CD" w:rsidRDefault="004300E2" w:rsidP="00633C3A">
            <w:pPr>
              <w:pStyle w:val="Paragarfobordato"/>
              <w:rPr>
                <w:lang w:eastAsia="it-IT"/>
              </w:rPr>
            </w:pPr>
            <w:r w:rsidRPr="005B14F4">
              <w:rPr>
                <w:lang w:eastAsia="it-IT"/>
              </w:rPr>
              <w:t>Per tale analisi, l’entità deve considerare quanto segue:</w:t>
            </w:r>
          </w:p>
          <w:p w:rsidR="004300E2" w:rsidRDefault="00633C3A" w:rsidP="00633C3A">
            <w:pPr>
              <w:pStyle w:val="Paragarfobordato"/>
              <w:ind w:left="205" w:hanging="205"/>
              <w:rPr>
                <w:lang w:eastAsia="it-IT"/>
              </w:rPr>
            </w:pPr>
            <w:r>
              <w:rPr>
                <w:lang w:eastAsia="it-IT"/>
              </w:rPr>
              <w:t>a)</w:t>
            </w:r>
            <w:r>
              <w:rPr>
                <w:lang w:eastAsia="it-IT"/>
              </w:rPr>
              <w:tab/>
            </w:r>
            <w:r w:rsidR="004300E2" w:rsidRPr="005B14F4">
              <w:rPr>
                <w:lang w:eastAsia="it-IT"/>
              </w:rPr>
              <w:t>il livello di dettaglio necessario per soddisfare le disposizioni informative;</w:t>
            </w:r>
          </w:p>
          <w:p w:rsidR="004300E2" w:rsidRDefault="00633C3A" w:rsidP="00633C3A">
            <w:pPr>
              <w:pStyle w:val="Paragarfobordato"/>
              <w:ind w:left="205" w:hanging="205"/>
              <w:rPr>
                <w:lang w:eastAsia="it-IT"/>
              </w:rPr>
            </w:pPr>
            <w:r>
              <w:rPr>
                <w:lang w:eastAsia="it-IT"/>
              </w:rPr>
              <w:t>b)</w:t>
            </w:r>
            <w:r>
              <w:rPr>
                <w:lang w:eastAsia="it-IT"/>
              </w:rPr>
              <w:tab/>
            </w:r>
            <w:r w:rsidR="004300E2" w:rsidRPr="005B14F4">
              <w:rPr>
                <w:lang w:eastAsia="it-IT"/>
              </w:rPr>
              <w:t xml:space="preserve">l’enfasi da riporre su ciascuna delle diverse disposizioni; </w:t>
            </w:r>
          </w:p>
          <w:p w:rsidR="004300E2" w:rsidRDefault="00633C3A" w:rsidP="00633C3A">
            <w:pPr>
              <w:pStyle w:val="Paragarfobordato"/>
              <w:ind w:left="205" w:hanging="205"/>
              <w:rPr>
                <w:lang w:eastAsia="it-IT"/>
              </w:rPr>
            </w:pPr>
            <w:r>
              <w:rPr>
                <w:lang w:eastAsia="it-IT"/>
              </w:rPr>
              <w:t>c)</w:t>
            </w:r>
            <w:r>
              <w:rPr>
                <w:lang w:eastAsia="it-IT"/>
              </w:rPr>
              <w:tab/>
            </w:r>
            <w:r w:rsidR="004300E2" w:rsidRPr="005B14F4">
              <w:rPr>
                <w:lang w:eastAsia="it-IT"/>
              </w:rPr>
              <w:t xml:space="preserve">il livello di aggregazione o disaggregazione da considerare; e </w:t>
            </w:r>
          </w:p>
          <w:p w:rsidR="004300E2" w:rsidRPr="00AB2C1C" w:rsidRDefault="00633C3A" w:rsidP="00633C3A">
            <w:pPr>
              <w:pStyle w:val="Paragarfobordato"/>
              <w:ind w:left="205" w:hanging="205"/>
              <w:rPr>
                <w:lang w:eastAsia="it-IT"/>
              </w:rPr>
            </w:pPr>
            <w:r>
              <w:rPr>
                <w:lang w:eastAsia="it-IT"/>
              </w:rPr>
              <w:t>d</w:t>
            </w:r>
            <w:r>
              <w:rPr>
                <w:lang w:eastAsia="it-IT"/>
              </w:rPr>
              <w:tab/>
              <w:t>)</w:t>
            </w:r>
            <w:r w:rsidR="004300E2" w:rsidRPr="00986144">
              <w:rPr>
                <w:lang w:eastAsia="it-IT"/>
              </w:rPr>
              <w:t>se gli utilizzatori del bilancio necessitano di ulteriori informazioni per valutare le informazioni quantitative fornite.</w:t>
            </w:r>
          </w:p>
        </w:tc>
        <w:tc>
          <w:tcPr>
            <w:tcW w:w="575" w:type="dxa"/>
            <w:tcMar>
              <w:left w:w="85" w:type="dxa"/>
              <w:right w:w="85" w:type="dxa"/>
            </w:tcMar>
            <w:vAlign w:val="center"/>
          </w:tcPr>
          <w:p w:rsidR="004300E2" w:rsidRPr="003E3E83" w:rsidRDefault="004300E2" w:rsidP="004300E2">
            <w:pPr>
              <w:jc w:val="center"/>
              <w:rPr>
                <w:lang w:val="it-IT"/>
              </w:rPr>
            </w:pPr>
          </w:p>
        </w:tc>
        <w:tc>
          <w:tcPr>
            <w:tcW w:w="567" w:type="dxa"/>
            <w:tcMar>
              <w:left w:w="108" w:type="dxa"/>
            </w:tcMar>
            <w:vAlign w:val="center"/>
          </w:tcPr>
          <w:p w:rsidR="004300E2" w:rsidRPr="003E3E83" w:rsidRDefault="004300E2" w:rsidP="004300E2">
            <w:pPr>
              <w:jc w:val="center"/>
              <w:rPr>
                <w:lang w:val="it-IT"/>
              </w:rPr>
            </w:pPr>
          </w:p>
        </w:tc>
        <w:tc>
          <w:tcPr>
            <w:tcW w:w="567" w:type="dxa"/>
            <w:tcMar>
              <w:left w:w="108" w:type="dxa"/>
            </w:tcMar>
            <w:vAlign w:val="center"/>
          </w:tcPr>
          <w:p w:rsidR="004300E2" w:rsidRPr="003E3E83" w:rsidRDefault="004300E2" w:rsidP="004300E2">
            <w:pPr>
              <w:jc w:val="center"/>
              <w:rPr>
                <w:lang w:val="it-IT"/>
              </w:rPr>
            </w:pPr>
          </w:p>
        </w:tc>
      </w:tr>
      <w:tr w:rsidR="004300E2" w:rsidRPr="00A44ECD" w:rsidTr="00940A6F">
        <w:trPr>
          <w:cantSplit/>
          <w:trHeight w:val="57"/>
        </w:trPr>
        <w:tc>
          <w:tcPr>
            <w:tcW w:w="567" w:type="dxa"/>
            <w:tcMar>
              <w:left w:w="108" w:type="dxa"/>
            </w:tcMar>
          </w:tcPr>
          <w:p w:rsidR="004300E2" w:rsidRDefault="004300E2" w:rsidP="004300E2">
            <w:pPr>
              <w:pStyle w:val="Numeroelenco"/>
              <w:ind w:left="0" w:firstLine="57"/>
              <w:rPr>
                <w:lang w:val="it-IT"/>
              </w:rPr>
            </w:pPr>
          </w:p>
        </w:tc>
        <w:tc>
          <w:tcPr>
            <w:tcW w:w="851" w:type="dxa"/>
            <w:tcMar>
              <w:left w:w="108" w:type="dxa"/>
              <w:right w:w="0" w:type="dxa"/>
            </w:tcMar>
          </w:tcPr>
          <w:p w:rsidR="004300E2" w:rsidRDefault="004300E2" w:rsidP="004300E2">
            <w:pPr>
              <w:pStyle w:val="IAS"/>
              <w:rPr>
                <w:lang w:val="it-IT"/>
              </w:rPr>
            </w:pPr>
            <w:r>
              <w:rPr>
                <w:lang w:val="it-IT"/>
              </w:rPr>
              <w:t>IFRS 13.93</w:t>
            </w:r>
          </w:p>
        </w:tc>
        <w:tc>
          <w:tcPr>
            <w:tcW w:w="7079" w:type="dxa"/>
            <w:tcMar>
              <w:left w:w="108" w:type="dxa"/>
            </w:tcMar>
          </w:tcPr>
          <w:p w:rsidR="004300E2" w:rsidRPr="005B14F4" w:rsidRDefault="004300E2" w:rsidP="004300E2">
            <w:pPr>
              <w:overflowPunct/>
              <w:spacing w:before="60" w:after="60" w:line="240" w:lineRule="auto"/>
              <w:textAlignment w:val="auto"/>
              <w:rPr>
                <w:rFonts w:cs="EUAlbertina"/>
                <w:color w:val="19161B"/>
                <w:lang w:val="it-IT" w:eastAsia="it-IT"/>
              </w:rPr>
            </w:pPr>
            <w:r>
              <w:rPr>
                <w:rFonts w:cs="EUAlbertina"/>
                <w:color w:val="19161B"/>
                <w:lang w:val="it-IT"/>
              </w:rPr>
              <w:t>U</w:t>
            </w:r>
            <w:r w:rsidRPr="005B14F4">
              <w:rPr>
                <w:rFonts w:cs="EUAlbertina"/>
                <w:color w:val="19161B"/>
                <w:lang w:val="it-IT"/>
              </w:rPr>
              <w:t xml:space="preserve">n’entità deve fornire, </w:t>
            </w:r>
            <w:r>
              <w:rPr>
                <w:rFonts w:cs="EUAlbertina"/>
                <w:color w:val="19161B"/>
                <w:lang w:val="it-IT"/>
              </w:rPr>
              <w:t xml:space="preserve">come minimo, le seguenti informazioni </w:t>
            </w:r>
            <w:r w:rsidRPr="005B14F4">
              <w:rPr>
                <w:rFonts w:cs="EUAlbertina"/>
                <w:color w:val="19161B"/>
                <w:lang w:val="it-IT"/>
              </w:rPr>
              <w:t>per ciascuna classe di attività e passività</w:t>
            </w:r>
            <w:r>
              <w:rPr>
                <w:rFonts w:cs="EUAlbertina"/>
                <w:color w:val="19161B"/>
                <w:lang w:val="it-IT"/>
              </w:rPr>
              <w:t xml:space="preserve"> </w:t>
            </w:r>
            <w:r w:rsidRPr="005B14F4">
              <w:rPr>
                <w:rFonts w:cs="EUAlbertina"/>
                <w:color w:val="19161B"/>
                <w:lang w:val="it-IT"/>
              </w:rPr>
              <w:t>(</w:t>
            </w:r>
            <w:r>
              <w:rPr>
                <w:rFonts w:cs="EUAlbertina"/>
                <w:color w:val="19161B"/>
                <w:lang w:val="it-IT"/>
              </w:rPr>
              <w:t xml:space="preserve">si </w:t>
            </w:r>
            <w:r w:rsidRPr="0052383B">
              <w:rPr>
                <w:rFonts w:cs="EUAlbertina"/>
                <w:color w:val="19161B"/>
                <w:lang w:val="it-IT"/>
              </w:rPr>
              <w:t xml:space="preserve">veda punto </w:t>
            </w:r>
            <w:r>
              <w:rPr>
                <w:rFonts w:cs="EUAlbertina"/>
                <w:color w:val="19161B"/>
                <w:lang w:val="it-IT"/>
              </w:rPr>
              <w:t>22</w:t>
            </w:r>
            <w:r w:rsidR="00D20202">
              <w:rPr>
                <w:rFonts w:cs="EUAlbertina"/>
                <w:color w:val="19161B"/>
                <w:lang w:val="it-IT"/>
              </w:rPr>
              <w:t>1</w:t>
            </w:r>
            <w:r w:rsidRPr="0052383B">
              <w:rPr>
                <w:rFonts w:cs="EUAlbertina"/>
                <w:color w:val="19161B"/>
                <w:lang w:val="it-IT"/>
              </w:rPr>
              <w:t xml:space="preserve"> per</w:t>
            </w:r>
            <w:r w:rsidRPr="005B14F4">
              <w:rPr>
                <w:rFonts w:cs="EUAlbertina"/>
                <w:color w:val="19161B"/>
                <w:lang w:val="it-IT"/>
              </w:rPr>
              <w:t xml:space="preserve"> </w:t>
            </w:r>
            <w:r>
              <w:rPr>
                <w:rFonts w:cs="EUAlbertina"/>
                <w:color w:val="19161B"/>
                <w:lang w:val="it-IT"/>
              </w:rPr>
              <w:t xml:space="preserve">la </w:t>
            </w:r>
            <w:r w:rsidRPr="005B14F4">
              <w:rPr>
                <w:rFonts w:cs="EUAlbertina"/>
                <w:color w:val="19161B"/>
                <w:lang w:val="it-IT"/>
              </w:rPr>
              <w:t>determinazione delle classi di attività e passività più adeguate)</w:t>
            </w:r>
            <w:r>
              <w:rPr>
                <w:rFonts w:cs="EUAlbertina"/>
                <w:color w:val="19161B"/>
                <w:lang w:val="it-IT"/>
              </w:rPr>
              <w:t xml:space="preserve">, che nel prospetto </w:t>
            </w:r>
            <w:r w:rsidRPr="005B14F4">
              <w:rPr>
                <w:rFonts w:cs="EUAlbertina"/>
                <w:color w:val="19161B"/>
                <w:lang w:val="it-IT"/>
              </w:rPr>
              <w:t xml:space="preserve">della situazione patrimoniale- finanziaria </w:t>
            </w:r>
            <w:r>
              <w:rPr>
                <w:rFonts w:cs="EUAlbertina"/>
                <w:color w:val="19161B"/>
                <w:lang w:val="it-IT"/>
              </w:rPr>
              <w:t xml:space="preserve">sono </w:t>
            </w:r>
            <w:r w:rsidRPr="005B14F4">
              <w:rPr>
                <w:rFonts w:cs="EUAlbertina"/>
                <w:color w:val="19161B"/>
                <w:lang w:val="it-IT"/>
              </w:rPr>
              <w:t xml:space="preserve">valutate al </w:t>
            </w:r>
            <w:r w:rsidRPr="005B14F4">
              <w:rPr>
                <w:rFonts w:cs="EUAlbertina"/>
                <w:i/>
                <w:iCs/>
                <w:color w:val="19161B"/>
                <w:lang w:val="it-IT"/>
              </w:rPr>
              <w:t>fair value</w:t>
            </w:r>
            <w:r>
              <w:rPr>
                <w:rFonts w:cs="EUAlbertina"/>
                <w:i/>
                <w:iCs/>
                <w:color w:val="19161B"/>
                <w:lang w:val="it-IT"/>
              </w:rPr>
              <w:t xml:space="preserve"> </w:t>
            </w:r>
            <w:r w:rsidRPr="005B14F4">
              <w:rPr>
                <w:rFonts w:cs="EUAlbertina"/>
                <w:color w:val="19161B"/>
                <w:lang w:val="it-IT"/>
              </w:rPr>
              <w:t>successivamente alla rilevazione iniziale:</w:t>
            </w:r>
          </w:p>
        </w:tc>
        <w:tc>
          <w:tcPr>
            <w:tcW w:w="575" w:type="dxa"/>
            <w:tcMar>
              <w:left w:w="85" w:type="dxa"/>
              <w:right w:w="85"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r>
      <w:tr w:rsidR="00E84B58" w:rsidRPr="008129DA" w:rsidTr="00940A6F">
        <w:trPr>
          <w:cantSplit/>
          <w:trHeight w:val="57"/>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Default="00E84B58" w:rsidP="004300E2">
            <w:pPr>
              <w:pStyle w:val="IAS"/>
              <w:rPr>
                <w:lang w:val="it-IT"/>
              </w:rPr>
            </w:pPr>
          </w:p>
        </w:tc>
        <w:tc>
          <w:tcPr>
            <w:tcW w:w="7079" w:type="dxa"/>
            <w:tcMar>
              <w:left w:w="108" w:type="dxa"/>
            </w:tcMar>
          </w:tcPr>
          <w:p w:rsidR="00E84B58" w:rsidRDefault="00E84B58" w:rsidP="004300E2">
            <w:pPr>
              <w:overflowPunct/>
              <w:spacing w:before="60" w:after="60" w:line="240" w:lineRule="auto"/>
              <w:ind w:left="316" w:hanging="283"/>
              <w:textAlignment w:val="auto"/>
              <w:rPr>
                <w:rFonts w:cs="EUAlbertina"/>
                <w:color w:val="19161B"/>
                <w:lang w:val="it-IT" w:eastAsia="it-IT"/>
              </w:rPr>
            </w:pPr>
            <w:r w:rsidRPr="005B14F4">
              <w:rPr>
                <w:rFonts w:cs="EUAlbertina"/>
                <w:color w:val="19161B"/>
                <w:lang w:val="it-IT" w:eastAsia="it-IT"/>
              </w:rPr>
              <w:t xml:space="preserve">(a) </w:t>
            </w:r>
            <w:r>
              <w:rPr>
                <w:rFonts w:cs="EUAlbertina"/>
                <w:color w:val="19161B"/>
                <w:lang w:val="it-IT" w:eastAsia="it-IT"/>
              </w:rPr>
              <w:tab/>
            </w:r>
            <w:r w:rsidRPr="005B14F4">
              <w:rPr>
                <w:rFonts w:cs="EUAlbertina"/>
                <w:color w:val="19161B"/>
                <w:lang w:val="it-IT" w:eastAsia="it-IT"/>
              </w:rPr>
              <w:t xml:space="preserve">per </w:t>
            </w:r>
            <w:r>
              <w:rPr>
                <w:rFonts w:cs="EUAlbertina"/>
                <w:color w:val="19161B"/>
                <w:lang w:val="it-IT" w:eastAsia="it-IT"/>
              </w:rPr>
              <w:t xml:space="preserve">le </w:t>
            </w:r>
            <w:r w:rsidRPr="005B14F4">
              <w:rPr>
                <w:rFonts w:cs="EUAlbertina"/>
                <w:color w:val="19161B"/>
                <w:lang w:val="it-IT" w:eastAsia="it-IT"/>
              </w:rPr>
              <w:t>valutazi</w:t>
            </w:r>
            <w:r>
              <w:rPr>
                <w:rFonts w:cs="EUAlbertina"/>
                <w:color w:val="19161B"/>
                <w:lang w:val="it-IT" w:eastAsia="it-IT"/>
              </w:rPr>
              <w:t>oni</w:t>
            </w:r>
            <w:r w:rsidRPr="005B14F4">
              <w:rPr>
                <w:rFonts w:cs="EUAlbertina"/>
                <w:color w:val="19161B"/>
                <w:lang w:val="it-IT" w:eastAsia="it-IT"/>
              </w:rPr>
              <w:t xml:space="preserve"> del </w:t>
            </w:r>
            <w:r w:rsidRPr="005B14F4">
              <w:rPr>
                <w:rFonts w:cs="EUAlbertina"/>
                <w:i/>
                <w:iCs/>
                <w:color w:val="19161B"/>
                <w:lang w:val="it-IT" w:eastAsia="it-IT"/>
              </w:rPr>
              <w:t xml:space="preserve">fair value </w:t>
            </w:r>
            <w:r w:rsidRPr="005B14F4">
              <w:rPr>
                <w:rFonts w:cs="EUAlbertina"/>
                <w:color w:val="19161B"/>
                <w:lang w:val="it-IT" w:eastAsia="it-IT"/>
              </w:rPr>
              <w:t xml:space="preserve">ricorrenti e non ricorrenti, la valutazione del </w:t>
            </w:r>
            <w:r w:rsidRPr="005B14F4">
              <w:rPr>
                <w:rFonts w:cs="EUAlbertina"/>
                <w:i/>
                <w:iCs/>
                <w:color w:val="19161B"/>
                <w:lang w:val="it-IT" w:eastAsia="it-IT"/>
              </w:rPr>
              <w:t xml:space="preserve">fair value </w:t>
            </w:r>
            <w:r w:rsidRPr="005B14F4">
              <w:rPr>
                <w:rFonts w:cs="EUAlbertina"/>
                <w:color w:val="19161B"/>
                <w:lang w:val="it-IT" w:eastAsia="it-IT"/>
              </w:rPr>
              <w:t xml:space="preserve">alla data di chiusura dell’esercizio nonché, per </w:t>
            </w:r>
            <w:r>
              <w:rPr>
                <w:rFonts w:cs="EUAlbertina"/>
                <w:color w:val="19161B"/>
                <w:lang w:val="it-IT" w:eastAsia="it-IT"/>
              </w:rPr>
              <w:t>le valutazioni</w:t>
            </w:r>
            <w:r w:rsidRPr="005B14F4">
              <w:rPr>
                <w:rFonts w:cs="EUAlbertina"/>
                <w:color w:val="19161B"/>
                <w:lang w:val="it-IT" w:eastAsia="it-IT"/>
              </w:rPr>
              <w:t xml:space="preserve"> del </w:t>
            </w:r>
            <w:r w:rsidRPr="005B14F4">
              <w:rPr>
                <w:rFonts w:cs="EUAlbertina"/>
                <w:i/>
                <w:iCs/>
                <w:color w:val="19161B"/>
                <w:lang w:val="it-IT" w:eastAsia="it-IT"/>
              </w:rPr>
              <w:t xml:space="preserve">fair value </w:t>
            </w:r>
            <w:r w:rsidRPr="005B14F4">
              <w:rPr>
                <w:rFonts w:cs="EUAlbertina"/>
                <w:color w:val="19161B"/>
                <w:lang w:val="it-IT" w:eastAsia="it-IT"/>
              </w:rPr>
              <w:t xml:space="preserve">non ricorrenti, le motivazioni </w:t>
            </w:r>
            <w:r>
              <w:rPr>
                <w:rFonts w:cs="EUAlbertina"/>
                <w:color w:val="19161B"/>
                <w:lang w:val="it-IT" w:eastAsia="it-IT"/>
              </w:rPr>
              <w:t xml:space="preserve">di tale </w:t>
            </w:r>
            <w:r w:rsidRPr="005B14F4">
              <w:rPr>
                <w:rFonts w:cs="EUAlbertina"/>
                <w:color w:val="19161B"/>
                <w:lang w:val="it-IT" w:eastAsia="it-IT"/>
              </w:rPr>
              <w:t xml:space="preserve">valutazione; </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57"/>
        </w:trPr>
        <w:tc>
          <w:tcPr>
            <w:tcW w:w="567" w:type="dxa"/>
            <w:tcMar>
              <w:left w:w="108" w:type="dxa"/>
            </w:tcMar>
          </w:tcPr>
          <w:p w:rsidR="004300E2" w:rsidRPr="008A0F36" w:rsidRDefault="004300E2" w:rsidP="004300E2">
            <w:pPr>
              <w:pStyle w:val="IAS"/>
              <w:rPr>
                <w:lang w:val="it-IT"/>
              </w:rPr>
            </w:pPr>
          </w:p>
        </w:tc>
        <w:tc>
          <w:tcPr>
            <w:tcW w:w="851" w:type="dxa"/>
            <w:tcMar>
              <w:left w:w="108" w:type="dxa"/>
              <w:right w:w="0" w:type="dxa"/>
            </w:tcMar>
          </w:tcPr>
          <w:p w:rsidR="004300E2" w:rsidRDefault="004300E2" w:rsidP="004300E2">
            <w:pPr>
              <w:pStyle w:val="IAS"/>
              <w:rPr>
                <w:lang w:val="it-IT"/>
              </w:rPr>
            </w:pPr>
          </w:p>
        </w:tc>
        <w:tc>
          <w:tcPr>
            <w:tcW w:w="7079" w:type="dxa"/>
            <w:tcMar>
              <w:left w:w="108" w:type="dxa"/>
            </w:tcMar>
          </w:tcPr>
          <w:p w:rsidR="004300E2" w:rsidRDefault="004300E2" w:rsidP="00C10AFA">
            <w:pPr>
              <w:pStyle w:val="Paragarfobordato"/>
              <w:rPr>
                <w:lang w:eastAsia="it-IT"/>
              </w:rPr>
            </w:pPr>
            <w:r w:rsidRPr="00F903CD">
              <w:rPr>
                <w:lang w:eastAsia="it-IT"/>
              </w:rPr>
              <w:t xml:space="preserve">Le valutazioni ricorrenti del </w:t>
            </w:r>
            <w:r w:rsidRPr="00F903CD">
              <w:rPr>
                <w:i/>
                <w:lang w:eastAsia="it-IT"/>
              </w:rPr>
              <w:t xml:space="preserve">fair value </w:t>
            </w:r>
            <w:r w:rsidRPr="00F903CD">
              <w:rPr>
                <w:lang w:eastAsia="it-IT"/>
              </w:rPr>
              <w:t xml:space="preserve">di attività o passività sono quelle valutazioni che altri IFRS richiedono o permettono nel prospetto della situazione patrimoniale-finanziaria alla data di chiusura di ogni esercizio. Le valutazioni non ricorrenti del </w:t>
            </w:r>
            <w:r w:rsidRPr="00F903CD">
              <w:rPr>
                <w:i/>
                <w:lang w:eastAsia="it-IT"/>
              </w:rPr>
              <w:t xml:space="preserve">fair value </w:t>
            </w:r>
            <w:r w:rsidRPr="00F903CD">
              <w:rPr>
                <w:lang w:eastAsia="it-IT"/>
              </w:rPr>
              <w:t>delle attività o delle passività sono quelle valutazioni che altri IFRS richiedono o permettono nel prospetto della situazione patrimoniale-finanzia</w:t>
            </w:r>
            <w:r>
              <w:rPr>
                <w:lang w:eastAsia="it-IT"/>
              </w:rPr>
              <w:t>ria in particolari circostanze (</w:t>
            </w:r>
            <w:r w:rsidRPr="00F903CD">
              <w:rPr>
                <w:lang w:eastAsia="it-IT"/>
              </w:rPr>
              <w:t xml:space="preserve">per esempio, quando un’entità valuta un’attività posseduta per la vendita al </w:t>
            </w:r>
            <w:r w:rsidRPr="00F903CD">
              <w:rPr>
                <w:i/>
                <w:lang w:eastAsia="it-IT"/>
              </w:rPr>
              <w:t xml:space="preserve">fair value </w:t>
            </w:r>
            <w:r w:rsidRPr="00F903CD">
              <w:rPr>
                <w:lang w:eastAsia="it-IT"/>
              </w:rPr>
              <w:t xml:space="preserve">al netto dei costi di </w:t>
            </w:r>
            <w:r>
              <w:rPr>
                <w:lang w:eastAsia="it-IT"/>
              </w:rPr>
              <w:t>vendita</w:t>
            </w:r>
            <w:r w:rsidRPr="00F903CD">
              <w:rPr>
                <w:lang w:eastAsia="it-IT"/>
              </w:rPr>
              <w:t xml:space="preserve">, in conformità all’IFRS 5 </w:t>
            </w:r>
            <w:r w:rsidRPr="00F903CD">
              <w:rPr>
                <w:i/>
                <w:lang w:eastAsia="it-IT"/>
              </w:rPr>
              <w:t>Attività non correnti possedute per la vendita e attività operative cessate</w:t>
            </w:r>
            <w:r w:rsidRPr="00F903CD">
              <w:rPr>
                <w:lang w:eastAsia="it-IT"/>
              </w:rPr>
              <w:t xml:space="preserve">, perché il </w:t>
            </w:r>
            <w:r w:rsidRPr="00F903CD">
              <w:rPr>
                <w:i/>
                <w:lang w:eastAsia="it-IT"/>
              </w:rPr>
              <w:t xml:space="preserve">fair value </w:t>
            </w:r>
            <w:r w:rsidRPr="00F903CD">
              <w:rPr>
                <w:lang w:eastAsia="it-IT"/>
              </w:rPr>
              <w:t xml:space="preserve">al netto dei costi di </w:t>
            </w:r>
            <w:r>
              <w:rPr>
                <w:lang w:eastAsia="it-IT"/>
              </w:rPr>
              <w:t xml:space="preserve">vendita </w:t>
            </w:r>
            <w:r w:rsidRPr="00F903CD">
              <w:rPr>
                <w:lang w:eastAsia="it-IT"/>
              </w:rPr>
              <w:t>dell’attività è inferiore al suo valore contabile</w:t>
            </w:r>
            <w:r>
              <w:rPr>
                <w:lang w:eastAsia="it-IT"/>
              </w:rPr>
              <w:t>).</w:t>
            </w:r>
          </w:p>
        </w:tc>
        <w:tc>
          <w:tcPr>
            <w:tcW w:w="575" w:type="dxa"/>
            <w:tcMar>
              <w:left w:w="85" w:type="dxa"/>
              <w:right w:w="85" w:type="dxa"/>
            </w:tcMar>
            <w:vAlign w:val="center"/>
          </w:tcPr>
          <w:p w:rsidR="004300E2" w:rsidRPr="003E3E83" w:rsidRDefault="004300E2" w:rsidP="004300E2">
            <w:pPr>
              <w:jc w:val="center"/>
              <w:rPr>
                <w:lang w:val="it-IT"/>
              </w:rPr>
            </w:pPr>
          </w:p>
        </w:tc>
        <w:tc>
          <w:tcPr>
            <w:tcW w:w="567" w:type="dxa"/>
            <w:tcMar>
              <w:left w:w="108" w:type="dxa"/>
            </w:tcMar>
            <w:vAlign w:val="center"/>
          </w:tcPr>
          <w:p w:rsidR="004300E2" w:rsidRPr="003E3E83" w:rsidRDefault="004300E2" w:rsidP="004300E2">
            <w:pPr>
              <w:jc w:val="center"/>
              <w:rPr>
                <w:lang w:val="it-IT"/>
              </w:rPr>
            </w:pPr>
          </w:p>
        </w:tc>
        <w:tc>
          <w:tcPr>
            <w:tcW w:w="567" w:type="dxa"/>
            <w:tcMar>
              <w:left w:w="108" w:type="dxa"/>
            </w:tcMar>
            <w:vAlign w:val="center"/>
          </w:tcPr>
          <w:p w:rsidR="004300E2" w:rsidRPr="003E3E83" w:rsidRDefault="004300E2" w:rsidP="004300E2">
            <w:pPr>
              <w:jc w:val="center"/>
              <w:rPr>
                <w:lang w:val="it-IT"/>
              </w:rPr>
            </w:pPr>
          </w:p>
        </w:tc>
      </w:tr>
      <w:tr w:rsidR="00E84B58" w:rsidRPr="008129DA" w:rsidTr="00940A6F">
        <w:trPr>
          <w:cantSplit/>
          <w:trHeight w:val="57"/>
        </w:trPr>
        <w:tc>
          <w:tcPr>
            <w:tcW w:w="567" w:type="dxa"/>
            <w:tcMar>
              <w:left w:w="108" w:type="dxa"/>
            </w:tcMar>
          </w:tcPr>
          <w:p w:rsidR="00E84B58" w:rsidRPr="008A0F36" w:rsidRDefault="00E84B58" w:rsidP="00E80DA1">
            <w:pPr>
              <w:pStyle w:val="IAS"/>
              <w:spacing w:before="20" w:line="220" w:lineRule="exact"/>
              <w:rPr>
                <w:lang w:val="it-IT"/>
              </w:rPr>
            </w:pPr>
          </w:p>
        </w:tc>
        <w:tc>
          <w:tcPr>
            <w:tcW w:w="851" w:type="dxa"/>
            <w:tcMar>
              <w:left w:w="108" w:type="dxa"/>
              <w:right w:w="0" w:type="dxa"/>
            </w:tcMar>
          </w:tcPr>
          <w:p w:rsidR="00E84B58" w:rsidRDefault="00E84B58" w:rsidP="00E80DA1">
            <w:pPr>
              <w:pStyle w:val="IAS"/>
              <w:spacing w:before="20" w:line="220" w:lineRule="exact"/>
              <w:rPr>
                <w:lang w:val="it-IT"/>
              </w:rPr>
            </w:pPr>
          </w:p>
        </w:tc>
        <w:tc>
          <w:tcPr>
            <w:tcW w:w="7079" w:type="dxa"/>
            <w:tcMar>
              <w:left w:w="108" w:type="dxa"/>
            </w:tcMar>
          </w:tcPr>
          <w:p w:rsidR="00E84B58" w:rsidRDefault="00E84B58" w:rsidP="00633C3A">
            <w:pPr>
              <w:overflowPunct/>
              <w:ind w:left="316" w:hanging="316"/>
              <w:textAlignment w:val="auto"/>
              <w:rPr>
                <w:rFonts w:cs="EUAlbertina"/>
                <w:color w:val="19161B"/>
                <w:lang w:val="it-IT" w:eastAsia="it-IT"/>
              </w:rPr>
            </w:pPr>
            <w:r w:rsidRPr="005B14F4">
              <w:rPr>
                <w:rFonts w:cs="EUAlbertina"/>
                <w:color w:val="19161B"/>
                <w:lang w:val="it-IT" w:eastAsia="it-IT"/>
              </w:rPr>
              <w:t xml:space="preserve">(b) </w:t>
            </w:r>
            <w:r>
              <w:rPr>
                <w:rFonts w:cs="EUAlbertina"/>
                <w:color w:val="19161B"/>
                <w:lang w:val="it-IT" w:eastAsia="it-IT"/>
              </w:rPr>
              <w:tab/>
            </w:r>
            <w:r w:rsidRPr="005B14F4">
              <w:rPr>
                <w:rFonts w:cs="EUAlbertina"/>
                <w:color w:val="19161B"/>
                <w:lang w:val="it-IT" w:eastAsia="it-IT"/>
              </w:rPr>
              <w:t xml:space="preserve">per </w:t>
            </w:r>
            <w:r>
              <w:rPr>
                <w:rFonts w:cs="EUAlbertina"/>
                <w:color w:val="19161B"/>
                <w:lang w:val="it-IT" w:eastAsia="it-IT"/>
              </w:rPr>
              <w:t xml:space="preserve">le </w:t>
            </w:r>
            <w:r w:rsidRPr="005B14F4">
              <w:rPr>
                <w:rFonts w:cs="EUAlbertina"/>
                <w:color w:val="19161B"/>
                <w:lang w:val="it-IT" w:eastAsia="it-IT"/>
              </w:rPr>
              <w:t xml:space="preserve">valutazioni del </w:t>
            </w:r>
            <w:r w:rsidRPr="005B14F4">
              <w:rPr>
                <w:rFonts w:cs="EUAlbertina"/>
                <w:i/>
                <w:iCs/>
                <w:color w:val="19161B"/>
                <w:lang w:val="it-IT" w:eastAsia="it-IT"/>
              </w:rPr>
              <w:t xml:space="preserve">fair value </w:t>
            </w:r>
            <w:r w:rsidRPr="005B14F4">
              <w:rPr>
                <w:rFonts w:cs="EUAlbertina"/>
                <w:color w:val="19161B"/>
                <w:lang w:val="it-IT" w:eastAsia="it-IT"/>
              </w:rPr>
              <w:t xml:space="preserve">ricorrenti e non ricorrenti, il livello della gerarchia del </w:t>
            </w:r>
            <w:r w:rsidRPr="005B14F4">
              <w:rPr>
                <w:rFonts w:cs="EUAlbertina"/>
                <w:i/>
                <w:iCs/>
                <w:color w:val="19161B"/>
                <w:lang w:val="it-IT" w:eastAsia="it-IT"/>
              </w:rPr>
              <w:t xml:space="preserve">fair value </w:t>
            </w:r>
            <w:r w:rsidRPr="005B14F4">
              <w:rPr>
                <w:rFonts w:cs="EUAlbertina"/>
                <w:color w:val="19161B"/>
                <w:lang w:val="it-IT" w:eastAsia="it-IT"/>
              </w:rPr>
              <w:t xml:space="preserve">in cui sono classificate le valutazioni del </w:t>
            </w:r>
            <w:r w:rsidRPr="005B14F4">
              <w:rPr>
                <w:rFonts w:cs="EUAlbertina"/>
                <w:i/>
                <w:iCs/>
                <w:color w:val="19161B"/>
                <w:lang w:val="it-IT" w:eastAsia="it-IT"/>
              </w:rPr>
              <w:t xml:space="preserve">fair value </w:t>
            </w:r>
            <w:r w:rsidRPr="005B14F4">
              <w:rPr>
                <w:rFonts w:cs="EUAlbertina"/>
                <w:color w:val="19161B"/>
                <w:lang w:val="it-IT" w:eastAsia="it-IT"/>
              </w:rPr>
              <w:t>nella loro interezza (Livello 1, 2 o 3);</w:t>
            </w:r>
          </w:p>
        </w:tc>
        <w:tc>
          <w:tcPr>
            <w:tcW w:w="575" w:type="dxa"/>
            <w:tcMar>
              <w:left w:w="85" w:type="dxa"/>
              <w:right w:w="85" w:type="dxa"/>
            </w:tcMar>
            <w:vAlign w:val="center"/>
          </w:tcPr>
          <w:p w:rsidR="00E84B58" w:rsidRPr="00A32A16" w:rsidRDefault="00E84B58" w:rsidP="00E80DA1">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E80DA1">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E80DA1">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57"/>
        </w:trPr>
        <w:tc>
          <w:tcPr>
            <w:tcW w:w="567" w:type="dxa"/>
            <w:tcMar>
              <w:left w:w="108" w:type="dxa"/>
            </w:tcMar>
          </w:tcPr>
          <w:p w:rsidR="00E84B58" w:rsidRPr="008A0F36" w:rsidRDefault="00E84B58" w:rsidP="00E80DA1">
            <w:pPr>
              <w:pStyle w:val="IAS"/>
              <w:spacing w:before="20" w:line="220" w:lineRule="exact"/>
              <w:rPr>
                <w:lang w:val="it-IT"/>
              </w:rPr>
            </w:pPr>
          </w:p>
        </w:tc>
        <w:tc>
          <w:tcPr>
            <w:tcW w:w="851" w:type="dxa"/>
            <w:tcMar>
              <w:left w:w="108" w:type="dxa"/>
              <w:right w:w="0" w:type="dxa"/>
            </w:tcMar>
          </w:tcPr>
          <w:p w:rsidR="00E84B58" w:rsidRDefault="00E84B58" w:rsidP="00E80DA1">
            <w:pPr>
              <w:pStyle w:val="IAS"/>
              <w:spacing w:before="20" w:line="220" w:lineRule="exact"/>
              <w:rPr>
                <w:lang w:val="it-IT"/>
              </w:rPr>
            </w:pPr>
          </w:p>
        </w:tc>
        <w:tc>
          <w:tcPr>
            <w:tcW w:w="7079" w:type="dxa"/>
            <w:tcMar>
              <w:left w:w="108" w:type="dxa"/>
            </w:tcMar>
          </w:tcPr>
          <w:p w:rsidR="00E84B58" w:rsidRDefault="00E84B58" w:rsidP="00633C3A">
            <w:pPr>
              <w:overflowPunct/>
              <w:ind w:left="316" w:hanging="283"/>
              <w:textAlignment w:val="auto"/>
              <w:rPr>
                <w:rFonts w:cs="EUAlbertina"/>
                <w:color w:val="19161B"/>
                <w:lang w:val="it-IT" w:eastAsia="it-IT"/>
              </w:rPr>
            </w:pPr>
            <w:r w:rsidRPr="005B14F4">
              <w:rPr>
                <w:rFonts w:cs="EUAlbertina"/>
                <w:color w:val="19161B"/>
                <w:lang w:val="it-IT" w:eastAsia="it-IT"/>
              </w:rPr>
              <w:t xml:space="preserve">(c) </w:t>
            </w:r>
            <w:r>
              <w:rPr>
                <w:rFonts w:cs="EUAlbertina"/>
                <w:color w:val="19161B"/>
                <w:lang w:val="it-IT" w:eastAsia="it-IT"/>
              </w:rPr>
              <w:tab/>
            </w:r>
            <w:r w:rsidRPr="005B14F4">
              <w:rPr>
                <w:rFonts w:cs="EUAlbertina"/>
                <w:color w:val="19161B"/>
                <w:lang w:val="it-IT" w:eastAsia="it-IT"/>
              </w:rPr>
              <w:t xml:space="preserve">per attività e passività possedute alla data di chiusura dell’esercizio e valutate al </w:t>
            </w:r>
            <w:r w:rsidRPr="005B14F4">
              <w:rPr>
                <w:rFonts w:cs="EUAlbertina"/>
                <w:i/>
                <w:iCs/>
                <w:color w:val="19161B"/>
                <w:lang w:val="it-IT" w:eastAsia="it-IT"/>
              </w:rPr>
              <w:t xml:space="preserve">fair value </w:t>
            </w:r>
            <w:r w:rsidRPr="005B14F4">
              <w:rPr>
                <w:rFonts w:cs="EUAlbertina"/>
                <w:color w:val="19161B"/>
                <w:lang w:val="it-IT" w:eastAsia="it-IT"/>
              </w:rPr>
              <w:t xml:space="preserve">su base ricorrente, gli importi dei trasferimenti tra il Livello 1 e il Livello 2 della gerarchia del </w:t>
            </w:r>
            <w:r w:rsidRPr="005B14F4">
              <w:rPr>
                <w:rFonts w:cs="EUAlbertina"/>
                <w:i/>
                <w:iCs/>
                <w:color w:val="19161B"/>
                <w:lang w:val="it-IT" w:eastAsia="it-IT"/>
              </w:rPr>
              <w:t>fair value</w:t>
            </w:r>
            <w:r w:rsidRPr="005B14F4">
              <w:rPr>
                <w:rFonts w:cs="EUAlbertina"/>
                <w:color w:val="19161B"/>
                <w:lang w:val="it-IT" w:eastAsia="it-IT"/>
              </w:rPr>
              <w:t xml:space="preserve">, le motivazioni di tali trasferimenti e la procedura adottata dall’entità per stabilire le circostanze in cui tali trasferimenti tra livelli si </w:t>
            </w:r>
            <w:r w:rsidRPr="0052383B">
              <w:rPr>
                <w:rFonts w:cs="EUAlbertina"/>
                <w:color w:val="19161B"/>
                <w:lang w:val="it-IT" w:eastAsia="it-IT"/>
              </w:rPr>
              <w:t xml:space="preserve">verificano (si veda punto </w:t>
            </w:r>
            <w:r>
              <w:rPr>
                <w:rFonts w:cs="EUAlbertina"/>
                <w:color w:val="19161B"/>
                <w:lang w:val="it-IT" w:eastAsia="it-IT"/>
              </w:rPr>
              <w:t>226</w:t>
            </w:r>
            <w:r w:rsidRPr="0052383B">
              <w:rPr>
                <w:rFonts w:cs="EUAlbertina"/>
                <w:color w:val="19161B"/>
                <w:lang w:val="it-IT" w:eastAsia="it-IT"/>
              </w:rPr>
              <w:t>). I trasferimenti verso ciascun livello devono essere indicati e discussi separatamente</w:t>
            </w:r>
            <w:r w:rsidRPr="005B14F4">
              <w:rPr>
                <w:rFonts w:cs="EUAlbertina"/>
                <w:color w:val="19161B"/>
                <w:lang w:val="it-IT" w:eastAsia="it-IT"/>
              </w:rPr>
              <w:t xml:space="preserve"> dai trasferimenti da ciascun livello;</w:t>
            </w:r>
          </w:p>
        </w:tc>
        <w:tc>
          <w:tcPr>
            <w:tcW w:w="575" w:type="dxa"/>
            <w:tcMar>
              <w:left w:w="85" w:type="dxa"/>
              <w:right w:w="85" w:type="dxa"/>
            </w:tcMar>
            <w:vAlign w:val="center"/>
          </w:tcPr>
          <w:p w:rsidR="00E84B58" w:rsidRPr="00A32A16" w:rsidRDefault="00E84B58" w:rsidP="00E80DA1">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E80DA1">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E80DA1">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E84B58">
        <w:trPr>
          <w:cantSplit/>
          <w:trHeight w:val="592"/>
        </w:trPr>
        <w:tc>
          <w:tcPr>
            <w:tcW w:w="567" w:type="dxa"/>
            <w:tcMar>
              <w:left w:w="108" w:type="dxa"/>
            </w:tcMar>
          </w:tcPr>
          <w:p w:rsidR="00E84B58" w:rsidRPr="008A0F36" w:rsidRDefault="00E84B58" w:rsidP="00E80DA1">
            <w:pPr>
              <w:pStyle w:val="IAS"/>
              <w:spacing w:before="20" w:line="220" w:lineRule="exact"/>
              <w:rPr>
                <w:lang w:val="it-IT"/>
              </w:rPr>
            </w:pPr>
          </w:p>
        </w:tc>
        <w:tc>
          <w:tcPr>
            <w:tcW w:w="851" w:type="dxa"/>
            <w:tcMar>
              <w:left w:w="108" w:type="dxa"/>
              <w:right w:w="0" w:type="dxa"/>
            </w:tcMar>
          </w:tcPr>
          <w:p w:rsidR="00E84B58" w:rsidRDefault="00E84B58" w:rsidP="00E80DA1">
            <w:pPr>
              <w:pStyle w:val="IAS"/>
              <w:spacing w:before="20" w:line="220" w:lineRule="exact"/>
              <w:jc w:val="both"/>
              <w:rPr>
                <w:lang w:val="it-IT"/>
              </w:rPr>
            </w:pPr>
          </w:p>
        </w:tc>
        <w:tc>
          <w:tcPr>
            <w:tcW w:w="7079" w:type="dxa"/>
            <w:tcMar>
              <w:left w:w="108" w:type="dxa"/>
            </w:tcMar>
          </w:tcPr>
          <w:p w:rsidR="00E84B58" w:rsidRPr="004C15D0" w:rsidRDefault="00E84B58" w:rsidP="00633C3A">
            <w:pPr>
              <w:overflowPunct/>
              <w:ind w:left="316" w:hanging="283"/>
              <w:textAlignment w:val="auto"/>
              <w:rPr>
                <w:rFonts w:cs="EUAlbertina"/>
                <w:color w:val="19161B"/>
                <w:lang w:val="it-IT" w:eastAsia="it-IT"/>
              </w:rPr>
            </w:pPr>
            <w:r>
              <w:rPr>
                <w:rFonts w:cs="EUAlbertina"/>
                <w:color w:val="19161B"/>
                <w:lang w:val="it-IT" w:eastAsia="it-IT"/>
              </w:rPr>
              <w:t xml:space="preserve">(d) </w:t>
            </w:r>
            <w:r w:rsidRPr="00AB2C1C">
              <w:rPr>
                <w:rFonts w:cs="EUAlbertina"/>
                <w:color w:val="19161B"/>
                <w:lang w:val="it-IT" w:eastAsia="it-IT"/>
              </w:rPr>
              <w:t xml:space="preserve">per valutazione del </w:t>
            </w:r>
            <w:r w:rsidRPr="005F6918">
              <w:rPr>
                <w:rFonts w:cs="EUAlbertina"/>
                <w:i/>
                <w:color w:val="19161B"/>
                <w:lang w:val="it-IT" w:eastAsia="it-IT"/>
              </w:rPr>
              <w:t>fair value</w:t>
            </w:r>
            <w:r w:rsidRPr="00AB2C1C">
              <w:rPr>
                <w:rFonts w:cs="EUAlbertina"/>
                <w:color w:val="19161B"/>
                <w:lang w:val="it-IT" w:eastAsia="it-IT"/>
              </w:rPr>
              <w:t xml:space="preserve"> ricorrenti e non ricorrenti classificate nei Livelli 2 e 3 della gerarchia del </w:t>
            </w:r>
            <w:r w:rsidRPr="005F6918">
              <w:rPr>
                <w:rFonts w:cs="EUAlbertina"/>
                <w:i/>
                <w:color w:val="19161B"/>
                <w:lang w:val="it-IT" w:eastAsia="it-IT"/>
              </w:rPr>
              <w:t>fair value</w:t>
            </w:r>
            <w:r w:rsidRPr="00AB2C1C">
              <w:rPr>
                <w:rFonts w:cs="EUAlbertina"/>
                <w:color w:val="19161B"/>
                <w:lang w:val="it-IT" w:eastAsia="it-IT"/>
              </w:rPr>
              <w:t>:</w:t>
            </w:r>
          </w:p>
        </w:tc>
        <w:tc>
          <w:tcPr>
            <w:tcW w:w="575" w:type="dxa"/>
            <w:tcMar>
              <w:left w:w="85" w:type="dxa"/>
              <w:right w:w="85" w:type="dxa"/>
            </w:tcMar>
            <w:vAlign w:val="center"/>
          </w:tcPr>
          <w:p w:rsidR="00E84B58" w:rsidRPr="004C15D0" w:rsidRDefault="00E84B58" w:rsidP="00E80DA1">
            <w:pP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4C15D0" w:rsidRDefault="00E84B58" w:rsidP="00E80DA1">
            <w:pP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4C15D0" w:rsidRDefault="00E84B58" w:rsidP="00E80DA1">
            <w:pP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57"/>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Default="00E84B58" w:rsidP="004300E2">
            <w:pPr>
              <w:pStyle w:val="IAS"/>
              <w:rPr>
                <w:lang w:val="it-IT"/>
              </w:rPr>
            </w:pPr>
          </w:p>
        </w:tc>
        <w:tc>
          <w:tcPr>
            <w:tcW w:w="7079" w:type="dxa"/>
            <w:tcMar>
              <w:left w:w="108" w:type="dxa"/>
            </w:tcMar>
          </w:tcPr>
          <w:p w:rsidR="00E84B58" w:rsidRPr="004C15D0" w:rsidRDefault="00E84B58" w:rsidP="00633C3A">
            <w:pPr>
              <w:pStyle w:val="Paragrafoelenco"/>
              <w:numPr>
                <w:ilvl w:val="0"/>
                <w:numId w:val="227"/>
              </w:numPr>
              <w:overflowPunct/>
              <w:ind w:left="714" w:hanging="357"/>
              <w:contextualSpacing w:val="0"/>
              <w:textAlignment w:val="auto"/>
              <w:rPr>
                <w:rFonts w:cs="EUAlbertina"/>
                <w:color w:val="19161B"/>
                <w:lang w:val="it-IT" w:eastAsia="it-IT"/>
              </w:rPr>
            </w:pPr>
            <w:r w:rsidRPr="00AB2C1C">
              <w:rPr>
                <w:rFonts w:cs="EUAlbertina"/>
                <w:color w:val="19161B"/>
                <w:lang w:val="it-IT" w:eastAsia="it-IT"/>
              </w:rPr>
              <w:t xml:space="preserve">una descrizione delle tecniche di valutazione e degli input utilizzati nella valutazione del </w:t>
            </w:r>
            <w:r w:rsidRPr="00AB2C1C">
              <w:rPr>
                <w:rFonts w:cs="EUAlbertina"/>
                <w:i/>
                <w:iCs/>
                <w:color w:val="19161B"/>
                <w:lang w:val="it-IT" w:eastAsia="it-IT"/>
              </w:rPr>
              <w:t>fair value</w:t>
            </w:r>
            <w:r w:rsidRPr="00AB2C1C">
              <w:rPr>
                <w:rFonts w:cs="EUAlbertina"/>
                <w:color w:val="19161B"/>
                <w:lang w:val="it-IT" w:eastAsia="it-IT"/>
              </w:rPr>
              <w:t xml:space="preserve">. </w:t>
            </w:r>
          </w:p>
        </w:tc>
        <w:tc>
          <w:tcPr>
            <w:tcW w:w="575" w:type="dxa"/>
            <w:tcMar>
              <w:left w:w="85" w:type="dxa"/>
              <w:right w:w="85"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57"/>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Default="00E84B58" w:rsidP="004300E2">
            <w:pPr>
              <w:pStyle w:val="IAS"/>
              <w:rPr>
                <w:lang w:val="it-IT"/>
              </w:rPr>
            </w:pPr>
          </w:p>
        </w:tc>
        <w:tc>
          <w:tcPr>
            <w:tcW w:w="7079" w:type="dxa"/>
            <w:tcMar>
              <w:left w:w="108" w:type="dxa"/>
            </w:tcMar>
          </w:tcPr>
          <w:p w:rsidR="00E84B58" w:rsidRPr="004C15D0" w:rsidRDefault="00E84B58" w:rsidP="00633C3A">
            <w:pPr>
              <w:pStyle w:val="Paragrafoelenco"/>
              <w:numPr>
                <w:ilvl w:val="0"/>
                <w:numId w:val="227"/>
              </w:numPr>
              <w:overflowPunct/>
              <w:ind w:left="714" w:hanging="357"/>
              <w:contextualSpacing w:val="0"/>
              <w:textAlignment w:val="auto"/>
              <w:rPr>
                <w:rFonts w:cs="EUAlbertina"/>
                <w:color w:val="19161B"/>
                <w:lang w:val="it-IT" w:eastAsia="it-IT"/>
              </w:rPr>
            </w:pPr>
            <w:r>
              <w:rPr>
                <w:rFonts w:cs="EUAlbertina"/>
                <w:color w:val="19161B"/>
                <w:lang w:val="it-IT" w:eastAsia="it-IT"/>
              </w:rPr>
              <w:t>s</w:t>
            </w:r>
            <w:r w:rsidRPr="00AB2C1C">
              <w:rPr>
                <w:rFonts w:cs="EUAlbertina"/>
                <w:color w:val="19161B"/>
                <w:lang w:val="it-IT" w:eastAsia="it-IT"/>
              </w:rPr>
              <w:t xml:space="preserve">e è intervenuto un cambiamento nella tecnica di valutazione (per esempio, dal metodo basato sulla valutazione di mercato si è passati al metodo reddituale o viene utilizzata un’ulteriore tecnica di valutazione), l’entità deve indicare tale cambiamento e descriverne le motivazioni. </w:t>
            </w:r>
          </w:p>
        </w:tc>
        <w:tc>
          <w:tcPr>
            <w:tcW w:w="575" w:type="dxa"/>
            <w:tcMar>
              <w:left w:w="85" w:type="dxa"/>
              <w:right w:w="85"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57"/>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Default="00E84B58" w:rsidP="004300E2">
            <w:pPr>
              <w:pStyle w:val="IAS"/>
              <w:rPr>
                <w:lang w:val="it-IT"/>
              </w:rPr>
            </w:pPr>
          </w:p>
        </w:tc>
        <w:tc>
          <w:tcPr>
            <w:tcW w:w="7079" w:type="dxa"/>
            <w:tcMar>
              <w:left w:w="108" w:type="dxa"/>
            </w:tcMar>
          </w:tcPr>
          <w:p w:rsidR="00E84B58" w:rsidRPr="004C15D0" w:rsidRDefault="00E84B58" w:rsidP="00633C3A">
            <w:pPr>
              <w:pStyle w:val="Paragrafoelenco"/>
              <w:numPr>
                <w:ilvl w:val="0"/>
                <w:numId w:val="227"/>
              </w:numPr>
              <w:overflowPunct/>
              <w:contextualSpacing w:val="0"/>
              <w:textAlignment w:val="auto"/>
              <w:rPr>
                <w:rFonts w:cs="EUAlbertina"/>
                <w:color w:val="19161B"/>
                <w:lang w:val="it-IT" w:eastAsia="it-IT"/>
              </w:rPr>
            </w:pPr>
            <w:r>
              <w:rPr>
                <w:rFonts w:cs="EUAlbertina"/>
                <w:color w:val="19161B"/>
                <w:lang w:val="it-IT" w:eastAsia="it-IT"/>
              </w:rPr>
              <w:t>p</w:t>
            </w:r>
            <w:r w:rsidRPr="00AB2C1C">
              <w:rPr>
                <w:rFonts w:cs="EUAlbertina"/>
                <w:color w:val="19161B"/>
                <w:lang w:val="it-IT" w:eastAsia="it-IT"/>
              </w:rPr>
              <w:t xml:space="preserve">er le valutazioni dei </w:t>
            </w:r>
            <w:r w:rsidRPr="00AB2C1C">
              <w:rPr>
                <w:rFonts w:cs="EUAlbertina"/>
                <w:i/>
                <w:iCs/>
                <w:color w:val="19161B"/>
                <w:lang w:val="it-IT" w:eastAsia="it-IT"/>
              </w:rPr>
              <w:t xml:space="preserve">fair value </w:t>
            </w:r>
            <w:r w:rsidRPr="00AB2C1C">
              <w:rPr>
                <w:rFonts w:cs="EUAlbertina"/>
                <w:color w:val="19161B"/>
                <w:lang w:val="it-IT" w:eastAsia="it-IT"/>
              </w:rPr>
              <w:t xml:space="preserve">classificati nel Livello 3 della gerarchia del </w:t>
            </w:r>
            <w:r w:rsidRPr="00AB2C1C">
              <w:rPr>
                <w:rFonts w:cs="EUAlbertina"/>
                <w:i/>
                <w:iCs/>
                <w:color w:val="19161B"/>
                <w:lang w:val="it-IT" w:eastAsia="it-IT"/>
              </w:rPr>
              <w:t>fair value</w:t>
            </w:r>
            <w:r w:rsidRPr="00AB2C1C">
              <w:rPr>
                <w:rFonts w:cs="EUAlbertina"/>
                <w:color w:val="19161B"/>
                <w:lang w:val="it-IT" w:eastAsia="it-IT"/>
              </w:rPr>
              <w:t xml:space="preserve">, l’entità deve fornire informazioni quantitative sugli input non osservabili che sono significativi utilizzati nella valutazione del </w:t>
            </w:r>
            <w:r w:rsidRPr="00AB2C1C">
              <w:rPr>
                <w:rFonts w:cs="EUAlbertina"/>
                <w:i/>
                <w:iCs/>
                <w:color w:val="19161B"/>
                <w:lang w:val="it-IT" w:eastAsia="it-IT"/>
              </w:rPr>
              <w:t>fair value</w:t>
            </w:r>
            <w:r w:rsidRPr="00AB2C1C">
              <w:rPr>
                <w:rFonts w:cs="EUAlbertina"/>
                <w:color w:val="19161B"/>
                <w:lang w:val="it-IT" w:eastAsia="it-IT"/>
              </w:rPr>
              <w:t xml:space="preserve">. </w:t>
            </w:r>
          </w:p>
        </w:tc>
        <w:tc>
          <w:tcPr>
            <w:tcW w:w="575" w:type="dxa"/>
            <w:tcMar>
              <w:left w:w="85" w:type="dxa"/>
              <w:right w:w="85"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57"/>
        </w:trPr>
        <w:tc>
          <w:tcPr>
            <w:tcW w:w="567" w:type="dxa"/>
            <w:tcMar>
              <w:left w:w="108" w:type="dxa"/>
            </w:tcMar>
          </w:tcPr>
          <w:p w:rsidR="004300E2" w:rsidRPr="008A0F36" w:rsidRDefault="004300E2" w:rsidP="004300E2">
            <w:pPr>
              <w:pStyle w:val="IAS"/>
              <w:rPr>
                <w:lang w:val="it-IT"/>
              </w:rPr>
            </w:pPr>
          </w:p>
        </w:tc>
        <w:tc>
          <w:tcPr>
            <w:tcW w:w="851" w:type="dxa"/>
            <w:tcMar>
              <w:left w:w="108" w:type="dxa"/>
              <w:right w:w="0" w:type="dxa"/>
            </w:tcMar>
          </w:tcPr>
          <w:p w:rsidR="004300E2" w:rsidRDefault="004300E2" w:rsidP="004300E2">
            <w:pPr>
              <w:pStyle w:val="IAS"/>
              <w:rPr>
                <w:lang w:val="it-IT"/>
              </w:rPr>
            </w:pPr>
            <w:r>
              <w:rPr>
                <w:lang w:val="it-IT"/>
              </w:rPr>
              <w:t>IFRS 13.93(d)</w:t>
            </w:r>
          </w:p>
        </w:tc>
        <w:tc>
          <w:tcPr>
            <w:tcW w:w="7079" w:type="dxa"/>
            <w:tcMar>
              <w:left w:w="108" w:type="dxa"/>
            </w:tcMar>
          </w:tcPr>
          <w:p w:rsidR="004300E2" w:rsidRPr="00633C3A" w:rsidRDefault="004300E2" w:rsidP="00633C3A">
            <w:pPr>
              <w:pStyle w:val="Paragarfobordato"/>
            </w:pPr>
            <w:r w:rsidRPr="00633C3A">
              <w:t>Un’entità non è tenuta a elaborare informazioni quantitative per uniformarsi alla presente disposizione informativa se, nel valutare il fair value, non elabora input non osservabili di carattere quantitativo (per esempio, quando un’entità utilizza prezzi tratti da operazioni precedenti o informazioni sulla determinazione del prezzo fornite da terzi senza apportare ulteriori rettifiche). Tuttavia, nel fornire tale informativa, un’entità non può ignorare gli input non osservabili di carattere quantitativo che sono significativi per la valutazione del fair value e di cui essa dispone in maniera ragionevole.</w:t>
            </w:r>
          </w:p>
        </w:tc>
        <w:tc>
          <w:tcPr>
            <w:tcW w:w="575" w:type="dxa"/>
            <w:tcMar>
              <w:left w:w="85" w:type="dxa"/>
              <w:right w:w="85" w:type="dxa"/>
            </w:tcMar>
          </w:tcPr>
          <w:p w:rsidR="004300E2" w:rsidRPr="004979D5" w:rsidRDefault="004300E2" w:rsidP="004300E2">
            <w:pPr>
              <w:jc w:val="center"/>
              <w:rPr>
                <w:lang w:val="it-IT"/>
              </w:rPr>
            </w:pPr>
          </w:p>
        </w:tc>
        <w:tc>
          <w:tcPr>
            <w:tcW w:w="567" w:type="dxa"/>
            <w:tcMar>
              <w:left w:w="108" w:type="dxa"/>
            </w:tcMar>
          </w:tcPr>
          <w:p w:rsidR="004300E2" w:rsidRPr="004C15D0" w:rsidRDefault="004300E2" w:rsidP="004300E2">
            <w:pPr>
              <w:jc w:val="center"/>
              <w:rPr>
                <w:lang w:val="it-IT"/>
              </w:rPr>
            </w:pPr>
          </w:p>
        </w:tc>
        <w:tc>
          <w:tcPr>
            <w:tcW w:w="567" w:type="dxa"/>
            <w:tcMar>
              <w:left w:w="108" w:type="dxa"/>
            </w:tcMar>
          </w:tcPr>
          <w:p w:rsidR="004300E2" w:rsidRPr="004C15D0" w:rsidRDefault="004300E2" w:rsidP="004300E2">
            <w:pPr>
              <w:jc w:val="center"/>
              <w:rPr>
                <w:lang w:val="it-IT"/>
              </w:rPr>
            </w:pPr>
          </w:p>
        </w:tc>
      </w:tr>
      <w:tr w:rsidR="004300E2" w:rsidRPr="00A44ECD" w:rsidTr="00940A6F">
        <w:trPr>
          <w:cantSplit/>
          <w:trHeight w:val="57"/>
        </w:trPr>
        <w:tc>
          <w:tcPr>
            <w:tcW w:w="567" w:type="dxa"/>
            <w:tcMar>
              <w:left w:w="108" w:type="dxa"/>
            </w:tcMar>
          </w:tcPr>
          <w:p w:rsidR="004300E2" w:rsidRPr="008A0F36" w:rsidRDefault="004300E2" w:rsidP="004300E2">
            <w:pPr>
              <w:pStyle w:val="IAS"/>
              <w:rPr>
                <w:lang w:val="it-IT"/>
              </w:rPr>
            </w:pPr>
          </w:p>
        </w:tc>
        <w:tc>
          <w:tcPr>
            <w:tcW w:w="851" w:type="dxa"/>
            <w:tcMar>
              <w:left w:w="108" w:type="dxa"/>
              <w:right w:w="0" w:type="dxa"/>
            </w:tcMar>
          </w:tcPr>
          <w:p w:rsidR="004300E2" w:rsidRDefault="004300E2" w:rsidP="004300E2">
            <w:pPr>
              <w:pStyle w:val="IAS"/>
              <w:rPr>
                <w:lang w:val="it-IT"/>
              </w:rPr>
            </w:pPr>
          </w:p>
        </w:tc>
        <w:tc>
          <w:tcPr>
            <w:tcW w:w="7079" w:type="dxa"/>
            <w:tcMar>
              <w:left w:w="108" w:type="dxa"/>
            </w:tcMar>
          </w:tcPr>
          <w:p w:rsidR="004300E2" w:rsidRDefault="004300E2" w:rsidP="00633C3A">
            <w:pPr>
              <w:overflowPunct/>
              <w:spacing w:line="214" w:lineRule="exact"/>
              <w:ind w:left="318" w:hanging="318"/>
              <w:textAlignment w:val="auto"/>
              <w:rPr>
                <w:rFonts w:cs="EUAlbertina"/>
                <w:color w:val="19161B"/>
                <w:lang w:val="it-IT" w:eastAsia="it-IT"/>
              </w:rPr>
            </w:pPr>
            <w:r w:rsidRPr="005B14F4">
              <w:rPr>
                <w:rFonts w:cs="EUAlbertina"/>
                <w:color w:val="19161B"/>
                <w:lang w:val="it-IT" w:eastAsia="it-IT"/>
              </w:rPr>
              <w:t xml:space="preserve">e) </w:t>
            </w:r>
            <w:r>
              <w:rPr>
                <w:rFonts w:cs="EUAlbertina"/>
                <w:color w:val="19161B"/>
                <w:lang w:val="it-IT" w:eastAsia="it-IT"/>
              </w:rPr>
              <w:tab/>
            </w:r>
            <w:r w:rsidRPr="005B14F4">
              <w:rPr>
                <w:rFonts w:cs="EUAlbertina"/>
                <w:color w:val="19161B"/>
                <w:lang w:val="it-IT" w:eastAsia="it-IT"/>
              </w:rPr>
              <w:t xml:space="preserve">per </w:t>
            </w:r>
            <w:r>
              <w:rPr>
                <w:rFonts w:cs="EUAlbertina"/>
                <w:color w:val="19161B"/>
                <w:lang w:val="it-IT" w:eastAsia="it-IT"/>
              </w:rPr>
              <w:t xml:space="preserve">le </w:t>
            </w:r>
            <w:r w:rsidRPr="005B14F4">
              <w:rPr>
                <w:rFonts w:cs="EUAlbertina"/>
                <w:color w:val="19161B"/>
                <w:lang w:val="it-IT" w:eastAsia="it-IT"/>
              </w:rPr>
              <w:t xml:space="preserve">valutazioni del </w:t>
            </w:r>
            <w:r w:rsidRPr="005B14F4">
              <w:rPr>
                <w:rFonts w:cs="EUAlbertina"/>
                <w:i/>
                <w:iCs/>
                <w:color w:val="19161B"/>
                <w:lang w:val="it-IT" w:eastAsia="it-IT"/>
              </w:rPr>
              <w:t xml:space="preserve">fair value </w:t>
            </w:r>
            <w:r w:rsidRPr="005B14F4">
              <w:rPr>
                <w:rFonts w:cs="EUAlbertina"/>
                <w:color w:val="19161B"/>
                <w:lang w:val="it-IT" w:eastAsia="it-IT"/>
              </w:rPr>
              <w:t xml:space="preserve">ricorrenti, classificate nel Livello 3 della gerarchia del </w:t>
            </w:r>
            <w:r w:rsidRPr="005B14F4">
              <w:rPr>
                <w:rFonts w:cs="EUAlbertina"/>
                <w:i/>
                <w:iCs/>
                <w:color w:val="19161B"/>
                <w:lang w:val="it-IT" w:eastAsia="it-IT"/>
              </w:rPr>
              <w:t>fair value</w:t>
            </w:r>
            <w:r w:rsidRPr="005B14F4">
              <w:rPr>
                <w:rFonts w:cs="EUAlbertina"/>
                <w:color w:val="19161B"/>
                <w:lang w:val="it-IT" w:eastAsia="it-IT"/>
              </w:rPr>
              <w:t xml:space="preserve">, una riconciliazione dei saldi di apertura e di chiusura, indicando separatamente i cambiamenti intervenuti nell’esercizio e attribuibili a: </w:t>
            </w:r>
          </w:p>
        </w:tc>
        <w:tc>
          <w:tcPr>
            <w:tcW w:w="575" w:type="dxa"/>
            <w:tcMar>
              <w:left w:w="85" w:type="dxa"/>
              <w:right w:w="85" w:type="dxa"/>
            </w:tcMar>
          </w:tcPr>
          <w:p w:rsidR="004300E2" w:rsidRPr="004979D5" w:rsidRDefault="004300E2" w:rsidP="004300E2">
            <w:pPr>
              <w:jc w:val="center"/>
              <w:rPr>
                <w:lang w:val="it-IT"/>
              </w:rPr>
            </w:pPr>
          </w:p>
          <w:p w:rsidR="004300E2" w:rsidRPr="004979D5" w:rsidRDefault="004300E2" w:rsidP="004300E2">
            <w:pPr>
              <w:jc w:val="center"/>
              <w:rPr>
                <w:lang w:val="it-IT"/>
              </w:rPr>
            </w:pPr>
          </w:p>
          <w:p w:rsidR="004300E2" w:rsidRPr="00F50583" w:rsidRDefault="004300E2" w:rsidP="004300E2">
            <w:pPr>
              <w:rPr>
                <w:lang w:val="it-IT"/>
              </w:rPr>
            </w:pPr>
          </w:p>
        </w:tc>
        <w:tc>
          <w:tcPr>
            <w:tcW w:w="567" w:type="dxa"/>
            <w:tcMar>
              <w:left w:w="108" w:type="dxa"/>
            </w:tcMar>
          </w:tcPr>
          <w:p w:rsidR="004300E2" w:rsidRPr="00F50583" w:rsidRDefault="004300E2" w:rsidP="004300E2">
            <w:pPr>
              <w:jc w:val="center"/>
              <w:rPr>
                <w:lang w:val="it-IT"/>
              </w:rPr>
            </w:pPr>
          </w:p>
          <w:p w:rsidR="004300E2" w:rsidRPr="00F50583" w:rsidRDefault="004300E2" w:rsidP="004300E2">
            <w:pPr>
              <w:jc w:val="center"/>
              <w:rPr>
                <w:lang w:val="it-IT"/>
              </w:rPr>
            </w:pPr>
          </w:p>
          <w:p w:rsidR="004300E2" w:rsidRPr="00F50583" w:rsidRDefault="004300E2" w:rsidP="004300E2">
            <w:pPr>
              <w:rPr>
                <w:lang w:val="it-IT"/>
              </w:rPr>
            </w:pPr>
          </w:p>
        </w:tc>
        <w:tc>
          <w:tcPr>
            <w:tcW w:w="567" w:type="dxa"/>
            <w:tcMar>
              <w:left w:w="108" w:type="dxa"/>
            </w:tcMar>
          </w:tcPr>
          <w:p w:rsidR="004300E2" w:rsidRPr="00F50583" w:rsidRDefault="004300E2" w:rsidP="004300E2">
            <w:pPr>
              <w:jc w:val="center"/>
              <w:rPr>
                <w:lang w:val="it-IT"/>
              </w:rPr>
            </w:pPr>
          </w:p>
          <w:p w:rsidR="004300E2" w:rsidRPr="00F50583" w:rsidRDefault="004300E2" w:rsidP="004300E2">
            <w:pPr>
              <w:jc w:val="center"/>
              <w:rPr>
                <w:lang w:val="it-IT"/>
              </w:rPr>
            </w:pPr>
          </w:p>
          <w:p w:rsidR="004300E2" w:rsidRPr="00F50583" w:rsidRDefault="004300E2" w:rsidP="004300E2">
            <w:pPr>
              <w:rPr>
                <w:lang w:val="it-IT"/>
              </w:rPr>
            </w:pPr>
          </w:p>
        </w:tc>
      </w:tr>
      <w:tr w:rsidR="00E84B58" w:rsidRPr="008129DA" w:rsidTr="00940A6F">
        <w:trPr>
          <w:cantSplit/>
          <w:trHeight w:val="57"/>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Default="00E84B58" w:rsidP="004300E2">
            <w:pPr>
              <w:pStyle w:val="IAS"/>
              <w:rPr>
                <w:lang w:val="it-IT"/>
              </w:rPr>
            </w:pPr>
          </w:p>
        </w:tc>
        <w:tc>
          <w:tcPr>
            <w:tcW w:w="7079" w:type="dxa"/>
            <w:tcMar>
              <w:left w:w="108" w:type="dxa"/>
            </w:tcMar>
          </w:tcPr>
          <w:p w:rsidR="00E84B58" w:rsidRPr="005B14F4" w:rsidRDefault="00E84B58" w:rsidP="00633C3A">
            <w:pPr>
              <w:overflowPunct/>
              <w:spacing w:line="214" w:lineRule="exact"/>
              <w:ind w:left="602" w:hanging="284"/>
              <w:textAlignment w:val="auto"/>
              <w:rPr>
                <w:rFonts w:cs="EUAlbertina"/>
                <w:color w:val="19161B"/>
                <w:lang w:val="it-IT" w:eastAsia="it-IT"/>
              </w:rPr>
            </w:pPr>
            <w:r w:rsidRPr="005B14F4">
              <w:rPr>
                <w:rFonts w:cs="EUAlbertina"/>
                <w:color w:val="19161B"/>
                <w:lang w:val="it-IT" w:eastAsia="it-IT"/>
              </w:rPr>
              <w:t xml:space="preserve">(i) </w:t>
            </w:r>
            <w:r>
              <w:rPr>
                <w:rFonts w:cs="EUAlbertina"/>
                <w:color w:val="19161B"/>
                <w:lang w:val="it-IT" w:eastAsia="it-IT"/>
              </w:rPr>
              <w:tab/>
            </w:r>
            <w:r w:rsidRPr="005B14F4">
              <w:rPr>
                <w:rFonts w:cs="EUAlbertina"/>
                <w:color w:val="19161B"/>
                <w:lang w:val="it-IT" w:eastAsia="it-IT"/>
              </w:rPr>
              <w:t>utili o perdite totali rilevati nell’</w:t>
            </w:r>
            <w:r>
              <w:rPr>
                <w:rFonts w:cs="EUAlbertina"/>
                <w:color w:val="19161B"/>
                <w:lang w:val="it-IT" w:eastAsia="it-IT"/>
              </w:rPr>
              <w:t>utile/(perdita)</w:t>
            </w:r>
            <w:r w:rsidRPr="005B14F4">
              <w:rPr>
                <w:rFonts w:cs="EUAlbertina"/>
                <w:color w:val="19161B"/>
                <w:lang w:val="it-IT" w:eastAsia="it-IT"/>
              </w:rPr>
              <w:t xml:space="preserve"> di esercizio, e la relativa voce (o le voci) in cui tali utili o perdite sono stati rilevati; </w:t>
            </w:r>
          </w:p>
        </w:tc>
        <w:tc>
          <w:tcPr>
            <w:tcW w:w="575" w:type="dxa"/>
            <w:tcMar>
              <w:left w:w="85" w:type="dxa"/>
              <w:right w:w="85"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57"/>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Default="00E84B58" w:rsidP="004300E2">
            <w:pPr>
              <w:pStyle w:val="IAS"/>
              <w:rPr>
                <w:lang w:val="it-IT"/>
              </w:rPr>
            </w:pPr>
          </w:p>
        </w:tc>
        <w:tc>
          <w:tcPr>
            <w:tcW w:w="7079" w:type="dxa"/>
            <w:tcMar>
              <w:left w:w="108" w:type="dxa"/>
            </w:tcMar>
          </w:tcPr>
          <w:p w:rsidR="00E84B58" w:rsidRPr="005B14F4" w:rsidRDefault="00E84B58" w:rsidP="00633C3A">
            <w:pPr>
              <w:overflowPunct/>
              <w:spacing w:line="214" w:lineRule="exact"/>
              <w:ind w:left="602" w:hanging="284"/>
              <w:textAlignment w:val="auto"/>
              <w:rPr>
                <w:rFonts w:cs="EUAlbertina"/>
                <w:color w:val="19161B"/>
                <w:lang w:val="it-IT" w:eastAsia="it-IT"/>
              </w:rPr>
            </w:pPr>
            <w:r w:rsidRPr="005B14F4">
              <w:rPr>
                <w:rFonts w:cs="EUAlbertina"/>
                <w:color w:val="19161B"/>
                <w:lang w:val="it-IT" w:eastAsia="it-IT"/>
              </w:rPr>
              <w:t xml:space="preserve">(ii) </w:t>
            </w:r>
            <w:r>
              <w:rPr>
                <w:rFonts w:cs="EUAlbertina"/>
                <w:color w:val="19161B"/>
                <w:lang w:val="it-IT" w:eastAsia="it-IT"/>
              </w:rPr>
              <w:tab/>
            </w:r>
            <w:r w:rsidRPr="005B14F4">
              <w:rPr>
                <w:rFonts w:cs="EUAlbertina"/>
                <w:color w:val="19161B"/>
                <w:lang w:val="it-IT" w:eastAsia="it-IT"/>
              </w:rPr>
              <w:t xml:space="preserve">utili o perdite totali dell’esercizio rilevati nelle altre componenti di conto economico complessivo, e la relativa voce (o le voci) in cui tali utili o perdite sono stati rilevati; </w:t>
            </w:r>
          </w:p>
        </w:tc>
        <w:tc>
          <w:tcPr>
            <w:tcW w:w="575" w:type="dxa"/>
            <w:tcMar>
              <w:left w:w="85" w:type="dxa"/>
              <w:right w:w="85"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57"/>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Default="00E84B58" w:rsidP="004300E2">
            <w:pPr>
              <w:pStyle w:val="IAS"/>
              <w:rPr>
                <w:lang w:val="it-IT"/>
              </w:rPr>
            </w:pPr>
          </w:p>
        </w:tc>
        <w:tc>
          <w:tcPr>
            <w:tcW w:w="7079" w:type="dxa"/>
            <w:tcMar>
              <w:left w:w="108" w:type="dxa"/>
            </w:tcMar>
          </w:tcPr>
          <w:p w:rsidR="00E84B58" w:rsidRPr="005B14F4" w:rsidRDefault="00E84B58" w:rsidP="00633C3A">
            <w:pPr>
              <w:overflowPunct/>
              <w:spacing w:line="214" w:lineRule="exact"/>
              <w:ind w:left="602" w:hanging="284"/>
              <w:textAlignment w:val="auto"/>
              <w:rPr>
                <w:rFonts w:cs="EUAlbertina"/>
                <w:color w:val="19161B"/>
                <w:lang w:val="it-IT" w:eastAsia="it-IT"/>
              </w:rPr>
            </w:pPr>
            <w:r w:rsidRPr="005B14F4">
              <w:rPr>
                <w:rFonts w:cs="EUAlbertina"/>
                <w:color w:val="19161B"/>
                <w:lang w:val="it-IT" w:eastAsia="it-IT"/>
              </w:rPr>
              <w:t xml:space="preserve">(iii) </w:t>
            </w:r>
            <w:r>
              <w:rPr>
                <w:rFonts w:cs="EUAlbertina"/>
                <w:color w:val="19161B"/>
                <w:lang w:val="it-IT" w:eastAsia="it-IT"/>
              </w:rPr>
              <w:tab/>
            </w:r>
            <w:r w:rsidRPr="005B14F4">
              <w:rPr>
                <w:rFonts w:cs="EUAlbertina"/>
                <w:color w:val="19161B"/>
                <w:lang w:val="it-IT" w:eastAsia="it-IT"/>
              </w:rPr>
              <w:t xml:space="preserve">acquisti, vendite, emissioni ed estinzioni (ciascuna di tali tipologie di cambiamenti deve essere indicata separatamente); </w:t>
            </w:r>
          </w:p>
        </w:tc>
        <w:tc>
          <w:tcPr>
            <w:tcW w:w="575" w:type="dxa"/>
            <w:tcMar>
              <w:left w:w="85" w:type="dxa"/>
              <w:right w:w="85"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57"/>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Default="00E84B58" w:rsidP="004300E2">
            <w:pPr>
              <w:pStyle w:val="IAS"/>
              <w:rPr>
                <w:lang w:val="it-IT"/>
              </w:rPr>
            </w:pPr>
          </w:p>
        </w:tc>
        <w:tc>
          <w:tcPr>
            <w:tcW w:w="7079" w:type="dxa"/>
            <w:tcMar>
              <w:left w:w="108" w:type="dxa"/>
            </w:tcMar>
          </w:tcPr>
          <w:p w:rsidR="00E84B58" w:rsidRPr="005B14F4" w:rsidRDefault="00E84B58" w:rsidP="00633C3A">
            <w:pPr>
              <w:overflowPunct/>
              <w:spacing w:line="214" w:lineRule="exact"/>
              <w:ind w:left="602" w:hanging="284"/>
              <w:textAlignment w:val="auto"/>
              <w:rPr>
                <w:rFonts w:cs="EUAlbertina"/>
                <w:color w:val="19161B"/>
                <w:lang w:val="it-IT" w:eastAsia="it-IT"/>
              </w:rPr>
            </w:pPr>
            <w:r>
              <w:rPr>
                <w:rFonts w:cs="EUAlbertina"/>
                <w:color w:val="19161B"/>
                <w:lang w:val="it-IT" w:eastAsia="it-IT"/>
              </w:rPr>
              <w:t xml:space="preserve">(iv) </w:t>
            </w:r>
            <w:r w:rsidRPr="005B14F4">
              <w:rPr>
                <w:rFonts w:cs="EUAlbertina"/>
                <w:color w:val="19161B"/>
                <w:lang w:val="it-IT" w:eastAsia="it-IT"/>
              </w:rPr>
              <w:t xml:space="preserve">gli importi dei trasferimenti nel Livello 3 della gerarchia del </w:t>
            </w:r>
            <w:r w:rsidRPr="000F56BA">
              <w:rPr>
                <w:rFonts w:cs="EUAlbertina"/>
                <w:i/>
                <w:color w:val="19161B"/>
                <w:lang w:val="it-IT" w:eastAsia="it-IT"/>
              </w:rPr>
              <w:t>fair value</w:t>
            </w:r>
            <w:r w:rsidRPr="00F50583">
              <w:rPr>
                <w:rFonts w:cs="EUAlbertina"/>
                <w:color w:val="19161B"/>
                <w:lang w:val="it-IT" w:eastAsia="it-IT"/>
              </w:rPr>
              <w:t xml:space="preserve"> </w:t>
            </w:r>
            <w:r w:rsidRPr="005B14F4">
              <w:rPr>
                <w:rFonts w:cs="EUAlbertina"/>
                <w:color w:val="19161B"/>
                <w:lang w:val="it-IT" w:eastAsia="it-IT"/>
              </w:rPr>
              <w:t xml:space="preserve">o fuori dallo stesso, le motivazioni di tali trasferimenti e i principi adottati dall’entità per stabilire quando si verificano i trasferimenti </w:t>
            </w:r>
            <w:r w:rsidRPr="0052383B">
              <w:rPr>
                <w:rFonts w:cs="EUAlbertina"/>
                <w:color w:val="19161B"/>
                <w:lang w:val="it-IT" w:eastAsia="it-IT"/>
              </w:rPr>
              <w:t>tra i livelli (si veda punto 18</w:t>
            </w:r>
            <w:r>
              <w:rPr>
                <w:rFonts w:cs="EUAlbertina"/>
                <w:color w:val="19161B"/>
                <w:lang w:val="it-IT" w:eastAsia="it-IT"/>
              </w:rPr>
              <w:t>5</w:t>
            </w:r>
            <w:r w:rsidRPr="0052383B">
              <w:rPr>
                <w:rFonts w:cs="EUAlbertina"/>
                <w:color w:val="19161B"/>
                <w:lang w:val="it-IT" w:eastAsia="it-IT"/>
              </w:rPr>
              <w:t>). I trasferimenti</w:t>
            </w:r>
            <w:r w:rsidRPr="005B14F4">
              <w:rPr>
                <w:rFonts w:cs="EUAlbertina"/>
                <w:color w:val="19161B"/>
                <w:lang w:val="it-IT" w:eastAsia="it-IT"/>
              </w:rPr>
              <w:t xml:space="preserve"> nel Livello 3 devono essere indicati e discussi separatamente dai trasferimenti fuori dal Livello 3;</w:t>
            </w:r>
          </w:p>
        </w:tc>
        <w:tc>
          <w:tcPr>
            <w:tcW w:w="575" w:type="dxa"/>
            <w:tcMar>
              <w:left w:w="85" w:type="dxa"/>
              <w:right w:w="85"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57"/>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Default="00E84B58" w:rsidP="004300E2">
            <w:pPr>
              <w:pStyle w:val="IAS"/>
              <w:rPr>
                <w:lang w:val="it-IT"/>
              </w:rPr>
            </w:pPr>
          </w:p>
        </w:tc>
        <w:tc>
          <w:tcPr>
            <w:tcW w:w="7079" w:type="dxa"/>
            <w:tcMar>
              <w:left w:w="108" w:type="dxa"/>
            </w:tcMar>
          </w:tcPr>
          <w:p w:rsidR="00E84B58" w:rsidRDefault="00E84B58" w:rsidP="00633C3A">
            <w:pPr>
              <w:overflowPunct/>
              <w:spacing w:line="214" w:lineRule="exact"/>
              <w:ind w:left="316" w:hanging="283"/>
              <w:textAlignment w:val="auto"/>
              <w:rPr>
                <w:rFonts w:cs="EUAlbertina"/>
                <w:color w:val="19161B"/>
                <w:lang w:val="it-IT" w:eastAsia="it-IT"/>
              </w:rPr>
            </w:pPr>
            <w:r w:rsidRPr="005B14F4">
              <w:rPr>
                <w:rFonts w:cs="EUAlbertina"/>
                <w:color w:val="19161B"/>
                <w:lang w:val="it-IT" w:eastAsia="it-IT"/>
              </w:rPr>
              <w:t xml:space="preserve">(f) </w:t>
            </w:r>
            <w:r>
              <w:rPr>
                <w:rFonts w:cs="EUAlbertina"/>
                <w:color w:val="19161B"/>
                <w:lang w:val="it-IT" w:eastAsia="it-IT"/>
              </w:rPr>
              <w:tab/>
            </w:r>
            <w:r w:rsidRPr="005B14F4">
              <w:rPr>
                <w:rFonts w:cs="EUAlbertina"/>
                <w:color w:val="19161B"/>
                <w:lang w:val="it-IT" w:eastAsia="it-IT"/>
              </w:rPr>
              <w:t xml:space="preserve">per le valutazioni del </w:t>
            </w:r>
            <w:r w:rsidRPr="005B14F4">
              <w:rPr>
                <w:rFonts w:cs="EUAlbertina"/>
                <w:i/>
                <w:iCs/>
                <w:color w:val="19161B"/>
                <w:lang w:val="it-IT" w:eastAsia="it-IT"/>
              </w:rPr>
              <w:t xml:space="preserve">fair value </w:t>
            </w:r>
            <w:r w:rsidRPr="005B14F4">
              <w:rPr>
                <w:rFonts w:cs="EUAlbertina"/>
                <w:color w:val="19161B"/>
                <w:lang w:val="it-IT" w:eastAsia="it-IT"/>
              </w:rPr>
              <w:t xml:space="preserve">ricorrenti classificate nel Livello 3 della gerarchia del </w:t>
            </w:r>
            <w:r w:rsidRPr="005B14F4">
              <w:rPr>
                <w:rFonts w:cs="EUAlbertina"/>
                <w:i/>
                <w:iCs/>
                <w:color w:val="19161B"/>
                <w:lang w:val="it-IT" w:eastAsia="it-IT"/>
              </w:rPr>
              <w:t>fair value</w:t>
            </w:r>
            <w:r w:rsidRPr="005B14F4">
              <w:rPr>
                <w:rFonts w:cs="EUAlbertina"/>
                <w:color w:val="19161B"/>
                <w:lang w:val="it-IT" w:eastAsia="it-IT"/>
              </w:rPr>
              <w:t>, l’ammontare degli utili o delle perdite totali per l’esercizio di cui al punto (e)(i) incluso nell’</w:t>
            </w:r>
            <w:r>
              <w:rPr>
                <w:rFonts w:cs="EUAlbertina"/>
                <w:color w:val="19161B"/>
                <w:lang w:val="it-IT" w:eastAsia="it-IT"/>
              </w:rPr>
              <w:t>utile/(perdita)</w:t>
            </w:r>
            <w:r w:rsidRPr="005B14F4">
              <w:rPr>
                <w:rFonts w:cs="EUAlbertina"/>
                <w:color w:val="19161B"/>
                <w:lang w:val="it-IT" w:eastAsia="it-IT"/>
              </w:rPr>
              <w:t xml:space="preserve"> d’esercizio attribuibile al cambiamento intervenuto negli utili o nelle perdite non realizzati relativamente alle attività e passività possedute alla data di chiusura dell’esercizio, e la relativa voce (o le voci) in cui sono rilevati tali utili o perdite non realizzati;</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57"/>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Default="00E84B58" w:rsidP="004300E2">
            <w:pPr>
              <w:pStyle w:val="IAS"/>
              <w:rPr>
                <w:lang w:val="it-IT"/>
              </w:rPr>
            </w:pPr>
          </w:p>
        </w:tc>
        <w:tc>
          <w:tcPr>
            <w:tcW w:w="7079" w:type="dxa"/>
            <w:tcMar>
              <w:left w:w="108" w:type="dxa"/>
            </w:tcMar>
          </w:tcPr>
          <w:p w:rsidR="00E84B58" w:rsidRDefault="00E84B58" w:rsidP="00633C3A">
            <w:pPr>
              <w:overflowPunct/>
              <w:spacing w:line="214" w:lineRule="exact"/>
              <w:ind w:left="316" w:hanging="283"/>
              <w:textAlignment w:val="auto"/>
              <w:rPr>
                <w:rFonts w:cs="EUAlbertina"/>
                <w:color w:val="19161B"/>
                <w:lang w:val="it-IT" w:eastAsia="it-IT"/>
              </w:rPr>
            </w:pPr>
            <w:r w:rsidRPr="005B14F4">
              <w:rPr>
                <w:rFonts w:cs="EUAlbertina"/>
                <w:color w:val="19161B"/>
                <w:lang w:val="it-IT" w:eastAsia="it-IT"/>
              </w:rPr>
              <w:t xml:space="preserve">(g) </w:t>
            </w:r>
            <w:r>
              <w:rPr>
                <w:rFonts w:cs="EUAlbertina"/>
                <w:color w:val="19161B"/>
                <w:lang w:val="it-IT" w:eastAsia="it-IT"/>
              </w:rPr>
              <w:tab/>
            </w:r>
            <w:r w:rsidRPr="005B14F4">
              <w:rPr>
                <w:rFonts w:cs="EUAlbertina"/>
                <w:color w:val="19161B"/>
                <w:lang w:val="it-IT" w:eastAsia="it-IT"/>
              </w:rPr>
              <w:t xml:space="preserve">per </w:t>
            </w:r>
            <w:r>
              <w:rPr>
                <w:rFonts w:cs="EUAlbertina"/>
                <w:color w:val="19161B"/>
                <w:lang w:val="it-IT" w:eastAsia="it-IT"/>
              </w:rPr>
              <w:t xml:space="preserve">le </w:t>
            </w:r>
            <w:r w:rsidRPr="005B14F4">
              <w:rPr>
                <w:rFonts w:cs="EUAlbertina"/>
                <w:color w:val="19161B"/>
                <w:lang w:val="it-IT" w:eastAsia="it-IT"/>
              </w:rPr>
              <w:t xml:space="preserve">valutazioni del </w:t>
            </w:r>
            <w:r w:rsidRPr="005B14F4">
              <w:rPr>
                <w:rFonts w:cs="EUAlbertina"/>
                <w:i/>
                <w:iCs/>
                <w:color w:val="19161B"/>
                <w:lang w:val="it-IT" w:eastAsia="it-IT"/>
              </w:rPr>
              <w:t xml:space="preserve">fair value </w:t>
            </w:r>
            <w:r w:rsidRPr="005B14F4">
              <w:rPr>
                <w:rFonts w:cs="EUAlbertina"/>
                <w:color w:val="19161B"/>
                <w:lang w:val="it-IT" w:eastAsia="it-IT"/>
              </w:rPr>
              <w:t xml:space="preserve">ricorrenti e non ricorrenti classificate nel Livello 3 della gerarchia del </w:t>
            </w:r>
            <w:r w:rsidRPr="005B14F4">
              <w:rPr>
                <w:rFonts w:cs="EUAlbertina"/>
                <w:i/>
                <w:iCs/>
                <w:color w:val="19161B"/>
                <w:lang w:val="it-IT" w:eastAsia="it-IT"/>
              </w:rPr>
              <w:t>fair value</w:t>
            </w:r>
            <w:r w:rsidRPr="005B14F4">
              <w:rPr>
                <w:rFonts w:cs="EUAlbertina"/>
                <w:color w:val="19161B"/>
                <w:lang w:val="it-IT" w:eastAsia="it-IT"/>
              </w:rPr>
              <w:t xml:space="preserve">, una descrizione dei processi di valutazione utilizzati dall’entità (incluso, per esempio, come l’entità definisce i propri criteri e le procedure di valutazione e come analizza i cambiamenti intervenuti nelle valutazioni del </w:t>
            </w:r>
            <w:r w:rsidRPr="005B14F4">
              <w:rPr>
                <w:rFonts w:cs="EUAlbertina"/>
                <w:i/>
                <w:iCs/>
                <w:color w:val="19161B"/>
                <w:lang w:val="it-IT" w:eastAsia="it-IT"/>
              </w:rPr>
              <w:t xml:space="preserve">fair value </w:t>
            </w:r>
            <w:r w:rsidRPr="005B14F4">
              <w:rPr>
                <w:rFonts w:cs="EUAlbertina"/>
                <w:color w:val="19161B"/>
                <w:lang w:val="it-IT" w:eastAsia="it-IT"/>
              </w:rPr>
              <w:t>tra i vari esercizi);</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E84B58">
        <w:trPr>
          <w:cantSplit/>
          <w:trHeight w:val="57"/>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Default="00E84B58" w:rsidP="004300E2">
            <w:pPr>
              <w:pStyle w:val="IAS"/>
              <w:rPr>
                <w:lang w:val="it-IT"/>
              </w:rPr>
            </w:pPr>
          </w:p>
        </w:tc>
        <w:tc>
          <w:tcPr>
            <w:tcW w:w="7079" w:type="dxa"/>
            <w:tcMar>
              <w:left w:w="108" w:type="dxa"/>
            </w:tcMar>
          </w:tcPr>
          <w:p w:rsidR="00E84B58" w:rsidRDefault="00E84B58" w:rsidP="00633C3A">
            <w:pPr>
              <w:overflowPunct/>
              <w:spacing w:line="214" w:lineRule="exact"/>
              <w:ind w:left="315" w:hanging="315"/>
              <w:textAlignment w:val="auto"/>
              <w:rPr>
                <w:rFonts w:cs="EUAlbertina"/>
                <w:color w:val="19161B"/>
                <w:lang w:val="it-IT" w:eastAsia="it-IT"/>
              </w:rPr>
            </w:pPr>
            <w:r w:rsidRPr="005B14F4">
              <w:rPr>
                <w:rFonts w:cs="EUAlbertina"/>
                <w:color w:val="19161B"/>
                <w:lang w:val="it-IT" w:eastAsia="it-IT"/>
              </w:rPr>
              <w:t xml:space="preserve">(h) </w:t>
            </w:r>
            <w:r>
              <w:rPr>
                <w:rFonts w:cs="EUAlbertina"/>
                <w:color w:val="19161B"/>
                <w:lang w:val="it-IT" w:eastAsia="it-IT"/>
              </w:rPr>
              <w:tab/>
            </w:r>
            <w:r w:rsidRPr="005B14F4">
              <w:rPr>
                <w:rFonts w:cs="EUAlbertina"/>
                <w:color w:val="19161B"/>
                <w:lang w:val="it-IT" w:eastAsia="it-IT"/>
              </w:rPr>
              <w:t xml:space="preserve">per </w:t>
            </w:r>
            <w:r>
              <w:rPr>
                <w:rFonts w:cs="EUAlbertina"/>
                <w:color w:val="19161B"/>
                <w:lang w:val="it-IT" w:eastAsia="it-IT"/>
              </w:rPr>
              <w:t xml:space="preserve">le </w:t>
            </w:r>
            <w:r w:rsidRPr="005B14F4">
              <w:rPr>
                <w:rFonts w:cs="EUAlbertina"/>
                <w:color w:val="19161B"/>
                <w:lang w:val="it-IT" w:eastAsia="it-IT"/>
              </w:rPr>
              <w:t xml:space="preserve">valutazioni del </w:t>
            </w:r>
            <w:r w:rsidRPr="005B14F4">
              <w:rPr>
                <w:rFonts w:cs="EUAlbertina"/>
                <w:i/>
                <w:iCs/>
                <w:color w:val="19161B"/>
                <w:lang w:val="it-IT" w:eastAsia="it-IT"/>
              </w:rPr>
              <w:t xml:space="preserve">fair value </w:t>
            </w:r>
            <w:r w:rsidRPr="005B14F4">
              <w:rPr>
                <w:rFonts w:cs="EUAlbertina"/>
                <w:color w:val="19161B"/>
                <w:lang w:val="it-IT" w:eastAsia="it-IT"/>
              </w:rPr>
              <w:t xml:space="preserve">ricorrenti classificate nel Livello 3 della gerarchia del </w:t>
            </w:r>
            <w:r w:rsidRPr="005B14F4">
              <w:rPr>
                <w:rFonts w:cs="EUAlbertina"/>
                <w:i/>
                <w:iCs/>
                <w:color w:val="19161B"/>
                <w:lang w:val="it-IT" w:eastAsia="it-IT"/>
              </w:rPr>
              <w:t>fair value</w:t>
            </w:r>
            <w:r w:rsidRPr="005B14F4">
              <w:rPr>
                <w:rFonts w:cs="EUAlbertina"/>
                <w:color w:val="19161B"/>
                <w:lang w:val="it-IT" w:eastAsia="it-IT"/>
              </w:rPr>
              <w:t xml:space="preserve">: </w:t>
            </w:r>
          </w:p>
        </w:tc>
        <w:tc>
          <w:tcPr>
            <w:tcW w:w="575" w:type="dxa"/>
            <w:tcMar>
              <w:left w:w="85" w:type="dxa"/>
              <w:right w:w="85" w:type="dxa"/>
            </w:tcMar>
            <w:vAlign w:val="center"/>
          </w:tcPr>
          <w:p w:rsidR="00E84B58" w:rsidRPr="00A32A16" w:rsidRDefault="00E84B58" w:rsidP="004300E2">
            <w:pP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57"/>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Default="00E84B58" w:rsidP="004300E2">
            <w:pPr>
              <w:pStyle w:val="IAS"/>
              <w:rPr>
                <w:lang w:val="it-IT"/>
              </w:rPr>
            </w:pPr>
          </w:p>
        </w:tc>
        <w:tc>
          <w:tcPr>
            <w:tcW w:w="7079" w:type="dxa"/>
            <w:tcMar>
              <w:left w:w="108" w:type="dxa"/>
            </w:tcMar>
          </w:tcPr>
          <w:p w:rsidR="00E84B58" w:rsidRPr="005B14F4" w:rsidRDefault="00E84B58" w:rsidP="00633C3A">
            <w:pPr>
              <w:overflowPunct/>
              <w:spacing w:line="214" w:lineRule="exact"/>
              <w:ind w:left="599" w:hanging="284"/>
              <w:textAlignment w:val="auto"/>
              <w:rPr>
                <w:rFonts w:cs="EUAlbertina"/>
                <w:color w:val="19161B"/>
                <w:lang w:val="it-IT" w:eastAsia="it-IT"/>
              </w:rPr>
            </w:pPr>
            <w:r w:rsidRPr="00160AA0">
              <w:rPr>
                <w:rFonts w:cs="EUAlbertina"/>
                <w:color w:val="19161B"/>
                <w:lang w:val="it-IT" w:eastAsia="it-IT"/>
              </w:rPr>
              <w:t>(</w:t>
            </w:r>
            <w:r w:rsidRPr="00160AA0">
              <w:rPr>
                <w:rFonts w:cs="EUAlbertina"/>
                <w:i/>
                <w:color w:val="19161B"/>
                <w:lang w:val="it-IT" w:eastAsia="it-IT"/>
              </w:rPr>
              <w:t>i)</w:t>
            </w:r>
            <w:r w:rsidRPr="00160AA0">
              <w:rPr>
                <w:rFonts w:cs="EUAlbertina"/>
                <w:color w:val="19161B"/>
                <w:lang w:val="it-IT" w:eastAsia="it-IT"/>
              </w:rPr>
              <w:t xml:space="preserve"> </w:t>
            </w:r>
            <w:r w:rsidRPr="00160AA0">
              <w:rPr>
                <w:rFonts w:cs="EUAlbertina"/>
                <w:color w:val="19161B"/>
                <w:lang w:val="it-IT" w:eastAsia="it-IT"/>
              </w:rPr>
              <w:tab/>
              <w:t>per tutte le valutazioni</w:t>
            </w:r>
            <w:r w:rsidRPr="005B14F4">
              <w:rPr>
                <w:rFonts w:cs="EUAlbertina"/>
                <w:color w:val="19161B"/>
                <w:lang w:val="it-IT" w:eastAsia="it-IT"/>
              </w:rPr>
              <w:t xml:space="preserve"> suddette, una descrizione narrativa della sensibilità della valutazione del </w:t>
            </w:r>
            <w:r w:rsidRPr="005B14F4">
              <w:rPr>
                <w:rFonts w:cs="EUAlbertina"/>
                <w:i/>
                <w:iCs/>
                <w:color w:val="19161B"/>
                <w:lang w:val="it-IT" w:eastAsia="it-IT"/>
              </w:rPr>
              <w:t xml:space="preserve">fair value </w:t>
            </w:r>
            <w:r w:rsidRPr="005B14F4">
              <w:rPr>
                <w:rFonts w:cs="EUAlbertina"/>
                <w:color w:val="19161B"/>
                <w:lang w:val="it-IT" w:eastAsia="it-IT"/>
              </w:rPr>
              <w:t xml:space="preserve">ai cambiamenti che intervengono negli input non osservabili, qualora un cambiamento di tali input, che determini un importo diverso, potrebbe comportare una valutazione del </w:t>
            </w:r>
            <w:r w:rsidRPr="005B14F4">
              <w:rPr>
                <w:rFonts w:cs="EUAlbertina"/>
                <w:i/>
                <w:iCs/>
                <w:color w:val="19161B"/>
                <w:lang w:val="it-IT" w:eastAsia="it-IT"/>
              </w:rPr>
              <w:t xml:space="preserve">fair value </w:t>
            </w:r>
            <w:r w:rsidRPr="005B14F4">
              <w:rPr>
                <w:rFonts w:cs="EUAlbertina"/>
                <w:color w:val="19161B"/>
                <w:lang w:val="it-IT" w:eastAsia="it-IT"/>
              </w:rPr>
              <w:t xml:space="preserve">notevolmente superiore o inferiore; se sono presenti interrelazioni tra tali input e altri input non osservabili utilizzati nella valutazione del </w:t>
            </w:r>
            <w:r w:rsidRPr="005B14F4">
              <w:rPr>
                <w:rFonts w:cs="EUAlbertina"/>
                <w:i/>
                <w:iCs/>
                <w:color w:val="19161B"/>
                <w:lang w:val="it-IT" w:eastAsia="it-IT"/>
              </w:rPr>
              <w:t>fair value</w:t>
            </w:r>
            <w:r w:rsidRPr="005B14F4">
              <w:rPr>
                <w:rFonts w:cs="EUAlbertina"/>
                <w:color w:val="19161B"/>
                <w:lang w:val="it-IT" w:eastAsia="it-IT"/>
              </w:rPr>
              <w:t xml:space="preserve">, un’entità deve anche fornire una descrizione di tali interrelazioni e del modo in cui esse potrebbero amplificare o attenuare l’effetto dei cambiamenti negli input non osservabili sulla valutazione del </w:t>
            </w:r>
            <w:r w:rsidRPr="005B14F4">
              <w:rPr>
                <w:rFonts w:cs="EUAlbertina"/>
                <w:i/>
                <w:iCs/>
                <w:color w:val="19161B"/>
                <w:lang w:val="it-IT" w:eastAsia="it-IT"/>
              </w:rPr>
              <w:t>fair value</w:t>
            </w:r>
            <w:r w:rsidRPr="005B14F4">
              <w:rPr>
                <w:rFonts w:cs="EUAlbertina"/>
                <w:color w:val="19161B"/>
                <w:lang w:val="it-IT" w:eastAsia="it-IT"/>
              </w:rPr>
              <w:t xml:space="preserve">. Per uniformarsi a tale disposizione informativa, la descrizione narrativa della sensibilità ai cambiamenti negli input non osservabili deve includere almeno quelli non osservabili indicati in conformità al punto (d); </w:t>
            </w:r>
          </w:p>
        </w:tc>
        <w:tc>
          <w:tcPr>
            <w:tcW w:w="575" w:type="dxa"/>
            <w:tcMar>
              <w:left w:w="85" w:type="dxa"/>
              <w:right w:w="85"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57"/>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Default="00E84B58" w:rsidP="004300E2">
            <w:pPr>
              <w:pStyle w:val="IAS"/>
              <w:rPr>
                <w:lang w:val="it-IT"/>
              </w:rPr>
            </w:pPr>
          </w:p>
        </w:tc>
        <w:tc>
          <w:tcPr>
            <w:tcW w:w="7079" w:type="dxa"/>
            <w:tcMar>
              <w:left w:w="108" w:type="dxa"/>
            </w:tcMar>
          </w:tcPr>
          <w:p w:rsidR="00E84B58" w:rsidRPr="005B14F4" w:rsidRDefault="00E84B58" w:rsidP="00633C3A">
            <w:pPr>
              <w:overflowPunct/>
              <w:spacing w:line="214" w:lineRule="exact"/>
              <w:ind w:left="599" w:hanging="284"/>
              <w:textAlignment w:val="auto"/>
              <w:rPr>
                <w:rFonts w:cs="EUAlbertina"/>
                <w:color w:val="19161B"/>
                <w:lang w:val="it-IT" w:eastAsia="it-IT"/>
              </w:rPr>
            </w:pPr>
            <w:r w:rsidRPr="00160AA0">
              <w:rPr>
                <w:rFonts w:cs="EUAlbertina"/>
                <w:i/>
                <w:color w:val="19161B"/>
                <w:lang w:val="it-IT" w:eastAsia="it-IT"/>
              </w:rPr>
              <w:t>(ii)</w:t>
            </w:r>
            <w:r w:rsidRPr="00160AA0">
              <w:rPr>
                <w:rFonts w:cs="EUAlbertina"/>
                <w:color w:val="19161B"/>
                <w:lang w:val="it-IT" w:eastAsia="it-IT"/>
              </w:rPr>
              <w:t xml:space="preserve"> per le attività e le passività</w:t>
            </w:r>
            <w:r w:rsidRPr="005B14F4">
              <w:rPr>
                <w:rFonts w:cs="EUAlbertina"/>
                <w:color w:val="19161B"/>
                <w:lang w:val="it-IT" w:eastAsia="it-IT"/>
              </w:rPr>
              <w:t xml:space="preserve"> finanziarie, se il cambiamento di uno o più input non osservabili apportato per riflettere assunzioni alternative ragionevolmente possibili modificherebbe significativamente il </w:t>
            </w:r>
            <w:r w:rsidRPr="000F56BA">
              <w:rPr>
                <w:rFonts w:cs="EUAlbertina"/>
                <w:i/>
                <w:color w:val="19161B"/>
                <w:lang w:val="it-IT" w:eastAsia="it-IT"/>
              </w:rPr>
              <w:t>fair value</w:t>
            </w:r>
            <w:r w:rsidRPr="005B14F4">
              <w:rPr>
                <w:rFonts w:cs="EUAlbertina"/>
                <w:color w:val="19161B"/>
                <w:lang w:val="it-IT" w:eastAsia="it-IT"/>
              </w:rPr>
              <w:t>, un’entità deve indicare tale fatto e fornire informazioni sull’effetto di tali cambiamenti. L’entità deve indicare come è stato calcolato l’effetto di un cambiamento apportato per rifletter</w:t>
            </w:r>
            <w:r>
              <w:rPr>
                <w:rFonts w:cs="EUAlbertina"/>
                <w:color w:val="19161B"/>
                <w:lang w:val="it-IT" w:eastAsia="it-IT"/>
              </w:rPr>
              <w:t xml:space="preserve">e </w:t>
            </w:r>
            <w:r w:rsidRPr="005B14F4">
              <w:rPr>
                <w:rFonts w:cs="EUAlbertina"/>
                <w:color w:val="19161B"/>
                <w:lang w:val="it-IT" w:eastAsia="it-IT"/>
              </w:rPr>
              <w:t>un’assunzione alternativa ragionevolmente possibile. A tale scopo, la rilevanza deve essere valutata facendo riferimento all’</w:t>
            </w:r>
            <w:r>
              <w:rPr>
                <w:rFonts w:cs="EUAlbertina"/>
                <w:color w:val="19161B"/>
                <w:lang w:val="it-IT" w:eastAsia="it-IT"/>
              </w:rPr>
              <w:t>utile/(perdita)</w:t>
            </w:r>
            <w:r w:rsidRPr="005B14F4">
              <w:rPr>
                <w:rFonts w:cs="EUAlbertina"/>
                <w:color w:val="19161B"/>
                <w:lang w:val="it-IT" w:eastAsia="it-IT"/>
              </w:rPr>
              <w:t xml:space="preserve"> d’esercizio e alle attività o passività totali o, nel caso in cui le variazioni del </w:t>
            </w:r>
            <w:r w:rsidRPr="00AB2C1C">
              <w:rPr>
                <w:rFonts w:cs="EUAlbertina"/>
                <w:color w:val="19161B"/>
                <w:lang w:val="it-IT" w:eastAsia="it-IT"/>
              </w:rPr>
              <w:t xml:space="preserve">fair value </w:t>
            </w:r>
            <w:r w:rsidRPr="005B14F4">
              <w:rPr>
                <w:rFonts w:cs="EUAlbertina"/>
                <w:color w:val="19161B"/>
                <w:lang w:val="it-IT" w:eastAsia="it-IT"/>
              </w:rPr>
              <w:t>siano rilevate nelle altre componenti di conto economico complessivo, al patrimonio netto complessivo;</w:t>
            </w:r>
          </w:p>
        </w:tc>
        <w:tc>
          <w:tcPr>
            <w:tcW w:w="575" w:type="dxa"/>
            <w:tcMar>
              <w:left w:w="85" w:type="dxa"/>
              <w:right w:w="85"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57"/>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Default="00E84B58" w:rsidP="004300E2">
            <w:pPr>
              <w:pStyle w:val="IAS"/>
              <w:rPr>
                <w:lang w:val="it-IT"/>
              </w:rPr>
            </w:pPr>
          </w:p>
        </w:tc>
        <w:tc>
          <w:tcPr>
            <w:tcW w:w="7079" w:type="dxa"/>
            <w:tcMar>
              <w:left w:w="108" w:type="dxa"/>
            </w:tcMar>
          </w:tcPr>
          <w:p w:rsidR="00E84B58" w:rsidRDefault="00E84B58" w:rsidP="00633C3A">
            <w:pPr>
              <w:overflowPunct/>
              <w:spacing w:line="214" w:lineRule="exact"/>
              <w:ind w:left="316" w:hanging="316"/>
              <w:textAlignment w:val="auto"/>
              <w:rPr>
                <w:rFonts w:cs="EUAlbertina"/>
                <w:color w:val="19161B"/>
                <w:lang w:val="it-IT" w:eastAsia="it-IT"/>
              </w:rPr>
            </w:pPr>
            <w:r w:rsidRPr="005B14F4">
              <w:rPr>
                <w:rFonts w:cs="EUAlbertina"/>
                <w:color w:val="19161B"/>
                <w:lang w:val="it-IT" w:eastAsia="it-IT"/>
              </w:rPr>
              <w:t xml:space="preserve">(i) </w:t>
            </w:r>
            <w:r>
              <w:rPr>
                <w:rFonts w:cs="EUAlbertina"/>
                <w:color w:val="19161B"/>
                <w:lang w:val="it-IT" w:eastAsia="it-IT"/>
              </w:rPr>
              <w:tab/>
            </w:r>
            <w:r w:rsidRPr="005B14F4">
              <w:rPr>
                <w:rFonts w:cs="EUAlbertina"/>
                <w:color w:val="19161B"/>
                <w:lang w:val="it-IT" w:eastAsia="it-IT"/>
              </w:rPr>
              <w:t xml:space="preserve">per le valutazioni del </w:t>
            </w:r>
            <w:r w:rsidRPr="005B14F4">
              <w:rPr>
                <w:rFonts w:cs="EUAlbertina"/>
                <w:i/>
                <w:iCs/>
                <w:color w:val="19161B"/>
                <w:lang w:val="it-IT" w:eastAsia="it-IT"/>
              </w:rPr>
              <w:t xml:space="preserve">fair value </w:t>
            </w:r>
            <w:r w:rsidRPr="005B14F4">
              <w:rPr>
                <w:rFonts w:cs="EUAlbertina"/>
                <w:color w:val="19161B"/>
                <w:lang w:val="it-IT" w:eastAsia="it-IT"/>
              </w:rPr>
              <w:t xml:space="preserve">ricorrenti e non ricorrenti, se il massimo e miglior </w:t>
            </w:r>
            <w:r>
              <w:rPr>
                <w:rFonts w:cs="EUAlbertina"/>
                <w:color w:val="19161B"/>
                <w:lang w:val="it-IT" w:eastAsia="it-IT"/>
              </w:rPr>
              <w:t>(“</w:t>
            </w:r>
            <w:r w:rsidRPr="00636CE2">
              <w:rPr>
                <w:rFonts w:cs="EUAlbertina"/>
                <w:i/>
                <w:color w:val="19161B"/>
                <w:lang w:val="it-IT" w:eastAsia="it-IT"/>
              </w:rPr>
              <w:t>highest and best use</w:t>
            </w:r>
            <w:r>
              <w:rPr>
                <w:rFonts w:cs="EUAlbertina"/>
                <w:color w:val="19161B"/>
                <w:lang w:val="it-IT" w:eastAsia="it-IT"/>
              </w:rPr>
              <w:t xml:space="preserve">”) </w:t>
            </w:r>
            <w:r w:rsidRPr="005B14F4">
              <w:rPr>
                <w:rFonts w:cs="EUAlbertina"/>
                <w:color w:val="19161B"/>
                <w:lang w:val="it-IT" w:eastAsia="it-IT"/>
              </w:rPr>
              <w:t>utilizzo di un’attività non finanziaria differisce dal suo utilizzo corrente, un’entità deve indicare tale fatto e il motivo per cui l’attività non finanziaria viene utilizzata in modo diverso dal suo massimo e miglior utilizzo.</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57"/>
        </w:trPr>
        <w:tc>
          <w:tcPr>
            <w:tcW w:w="567" w:type="dxa"/>
            <w:tcMar>
              <w:left w:w="108" w:type="dxa"/>
            </w:tcMar>
          </w:tcPr>
          <w:p w:rsidR="004300E2" w:rsidRDefault="004300E2" w:rsidP="004300E2">
            <w:pPr>
              <w:pStyle w:val="Numeroelenco"/>
              <w:ind w:left="0" w:firstLine="57"/>
              <w:rPr>
                <w:lang w:val="it-IT"/>
              </w:rPr>
            </w:pPr>
          </w:p>
        </w:tc>
        <w:tc>
          <w:tcPr>
            <w:tcW w:w="851" w:type="dxa"/>
            <w:tcMar>
              <w:left w:w="108" w:type="dxa"/>
              <w:right w:w="0" w:type="dxa"/>
            </w:tcMar>
          </w:tcPr>
          <w:p w:rsidR="004300E2" w:rsidRDefault="004300E2" w:rsidP="004300E2">
            <w:pPr>
              <w:pStyle w:val="IAS"/>
              <w:rPr>
                <w:lang w:val="it-IT"/>
              </w:rPr>
            </w:pPr>
            <w:r w:rsidRPr="00AC2894">
              <w:rPr>
                <w:lang w:val="it-IT"/>
              </w:rPr>
              <w:t>IFRS 13.9</w:t>
            </w:r>
            <w:r>
              <w:rPr>
                <w:lang w:val="it-IT"/>
              </w:rPr>
              <w:t>5</w:t>
            </w:r>
          </w:p>
        </w:tc>
        <w:tc>
          <w:tcPr>
            <w:tcW w:w="7079" w:type="dxa"/>
            <w:tcMar>
              <w:left w:w="108" w:type="dxa"/>
            </w:tcMar>
          </w:tcPr>
          <w:p w:rsidR="004300E2" w:rsidRPr="008E53DF" w:rsidRDefault="004300E2" w:rsidP="00633C3A">
            <w:pPr>
              <w:overflowPunct/>
              <w:spacing w:line="214" w:lineRule="exact"/>
              <w:textAlignment w:val="auto"/>
              <w:rPr>
                <w:rFonts w:cs="EUAlbertina"/>
                <w:color w:val="19161B"/>
                <w:lang w:val="it-IT" w:eastAsia="it-IT"/>
              </w:rPr>
            </w:pPr>
            <w:r w:rsidRPr="005B14F4">
              <w:rPr>
                <w:rFonts w:cs="EUAlbertina"/>
                <w:color w:val="19161B"/>
                <w:lang w:val="it-IT" w:eastAsia="it-IT"/>
              </w:rPr>
              <w:t xml:space="preserve">Un’entità deve indicare i principi adottati per stabilire quando si verificano i trasferimenti tra i livelli della gerarchia del </w:t>
            </w:r>
            <w:r w:rsidRPr="005B14F4">
              <w:rPr>
                <w:rFonts w:cs="EUAlbertina"/>
                <w:i/>
                <w:iCs/>
                <w:color w:val="19161B"/>
                <w:lang w:val="it-IT" w:eastAsia="it-IT"/>
              </w:rPr>
              <w:t>fair value</w:t>
            </w:r>
            <w:r w:rsidRPr="005B14F4">
              <w:rPr>
                <w:rFonts w:cs="EUAlbertina"/>
                <w:color w:val="19161B"/>
                <w:lang w:val="it-IT" w:eastAsia="it-IT"/>
              </w:rPr>
              <w:t xml:space="preserve">, secondo quanto stabilito dal paragrafo 93(c) ed (e)(iv), e deve costantemente attenersi a tali principi. I principi relativi ai tempi di rilevazione dei trasferimenti devono essere gli stessi per i trasferimenti tra i vari livelli. Esempi di principi per la determinazione della tempistica dei trasferimenti includono: </w:t>
            </w:r>
          </w:p>
        </w:tc>
        <w:tc>
          <w:tcPr>
            <w:tcW w:w="575" w:type="dxa"/>
            <w:tcMar>
              <w:left w:w="85" w:type="dxa"/>
              <w:right w:w="85" w:type="dxa"/>
            </w:tcMar>
          </w:tcPr>
          <w:p w:rsidR="004300E2" w:rsidRPr="00A32A16" w:rsidRDefault="004300E2" w:rsidP="004300E2">
            <w:pPr>
              <w:rPr>
                <w:lang w:val="it-IT"/>
              </w:rPr>
            </w:pPr>
          </w:p>
        </w:tc>
        <w:tc>
          <w:tcPr>
            <w:tcW w:w="567" w:type="dxa"/>
            <w:tcMar>
              <w:left w:w="108" w:type="dxa"/>
            </w:tcMar>
          </w:tcPr>
          <w:p w:rsidR="004300E2" w:rsidRPr="00A32A16" w:rsidRDefault="004300E2" w:rsidP="004300E2">
            <w:pPr>
              <w:rPr>
                <w:lang w:val="it-IT"/>
              </w:rPr>
            </w:pPr>
          </w:p>
        </w:tc>
        <w:tc>
          <w:tcPr>
            <w:tcW w:w="567" w:type="dxa"/>
            <w:tcMar>
              <w:left w:w="108" w:type="dxa"/>
            </w:tcMar>
          </w:tcPr>
          <w:p w:rsidR="004300E2" w:rsidRPr="00A32A16" w:rsidRDefault="004300E2" w:rsidP="004300E2">
            <w:pPr>
              <w:rPr>
                <w:lang w:val="it-IT"/>
              </w:rPr>
            </w:pPr>
          </w:p>
        </w:tc>
      </w:tr>
      <w:tr w:rsidR="00E84B58" w:rsidRPr="008129DA" w:rsidTr="00940A6F">
        <w:trPr>
          <w:cantSplit/>
          <w:trHeight w:val="57"/>
        </w:trPr>
        <w:tc>
          <w:tcPr>
            <w:tcW w:w="567" w:type="dxa"/>
            <w:tcMar>
              <w:left w:w="108" w:type="dxa"/>
            </w:tcMar>
          </w:tcPr>
          <w:p w:rsidR="00E84B58" w:rsidRDefault="00E84B58" w:rsidP="004300E2">
            <w:pPr>
              <w:pStyle w:val="Numeroelenco"/>
              <w:numPr>
                <w:ilvl w:val="0"/>
                <w:numId w:val="0"/>
              </w:numPr>
              <w:ind w:left="57"/>
              <w:rPr>
                <w:lang w:val="it-IT"/>
              </w:rPr>
            </w:pPr>
          </w:p>
        </w:tc>
        <w:tc>
          <w:tcPr>
            <w:tcW w:w="851" w:type="dxa"/>
            <w:tcMar>
              <w:left w:w="108" w:type="dxa"/>
              <w:right w:w="0" w:type="dxa"/>
            </w:tcMar>
          </w:tcPr>
          <w:p w:rsidR="00E84B58" w:rsidRPr="00AC2894" w:rsidRDefault="00E84B58" w:rsidP="004300E2">
            <w:pPr>
              <w:pStyle w:val="IAS"/>
              <w:rPr>
                <w:lang w:val="it-IT"/>
              </w:rPr>
            </w:pPr>
          </w:p>
        </w:tc>
        <w:tc>
          <w:tcPr>
            <w:tcW w:w="7079" w:type="dxa"/>
            <w:tcMar>
              <w:left w:w="108" w:type="dxa"/>
            </w:tcMar>
          </w:tcPr>
          <w:p w:rsidR="00E84B58" w:rsidRPr="008E53DF" w:rsidRDefault="00E84B58" w:rsidP="00633C3A">
            <w:pPr>
              <w:pStyle w:val="Paragrafoelenco"/>
              <w:numPr>
                <w:ilvl w:val="0"/>
                <w:numId w:val="240"/>
              </w:numPr>
              <w:overflowPunct/>
              <w:spacing w:line="214" w:lineRule="exact"/>
              <w:contextualSpacing w:val="0"/>
              <w:textAlignment w:val="auto"/>
              <w:rPr>
                <w:rFonts w:cs="EUAlbertina"/>
                <w:color w:val="19161B"/>
                <w:lang w:val="it-IT" w:eastAsia="it-IT"/>
              </w:rPr>
            </w:pPr>
            <w:r w:rsidRPr="00AB2C1C">
              <w:rPr>
                <w:rFonts w:cs="EUAlbertina"/>
                <w:color w:val="19161B"/>
                <w:lang w:val="it-IT" w:eastAsia="it-IT"/>
              </w:rPr>
              <w:t xml:space="preserve">la data dell’evento o del cambiamento delle circostanze che ha determinato il trasferimento; </w:t>
            </w:r>
          </w:p>
        </w:tc>
        <w:tc>
          <w:tcPr>
            <w:tcW w:w="575" w:type="dxa"/>
            <w:tcMar>
              <w:left w:w="85" w:type="dxa"/>
              <w:right w:w="85"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E53DF" w:rsidTr="00940A6F">
        <w:trPr>
          <w:cantSplit/>
          <w:trHeight w:val="57"/>
        </w:trPr>
        <w:tc>
          <w:tcPr>
            <w:tcW w:w="567" w:type="dxa"/>
            <w:tcMar>
              <w:left w:w="108" w:type="dxa"/>
            </w:tcMar>
          </w:tcPr>
          <w:p w:rsidR="00E84B58" w:rsidRDefault="00E84B58" w:rsidP="004300E2">
            <w:pPr>
              <w:pStyle w:val="Numeroelenco"/>
              <w:numPr>
                <w:ilvl w:val="0"/>
                <w:numId w:val="0"/>
              </w:numPr>
              <w:ind w:left="57"/>
              <w:rPr>
                <w:lang w:val="it-IT"/>
              </w:rPr>
            </w:pPr>
          </w:p>
        </w:tc>
        <w:tc>
          <w:tcPr>
            <w:tcW w:w="851" w:type="dxa"/>
            <w:tcMar>
              <w:left w:w="108" w:type="dxa"/>
              <w:right w:w="0" w:type="dxa"/>
            </w:tcMar>
          </w:tcPr>
          <w:p w:rsidR="00E84B58" w:rsidRPr="00AC2894" w:rsidRDefault="00E84B58" w:rsidP="004300E2">
            <w:pPr>
              <w:pStyle w:val="IAS"/>
              <w:rPr>
                <w:lang w:val="it-IT"/>
              </w:rPr>
            </w:pPr>
          </w:p>
        </w:tc>
        <w:tc>
          <w:tcPr>
            <w:tcW w:w="7079" w:type="dxa"/>
            <w:tcMar>
              <w:left w:w="108" w:type="dxa"/>
            </w:tcMar>
          </w:tcPr>
          <w:p w:rsidR="00E84B58" w:rsidRPr="008E53DF" w:rsidRDefault="00E84B58" w:rsidP="00633C3A">
            <w:pPr>
              <w:pStyle w:val="Paragrafoelenco"/>
              <w:numPr>
                <w:ilvl w:val="0"/>
                <w:numId w:val="240"/>
              </w:numPr>
              <w:overflowPunct/>
              <w:spacing w:line="214" w:lineRule="exact"/>
              <w:contextualSpacing w:val="0"/>
              <w:jc w:val="left"/>
              <w:textAlignment w:val="auto"/>
              <w:rPr>
                <w:rFonts w:cs="EUAlbertina"/>
                <w:color w:val="19161B"/>
                <w:lang w:val="it-IT" w:eastAsia="it-IT"/>
              </w:rPr>
            </w:pPr>
            <w:r w:rsidRPr="00AB2C1C">
              <w:rPr>
                <w:rFonts w:cs="EUAlbertina"/>
                <w:color w:val="19161B"/>
                <w:lang w:val="it-IT" w:eastAsia="it-IT"/>
              </w:rPr>
              <w:t xml:space="preserve">l’inizio dell’esercizio di riferimento; </w:t>
            </w:r>
          </w:p>
        </w:tc>
        <w:tc>
          <w:tcPr>
            <w:tcW w:w="575" w:type="dxa"/>
            <w:tcMar>
              <w:left w:w="85" w:type="dxa"/>
              <w:right w:w="85" w:type="dxa"/>
            </w:tcMar>
            <w:vAlign w:val="center"/>
          </w:tcPr>
          <w:p w:rsidR="00E84B58" w:rsidRDefault="00E84B58" w:rsidP="004300E2">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Default="00E84B58" w:rsidP="004300E2">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Default="00E84B58" w:rsidP="004300E2">
            <w:pPr>
              <w:jc w:val="cente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57"/>
        </w:trPr>
        <w:tc>
          <w:tcPr>
            <w:tcW w:w="567" w:type="dxa"/>
            <w:tcMar>
              <w:left w:w="108" w:type="dxa"/>
            </w:tcMar>
          </w:tcPr>
          <w:p w:rsidR="00E84B58" w:rsidRDefault="00E84B58" w:rsidP="004300E2">
            <w:pPr>
              <w:pStyle w:val="Numeroelenco"/>
              <w:numPr>
                <w:ilvl w:val="0"/>
                <w:numId w:val="0"/>
              </w:numPr>
              <w:ind w:left="57"/>
              <w:rPr>
                <w:lang w:val="it-IT"/>
              </w:rPr>
            </w:pPr>
          </w:p>
        </w:tc>
        <w:tc>
          <w:tcPr>
            <w:tcW w:w="851" w:type="dxa"/>
            <w:tcMar>
              <w:left w:w="108" w:type="dxa"/>
              <w:right w:w="0" w:type="dxa"/>
            </w:tcMar>
          </w:tcPr>
          <w:p w:rsidR="00E84B58" w:rsidRPr="00AC2894" w:rsidRDefault="00E84B58" w:rsidP="004300E2">
            <w:pPr>
              <w:pStyle w:val="IAS"/>
              <w:rPr>
                <w:lang w:val="it-IT"/>
              </w:rPr>
            </w:pPr>
          </w:p>
        </w:tc>
        <w:tc>
          <w:tcPr>
            <w:tcW w:w="7079" w:type="dxa"/>
            <w:tcMar>
              <w:left w:w="108" w:type="dxa"/>
            </w:tcMar>
          </w:tcPr>
          <w:p w:rsidR="00E84B58" w:rsidRPr="008E53DF" w:rsidRDefault="00E84B58" w:rsidP="00633C3A">
            <w:pPr>
              <w:pStyle w:val="Paragrafoelenco"/>
              <w:numPr>
                <w:ilvl w:val="0"/>
                <w:numId w:val="240"/>
              </w:numPr>
              <w:overflowPunct/>
              <w:spacing w:line="214" w:lineRule="exact"/>
              <w:contextualSpacing w:val="0"/>
              <w:textAlignment w:val="auto"/>
              <w:rPr>
                <w:rFonts w:cs="EUAlbertina"/>
                <w:color w:val="19161B"/>
                <w:lang w:val="it-IT" w:eastAsia="it-IT"/>
              </w:rPr>
            </w:pPr>
            <w:r w:rsidRPr="008E53DF">
              <w:rPr>
                <w:rFonts w:cs="EUAlbertina"/>
                <w:color w:val="19161B"/>
                <w:lang w:val="it-IT" w:eastAsia="it-IT"/>
              </w:rPr>
              <w:t>la fine dell’esercizio di riferimento.</w:t>
            </w:r>
          </w:p>
        </w:tc>
        <w:tc>
          <w:tcPr>
            <w:tcW w:w="575" w:type="dxa"/>
            <w:tcMar>
              <w:left w:w="85" w:type="dxa"/>
              <w:right w:w="85"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7A5E2D" w:rsidTr="00940A6F">
        <w:trPr>
          <w:cantSplit/>
          <w:trHeight w:val="57"/>
        </w:trPr>
        <w:tc>
          <w:tcPr>
            <w:tcW w:w="567" w:type="dxa"/>
            <w:tcMar>
              <w:left w:w="108" w:type="dxa"/>
            </w:tcMar>
          </w:tcPr>
          <w:p w:rsidR="004300E2" w:rsidRPr="008A0F36" w:rsidRDefault="004300E2" w:rsidP="00636CE2">
            <w:pPr>
              <w:pStyle w:val="IAS"/>
              <w:spacing w:after="40"/>
              <w:rPr>
                <w:lang w:val="it-IT"/>
              </w:rPr>
            </w:pPr>
          </w:p>
        </w:tc>
        <w:tc>
          <w:tcPr>
            <w:tcW w:w="851" w:type="dxa"/>
            <w:tcMar>
              <w:left w:w="108" w:type="dxa"/>
              <w:right w:w="0" w:type="dxa"/>
            </w:tcMar>
          </w:tcPr>
          <w:p w:rsidR="004300E2" w:rsidRDefault="004300E2" w:rsidP="004300E2">
            <w:pPr>
              <w:pStyle w:val="IAS"/>
              <w:spacing w:after="40"/>
              <w:rPr>
                <w:lang w:val="it-IT"/>
              </w:rPr>
            </w:pPr>
          </w:p>
        </w:tc>
        <w:tc>
          <w:tcPr>
            <w:tcW w:w="7079" w:type="dxa"/>
            <w:tcMar>
              <w:left w:w="108" w:type="dxa"/>
            </w:tcMar>
          </w:tcPr>
          <w:p w:rsidR="004300E2" w:rsidRPr="0074459E" w:rsidRDefault="004300E2" w:rsidP="004300E2">
            <w:pPr>
              <w:overflowPunct/>
              <w:spacing w:before="40" w:after="40" w:line="240" w:lineRule="auto"/>
              <w:textAlignment w:val="auto"/>
              <w:rPr>
                <w:rFonts w:cs="EUAlbertina"/>
                <w:b/>
                <w:color w:val="19161B"/>
                <w:lang w:val="it-IT" w:eastAsia="it-IT"/>
              </w:rPr>
            </w:pPr>
            <w:r w:rsidRPr="00AB2C1C">
              <w:rPr>
                <w:b/>
                <w:i/>
                <w:lang w:val="it-IT"/>
              </w:rPr>
              <w:t>Altre informazioni integrative</w:t>
            </w:r>
          </w:p>
        </w:tc>
        <w:tc>
          <w:tcPr>
            <w:tcW w:w="575" w:type="dxa"/>
            <w:tcMar>
              <w:left w:w="85" w:type="dxa"/>
              <w:right w:w="85" w:type="dxa"/>
            </w:tcMar>
            <w:vAlign w:val="center"/>
          </w:tcPr>
          <w:p w:rsidR="004300E2" w:rsidRPr="003E3E83" w:rsidRDefault="004300E2" w:rsidP="004300E2">
            <w:pPr>
              <w:spacing w:before="40" w:after="40"/>
              <w:jc w:val="center"/>
              <w:rPr>
                <w:lang w:val="it-IT"/>
              </w:rPr>
            </w:pPr>
          </w:p>
        </w:tc>
        <w:tc>
          <w:tcPr>
            <w:tcW w:w="567" w:type="dxa"/>
            <w:tcMar>
              <w:left w:w="108" w:type="dxa"/>
            </w:tcMar>
            <w:vAlign w:val="center"/>
          </w:tcPr>
          <w:p w:rsidR="004300E2" w:rsidRPr="003E3E83" w:rsidRDefault="004300E2" w:rsidP="004300E2">
            <w:pPr>
              <w:spacing w:before="40" w:after="40"/>
              <w:jc w:val="center"/>
              <w:rPr>
                <w:lang w:val="it-IT"/>
              </w:rPr>
            </w:pPr>
          </w:p>
        </w:tc>
        <w:tc>
          <w:tcPr>
            <w:tcW w:w="567" w:type="dxa"/>
            <w:tcMar>
              <w:left w:w="108" w:type="dxa"/>
            </w:tcMar>
            <w:vAlign w:val="center"/>
          </w:tcPr>
          <w:p w:rsidR="004300E2" w:rsidRPr="003E3E83" w:rsidRDefault="004300E2" w:rsidP="004300E2">
            <w:pPr>
              <w:spacing w:before="40" w:after="40"/>
              <w:jc w:val="center"/>
              <w:rPr>
                <w:lang w:val="it-IT"/>
              </w:rPr>
            </w:pPr>
          </w:p>
        </w:tc>
      </w:tr>
      <w:tr w:rsidR="00E84B58" w:rsidRPr="008129DA" w:rsidTr="00940A6F">
        <w:trPr>
          <w:cantSplit/>
          <w:trHeight w:val="57"/>
        </w:trPr>
        <w:tc>
          <w:tcPr>
            <w:tcW w:w="567" w:type="dxa"/>
            <w:tcMar>
              <w:left w:w="108" w:type="dxa"/>
            </w:tcMar>
          </w:tcPr>
          <w:p w:rsidR="00E84B58" w:rsidRDefault="00E84B58" w:rsidP="004300E2">
            <w:pPr>
              <w:pStyle w:val="Numeroelenco"/>
              <w:ind w:left="0" w:firstLine="57"/>
              <w:rPr>
                <w:lang w:val="it-IT"/>
              </w:rPr>
            </w:pPr>
          </w:p>
        </w:tc>
        <w:tc>
          <w:tcPr>
            <w:tcW w:w="851" w:type="dxa"/>
            <w:tcMar>
              <w:left w:w="108" w:type="dxa"/>
              <w:right w:w="0" w:type="dxa"/>
            </w:tcMar>
          </w:tcPr>
          <w:p w:rsidR="00E84B58" w:rsidRDefault="00E84B58" w:rsidP="004300E2">
            <w:pPr>
              <w:pStyle w:val="IAS"/>
              <w:rPr>
                <w:lang w:val="it-IT"/>
              </w:rPr>
            </w:pPr>
            <w:r>
              <w:rPr>
                <w:lang w:val="it-IT"/>
              </w:rPr>
              <w:t>IFRS 13.96</w:t>
            </w:r>
          </w:p>
        </w:tc>
        <w:tc>
          <w:tcPr>
            <w:tcW w:w="7079" w:type="dxa"/>
            <w:tcMar>
              <w:left w:w="108" w:type="dxa"/>
            </w:tcMar>
          </w:tcPr>
          <w:p w:rsidR="00E84B58" w:rsidRPr="005B14F4" w:rsidRDefault="00E84B58" w:rsidP="00633C3A">
            <w:pPr>
              <w:overflowPunct/>
              <w:textAlignment w:val="auto"/>
              <w:rPr>
                <w:rFonts w:cs="EUAlbertina"/>
                <w:color w:val="19161B"/>
                <w:lang w:val="it-IT" w:eastAsia="it-IT"/>
              </w:rPr>
            </w:pPr>
            <w:r w:rsidRPr="005B14F4">
              <w:rPr>
                <w:rFonts w:cs="EUAlbertina"/>
                <w:color w:val="19161B"/>
                <w:lang w:val="it-IT"/>
              </w:rPr>
              <w:t>Se un’entità decide come politica contabile di utilizzare l’eccezione di cui al paragrafo 48, deve indicare tale fatto.</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57"/>
        </w:trPr>
        <w:tc>
          <w:tcPr>
            <w:tcW w:w="567" w:type="dxa"/>
            <w:tcMar>
              <w:left w:w="108" w:type="dxa"/>
            </w:tcMar>
          </w:tcPr>
          <w:p w:rsidR="004300E2" w:rsidRPr="008A0F36" w:rsidRDefault="004300E2" w:rsidP="004300E2">
            <w:pPr>
              <w:pStyle w:val="IAS"/>
              <w:rPr>
                <w:lang w:val="it-IT"/>
              </w:rPr>
            </w:pPr>
          </w:p>
        </w:tc>
        <w:tc>
          <w:tcPr>
            <w:tcW w:w="851" w:type="dxa"/>
            <w:tcMar>
              <w:left w:w="108" w:type="dxa"/>
              <w:right w:w="0" w:type="dxa"/>
            </w:tcMar>
          </w:tcPr>
          <w:p w:rsidR="004300E2" w:rsidRDefault="004300E2" w:rsidP="004300E2">
            <w:pPr>
              <w:pStyle w:val="IAS"/>
              <w:rPr>
                <w:lang w:val="it-IT"/>
              </w:rPr>
            </w:pPr>
            <w:r>
              <w:rPr>
                <w:lang w:val="it-IT"/>
              </w:rPr>
              <w:t>IFRS 13.48</w:t>
            </w:r>
          </w:p>
        </w:tc>
        <w:tc>
          <w:tcPr>
            <w:tcW w:w="7079" w:type="dxa"/>
            <w:tcMar>
              <w:left w:w="108" w:type="dxa"/>
            </w:tcMar>
          </w:tcPr>
          <w:p w:rsidR="004300E2" w:rsidRDefault="004300E2" w:rsidP="00633C3A">
            <w:pPr>
              <w:pStyle w:val="Paragarfobordato"/>
              <w:rPr>
                <w:i/>
              </w:rPr>
            </w:pPr>
            <w:r>
              <w:t xml:space="preserve">L’eccezione del paragrafo 48 dell’IFRS 13, per la quale occorre anche verificare il rispetto delle condizioni previste nei paragrafi 49-56, consente all’entità di valutare il </w:t>
            </w:r>
            <w:r w:rsidRPr="00AC2894">
              <w:rPr>
                <w:i/>
              </w:rPr>
              <w:t xml:space="preserve">fair value </w:t>
            </w:r>
            <w:r w:rsidRPr="005B14F4">
              <w:t xml:space="preserve">non con riferimento ad ogni singola attività o passività finanziaria bensì </w:t>
            </w:r>
            <w:r>
              <w:t xml:space="preserve">con riferimento ad una </w:t>
            </w:r>
            <w:r w:rsidRPr="005B14F4">
              <w:t xml:space="preserve">posizione netta. </w:t>
            </w:r>
          </w:p>
          <w:p w:rsidR="004300E2" w:rsidRDefault="004300E2" w:rsidP="00633C3A">
            <w:pPr>
              <w:pStyle w:val="Paragarfobordato"/>
              <w:rPr>
                <w:lang w:eastAsia="it-IT"/>
              </w:rPr>
            </w:pPr>
            <w:r>
              <w:t>La suddetta eccezione è consentita nel caso in cui un’</w:t>
            </w:r>
            <w:r w:rsidRPr="00AC2894">
              <w:t xml:space="preserve">entità </w:t>
            </w:r>
            <w:r>
              <w:t xml:space="preserve">che </w:t>
            </w:r>
            <w:r w:rsidRPr="00AC2894">
              <w:t>possiede un gruppo di attività e passività finanziarie è esposta a rischi di mercato e al r</w:t>
            </w:r>
            <w:r>
              <w:t>ischio di credito (come definiti</w:t>
            </w:r>
            <w:r w:rsidRPr="00AC2894">
              <w:t xml:space="preserve"> nell’IFRS 7)</w:t>
            </w:r>
            <w:r>
              <w:t xml:space="preserve"> di ciascuna delle controparti e </w:t>
            </w:r>
            <w:r w:rsidRPr="00AC2894">
              <w:t>gestisce quel gruppo di attività e passività finanziarie sulla base della propria esposizione netta ai rischi di mercato o al rischio di credito.</w:t>
            </w:r>
          </w:p>
        </w:tc>
        <w:tc>
          <w:tcPr>
            <w:tcW w:w="575" w:type="dxa"/>
            <w:tcMar>
              <w:left w:w="85" w:type="dxa"/>
              <w:right w:w="85" w:type="dxa"/>
            </w:tcMar>
            <w:vAlign w:val="center"/>
          </w:tcPr>
          <w:p w:rsidR="004300E2" w:rsidRPr="003E3E83" w:rsidRDefault="004300E2" w:rsidP="004300E2">
            <w:pPr>
              <w:jc w:val="center"/>
              <w:rPr>
                <w:lang w:val="it-IT"/>
              </w:rPr>
            </w:pPr>
          </w:p>
        </w:tc>
        <w:tc>
          <w:tcPr>
            <w:tcW w:w="567" w:type="dxa"/>
            <w:tcMar>
              <w:left w:w="108" w:type="dxa"/>
            </w:tcMar>
            <w:vAlign w:val="center"/>
          </w:tcPr>
          <w:p w:rsidR="004300E2" w:rsidRPr="003E3E83" w:rsidRDefault="004300E2" w:rsidP="004300E2">
            <w:pPr>
              <w:jc w:val="center"/>
              <w:rPr>
                <w:lang w:val="it-IT"/>
              </w:rPr>
            </w:pPr>
          </w:p>
        </w:tc>
        <w:tc>
          <w:tcPr>
            <w:tcW w:w="567" w:type="dxa"/>
            <w:tcMar>
              <w:left w:w="108" w:type="dxa"/>
            </w:tcMar>
            <w:vAlign w:val="center"/>
          </w:tcPr>
          <w:p w:rsidR="004300E2" w:rsidRPr="003E3E83" w:rsidRDefault="004300E2" w:rsidP="004300E2">
            <w:pPr>
              <w:jc w:val="center"/>
              <w:rPr>
                <w:lang w:val="it-IT"/>
              </w:rPr>
            </w:pPr>
          </w:p>
        </w:tc>
      </w:tr>
      <w:tr w:rsidR="00E84B58" w:rsidRPr="008129DA" w:rsidTr="00940A6F">
        <w:trPr>
          <w:cantSplit/>
          <w:trHeight w:val="57"/>
        </w:trPr>
        <w:tc>
          <w:tcPr>
            <w:tcW w:w="567" w:type="dxa"/>
            <w:tcMar>
              <w:left w:w="108" w:type="dxa"/>
            </w:tcMar>
          </w:tcPr>
          <w:p w:rsidR="00E84B58" w:rsidRDefault="00E84B58" w:rsidP="004300E2">
            <w:pPr>
              <w:pStyle w:val="Numeroelenco"/>
              <w:ind w:left="0" w:firstLine="57"/>
              <w:rPr>
                <w:lang w:val="it-IT"/>
              </w:rPr>
            </w:pPr>
          </w:p>
        </w:tc>
        <w:tc>
          <w:tcPr>
            <w:tcW w:w="851" w:type="dxa"/>
            <w:tcMar>
              <w:left w:w="108" w:type="dxa"/>
              <w:right w:w="0" w:type="dxa"/>
            </w:tcMar>
          </w:tcPr>
          <w:p w:rsidR="00E84B58" w:rsidRDefault="00E84B58" w:rsidP="004300E2">
            <w:pPr>
              <w:pStyle w:val="IAS"/>
              <w:rPr>
                <w:lang w:val="it-IT"/>
              </w:rPr>
            </w:pPr>
            <w:r>
              <w:rPr>
                <w:lang w:val="it-IT"/>
              </w:rPr>
              <w:t>IFRS 13.98</w:t>
            </w:r>
          </w:p>
        </w:tc>
        <w:tc>
          <w:tcPr>
            <w:tcW w:w="7079" w:type="dxa"/>
            <w:tcMar>
              <w:left w:w="108" w:type="dxa"/>
            </w:tcMar>
          </w:tcPr>
          <w:p w:rsidR="00E84B58" w:rsidRPr="005B14F4" w:rsidRDefault="00E84B58" w:rsidP="00633C3A">
            <w:pPr>
              <w:overflowPunct/>
              <w:textAlignment w:val="auto"/>
              <w:rPr>
                <w:rFonts w:cs="EUAlbertina"/>
                <w:color w:val="19161B"/>
                <w:lang w:val="it-IT" w:eastAsia="it-IT"/>
              </w:rPr>
            </w:pPr>
            <w:r w:rsidRPr="005B14F4">
              <w:rPr>
                <w:rFonts w:cs="EUAlbertina"/>
                <w:color w:val="19161B"/>
                <w:lang w:val="it-IT" w:eastAsia="it-IT"/>
              </w:rPr>
              <w:t xml:space="preserve">Nel caso di una passività valutata al </w:t>
            </w:r>
            <w:r w:rsidRPr="005B14F4">
              <w:rPr>
                <w:rFonts w:cs="EUAlbertina"/>
                <w:i/>
                <w:iCs/>
                <w:color w:val="19161B"/>
                <w:lang w:val="it-IT" w:eastAsia="it-IT"/>
              </w:rPr>
              <w:t xml:space="preserve">fair value </w:t>
            </w:r>
            <w:r w:rsidRPr="005B14F4">
              <w:rPr>
                <w:rFonts w:cs="EUAlbertina"/>
                <w:color w:val="19161B"/>
                <w:lang w:val="it-IT" w:eastAsia="it-IT"/>
              </w:rPr>
              <w:t xml:space="preserve">ed emessa con uno strumento di terzi per la mitigazione del rischio di credito non separabile, l’emittente deve indicare l’esistenza di tale strumento di mitigazione del rischio di credito e se esso si riflette nella valutazione del </w:t>
            </w:r>
            <w:r w:rsidRPr="005B14F4">
              <w:rPr>
                <w:rFonts w:cs="EUAlbertina"/>
                <w:i/>
                <w:iCs/>
                <w:color w:val="19161B"/>
                <w:lang w:val="it-IT" w:eastAsia="it-IT"/>
              </w:rPr>
              <w:t xml:space="preserve">fair value </w:t>
            </w:r>
            <w:r w:rsidRPr="005B14F4">
              <w:rPr>
                <w:rFonts w:cs="EUAlbertina"/>
                <w:color w:val="19161B"/>
                <w:lang w:val="it-IT" w:eastAsia="it-IT"/>
              </w:rPr>
              <w:t>della passività.</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57"/>
        </w:trPr>
        <w:tc>
          <w:tcPr>
            <w:tcW w:w="567" w:type="dxa"/>
            <w:tcMar>
              <w:left w:w="108" w:type="dxa"/>
            </w:tcMar>
          </w:tcPr>
          <w:p w:rsidR="00E84B58" w:rsidRDefault="00E84B58" w:rsidP="004300E2">
            <w:pPr>
              <w:pStyle w:val="Numeroelenco"/>
              <w:ind w:left="0" w:firstLine="57"/>
              <w:rPr>
                <w:lang w:val="it-IT"/>
              </w:rPr>
            </w:pPr>
          </w:p>
        </w:tc>
        <w:tc>
          <w:tcPr>
            <w:tcW w:w="851" w:type="dxa"/>
            <w:tcMar>
              <w:left w:w="108" w:type="dxa"/>
              <w:right w:w="0" w:type="dxa"/>
            </w:tcMar>
          </w:tcPr>
          <w:p w:rsidR="00E84B58" w:rsidRDefault="00E84B58" w:rsidP="004300E2">
            <w:pPr>
              <w:pStyle w:val="IAS"/>
              <w:rPr>
                <w:lang w:val="it-IT"/>
              </w:rPr>
            </w:pPr>
            <w:r>
              <w:rPr>
                <w:lang w:val="it-IT"/>
              </w:rPr>
              <w:t>IFRS 13.99</w:t>
            </w:r>
          </w:p>
        </w:tc>
        <w:tc>
          <w:tcPr>
            <w:tcW w:w="7079" w:type="dxa"/>
            <w:tcMar>
              <w:left w:w="108" w:type="dxa"/>
            </w:tcMar>
          </w:tcPr>
          <w:p w:rsidR="00E84B58" w:rsidRPr="005B14F4" w:rsidRDefault="00E84B58" w:rsidP="00633C3A">
            <w:pPr>
              <w:overflowPunct/>
              <w:textAlignment w:val="auto"/>
              <w:rPr>
                <w:rFonts w:cs="EUAlbertina"/>
                <w:color w:val="19161B"/>
                <w:lang w:val="it-IT" w:eastAsia="it-IT"/>
              </w:rPr>
            </w:pPr>
            <w:r w:rsidRPr="005B14F4">
              <w:rPr>
                <w:rFonts w:cs="EUAlbertina"/>
                <w:color w:val="19161B"/>
                <w:lang w:val="it-IT" w:eastAsia="it-IT"/>
              </w:rPr>
              <w:t>Un’entità deve presentare le informazioni quantitative richieste dal presente IFRS in formato tabellare, a meno che non sia più idoneo un formato diverso.</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910FDD" w:rsidTr="00940A6F">
        <w:trPr>
          <w:cantSplit/>
          <w:trHeight w:val="57"/>
        </w:trPr>
        <w:tc>
          <w:tcPr>
            <w:tcW w:w="567" w:type="dxa"/>
            <w:tcMar>
              <w:left w:w="108" w:type="dxa"/>
            </w:tcMar>
            <w:vAlign w:val="center"/>
          </w:tcPr>
          <w:p w:rsidR="004300E2" w:rsidRPr="008A0F36" w:rsidRDefault="004300E2" w:rsidP="004300E2">
            <w:pPr>
              <w:pStyle w:val="IAS"/>
              <w:spacing w:after="40"/>
              <w:jc w:val="left"/>
              <w:rPr>
                <w:lang w:val="it-IT"/>
              </w:rPr>
            </w:pPr>
          </w:p>
        </w:tc>
        <w:tc>
          <w:tcPr>
            <w:tcW w:w="851" w:type="dxa"/>
            <w:tcMar>
              <w:left w:w="108" w:type="dxa"/>
              <w:right w:w="0" w:type="dxa"/>
            </w:tcMar>
            <w:vAlign w:val="center"/>
          </w:tcPr>
          <w:p w:rsidR="004300E2" w:rsidRPr="008A0F36" w:rsidRDefault="004300E2" w:rsidP="004300E2">
            <w:pPr>
              <w:pStyle w:val="IAS"/>
              <w:spacing w:after="40"/>
              <w:jc w:val="left"/>
              <w:rPr>
                <w:lang w:val="it-IT"/>
              </w:rPr>
            </w:pPr>
          </w:p>
        </w:tc>
        <w:tc>
          <w:tcPr>
            <w:tcW w:w="7079" w:type="dxa"/>
            <w:tcMar>
              <w:left w:w="108" w:type="dxa"/>
            </w:tcMar>
            <w:vAlign w:val="center"/>
          </w:tcPr>
          <w:p w:rsidR="004300E2" w:rsidRPr="008A0F36" w:rsidRDefault="004300E2" w:rsidP="004300E2">
            <w:pPr>
              <w:pStyle w:val="Titolo1"/>
              <w:spacing w:before="40" w:after="40"/>
            </w:pPr>
            <w:r w:rsidRPr="008A0F36">
              <w:t>STRUMENTI FINANZIARI</w:t>
            </w:r>
          </w:p>
        </w:tc>
        <w:tc>
          <w:tcPr>
            <w:tcW w:w="575" w:type="dxa"/>
            <w:tcMar>
              <w:left w:w="85" w:type="dxa"/>
              <w:right w:w="85" w:type="dxa"/>
            </w:tcMar>
            <w:vAlign w:val="center"/>
          </w:tcPr>
          <w:p w:rsidR="004300E2" w:rsidRPr="00910FDD" w:rsidRDefault="004300E2" w:rsidP="004300E2">
            <w:pPr>
              <w:spacing w:before="40" w:after="40"/>
              <w:jc w:val="left"/>
              <w:rPr>
                <w:lang w:val="it-IT"/>
              </w:rPr>
            </w:pPr>
          </w:p>
        </w:tc>
        <w:tc>
          <w:tcPr>
            <w:tcW w:w="567" w:type="dxa"/>
            <w:tcMar>
              <w:left w:w="108" w:type="dxa"/>
            </w:tcMar>
            <w:vAlign w:val="center"/>
          </w:tcPr>
          <w:p w:rsidR="004300E2" w:rsidRPr="00910FDD" w:rsidRDefault="004300E2" w:rsidP="004300E2">
            <w:pPr>
              <w:spacing w:before="40" w:after="40"/>
              <w:jc w:val="left"/>
              <w:rPr>
                <w:lang w:val="it-IT"/>
              </w:rPr>
            </w:pPr>
          </w:p>
        </w:tc>
        <w:tc>
          <w:tcPr>
            <w:tcW w:w="567" w:type="dxa"/>
            <w:tcMar>
              <w:left w:w="108" w:type="dxa"/>
            </w:tcMar>
            <w:vAlign w:val="center"/>
          </w:tcPr>
          <w:p w:rsidR="004300E2" w:rsidRPr="00910FDD" w:rsidRDefault="004300E2" w:rsidP="004300E2">
            <w:pPr>
              <w:spacing w:before="40" w:after="40"/>
              <w:jc w:val="left"/>
              <w:rPr>
                <w:lang w:val="it-IT"/>
              </w:rPr>
            </w:pPr>
          </w:p>
        </w:tc>
      </w:tr>
      <w:tr w:rsidR="004300E2" w:rsidRPr="00A44ECD" w:rsidTr="00940A6F">
        <w:trPr>
          <w:cantSplit/>
        </w:trPr>
        <w:tc>
          <w:tcPr>
            <w:tcW w:w="567" w:type="dxa"/>
            <w:tcMar>
              <w:left w:w="108" w:type="dxa"/>
            </w:tcMar>
          </w:tcPr>
          <w:p w:rsidR="004300E2" w:rsidRPr="008A0F36" w:rsidRDefault="004300E2" w:rsidP="004300E2">
            <w:pPr>
              <w:pStyle w:val="IAS"/>
              <w:spacing w:after="40"/>
              <w:rPr>
                <w:lang w:val="it-IT"/>
              </w:rPr>
            </w:pPr>
          </w:p>
        </w:tc>
        <w:tc>
          <w:tcPr>
            <w:tcW w:w="851" w:type="dxa"/>
            <w:tcMar>
              <w:left w:w="108" w:type="dxa"/>
              <w:right w:w="0" w:type="dxa"/>
            </w:tcMar>
          </w:tcPr>
          <w:p w:rsidR="004300E2" w:rsidRPr="008A0F36" w:rsidRDefault="004300E2" w:rsidP="004300E2">
            <w:pPr>
              <w:pStyle w:val="IAS"/>
              <w:spacing w:after="40"/>
              <w:rPr>
                <w:lang w:val="it-IT"/>
              </w:rPr>
            </w:pPr>
          </w:p>
        </w:tc>
        <w:tc>
          <w:tcPr>
            <w:tcW w:w="7079" w:type="dxa"/>
            <w:tcMar>
              <w:left w:w="108" w:type="dxa"/>
            </w:tcMar>
          </w:tcPr>
          <w:p w:rsidR="004300E2" w:rsidRPr="008A0F36" w:rsidRDefault="004300E2" w:rsidP="004300E2">
            <w:pPr>
              <w:pStyle w:val="Titolo2"/>
              <w:spacing w:before="40" w:after="40"/>
              <w:rPr>
                <w:lang w:val="it-IT"/>
              </w:rPr>
            </w:pPr>
            <w:r w:rsidRPr="008A0F36">
              <w:rPr>
                <w:lang w:val="it-IT"/>
              </w:rPr>
              <w:t>Classi di Strumenti Finanziari e Livello di Informativa</w:t>
            </w:r>
          </w:p>
        </w:tc>
        <w:tc>
          <w:tcPr>
            <w:tcW w:w="575" w:type="dxa"/>
            <w:tcMar>
              <w:left w:w="85" w:type="dxa"/>
              <w:right w:w="85" w:type="dxa"/>
            </w:tcMar>
            <w:vAlign w:val="center"/>
          </w:tcPr>
          <w:p w:rsidR="004300E2" w:rsidRPr="00090BE7" w:rsidRDefault="004300E2" w:rsidP="004300E2">
            <w:pPr>
              <w:spacing w:before="40" w:after="40"/>
              <w:jc w:val="center"/>
              <w:rPr>
                <w:lang w:val="it-IT"/>
              </w:rPr>
            </w:pPr>
          </w:p>
        </w:tc>
        <w:tc>
          <w:tcPr>
            <w:tcW w:w="567" w:type="dxa"/>
            <w:tcMar>
              <w:left w:w="108" w:type="dxa"/>
            </w:tcMar>
            <w:vAlign w:val="center"/>
          </w:tcPr>
          <w:p w:rsidR="004300E2" w:rsidRPr="00090BE7" w:rsidRDefault="004300E2" w:rsidP="004300E2">
            <w:pPr>
              <w:spacing w:before="40" w:after="40"/>
              <w:jc w:val="center"/>
              <w:rPr>
                <w:lang w:val="it-IT"/>
              </w:rPr>
            </w:pPr>
          </w:p>
        </w:tc>
        <w:tc>
          <w:tcPr>
            <w:tcW w:w="567" w:type="dxa"/>
            <w:tcMar>
              <w:left w:w="108" w:type="dxa"/>
            </w:tcMar>
            <w:vAlign w:val="center"/>
          </w:tcPr>
          <w:p w:rsidR="004300E2" w:rsidRPr="00090BE7" w:rsidRDefault="004300E2" w:rsidP="004300E2">
            <w:pPr>
              <w:spacing w:before="40" w:after="40"/>
              <w:jc w:val="center"/>
              <w:rPr>
                <w:lang w:val="it-IT"/>
              </w:rPr>
            </w:pP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IFRS 7.6</w:t>
            </w:r>
          </w:p>
        </w:tc>
        <w:tc>
          <w:tcPr>
            <w:tcW w:w="7079" w:type="dxa"/>
            <w:tcMar>
              <w:left w:w="108" w:type="dxa"/>
            </w:tcMar>
          </w:tcPr>
          <w:p w:rsidR="004300E2" w:rsidRPr="008A0F36" w:rsidRDefault="004300E2" w:rsidP="004300E2">
            <w:pPr>
              <w:rPr>
                <w:lang w:val="it-IT"/>
              </w:rPr>
            </w:pPr>
            <w:r w:rsidRPr="008A0F36">
              <w:rPr>
                <w:lang w:val="it-IT"/>
              </w:rPr>
              <w:t>Quando l’informativa è richiesta per classi di strumenti finanziari, l’entità:</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Default="00E84B58" w:rsidP="004300E2">
            <w:pPr>
              <w:pStyle w:val="Puntoelenco"/>
              <w:tabs>
                <w:tab w:val="clear" w:pos="780"/>
              </w:tabs>
              <w:ind w:left="390" w:hanging="357"/>
            </w:pPr>
            <w:r w:rsidRPr="008A0F36">
              <w:t>ha raggruppato gli strumenti finanziari in classi adeguate rispetto alla natura dell’informativa e prendendo in considerazione le caratteristiche di tali strumenti finanziari</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Default="00E84B58" w:rsidP="004300E2">
            <w:pPr>
              <w:pStyle w:val="Puntoelenco"/>
              <w:tabs>
                <w:tab w:val="clear" w:pos="780"/>
              </w:tabs>
              <w:ind w:left="390" w:hanging="357"/>
            </w:pPr>
            <w:r w:rsidRPr="008A0F36">
              <w:t xml:space="preserve">ha fornito sufficienti informazioni da permettere una riconciliazione con le relative voci presentate nel prospetto della situazione patrimoniale-finanziaria. </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IAS"/>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IFRS 7.B1 - B3</w:t>
            </w:r>
          </w:p>
        </w:tc>
        <w:tc>
          <w:tcPr>
            <w:tcW w:w="7079" w:type="dxa"/>
            <w:tcMar>
              <w:left w:w="108" w:type="dxa"/>
            </w:tcMar>
          </w:tcPr>
          <w:p w:rsidR="004300E2" w:rsidRPr="008A0F36" w:rsidRDefault="004300E2" w:rsidP="00633C3A">
            <w:pPr>
              <w:pStyle w:val="Paragarfobordato"/>
            </w:pPr>
            <w:r w:rsidRPr="008A0F36">
              <w:t>L’IFRS 7.6 richiede all’entità di raggruppare gli strumenti finanziari in classi che siano appropriati alla natura delle informazioni fornite e che prendono in considerazione le caratteristiche di tali strumenti finanziari. Tali classi sono determinati dall’entità e come tali, sono distinti dalle categorie degli strumenti finanziari indicati nello IAS 39.</w:t>
            </w:r>
          </w:p>
          <w:p w:rsidR="004300E2" w:rsidRPr="008A0F36" w:rsidRDefault="004300E2" w:rsidP="00633C3A">
            <w:pPr>
              <w:pStyle w:val="Paragarfobordato"/>
            </w:pPr>
            <w:r w:rsidRPr="008A0F36">
              <w:t>Nel determinare le classi di strumenti finanziari, un’entità dovrà, come minimo:</w:t>
            </w:r>
          </w:p>
          <w:p w:rsidR="004300E2" w:rsidRPr="008A0F36" w:rsidRDefault="004300E2" w:rsidP="00633C3A">
            <w:pPr>
              <w:pStyle w:val="Paragarfobordato"/>
            </w:pPr>
            <w:r w:rsidRPr="008A0F36">
              <w:t>a)</w:t>
            </w:r>
            <w:r w:rsidRPr="008A0F36">
              <w:tab/>
              <w:t xml:space="preserve">distinguere gli strumenti </w:t>
            </w:r>
            <w:r>
              <w:t xml:space="preserve">valutati </w:t>
            </w:r>
            <w:r w:rsidRPr="008A0F36">
              <w:t xml:space="preserve">al costo ammortizzato da quelli </w:t>
            </w:r>
            <w:r>
              <w:t xml:space="preserve">valutati </w:t>
            </w:r>
            <w:r w:rsidRPr="008A0F36">
              <w:t xml:space="preserve">al </w:t>
            </w:r>
            <w:r w:rsidRPr="008A0F36">
              <w:rPr>
                <w:i/>
              </w:rPr>
              <w:t>fair value</w:t>
            </w:r>
            <w:r w:rsidRPr="008A0F36">
              <w:t>; e</w:t>
            </w:r>
          </w:p>
          <w:p w:rsidR="004300E2" w:rsidRPr="008A0F36" w:rsidRDefault="004300E2" w:rsidP="00633C3A">
            <w:pPr>
              <w:pStyle w:val="Paragarfobordato"/>
            </w:pPr>
            <w:r w:rsidRPr="008A0F36">
              <w:t>b)</w:t>
            </w:r>
            <w:r w:rsidRPr="008A0F36">
              <w:tab/>
              <w:t>trattare come classe o classi separate quegli strumenti finanziari che sono fuori dallo scopo di questo IFRS.</w:t>
            </w:r>
          </w:p>
          <w:p w:rsidR="004300E2" w:rsidRPr="008A0F36" w:rsidRDefault="004300E2" w:rsidP="00633C3A">
            <w:pPr>
              <w:pStyle w:val="Paragarfobordato"/>
            </w:pPr>
            <w:r w:rsidRPr="008A0F36">
              <w:t>Una entità decide, alla luce dei fatti, quanto dettaglio fornire per soddisfare i requisiti e come aggregare le informazioni per dare una visione d’insieme senza aggregare informazioni con caratteristiche differenti. E’ necessario raggiungere un equilibrio tra l’esposizione di dettagli eccessivi che potrebbero non aiutare gli utilizzatori del bilancio e l’eliminazione di informazioni significative a causa di una eccessiva aggregazione. Per esempio, un’entità non deve far perdere di rilievo a dell’informativa inserendola fra tanti dettagli insignificanti. Analogamente, un’entità non presenterà informazioni che sono così aggregate da rendere non comprensibili importanti differenze tra transazioni individuali od i rischi a queste associati.</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4300E2" w:rsidRPr="00A44ECD" w:rsidTr="00940A6F">
        <w:trPr>
          <w:cantSplit/>
        </w:trPr>
        <w:tc>
          <w:tcPr>
            <w:tcW w:w="567" w:type="dxa"/>
            <w:tcMar>
              <w:left w:w="108" w:type="dxa"/>
            </w:tcMar>
          </w:tcPr>
          <w:p w:rsidR="004300E2" w:rsidRPr="008A0F36" w:rsidRDefault="004300E2" w:rsidP="004300E2">
            <w:pPr>
              <w:pStyle w:val="IAS"/>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Pr="008A0F36" w:rsidRDefault="004300E2" w:rsidP="004300E2">
            <w:pPr>
              <w:pStyle w:val="Titolo2"/>
              <w:jc w:val="both"/>
              <w:rPr>
                <w:lang w:val="it-IT"/>
              </w:rPr>
            </w:pPr>
            <w:r w:rsidRPr="008A0F36">
              <w:rPr>
                <w:lang w:val="it-IT"/>
              </w:rPr>
              <w:t>Importanza degli Strumenti Finanziari per la Posizione Finanziaria e il Risultato Economico</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E84B58" w:rsidRPr="008129DA" w:rsidTr="00940A6F">
        <w:trPr>
          <w:cantSplit/>
        </w:trPr>
        <w:tc>
          <w:tcPr>
            <w:tcW w:w="567" w:type="dxa"/>
            <w:tcMar>
              <w:left w:w="108" w:type="dxa"/>
            </w:tcMar>
          </w:tcPr>
          <w:p w:rsidR="00E84B58" w:rsidRPr="008A0F36" w:rsidRDefault="00E84B58" w:rsidP="004300E2">
            <w:pPr>
              <w:pStyle w:val="Numeroelenco"/>
              <w:ind w:left="0" w:firstLine="57"/>
              <w:rPr>
                <w:lang w:val="it-IT"/>
              </w:rPr>
            </w:pPr>
          </w:p>
        </w:tc>
        <w:tc>
          <w:tcPr>
            <w:tcW w:w="851" w:type="dxa"/>
            <w:tcMar>
              <w:left w:w="108" w:type="dxa"/>
              <w:right w:w="0" w:type="dxa"/>
            </w:tcMar>
          </w:tcPr>
          <w:p w:rsidR="00E84B58" w:rsidRPr="008A0F36" w:rsidRDefault="00E84B58" w:rsidP="004300E2">
            <w:pPr>
              <w:pStyle w:val="IAS"/>
              <w:rPr>
                <w:lang w:val="it-IT"/>
              </w:rPr>
            </w:pPr>
            <w:r w:rsidRPr="008A0F36">
              <w:rPr>
                <w:lang w:val="it-IT"/>
              </w:rPr>
              <w:t>IFRS 7.7</w:t>
            </w:r>
          </w:p>
        </w:tc>
        <w:tc>
          <w:tcPr>
            <w:tcW w:w="7079" w:type="dxa"/>
            <w:tcMar>
              <w:left w:w="108" w:type="dxa"/>
            </w:tcMar>
          </w:tcPr>
          <w:p w:rsidR="00E84B58" w:rsidRPr="008A0F36" w:rsidRDefault="00E84B58" w:rsidP="00636CE2">
            <w:pPr>
              <w:spacing w:line="210" w:lineRule="exact"/>
              <w:rPr>
                <w:lang w:val="it-IT"/>
              </w:rPr>
            </w:pPr>
            <w:r w:rsidRPr="008A0F36">
              <w:rPr>
                <w:lang w:val="it-IT"/>
              </w:rPr>
              <w:t>L’entità fornisce l’informativa che consente agli utilizzatori del bilancio di valutare l’importanza degli strumenti finanziari per la posizione finanziaria e per il risultato economico</w:t>
            </w:r>
            <w:r>
              <w:rPr>
                <w:lang w:val="it-IT"/>
              </w:rPr>
              <w:t>.</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IAS"/>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Pr="008A0F36" w:rsidRDefault="004300E2" w:rsidP="004300E2">
            <w:pPr>
              <w:pStyle w:val="Titolo2"/>
              <w:jc w:val="both"/>
              <w:rPr>
                <w:lang w:val="it-IT"/>
              </w:rPr>
            </w:pPr>
            <w:r w:rsidRPr="008A0F36">
              <w:rPr>
                <w:lang w:val="it-IT"/>
              </w:rPr>
              <w:t>Prospetto della situazione patrimoniale-finanziaria - Categorie di attività finanziarie e di passività finanziarie</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4300E2" w:rsidRPr="00A44ECD" w:rsidTr="00940A6F">
        <w:trPr>
          <w:cantSplit/>
          <w:trHeight w:val="552"/>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IFRS 7.8</w:t>
            </w:r>
          </w:p>
          <w:p w:rsidR="004300E2" w:rsidRPr="008A0F36" w:rsidRDefault="004300E2" w:rsidP="004300E2">
            <w:pPr>
              <w:pStyle w:val="IAS"/>
              <w:rPr>
                <w:lang w:val="it-IT"/>
              </w:rPr>
            </w:pPr>
            <w:r w:rsidRPr="008A0F36">
              <w:rPr>
                <w:lang w:val="it-IT"/>
              </w:rPr>
              <w:t>IAS 39.9</w:t>
            </w:r>
          </w:p>
        </w:tc>
        <w:tc>
          <w:tcPr>
            <w:tcW w:w="7079" w:type="dxa"/>
            <w:tcMar>
              <w:left w:w="108" w:type="dxa"/>
            </w:tcMar>
          </w:tcPr>
          <w:p w:rsidR="004300E2" w:rsidRPr="008A0F36" w:rsidRDefault="004300E2" w:rsidP="00636CE2">
            <w:pPr>
              <w:spacing w:line="210" w:lineRule="exact"/>
              <w:rPr>
                <w:lang w:val="it-IT"/>
              </w:rPr>
            </w:pPr>
            <w:r w:rsidRPr="008A0F36">
              <w:rPr>
                <w:lang w:val="it-IT"/>
              </w:rPr>
              <w:t xml:space="preserve">L’entità fornisce informativa nel prospetto della situazione patrimoniale-finanziaria o nelle note del valore contabile per ciascuna delle seguenti categorie, come definite dallo IAS 39: </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Default="00E84B58" w:rsidP="004300E2">
            <w:pPr>
              <w:pStyle w:val="Rientroa"/>
              <w:numPr>
                <w:ilvl w:val="0"/>
                <w:numId w:val="61"/>
              </w:numPr>
              <w:tabs>
                <w:tab w:val="center" w:pos="4536"/>
                <w:tab w:val="right" w:pos="9072"/>
              </w:tabs>
              <w:rPr>
                <w:iCs/>
              </w:rPr>
            </w:pPr>
            <w:r w:rsidRPr="008A0F36">
              <w:t xml:space="preserve">attività finanziarie al </w:t>
            </w:r>
            <w:r w:rsidRPr="008A0F36">
              <w:rPr>
                <w:i/>
              </w:rPr>
              <w:t>fair value</w:t>
            </w:r>
            <w:r w:rsidRPr="008A0F36">
              <w:t xml:space="preserve"> rilevato </w:t>
            </w:r>
            <w:r>
              <w:t>nell’utile/(perdita)</w:t>
            </w:r>
            <w:r w:rsidRPr="008A0F36">
              <w:t>, con evidenza separata:</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4300E2">
            <w:pPr>
              <w:pStyle w:val="Rientroisottoa"/>
            </w:pPr>
            <w:r w:rsidRPr="008A0F36">
              <w:t>i)</w:t>
            </w:r>
            <w:r w:rsidRPr="008A0F36">
              <w:tab/>
              <w:t>di quelle designate come tali sin dall’iniziale iscrizione e</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4300E2">
            <w:pPr>
              <w:pStyle w:val="Rientroisottoa"/>
            </w:pPr>
            <w:r w:rsidRPr="008A0F36">
              <w:t>ii)</w:t>
            </w:r>
            <w:r w:rsidRPr="008A0F36">
              <w:tab/>
              <w:t>di quelle classificate come detenute per la negoziazione secondo lo IAS 39</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4300E2">
            <w:pPr>
              <w:pStyle w:val="Rientroa"/>
            </w:pPr>
            <w:r w:rsidRPr="008A0F36">
              <w:t>attività finanziarie detenute fino a scadenza</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A0F36"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4300E2">
            <w:pPr>
              <w:pStyle w:val="Rientroa"/>
            </w:pPr>
            <w:r w:rsidRPr="008A0F36">
              <w:t>finanziamenti e crediti</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4300E2">
            <w:pPr>
              <w:pStyle w:val="Rientroa"/>
            </w:pPr>
            <w:r w:rsidRPr="008A0F36">
              <w:t>attività finanziarie disponibili per la vendita</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4300E2">
            <w:pPr>
              <w:pStyle w:val="Rientroa"/>
            </w:pPr>
            <w:r w:rsidRPr="008A0F36">
              <w:t xml:space="preserve">passività finanziarie al </w:t>
            </w:r>
            <w:r w:rsidRPr="008A0F36">
              <w:rPr>
                <w:i/>
              </w:rPr>
              <w:t>fair value</w:t>
            </w:r>
            <w:r w:rsidRPr="008A0F36">
              <w:t xml:space="preserve"> rilevato </w:t>
            </w:r>
            <w:r>
              <w:t>nell’utile/(perdita)</w:t>
            </w:r>
            <w:r w:rsidRPr="008A0F36">
              <w:t xml:space="preserve">, con separata evidenza: </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4300E2">
            <w:pPr>
              <w:pStyle w:val="Rientroa"/>
              <w:numPr>
                <w:ilvl w:val="0"/>
                <w:numId w:val="0"/>
              </w:numPr>
              <w:ind w:left="392"/>
            </w:pPr>
            <w:r w:rsidRPr="008A0F36">
              <w:t>i)</w:t>
            </w:r>
            <w:r w:rsidRPr="008A0F36">
              <w:tab/>
              <w:t>di quelle designate come tali sin dall’iniziale iscrizione e</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4300E2">
            <w:pPr>
              <w:pStyle w:val="Rientroa"/>
              <w:numPr>
                <w:ilvl w:val="0"/>
                <w:numId w:val="0"/>
              </w:numPr>
              <w:ind w:left="392"/>
            </w:pPr>
            <w:r w:rsidRPr="008A0F36">
              <w:t>ii)</w:t>
            </w:r>
            <w:r w:rsidRPr="008A0F36">
              <w:tab/>
              <w:t>di quelle classificate come detenute per la negoziazione secondo lo IAS 39</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4300E2">
            <w:pPr>
              <w:pStyle w:val="Rientroa"/>
            </w:pPr>
            <w:r w:rsidRPr="008A0F36">
              <w:t>passività finanziarie al costo ammortizzato</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636CE2">
            <w:pPr>
              <w:pStyle w:val="IAS"/>
              <w:rPr>
                <w:lang w:val="it-IT"/>
              </w:rPr>
            </w:pPr>
          </w:p>
        </w:tc>
        <w:tc>
          <w:tcPr>
            <w:tcW w:w="851" w:type="dxa"/>
            <w:tcMar>
              <w:left w:w="108" w:type="dxa"/>
              <w:right w:w="0" w:type="dxa"/>
            </w:tcMar>
          </w:tcPr>
          <w:p w:rsidR="004300E2" w:rsidRPr="008A0F36" w:rsidRDefault="004300E2" w:rsidP="004300E2">
            <w:pPr>
              <w:pStyle w:val="IAS"/>
              <w:pageBreakBefore/>
              <w:rPr>
                <w:lang w:val="it-IT"/>
              </w:rPr>
            </w:pPr>
          </w:p>
        </w:tc>
        <w:tc>
          <w:tcPr>
            <w:tcW w:w="7079" w:type="dxa"/>
            <w:tcMar>
              <w:left w:w="108" w:type="dxa"/>
            </w:tcMar>
          </w:tcPr>
          <w:p w:rsidR="004300E2" w:rsidRPr="008A0F36" w:rsidRDefault="004300E2" w:rsidP="004300E2">
            <w:pPr>
              <w:pStyle w:val="Titolo2"/>
              <w:pageBreakBefore/>
              <w:jc w:val="both"/>
              <w:rPr>
                <w:lang w:val="it-IT"/>
              </w:rPr>
            </w:pPr>
            <w:r w:rsidRPr="008A0F36">
              <w:rPr>
                <w:lang w:val="it-IT"/>
              </w:rPr>
              <w:t xml:space="preserve">Attività finanziarie o passività finanziarie al </w:t>
            </w:r>
            <w:r w:rsidRPr="008A0F36">
              <w:rPr>
                <w:i/>
                <w:lang w:val="it-IT"/>
              </w:rPr>
              <w:t>fair value</w:t>
            </w:r>
            <w:r w:rsidRPr="008A0F36">
              <w:rPr>
                <w:lang w:val="it-IT"/>
              </w:rPr>
              <w:t xml:space="preserve"> rilevato </w:t>
            </w:r>
            <w:r w:rsidRPr="00251283">
              <w:rPr>
                <w:lang w:val="it-IT"/>
              </w:rPr>
              <w:t>nell’utile/(perdita)</w:t>
            </w:r>
          </w:p>
        </w:tc>
        <w:tc>
          <w:tcPr>
            <w:tcW w:w="575" w:type="dxa"/>
            <w:tcMar>
              <w:left w:w="85" w:type="dxa"/>
              <w:right w:w="85" w:type="dxa"/>
            </w:tcMar>
            <w:vAlign w:val="center"/>
          </w:tcPr>
          <w:p w:rsidR="004300E2" w:rsidRPr="00090BE7" w:rsidRDefault="004300E2" w:rsidP="004300E2">
            <w:pPr>
              <w:pageBreakBefore/>
              <w:jc w:val="center"/>
              <w:rPr>
                <w:lang w:val="it-IT"/>
              </w:rPr>
            </w:pPr>
          </w:p>
        </w:tc>
        <w:tc>
          <w:tcPr>
            <w:tcW w:w="567" w:type="dxa"/>
            <w:tcMar>
              <w:left w:w="108" w:type="dxa"/>
            </w:tcMar>
            <w:vAlign w:val="center"/>
          </w:tcPr>
          <w:p w:rsidR="004300E2" w:rsidRPr="00090BE7" w:rsidRDefault="004300E2" w:rsidP="004300E2">
            <w:pPr>
              <w:pageBreakBefore/>
              <w:jc w:val="center"/>
              <w:rPr>
                <w:lang w:val="it-IT"/>
              </w:rPr>
            </w:pPr>
          </w:p>
        </w:tc>
        <w:tc>
          <w:tcPr>
            <w:tcW w:w="567" w:type="dxa"/>
            <w:tcMar>
              <w:left w:w="108" w:type="dxa"/>
            </w:tcMar>
            <w:vAlign w:val="center"/>
          </w:tcPr>
          <w:p w:rsidR="004300E2" w:rsidRPr="00090BE7" w:rsidRDefault="004300E2" w:rsidP="004300E2">
            <w:pPr>
              <w:pageBreakBefore/>
              <w:jc w:val="center"/>
              <w:rPr>
                <w:lang w:val="it-IT"/>
              </w:rPr>
            </w:pPr>
          </w:p>
        </w:tc>
      </w:tr>
      <w:tr w:rsidR="004300E2" w:rsidRPr="00A44ECD" w:rsidTr="00940A6F">
        <w:trPr>
          <w:cantSplit/>
          <w:trHeight w:val="20"/>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 xml:space="preserve">IFRS 7.9 </w:t>
            </w:r>
            <w:r w:rsidRPr="008A0F36">
              <w:rPr>
                <w:lang w:val="it-IT"/>
              </w:rPr>
              <w:br/>
              <w:t>IFRS 7.36(a)</w:t>
            </w:r>
          </w:p>
        </w:tc>
        <w:tc>
          <w:tcPr>
            <w:tcW w:w="7079" w:type="dxa"/>
            <w:tcMar>
              <w:left w:w="108" w:type="dxa"/>
            </w:tcMar>
          </w:tcPr>
          <w:p w:rsidR="004300E2" w:rsidRPr="008A0F36" w:rsidRDefault="004300E2" w:rsidP="00160AA0">
            <w:pPr>
              <w:rPr>
                <w:b/>
                <w:lang w:val="it-IT"/>
              </w:rPr>
            </w:pPr>
            <w:r w:rsidRPr="008A0F36">
              <w:rPr>
                <w:lang w:val="it-IT"/>
              </w:rPr>
              <w:t xml:space="preserve">Se l’entità ha designato un finanziamento attivo o un credito (o un gruppo di finanziamenti o di crediti) al </w:t>
            </w:r>
            <w:r w:rsidRPr="008A0F36">
              <w:rPr>
                <w:i/>
                <w:lang w:val="it-IT"/>
              </w:rPr>
              <w:t>fair value</w:t>
            </w:r>
            <w:r w:rsidRPr="008A0F36">
              <w:rPr>
                <w:lang w:val="it-IT"/>
              </w:rPr>
              <w:t xml:space="preserve"> rilevato </w:t>
            </w:r>
            <w:r w:rsidRPr="00251283">
              <w:rPr>
                <w:lang w:val="it-IT"/>
              </w:rPr>
              <w:t>nell’utile/(perdita)</w:t>
            </w:r>
            <w:r w:rsidRPr="008A0F36">
              <w:rPr>
                <w:lang w:val="it-IT"/>
              </w:rPr>
              <w:t>, sono fornite le seguenti informazioni:</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E84B58" w:rsidRPr="008129DA" w:rsidTr="00940A6F">
        <w:trPr>
          <w:cantSplit/>
          <w:trHeight w:val="20"/>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Default="00E84B58" w:rsidP="00160AA0">
            <w:pPr>
              <w:pStyle w:val="Rientroa"/>
              <w:numPr>
                <w:ilvl w:val="0"/>
                <w:numId w:val="62"/>
              </w:numPr>
              <w:tabs>
                <w:tab w:val="center" w:pos="4536"/>
                <w:tab w:val="right" w:pos="9072"/>
              </w:tabs>
              <w:ind w:left="391" w:hanging="357"/>
              <w:rPr>
                <w:iCs/>
              </w:rPr>
            </w:pPr>
            <w:r w:rsidRPr="008A0F36">
              <w:t>l’esposizione massima al rischio di credito di finanziamenti o di crediti (o di gruppi di finanziamenti o di crediti) alla data di chiusura dell’esercizio</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20"/>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160AA0">
            <w:pPr>
              <w:pStyle w:val="Rientroa"/>
            </w:pPr>
            <w:r w:rsidRPr="008A0F36">
              <w:t>l’importo attraverso il quale un qualsiasi derivato di credito o strumento similare mitiga quella esposizione massima al rischio di credito</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20"/>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p w:rsidR="00E84B58" w:rsidRPr="008A0F36" w:rsidRDefault="00E84B58" w:rsidP="004300E2">
            <w:pPr>
              <w:pStyle w:val="IAS"/>
              <w:rPr>
                <w:lang w:val="it-IT"/>
              </w:rPr>
            </w:pPr>
          </w:p>
          <w:p w:rsidR="00E84B58" w:rsidRPr="008A0F36" w:rsidRDefault="00E84B58" w:rsidP="004300E2">
            <w:pPr>
              <w:pStyle w:val="IAS"/>
              <w:rPr>
                <w:lang w:val="it-IT"/>
              </w:rPr>
            </w:pPr>
          </w:p>
        </w:tc>
        <w:tc>
          <w:tcPr>
            <w:tcW w:w="7079" w:type="dxa"/>
            <w:tcMar>
              <w:left w:w="108" w:type="dxa"/>
            </w:tcMar>
          </w:tcPr>
          <w:p w:rsidR="00E84B58" w:rsidRPr="008A0F36" w:rsidRDefault="00E84B58" w:rsidP="00160AA0">
            <w:pPr>
              <w:pStyle w:val="Rientroa"/>
            </w:pPr>
            <w:r w:rsidRPr="008A0F36">
              <w:t xml:space="preserve">l’importo del cambiamento, durante il periodo e cumulato, del </w:t>
            </w:r>
            <w:r w:rsidRPr="008A0F36">
              <w:rPr>
                <w:i/>
              </w:rPr>
              <w:t>fair value</w:t>
            </w:r>
            <w:r w:rsidRPr="008A0F36">
              <w:t xml:space="preserve"> dei finanziamenti o dei crediti (o gruppi di finanziamento o di crediti) che è attribuibile a cambiamenti nel rischio di credito delle attività finanziarie determinato:</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20"/>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160AA0">
            <w:pPr>
              <w:pStyle w:val="Rientroisottoa"/>
            </w:pPr>
            <w:r w:rsidRPr="008A0F36">
              <w:t>i)</w:t>
            </w:r>
            <w:r w:rsidRPr="008A0F36">
              <w:tab/>
              <w:t xml:space="preserve">come importo della variazione del suo </w:t>
            </w:r>
            <w:r w:rsidRPr="008A0F36">
              <w:rPr>
                <w:i/>
              </w:rPr>
              <w:t>fair value</w:t>
            </w:r>
            <w:r w:rsidRPr="008A0F36">
              <w:t xml:space="preserve"> che non è attribuibile a variazioni delle condizioni di mercato che danno origine a rischi di mercato; oppure</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20"/>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160AA0">
            <w:pPr>
              <w:pStyle w:val="Rientroisottoa"/>
              <w:ind w:hanging="306"/>
            </w:pPr>
            <w:r w:rsidRPr="008A0F36">
              <w:t>ii)</w:t>
            </w:r>
            <w:r w:rsidRPr="008A0F36">
              <w:tab/>
              <w:t xml:space="preserve">usando un metodo alternativo che l’entità ritiene rappresenti più fedelmente l’ammontare della variazione del suo </w:t>
            </w:r>
            <w:r w:rsidRPr="008A0F36">
              <w:rPr>
                <w:i/>
              </w:rPr>
              <w:t>fair value</w:t>
            </w:r>
            <w:r w:rsidRPr="008A0F36">
              <w:t xml:space="preserve"> che è attribuibile a variazioni nel rischio di credito delle attività.</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Mar>
              <w:left w:w="108" w:type="dxa"/>
            </w:tcMar>
          </w:tcPr>
          <w:p w:rsidR="004300E2" w:rsidRPr="008A0F36" w:rsidRDefault="004300E2" w:rsidP="004300E2">
            <w:pPr>
              <w:pStyle w:val="IAS"/>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IFRS 7.9</w:t>
            </w:r>
          </w:p>
          <w:p w:rsidR="004300E2" w:rsidRPr="008A0F36" w:rsidRDefault="004300E2" w:rsidP="004300E2">
            <w:pPr>
              <w:pStyle w:val="IAS"/>
              <w:rPr>
                <w:lang w:val="it-IT"/>
              </w:rPr>
            </w:pPr>
          </w:p>
        </w:tc>
        <w:tc>
          <w:tcPr>
            <w:tcW w:w="7079" w:type="dxa"/>
            <w:tcMar>
              <w:left w:w="108" w:type="dxa"/>
            </w:tcMar>
          </w:tcPr>
          <w:p w:rsidR="004300E2" w:rsidRPr="008A0F36" w:rsidRDefault="004300E2" w:rsidP="00633C3A">
            <w:pPr>
              <w:pStyle w:val="Paragarfobordato"/>
            </w:pPr>
            <w:r w:rsidRPr="008A0F36">
              <w:t>Cambiamenti nelle condizioni di mercato che originano rischi di mercato includono cambiamenti nel tasso di interesse (di riferimento) osservato, nei prezzi di una merce, nei tassi di cambio o negli indici di prezzi o tassi.</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E84B58" w:rsidRPr="008129DA" w:rsidTr="00940A6F">
        <w:trPr>
          <w:cantSplit/>
          <w:trHeight w:val="20"/>
        </w:trPr>
        <w:tc>
          <w:tcPr>
            <w:tcW w:w="567" w:type="dxa"/>
            <w:tcMar>
              <w:left w:w="108" w:type="dxa"/>
              <w:right w:w="0"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633C3A">
            <w:pPr>
              <w:pStyle w:val="Rientroa"/>
            </w:pPr>
            <w:r w:rsidRPr="008A0F36">
              <w:t xml:space="preserve">l’ammontare della variazione nel </w:t>
            </w:r>
            <w:r w:rsidRPr="008A0F36">
              <w:rPr>
                <w:i/>
              </w:rPr>
              <w:t>fair value</w:t>
            </w:r>
            <w:r w:rsidRPr="008A0F36">
              <w:t xml:space="preserve"> di ogni derivato di credito o strumento similare collegato al credito o al finanziamento verificatasi durante il periodo e cumulativamente sino dalla designazione del finanziamento o del credito.</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Mar>
              <w:left w:w="108" w:type="dxa"/>
              <w:right w:w="0"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IFRS 7.10</w:t>
            </w:r>
          </w:p>
          <w:p w:rsidR="004300E2" w:rsidRPr="008A0F36" w:rsidRDefault="004300E2" w:rsidP="004300E2">
            <w:pPr>
              <w:pStyle w:val="IAS"/>
              <w:rPr>
                <w:lang w:val="it-IT"/>
              </w:rPr>
            </w:pPr>
            <w:r w:rsidRPr="008A0F36">
              <w:rPr>
                <w:lang w:val="it-IT"/>
              </w:rPr>
              <w:t>IAS 39.9</w:t>
            </w:r>
          </w:p>
        </w:tc>
        <w:tc>
          <w:tcPr>
            <w:tcW w:w="7079" w:type="dxa"/>
            <w:tcMar>
              <w:left w:w="108" w:type="dxa"/>
            </w:tcMar>
          </w:tcPr>
          <w:p w:rsidR="004300E2" w:rsidRPr="008A0F36" w:rsidRDefault="004300E2" w:rsidP="00633C3A">
            <w:pPr>
              <w:rPr>
                <w:lang w:val="it-IT"/>
              </w:rPr>
            </w:pPr>
            <w:r w:rsidRPr="008A0F36">
              <w:rPr>
                <w:lang w:val="it-IT"/>
              </w:rPr>
              <w:t xml:space="preserve">Se l’entità ha designato una passività finanziaria al </w:t>
            </w:r>
            <w:r w:rsidRPr="008A0F36">
              <w:rPr>
                <w:i/>
                <w:lang w:val="it-IT"/>
              </w:rPr>
              <w:t>fair value</w:t>
            </w:r>
            <w:r w:rsidRPr="008A0F36">
              <w:rPr>
                <w:lang w:val="it-IT"/>
              </w:rPr>
              <w:t xml:space="preserve"> rilevato </w:t>
            </w:r>
            <w:r w:rsidRPr="00251283">
              <w:rPr>
                <w:lang w:val="it-IT"/>
              </w:rPr>
              <w:t>nell’utile/(perdita)</w:t>
            </w:r>
            <w:r>
              <w:rPr>
                <w:lang w:val="it-IT"/>
              </w:rPr>
              <w:t xml:space="preserve"> </w:t>
            </w:r>
            <w:r w:rsidRPr="008A0F36">
              <w:rPr>
                <w:lang w:val="it-IT"/>
              </w:rPr>
              <w:t>secondo lo IAS 39.9, ha dato la seguente informativa:</w:t>
            </w:r>
            <w:r w:rsidRPr="008A0F36" w:rsidDel="00FD1446">
              <w:rPr>
                <w:rFonts w:ascii="Times New Roman" w:hAnsi="Times New Roman"/>
                <w:lang w:val="it-IT"/>
              </w:rPr>
              <w:t xml:space="preserve"> </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E84B58" w:rsidRPr="008129DA" w:rsidTr="00940A6F">
        <w:trPr>
          <w:cantSplit/>
          <w:trHeight w:val="20"/>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Default="00E84B58" w:rsidP="00633C3A">
            <w:pPr>
              <w:pStyle w:val="Rientroa"/>
              <w:numPr>
                <w:ilvl w:val="0"/>
                <w:numId w:val="63"/>
              </w:numPr>
              <w:tabs>
                <w:tab w:val="center" w:pos="4536"/>
                <w:tab w:val="right" w:pos="9072"/>
              </w:tabs>
              <w:rPr>
                <w:iCs/>
              </w:rPr>
            </w:pPr>
            <w:r w:rsidRPr="008A0F36">
              <w:t xml:space="preserve">l’ammontare della variazione, durante il periodo e cumulata, del </w:t>
            </w:r>
            <w:r w:rsidRPr="008A0F36">
              <w:rPr>
                <w:i/>
              </w:rPr>
              <w:t>fair value</w:t>
            </w:r>
            <w:r w:rsidRPr="008A0F36">
              <w:t xml:space="preserve"> della passività finanziaria attribuibile alle variazioni del rischio di credito di quella passività, determinato:</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20"/>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r>
              <w:rPr>
                <w:lang w:val="it-IT"/>
              </w:rPr>
              <w:t>IFRS 7.B4</w:t>
            </w:r>
          </w:p>
        </w:tc>
        <w:tc>
          <w:tcPr>
            <w:tcW w:w="7079" w:type="dxa"/>
            <w:tcMar>
              <w:left w:w="108" w:type="dxa"/>
            </w:tcMar>
          </w:tcPr>
          <w:p w:rsidR="00E84B58" w:rsidRPr="008A0F36" w:rsidRDefault="00E84B58" w:rsidP="00633C3A">
            <w:pPr>
              <w:pStyle w:val="Rientroisottoa"/>
            </w:pPr>
            <w:r w:rsidRPr="008A0F36">
              <w:t>i)</w:t>
            </w:r>
            <w:r w:rsidRPr="008A0F36">
              <w:tab/>
              <w:t xml:space="preserve">come importo della variazione del suo </w:t>
            </w:r>
            <w:r w:rsidRPr="008A0F36">
              <w:rPr>
                <w:i/>
              </w:rPr>
              <w:t>fair value</w:t>
            </w:r>
            <w:r w:rsidRPr="008A0F36">
              <w:t xml:space="preserve"> che non è attribuibile a variazioni delle condizioni di mercato che danno origine a rischi di mercato; oppure</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20"/>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633C3A">
            <w:pPr>
              <w:pStyle w:val="Rientroisottoa"/>
            </w:pPr>
            <w:r w:rsidRPr="008A0F36">
              <w:t>ii)</w:t>
            </w:r>
            <w:r w:rsidRPr="008A0F36">
              <w:tab/>
              <w:t xml:space="preserve">usando un metodo alternativo che l’entità ritiene rappresenti più fedelmente l’ammontare della variazione del suo </w:t>
            </w:r>
            <w:r w:rsidRPr="008A0F36">
              <w:rPr>
                <w:i/>
              </w:rPr>
              <w:t>fair value</w:t>
            </w:r>
            <w:r w:rsidRPr="008A0F36">
              <w:t xml:space="preserve"> che è attribuibile a variazioni nel rischio di credito della passività.</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Mar>
              <w:left w:w="108" w:type="dxa"/>
            </w:tcMar>
          </w:tcPr>
          <w:p w:rsidR="004300E2" w:rsidRPr="008A0F36" w:rsidRDefault="004300E2" w:rsidP="004300E2">
            <w:pPr>
              <w:pStyle w:val="IAS"/>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IFRS 7.10</w:t>
            </w:r>
          </w:p>
          <w:p w:rsidR="004300E2" w:rsidRPr="008A0F36" w:rsidRDefault="004300E2" w:rsidP="004300E2">
            <w:pPr>
              <w:pStyle w:val="IAS"/>
              <w:rPr>
                <w:lang w:val="it-IT"/>
              </w:rPr>
            </w:pPr>
          </w:p>
        </w:tc>
        <w:tc>
          <w:tcPr>
            <w:tcW w:w="7079" w:type="dxa"/>
            <w:tcMar>
              <w:left w:w="108" w:type="dxa"/>
            </w:tcMar>
          </w:tcPr>
          <w:p w:rsidR="004300E2" w:rsidRPr="008A0F36" w:rsidRDefault="004300E2" w:rsidP="00633C3A">
            <w:pPr>
              <w:pStyle w:val="Paragarfobordato"/>
            </w:pPr>
            <w:r w:rsidRPr="008A0F36">
              <w:t>Cambiamenti nelle condizioni di mercato che originano rischi di mercato includono cambiamenti nei tassi di interesse, nel prezzo degli strumenti finanziari di un’altra entità, prezzi delle materie prime, nei tassi di cambio o indici di prezzi o tassi rilevati. Per i contratti che includono legami a determinati valori (</w:t>
            </w:r>
            <w:r w:rsidRPr="008A0F36">
              <w:rPr>
                <w:i/>
              </w:rPr>
              <w:t>unit-linking</w:t>
            </w:r>
            <w:r w:rsidRPr="008A0F36">
              <w:t>) variazioni nelle condizioni di mercato includono variazioni nella performance dei connessi fondi di investimento, interni o esterni</w:t>
            </w:r>
            <w:r>
              <w:t>.</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E84B58" w:rsidRPr="008129DA" w:rsidTr="00940A6F">
        <w:trPr>
          <w:cantSplit/>
          <w:trHeight w:val="20"/>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636CE2">
            <w:pPr>
              <w:pStyle w:val="Rientroa"/>
              <w:spacing w:line="210" w:lineRule="exact"/>
              <w:ind w:left="391" w:hanging="357"/>
            </w:pPr>
            <w:r w:rsidRPr="008A0F36">
              <w:t xml:space="preserve">la differenza tra il valore contabile della passività finanziaria e l’ammontare che l’entità è contrattualmente obbligata a pagare alla scadenza al possessore dell’obbligazione. </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IFRS 7.11</w:t>
            </w:r>
          </w:p>
        </w:tc>
        <w:tc>
          <w:tcPr>
            <w:tcW w:w="7079" w:type="dxa"/>
            <w:tcMar>
              <w:left w:w="108" w:type="dxa"/>
            </w:tcMar>
          </w:tcPr>
          <w:p w:rsidR="004300E2" w:rsidRPr="0015693D" w:rsidRDefault="004300E2" w:rsidP="004300E2">
            <w:pPr>
              <w:rPr>
                <w:lang w:val="it-IT"/>
              </w:rPr>
            </w:pPr>
            <w:r w:rsidRPr="0015693D">
              <w:rPr>
                <w:lang w:val="it-IT"/>
              </w:rPr>
              <w:t xml:space="preserve">L’entità fornisce la seguente informativa: </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E84B58" w:rsidRPr="008129DA" w:rsidTr="00940A6F">
        <w:trPr>
          <w:cantSplit/>
          <w:trHeight w:val="20"/>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C35E28" w:rsidRDefault="00E84B58" w:rsidP="00C13ABF">
            <w:pPr>
              <w:pStyle w:val="Rientroa"/>
              <w:numPr>
                <w:ilvl w:val="0"/>
                <w:numId w:val="64"/>
              </w:numPr>
              <w:tabs>
                <w:tab w:val="center" w:pos="4536"/>
                <w:tab w:val="right" w:pos="9072"/>
              </w:tabs>
              <w:spacing w:line="200" w:lineRule="exact"/>
              <w:ind w:left="391" w:hanging="357"/>
              <w:rPr>
                <w:iCs/>
              </w:rPr>
            </w:pPr>
            <w:r w:rsidRPr="00C35E28">
              <w:t>i metodi usati per soddisfare i requisiti richiesti dai punti 23</w:t>
            </w:r>
            <w:r>
              <w:t>3</w:t>
            </w:r>
            <w:r w:rsidRPr="00C35E28">
              <w:t>(c) e 23</w:t>
            </w:r>
            <w:r>
              <w:t>4</w:t>
            </w:r>
            <w:r w:rsidRPr="00C35E28">
              <w:t>(a) di questa lista di controllo</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20"/>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C35E28" w:rsidRDefault="00E84B58" w:rsidP="00C13ABF">
            <w:pPr>
              <w:pStyle w:val="Rientroa"/>
              <w:spacing w:line="210" w:lineRule="exact"/>
              <w:ind w:left="391" w:hanging="357"/>
            </w:pPr>
            <w:r w:rsidRPr="00C35E28">
              <w:t>se l’entità ritiene che l’informativa data per soddisfare i requisiti dei punti 23</w:t>
            </w:r>
            <w:r>
              <w:t>3</w:t>
            </w:r>
            <w:r w:rsidRPr="00C35E28">
              <w:t>(c) e 23</w:t>
            </w:r>
            <w:r>
              <w:t>4</w:t>
            </w:r>
            <w:r w:rsidRPr="00C35E28">
              <w:t xml:space="preserve">(a) di questa lista di controllo non rappresenti fedelmente la variazione nel </w:t>
            </w:r>
            <w:r w:rsidRPr="00C35E28">
              <w:rPr>
                <w:i/>
              </w:rPr>
              <w:t>fair value</w:t>
            </w:r>
            <w:r w:rsidRPr="00C35E28">
              <w:t xml:space="preserve"> di una passività finanziaria attribuibile a variazioni nel rischio di credito:</w:t>
            </w:r>
          </w:p>
        </w:tc>
        <w:tc>
          <w:tcPr>
            <w:tcW w:w="575" w:type="dxa"/>
            <w:tcMar>
              <w:left w:w="85" w:type="dxa"/>
              <w:right w:w="85" w:type="dxa"/>
            </w:tcMar>
            <w:vAlign w:val="center"/>
          </w:tcPr>
          <w:p w:rsidR="00E84B58" w:rsidRPr="00090BE7"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090BE7"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090BE7"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20"/>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C13ABF">
            <w:pPr>
              <w:pStyle w:val="Rientroa"/>
              <w:numPr>
                <w:ilvl w:val="0"/>
                <w:numId w:val="182"/>
              </w:numPr>
              <w:spacing w:line="210" w:lineRule="exact"/>
              <w:ind w:left="601" w:hanging="227"/>
              <w:rPr>
                <w:iCs/>
              </w:rPr>
            </w:pPr>
            <w:r w:rsidRPr="008A0F36">
              <w:t>le ragioni di tale conclusione, e</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20"/>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C13ABF">
            <w:pPr>
              <w:pStyle w:val="Rientroa"/>
              <w:numPr>
                <w:ilvl w:val="0"/>
                <w:numId w:val="182"/>
              </w:numPr>
              <w:spacing w:line="210" w:lineRule="exact"/>
              <w:ind w:left="601" w:hanging="227"/>
              <w:rPr>
                <w:iCs/>
              </w:rPr>
            </w:pPr>
            <w:r w:rsidRPr="008A0F36">
              <w:t>i fattori che l’entità ritiene rilevanti.</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A0F36" w:rsidTr="00940A6F">
        <w:trPr>
          <w:cantSplit/>
          <w:trHeight w:val="20"/>
        </w:trPr>
        <w:tc>
          <w:tcPr>
            <w:tcW w:w="567" w:type="dxa"/>
            <w:tcMar>
              <w:left w:w="108" w:type="dxa"/>
            </w:tcMar>
          </w:tcPr>
          <w:p w:rsidR="004300E2" w:rsidRPr="008A0F36" w:rsidRDefault="004300E2" w:rsidP="004300E2">
            <w:pPr>
              <w:pStyle w:val="IAS"/>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Pr="008A0F36" w:rsidRDefault="004300E2" w:rsidP="004300E2">
            <w:pPr>
              <w:pStyle w:val="Titolo2"/>
              <w:rPr>
                <w:lang w:val="it-IT"/>
              </w:rPr>
            </w:pPr>
            <w:r w:rsidRPr="008A0F36">
              <w:rPr>
                <w:lang w:val="it-IT"/>
              </w:rPr>
              <w:t>Riclassifiche</w:t>
            </w:r>
          </w:p>
        </w:tc>
        <w:tc>
          <w:tcPr>
            <w:tcW w:w="575" w:type="dxa"/>
            <w:tcMar>
              <w:left w:w="85" w:type="dxa"/>
              <w:right w:w="85" w:type="dxa"/>
            </w:tcMar>
            <w:vAlign w:val="center"/>
          </w:tcPr>
          <w:p w:rsidR="004300E2" w:rsidRDefault="004300E2" w:rsidP="004300E2">
            <w:pPr>
              <w:jc w:val="center"/>
            </w:pPr>
          </w:p>
        </w:tc>
        <w:tc>
          <w:tcPr>
            <w:tcW w:w="567" w:type="dxa"/>
            <w:tcMar>
              <w:left w:w="108" w:type="dxa"/>
            </w:tcMar>
            <w:vAlign w:val="center"/>
          </w:tcPr>
          <w:p w:rsidR="004300E2" w:rsidRDefault="004300E2" w:rsidP="004300E2">
            <w:pPr>
              <w:jc w:val="center"/>
            </w:pPr>
          </w:p>
        </w:tc>
        <w:tc>
          <w:tcPr>
            <w:tcW w:w="567" w:type="dxa"/>
            <w:tcMar>
              <w:left w:w="108" w:type="dxa"/>
            </w:tcMar>
            <w:vAlign w:val="center"/>
          </w:tcPr>
          <w:p w:rsidR="004300E2" w:rsidRDefault="004300E2" w:rsidP="004300E2">
            <w:pPr>
              <w:jc w:val="center"/>
            </w:pPr>
          </w:p>
        </w:tc>
      </w:tr>
      <w:tr w:rsidR="004300E2" w:rsidRPr="00A44ECD" w:rsidTr="00940A6F">
        <w:trPr>
          <w:cantSplit/>
          <w:trHeight w:val="20"/>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IFRS 7.12</w:t>
            </w:r>
            <w:r w:rsidRPr="008A0F36">
              <w:rPr>
                <w:lang w:val="it-IT"/>
              </w:rPr>
              <w:br/>
              <w:t>IAS 39.51-54</w:t>
            </w:r>
          </w:p>
        </w:tc>
        <w:tc>
          <w:tcPr>
            <w:tcW w:w="7079" w:type="dxa"/>
            <w:tcMar>
              <w:left w:w="108" w:type="dxa"/>
            </w:tcMar>
          </w:tcPr>
          <w:p w:rsidR="004300E2" w:rsidRPr="008A0F36" w:rsidRDefault="004300E2" w:rsidP="00636CE2">
            <w:pPr>
              <w:spacing w:line="210" w:lineRule="exact"/>
              <w:rPr>
                <w:lang w:val="it-IT"/>
              </w:rPr>
            </w:pPr>
            <w:r w:rsidRPr="008A0F36">
              <w:rPr>
                <w:lang w:val="it-IT"/>
              </w:rPr>
              <w:t xml:space="preserve">Se l’entità ha riclassificato un’attività finanziaria </w:t>
            </w:r>
            <w:r>
              <w:rPr>
                <w:lang w:val="it-IT"/>
              </w:rPr>
              <w:t>valutata</w:t>
            </w:r>
            <w:r w:rsidRPr="008A0F36">
              <w:rPr>
                <w:lang w:val="it-IT"/>
              </w:rPr>
              <w:t xml:space="preserve">: </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E84B58" w:rsidRPr="008129DA" w:rsidTr="00940A6F">
        <w:trPr>
          <w:cantSplit/>
          <w:trHeight w:val="20"/>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Default="00E84B58" w:rsidP="004300E2">
            <w:pPr>
              <w:pStyle w:val="Rientroa"/>
              <w:numPr>
                <w:ilvl w:val="0"/>
                <w:numId w:val="65"/>
              </w:numPr>
              <w:tabs>
                <w:tab w:val="center" w:pos="4536"/>
                <w:tab w:val="right" w:pos="9072"/>
              </w:tabs>
              <w:rPr>
                <w:iCs/>
              </w:rPr>
            </w:pPr>
            <w:r w:rsidRPr="008A0F36">
              <w:t xml:space="preserve">al costo o al costo ammortizzato, piuttosto che al </w:t>
            </w:r>
            <w:r w:rsidRPr="008A0F36">
              <w:rPr>
                <w:i/>
              </w:rPr>
              <w:t>fair value</w:t>
            </w:r>
            <w:r w:rsidRPr="008A0F36">
              <w:t xml:space="preserve">; o </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20"/>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4300E2">
            <w:pPr>
              <w:pStyle w:val="Rientroa"/>
            </w:pPr>
            <w:r w:rsidRPr="008A0F36">
              <w:t xml:space="preserve">al </w:t>
            </w:r>
            <w:r w:rsidRPr="008A0F36">
              <w:rPr>
                <w:i/>
              </w:rPr>
              <w:t>fair value</w:t>
            </w:r>
            <w:r w:rsidRPr="008A0F36">
              <w:t>, piuttosto che al costo o al costo ammortizzato</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20"/>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636CE2">
            <w:pPr>
              <w:spacing w:line="210" w:lineRule="exact"/>
              <w:rPr>
                <w:lang w:val="it-IT"/>
              </w:rPr>
            </w:pPr>
            <w:r w:rsidRPr="008A0F36">
              <w:rPr>
                <w:lang w:val="it-IT"/>
              </w:rPr>
              <w:t>l’entità ha dato l’informativa dell’ammontare riclassificato in e da ogni categoria e le ragioni della riclassifica</w:t>
            </w:r>
            <w:r>
              <w:rPr>
                <w:lang w:val="it-IT"/>
              </w:rPr>
              <w:t>.</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0C2263" w:rsidRDefault="004300E2" w:rsidP="004300E2">
            <w:pPr>
              <w:pStyle w:val="IAS"/>
            </w:pPr>
            <w:r w:rsidRPr="000C2263">
              <w:t>IFRS 7.12A</w:t>
            </w:r>
          </w:p>
          <w:p w:rsidR="004300E2" w:rsidRPr="000C2263" w:rsidRDefault="004300E2" w:rsidP="004300E2">
            <w:pPr>
              <w:pStyle w:val="IAS"/>
            </w:pPr>
            <w:r w:rsidRPr="000C2263">
              <w:t>IAS 39.50B IAS 39.50D IAS 39.50E</w:t>
            </w:r>
          </w:p>
        </w:tc>
        <w:tc>
          <w:tcPr>
            <w:tcW w:w="7079" w:type="dxa"/>
            <w:tcMar>
              <w:left w:w="108" w:type="dxa"/>
            </w:tcMar>
          </w:tcPr>
          <w:p w:rsidR="004300E2" w:rsidRPr="008A0F36" w:rsidRDefault="004300E2" w:rsidP="005950D5">
            <w:pPr>
              <w:rPr>
                <w:lang w:val="it-IT"/>
              </w:rPr>
            </w:pPr>
            <w:r w:rsidRPr="008A0F36">
              <w:rPr>
                <w:lang w:val="it-IT"/>
              </w:rPr>
              <w:t xml:space="preserve">Se l’entità riclassifica </w:t>
            </w:r>
            <w:r w:rsidR="00E022E0">
              <w:rPr>
                <w:lang w:val="it-IT"/>
              </w:rPr>
              <w:t>un’a</w:t>
            </w:r>
            <w:r w:rsidRPr="008A0F36">
              <w:rPr>
                <w:lang w:val="it-IT"/>
              </w:rPr>
              <w:t xml:space="preserve">ttività finanziaria fuori dalla categoria al </w:t>
            </w:r>
            <w:r w:rsidRPr="008A0F36">
              <w:rPr>
                <w:i/>
                <w:lang w:val="it-IT"/>
              </w:rPr>
              <w:t>fair value</w:t>
            </w:r>
            <w:r w:rsidRPr="008A0F36">
              <w:rPr>
                <w:lang w:val="it-IT"/>
              </w:rPr>
              <w:t xml:space="preserve"> rilevato </w:t>
            </w:r>
            <w:r w:rsidRPr="00251283">
              <w:rPr>
                <w:lang w:val="it-IT"/>
              </w:rPr>
              <w:t>nell’utile/(perdita)</w:t>
            </w:r>
            <w:r w:rsidRPr="008A0F36">
              <w:rPr>
                <w:lang w:val="it-IT"/>
              </w:rPr>
              <w:t>, in base allo IAS 39.50B o IAS 39.50D oppure fuori dalla categoria “disponibile per la vendita” in accordo con lo IAS 39.50E, deve indicare:</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E84B58" w:rsidRPr="008129DA" w:rsidTr="00940A6F">
        <w:trPr>
          <w:cantSplit/>
          <w:trHeight w:val="20"/>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Default="00E84B58" w:rsidP="005950D5">
            <w:pPr>
              <w:pStyle w:val="Rientroa"/>
              <w:numPr>
                <w:ilvl w:val="0"/>
                <w:numId w:val="66"/>
              </w:numPr>
              <w:tabs>
                <w:tab w:val="center" w:pos="4536"/>
                <w:tab w:val="right" w:pos="9072"/>
              </w:tabs>
              <w:rPr>
                <w:iCs/>
              </w:rPr>
            </w:pPr>
            <w:r w:rsidRPr="008A0F36">
              <w:t>l’importo riclassificato da ed in ciascuna categoria</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20"/>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5950D5">
            <w:pPr>
              <w:pStyle w:val="Rientroa"/>
              <w:ind w:left="389"/>
            </w:pPr>
            <w:r w:rsidRPr="008A0F36">
              <w:t xml:space="preserve">per ogni esercizio fino all’eliminazione contabile, i valori contabili ed i </w:t>
            </w:r>
            <w:r w:rsidRPr="008A0F36">
              <w:rPr>
                <w:i/>
              </w:rPr>
              <w:t>fair value</w:t>
            </w:r>
            <w:r w:rsidRPr="008A0F36">
              <w:t xml:space="preserve"> di tutte le attività finanziarie che sono stati riclassificati nell’esercizio corrente e negli esercizi precedenti</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20"/>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5950D5">
            <w:pPr>
              <w:pStyle w:val="Rientroa"/>
              <w:ind w:left="391" w:hanging="357"/>
            </w:pPr>
            <w:r w:rsidRPr="008A0F36">
              <w:t xml:space="preserve">se una attività finanziaria è riclassificata dalla categoria al </w:t>
            </w:r>
            <w:r w:rsidRPr="008A0F36">
              <w:rPr>
                <w:i/>
              </w:rPr>
              <w:t>fair value</w:t>
            </w:r>
            <w:r w:rsidRPr="008A0F36">
              <w:t xml:space="preserve"> rilevato </w:t>
            </w:r>
            <w:r>
              <w:t xml:space="preserve">nell’utile/(perdita) </w:t>
            </w:r>
            <w:r w:rsidRPr="008A0F36">
              <w:t>per effetto di rare circostanze (IAS 39.50B), deve essere data informativa sulla rara situazione ed i fatti e le circostanze indicanti che la situazione era rara</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20"/>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5950D5">
            <w:pPr>
              <w:pStyle w:val="Rientroa"/>
            </w:pPr>
            <w:r w:rsidRPr="008A0F36">
              <w:t xml:space="preserve">per l’esercizio in cui l’attività finanziaria viene riclassificata, l’utile o la perdita in termini di </w:t>
            </w:r>
            <w:r w:rsidRPr="008A0F36">
              <w:rPr>
                <w:i/>
              </w:rPr>
              <w:t>fair value</w:t>
            </w:r>
            <w:r w:rsidRPr="008A0F36">
              <w:t xml:space="preserve"> sullo strumento finanziario rilevato </w:t>
            </w:r>
            <w:r>
              <w:t>nell’utile/(perdita)</w:t>
            </w:r>
            <w:r w:rsidRPr="008A0F36">
              <w:t xml:space="preserve"> o tra le altre componenti </w:t>
            </w:r>
            <w:r>
              <w:t>di</w:t>
            </w:r>
            <w:r w:rsidRPr="008A0F36">
              <w:t xml:space="preserve"> conto economico complessivo nell’esercizio corrente e nell’esercizio precedente</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20"/>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C13ABF">
            <w:pPr>
              <w:pStyle w:val="Rientroa"/>
              <w:spacing w:line="200" w:lineRule="exact"/>
              <w:ind w:left="391" w:hanging="357"/>
            </w:pPr>
            <w:r w:rsidRPr="008A0F36">
              <w:t xml:space="preserve">per ogni esercizio successivo alla riclassificazione (incluso l’esercizio in cui l’attività finanziaria è stata riclassificata) fino all’eliminazione contabile dell’attività finanziaria, l’utile o la perdita in termini di </w:t>
            </w:r>
            <w:r w:rsidRPr="008A0F36">
              <w:rPr>
                <w:i/>
              </w:rPr>
              <w:t>fair value</w:t>
            </w:r>
            <w:r w:rsidRPr="008A0F36">
              <w:t xml:space="preserve"> che sarebbero stati rilevati </w:t>
            </w:r>
            <w:r>
              <w:t>nell’utile/(perdita)</w:t>
            </w:r>
            <w:r w:rsidRPr="008A0F36">
              <w:t xml:space="preserve"> o nelle altre componenti </w:t>
            </w:r>
            <w:r>
              <w:t>di</w:t>
            </w:r>
            <w:r w:rsidRPr="008A0F36">
              <w:t xml:space="preserve"> conto economico complessivo se l’attività finanziaria non fosse stata riclassificata, e gli utili, le perdite, i proventi e gli oneri non fossero rilevati </w:t>
            </w:r>
            <w:r>
              <w:t>nell’utile/(perdita)</w:t>
            </w:r>
            <w:r w:rsidRPr="008A0F36">
              <w:t>; e</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20"/>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C13ABF">
            <w:pPr>
              <w:pStyle w:val="Rientroa"/>
              <w:spacing w:line="210" w:lineRule="exact"/>
              <w:ind w:left="391" w:hanging="357"/>
            </w:pPr>
            <w:r w:rsidRPr="008A0F36">
              <w:t>il tasso di interesse effettivo e gli importi stimati dei flussi di cassa che l’entità si attende di recuperare alla data di riclassificazione dell’attività finanziaria.</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Mar>
              <w:left w:w="108" w:type="dxa"/>
            </w:tcMar>
          </w:tcPr>
          <w:p w:rsidR="004300E2" w:rsidRPr="008A0F36" w:rsidRDefault="004300E2" w:rsidP="004300E2">
            <w:pPr>
              <w:pStyle w:val="IAS"/>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39.50B</w:t>
            </w:r>
          </w:p>
        </w:tc>
        <w:tc>
          <w:tcPr>
            <w:tcW w:w="7079" w:type="dxa"/>
            <w:tcMar>
              <w:left w:w="108" w:type="dxa"/>
            </w:tcMar>
          </w:tcPr>
          <w:p w:rsidR="004300E2" w:rsidRPr="008A0F36" w:rsidRDefault="00E022E0" w:rsidP="00633C3A">
            <w:pPr>
              <w:pStyle w:val="Paragarfobordato"/>
            </w:pPr>
            <w:r>
              <w:t>Un’a</w:t>
            </w:r>
            <w:r w:rsidR="004300E2" w:rsidRPr="008A0F36">
              <w:t xml:space="preserve">ttività finanziaria a cui si applica lo IAS 39.50(c) (eccetto che per </w:t>
            </w:r>
            <w:r>
              <w:t>un’a</w:t>
            </w:r>
            <w:r w:rsidR="004300E2" w:rsidRPr="008A0F36">
              <w:t xml:space="preserve">ttività finanziaria del tipo descritto nello IAS 39.50D) può essere riclassificata dalla categoria al </w:t>
            </w:r>
            <w:r w:rsidR="004300E2" w:rsidRPr="008A0F36">
              <w:rPr>
                <w:i/>
              </w:rPr>
              <w:t>fair value</w:t>
            </w:r>
            <w:r w:rsidR="004300E2" w:rsidRPr="008A0F36">
              <w:t xml:space="preserve"> </w:t>
            </w:r>
            <w:r w:rsidR="004300E2">
              <w:t xml:space="preserve">rilevato </w:t>
            </w:r>
            <w:r w:rsidR="004300E2" w:rsidRPr="00251283">
              <w:t>nell’utile/(perdita)</w:t>
            </w:r>
            <w:r w:rsidR="004300E2" w:rsidRPr="008A0F36">
              <w:t xml:space="preserve"> solo in rare circostanze. </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4300E2" w:rsidRPr="00A44ECD" w:rsidTr="00940A6F">
        <w:trPr>
          <w:cantSplit/>
          <w:trHeight w:val="20"/>
        </w:trPr>
        <w:tc>
          <w:tcPr>
            <w:tcW w:w="567" w:type="dxa"/>
            <w:tcMar>
              <w:left w:w="108" w:type="dxa"/>
            </w:tcMar>
          </w:tcPr>
          <w:p w:rsidR="004300E2" w:rsidRPr="008A0F36" w:rsidRDefault="004300E2" w:rsidP="004300E2">
            <w:pPr>
              <w:pStyle w:val="IAS"/>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39.50D</w:t>
            </w:r>
          </w:p>
        </w:tc>
        <w:tc>
          <w:tcPr>
            <w:tcW w:w="7079" w:type="dxa"/>
            <w:tcMar>
              <w:left w:w="108" w:type="dxa"/>
            </w:tcMar>
          </w:tcPr>
          <w:p w:rsidR="004300E2" w:rsidRPr="008A0F36" w:rsidRDefault="00E022E0" w:rsidP="00633C3A">
            <w:pPr>
              <w:pStyle w:val="Paragarfobordato"/>
            </w:pPr>
            <w:r>
              <w:t>Un’a</w:t>
            </w:r>
            <w:r w:rsidR="004300E2" w:rsidRPr="008A0F36">
              <w:t xml:space="preserve">ttività finanziaria a cui si applica lo IAS 39.50(c) che avrebbe soddisfatto la definizione di finanziamento e credito (se l’attività finanziaria non fosse stata classificata come detenuta per la negoziazione al momento della rilevazione iniziale) può essere riclassificata dalla categoria al </w:t>
            </w:r>
            <w:r w:rsidR="004300E2" w:rsidRPr="008A0F36">
              <w:rPr>
                <w:i/>
              </w:rPr>
              <w:t>fair value</w:t>
            </w:r>
            <w:r w:rsidR="004300E2" w:rsidRPr="008A0F36">
              <w:t xml:space="preserve"> </w:t>
            </w:r>
            <w:r w:rsidR="004300E2">
              <w:t xml:space="preserve">economico rilevato </w:t>
            </w:r>
            <w:r w:rsidR="004300E2" w:rsidRPr="00251283">
              <w:t>nell’utile/(perdita)</w:t>
            </w:r>
            <w:r w:rsidR="004300E2" w:rsidRPr="008A0F36">
              <w:t xml:space="preserve"> se l’entità ha la capacità di detenere l’attività finanziaria nel prossimo futuro o sino a scadenza.</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4300E2" w:rsidRPr="00A44ECD" w:rsidTr="00940A6F">
        <w:trPr>
          <w:cantSplit/>
          <w:trHeight w:val="20"/>
        </w:trPr>
        <w:tc>
          <w:tcPr>
            <w:tcW w:w="567" w:type="dxa"/>
            <w:tcMar>
              <w:left w:w="108" w:type="dxa"/>
            </w:tcMar>
          </w:tcPr>
          <w:p w:rsidR="004300E2" w:rsidRPr="008A0F36" w:rsidRDefault="004300E2" w:rsidP="004300E2">
            <w:pPr>
              <w:pStyle w:val="IAS"/>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39.50E</w:t>
            </w:r>
          </w:p>
        </w:tc>
        <w:tc>
          <w:tcPr>
            <w:tcW w:w="7079" w:type="dxa"/>
            <w:tcMar>
              <w:left w:w="108" w:type="dxa"/>
            </w:tcMar>
          </w:tcPr>
          <w:p w:rsidR="004300E2" w:rsidRPr="008A0F36" w:rsidRDefault="004300E2" w:rsidP="00633C3A">
            <w:pPr>
              <w:pStyle w:val="Paragarfobordato"/>
            </w:pPr>
            <w:r w:rsidRPr="008A0F36">
              <w:t>Una attività finanziaria classificata come disponibile per la vendita che avrebbe soddisfatto la definizione di finanziamenti e crediti (se non fosse stato designato come disponibile per la vendita) può essere riclassificato dalla categoria disponibile per la vendita alla categoria finanziamenti e crediti se l’entità ha l’intenzione e la capacità di detenere l’attività finanziaria nel prossimo futuro o sino a scadenza.</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4300E2" w:rsidRPr="00A31E7B" w:rsidTr="00940A6F">
        <w:trPr>
          <w:cantSplit/>
          <w:trHeight w:val="20"/>
        </w:trPr>
        <w:tc>
          <w:tcPr>
            <w:tcW w:w="567" w:type="dxa"/>
            <w:tcMar>
              <w:left w:w="108" w:type="dxa"/>
            </w:tcMar>
          </w:tcPr>
          <w:p w:rsidR="004300E2" w:rsidRPr="008A0F36" w:rsidRDefault="004300E2" w:rsidP="004300E2">
            <w:pPr>
              <w:pStyle w:val="IAS"/>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39.50(c)</w:t>
            </w:r>
          </w:p>
        </w:tc>
        <w:tc>
          <w:tcPr>
            <w:tcW w:w="7079" w:type="dxa"/>
            <w:tcMar>
              <w:left w:w="108" w:type="dxa"/>
            </w:tcMar>
          </w:tcPr>
          <w:p w:rsidR="004300E2" w:rsidRPr="008A0F36" w:rsidRDefault="004300E2" w:rsidP="00633C3A">
            <w:pPr>
              <w:pStyle w:val="Paragarfobordato"/>
            </w:pPr>
            <w:r w:rsidRPr="008A0F36">
              <w:t xml:space="preserve">Un’entità potrebbe, se l’attività finanziaria non è più detenuta allo scopo di venderla o riacquistarla nel breve termine (anche se l’attività finanziaria era stata acquistata principalmente allo scopo di vendere e riacquistare nel breve termine), riclassificare l’attività finanziaria dalla categoria al </w:t>
            </w:r>
            <w:r w:rsidRPr="008A0F36">
              <w:rPr>
                <w:i/>
              </w:rPr>
              <w:t>fair value</w:t>
            </w:r>
            <w:r w:rsidRPr="008A0F36">
              <w:t xml:space="preserve"> </w:t>
            </w:r>
            <w:r>
              <w:t>ri</w:t>
            </w:r>
            <w:r w:rsidR="00A31E7B">
              <w:t>le</w:t>
            </w:r>
            <w:r>
              <w:t xml:space="preserve">vato </w:t>
            </w:r>
            <w:r w:rsidRPr="00251283">
              <w:t>nell’utile/(perdita)</w:t>
            </w:r>
            <w:r w:rsidRPr="008A0F36">
              <w:t xml:space="preserve"> se sono soddisfatti i requisiti in IAS 39. 50B or IAS 39.50D. </w:t>
            </w:r>
          </w:p>
        </w:tc>
        <w:tc>
          <w:tcPr>
            <w:tcW w:w="575" w:type="dxa"/>
            <w:tcMar>
              <w:left w:w="85" w:type="dxa"/>
              <w:right w:w="85" w:type="dxa"/>
            </w:tcMar>
            <w:vAlign w:val="center"/>
          </w:tcPr>
          <w:p w:rsidR="004300E2" w:rsidRPr="00251283" w:rsidRDefault="004300E2" w:rsidP="004300E2">
            <w:pPr>
              <w:jc w:val="center"/>
              <w:rPr>
                <w:lang w:val="it-IT"/>
              </w:rPr>
            </w:pPr>
          </w:p>
        </w:tc>
        <w:tc>
          <w:tcPr>
            <w:tcW w:w="567" w:type="dxa"/>
            <w:tcMar>
              <w:left w:w="108" w:type="dxa"/>
            </w:tcMar>
            <w:vAlign w:val="center"/>
          </w:tcPr>
          <w:p w:rsidR="004300E2" w:rsidRPr="00251283" w:rsidRDefault="004300E2" w:rsidP="004300E2">
            <w:pPr>
              <w:jc w:val="center"/>
              <w:rPr>
                <w:lang w:val="it-IT"/>
              </w:rPr>
            </w:pPr>
          </w:p>
        </w:tc>
        <w:tc>
          <w:tcPr>
            <w:tcW w:w="567" w:type="dxa"/>
            <w:tcMar>
              <w:left w:w="108" w:type="dxa"/>
            </w:tcMar>
            <w:vAlign w:val="center"/>
          </w:tcPr>
          <w:p w:rsidR="004300E2" w:rsidRPr="00251283" w:rsidRDefault="004300E2" w:rsidP="004300E2">
            <w:pPr>
              <w:jc w:val="center"/>
              <w:rPr>
                <w:lang w:val="it-IT"/>
              </w:rPr>
            </w:pPr>
          </w:p>
        </w:tc>
      </w:tr>
      <w:tr w:rsidR="004300E2" w:rsidRPr="008C2D57" w:rsidTr="00940A6F">
        <w:trPr>
          <w:cantSplit/>
          <w:trHeight w:val="20"/>
        </w:trPr>
        <w:tc>
          <w:tcPr>
            <w:tcW w:w="567" w:type="dxa"/>
            <w:tcMar>
              <w:left w:w="108" w:type="dxa"/>
            </w:tcMar>
          </w:tcPr>
          <w:p w:rsidR="004300E2" w:rsidRPr="008A0F36" w:rsidRDefault="004300E2" w:rsidP="004300E2">
            <w:pPr>
              <w:pStyle w:val="IAS"/>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Borders>
              <w:bottom w:val="single" w:sz="2" w:space="0" w:color="auto"/>
            </w:tcBorders>
            <w:tcMar>
              <w:left w:w="108" w:type="dxa"/>
            </w:tcMar>
          </w:tcPr>
          <w:p w:rsidR="004300E2" w:rsidRPr="008A0F36" w:rsidRDefault="004300E2" w:rsidP="004300E2">
            <w:pPr>
              <w:pStyle w:val="Titolo2"/>
              <w:rPr>
                <w:lang w:val="it-IT"/>
              </w:rPr>
            </w:pPr>
            <w:r w:rsidRPr="008A0F36">
              <w:rPr>
                <w:lang w:val="it-IT"/>
              </w:rPr>
              <w:t>Trasferimenti di attività finanziarie</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E84B58" w:rsidRPr="008129DA" w:rsidTr="00940A6F">
        <w:trPr>
          <w:cantSplit/>
          <w:trHeight w:val="20"/>
        </w:trPr>
        <w:tc>
          <w:tcPr>
            <w:tcW w:w="567" w:type="dxa"/>
            <w:tcMar>
              <w:left w:w="108" w:type="dxa"/>
            </w:tcMar>
          </w:tcPr>
          <w:p w:rsidR="00E84B58" w:rsidRPr="008A0F36" w:rsidRDefault="00E84B58" w:rsidP="004300E2">
            <w:pPr>
              <w:pStyle w:val="Numeroelenco"/>
              <w:ind w:left="0" w:firstLine="57"/>
              <w:rPr>
                <w:lang w:val="it-IT"/>
              </w:rPr>
            </w:pPr>
          </w:p>
        </w:tc>
        <w:tc>
          <w:tcPr>
            <w:tcW w:w="851" w:type="dxa"/>
            <w:tcMar>
              <w:left w:w="108" w:type="dxa"/>
              <w:right w:w="0" w:type="dxa"/>
            </w:tcMar>
          </w:tcPr>
          <w:p w:rsidR="00E84B58" w:rsidRPr="008A0F36" w:rsidRDefault="00E84B58" w:rsidP="004300E2">
            <w:pPr>
              <w:pStyle w:val="IAS"/>
              <w:rPr>
                <w:lang w:val="it-IT"/>
              </w:rPr>
            </w:pPr>
            <w:r w:rsidRPr="008A0F36">
              <w:rPr>
                <w:lang w:val="it-IT"/>
              </w:rPr>
              <w:t>IFRS 7.42A</w:t>
            </w:r>
          </w:p>
        </w:tc>
        <w:tc>
          <w:tcPr>
            <w:tcW w:w="7079" w:type="dxa"/>
            <w:tcMar>
              <w:left w:w="108" w:type="dxa"/>
            </w:tcMar>
          </w:tcPr>
          <w:p w:rsidR="00E84B58" w:rsidRPr="0015693D" w:rsidRDefault="00E84B58" w:rsidP="005950D5">
            <w:pPr>
              <w:rPr>
                <w:lang w:val="it-IT"/>
              </w:rPr>
            </w:pPr>
            <w:r w:rsidRPr="0015693D">
              <w:rPr>
                <w:lang w:val="it-IT"/>
              </w:rPr>
              <w:t xml:space="preserve">L’ entità presenta l’informativa richiesta ai punti </w:t>
            </w:r>
            <w:r>
              <w:rPr>
                <w:lang w:val="it-IT"/>
              </w:rPr>
              <w:t>239-243</w:t>
            </w:r>
            <w:r w:rsidRPr="0015693D">
              <w:rPr>
                <w:lang w:val="it-IT"/>
              </w:rPr>
              <w:t xml:space="preserve"> in un'unica nota al bilancio</w:t>
            </w:r>
            <w:r>
              <w:rPr>
                <w:lang w:val="it-IT"/>
              </w:rPr>
              <w:t>.</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IFRS 7.42B</w:t>
            </w:r>
          </w:p>
        </w:tc>
        <w:tc>
          <w:tcPr>
            <w:tcW w:w="7079" w:type="dxa"/>
            <w:tcMar>
              <w:left w:w="108" w:type="dxa"/>
            </w:tcMar>
          </w:tcPr>
          <w:p w:rsidR="004300E2" w:rsidRPr="0015693D" w:rsidRDefault="004300E2" w:rsidP="005950D5">
            <w:pPr>
              <w:rPr>
                <w:lang w:val="it-IT"/>
              </w:rPr>
            </w:pPr>
            <w:r w:rsidRPr="0015693D">
              <w:rPr>
                <w:lang w:val="it-IT"/>
              </w:rPr>
              <w:t>L’entità fornisce l’informativa che consente ai lettori del bilancio di:</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E84B58" w:rsidRPr="008129DA" w:rsidTr="00940A6F">
        <w:trPr>
          <w:cantSplit/>
          <w:trHeight w:val="20"/>
        </w:trPr>
        <w:tc>
          <w:tcPr>
            <w:tcW w:w="567" w:type="dxa"/>
            <w:tcMar>
              <w:left w:w="108" w:type="dxa"/>
            </w:tcMar>
          </w:tcPr>
          <w:p w:rsidR="00E84B58" w:rsidRPr="008A0F36" w:rsidRDefault="00E84B58" w:rsidP="004300E2">
            <w:pPr>
              <w:pStyle w:val="Numeroelenco"/>
              <w:numPr>
                <w:ilvl w:val="0"/>
                <w:numId w:val="0"/>
              </w:numPr>
              <w:ind w:left="57"/>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15693D" w:rsidRDefault="00E84B58" w:rsidP="005950D5">
            <w:pPr>
              <w:pStyle w:val="Paragrafoelenco"/>
              <w:numPr>
                <w:ilvl w:val="0"/>
                <w:numId w:val="183"/>
              </w:numPr>
              <w:ind w:left="352" w:hanging="318"/>
              <w:rPr>
                <w:iCs/>
                <w:lang w:val="it-IT"/>
              </w:rPr>
            </w:pPr>
            <w:r w:rsidRPr="0015693D">
              <w:rPr>
                <w:lang w:val="it-IT"/>
              </w:rPr>
              <w:t>comprendere il rapporto tra le attività finanziarie trasferite che contabilmente non sono interamente eliminate e le passività a queste collegate;</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20"/>
        </w:trPr>
        <w:tc>
          <w:tcPr>
            <w:tcW w:w="567" w:type="dxa"/>
            <w:tcMar>
              <w:left w:w="108" w:type="dxa"/>
            </w:tcMar>
          </w:tcPr>
          <w:p w:rsidR="00E84B58" w:rsidRPr="008A0F36" w:rsidRDefault="00E84B58" w:rsidP="004300E2">
            <w:pPr>
              <w:pStyle w:val="Numeroelenco"/>
              <w:numPr>
                <w:ilvl w:val="0"/>
                <w:numId w:val="0"/>
              </w:numPr>
              <w:ind w:left="57"/>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15693D" w:rsidRDefault="00E84B58" w:rsidP="005950D5">
            <w:pPr>
              <w:pStyle w:val="Paragrafoelenco"/>
              <w:numPr>
                <w:ilvl w:val="0"/>
                <w:numId w:val="183"/>
              </w:numPr>
              <w:ind w:left="348" w:hanging="316"/>
              <w:rPr>
                <w:iCs/>
                <w:lang w:val="it-IT"/>
              </w:rPr>
            </w:pPr>
            <w:r w:rsidRPr="0015693D">
              <w:rPr>
                <w:lang w:val="it-IT"/>
              </w:rPr>
              <w:t>valutare la natura ed i rischi associati al mantenimento di un coinvolgimento residuo dell’entità rispetto ad attività finanziarie contabilmente eliminate</w:t>
            </w:r>
            <w:r>
              <w:rPr>
                <w:lang w:val="it-IT"/>
              </w:rPr>
              <w:t>.</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Mar>
              <w:left w:w="108" w:type="dxa"/>
            </w:tcMar>
          </w:tcPr>
          <w:p w:rsidR="004300E2" w:rsidRPr="008A0F36" w:rsidRDefault="004300E2" w:rsidP="004300E2">
            <w:pPr>
              <w:pStyle w:val="Numeroelenco"/>
              <w:numPr>
                <w:ilvl w:val="0"/>
                <w:numId w:val="0"/>
              </w:numPr>
              <w:ind w:left="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IFRS 7.42A</w:t>
            </w:r>
          </w:p>
        </w:tc>
        <w:tc>
          <w:tcPr>
            <w:tcW w:w="7079" w:type="dxa"/>
            <w:tcMar>
              <w:left w:w="108" w:type="dxa"/>
            </w:tcMar>
          </w:tcPr>
          <w:p w:rsidR="004300E2" w:rsidRPr="0015693D" w:rsidRDefault="004300E2" w:rsidP="00633C3A">
            <w:pPr>
              <w:pStyle w:val="Paragarfobordato"/>
            </w:pPr>
            <w:r w:rsidRPr="0015693D">
              <w:t xml:space="preserve">I punti </w:t>
            </w:r>
            <w:r>
              <w:t>2</w:t>
            </w:r>
            <w:r w:rsidR="00D20202">
              <w:t>39</w:t>
            </w:r>
            <w:r>
              <w:t>-24</w:t>
            </w:r>
            <w:r w:rsidR="00D20202">
              <w:t>3</w:t>
            </w:r>
            <w:r w:rsidRPr="0015693D">
              <w:t xml:space="preserve"> integrano gli altri requisiti di informativa previsti dall’IFRS 7. L’entità fornisce questa informativa per tutte le attività finanziarie trasferite che non sono contabilmente eliminate e per qualsiasi coinvolgimento residuo in un’attività trasferita, esistente alla data di chiusura dell’esercizio, indipendentemente da quando sia avvenuta la relativa operazione di trasferimento. </w:t>
            </w:r>
          </w:p>
          <w:p w:rsidR="004300E2" w:rsidRPr="0015693D" w:rsidRDefault="004300E2" w:rsidP="00633C3A">
            <w:pPr>
              <w:pStyle w:val="Paragarfobordato"/>
            </w:pPr>
            <w:r w:rsidRPr="0015693D">
              <w:t>Ai fini di questi requisiti di informativa, un’entità trasferisce in parte o interamente un’attività finanziaria (l’attività finanziaria trasferita) solo se:</w:t>
            </w:r>
          </w:p>
          <w:p w:rsidR="004300E2" w:rsidRPr="0015693D" w:rsidRDefault="00633C3A" w:rsidP="00633C3A">
            <w:pPr>
              <w:pStyle w:val="Paragarfobordato"/>
              <w:ind w:left="205" w:hanging="205"/>
            </w:pPr>
            <w:r>
              <w:t>a)</w:t>
            </w:r>
            <w:r>
              <w:tab/>
            </w:r>
            <w:r w:rsidR="004300E2" w:rsidRPr="0015693D">
              <w:t>trasferisce i diritti contrattuali a ricevere i flussi di cassa di quella attività finanziaria; o</w:t>
            </w:r>
          </w:p>
          <w:p w:rsidR="004300E2" w:rsidRPr="0015693D" w:rsidRDefault="00633C3A" w:rsidP="00633C3A">
            <w:pPr>
              <w:pStyle w:val="Paragarfobordato"/>
              <w:ind w:left="205" w:hanging="205"/>
            </w:pPr>
            <w:r>
              <w:t>b)</w:t>
            </w:r>
            <w:r w:rsidR="005950D5">
              <w:tab/>
            </w:r>
            <w:r w:rsidR="004300E2" w:rsidRPr="0015693D">
              <w:t>mantiene i diritti contrattuali a ricevere i flussi di cassa di quella attività finanziaria, ma assume un’obbligazione contrattuale di versare i flussi di cassa ad uno o più soggetti.</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4300E2" w:rsidRPr="00A44ECD" w:rsidTr="00940A6F">
        <w:trPr>
          <w:cantSplit/>
          <w:trHeight w:val="20"/>
        </w:trPr>
        <w:tc>
          <w:tcPr>
            <w:tcW w:w="567" w:type="dxa"/>
            <w:tcMar>
              <w:left w:w="108" w:type="dxa"/>
            </w:tcMar>
          </w:tcPr>
          <w:p w:rsidR="004300E2" w:rsidRPr="008A0F36" w:rsidRDefault="004300E2" w:rsidP="004300E2">
            <w:pPr>
              <w:pStyle w:val="IAS"/>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Pr="0015693D" w:rsidRDefault="004300E2" w:rsidP="004300E2">
            <w:pPr>
              <w:pStyle w:val="Titolo2"/>
              <w:rPr>
                <w:lang w:val="it-IT"/>
              </w:rPr>
            </w:pPr>
            <w:r w:rsidRPr="0015693D">
              <w:rPr>
                <w:lang w:val="it-IT"/>
              </w:rPr>
              <w:t>Attività finanziarie trasferite che contabilmente non sono interamente eliminate</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4300E2" w:rsidRPr="00A44ECD" w:rsidTr="00940A6F">
        <w:trPr>
          <w:cantSplit/>
          <w:trHeight w:val="20"/>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IFRS 7.42D IFRS 7.B32</w:t>
            </w:r>
          </w:p>
        </w:tc>
        <w:tc>
          <w:tcPr>
            <w:tcW w:w="7079" w:type="dxa"/>
            <w:tcMar>
              <w:left w:w="108" w:type="dxa"/>
            </w:tcMar>
          </w:tcPr>
          <w:p w:rsidR="004300E2" w:rsidRPr="0015693D" w:rsidRDefault="004300E2" w:rsidP="004300E2">
            <w:pPr>
              <w:rPr>
                <w:lang w:val="it-IT"/>
              </w:rPr>
            </w:pPr>
            <w:r w:rsidRPr="0015693D">
              <w:rPr>
                <w:lang w:val="it-IT"/>
              </w:rPr>
              <w:t xml:space="preserve">Per soddisfare i requisiti del punto </w:t>
            </w:r>
            <w:r w:rsidRPr="00C35E28">
              <w:rPr>
                <w:lang w:val="it-IT"/>
              </w:rPr>
              <w:t>2</w:t>
            </w:r>
            <w:r w:rsidR="00D20202">
              <w:rPr>
                <w:lang w:val="it-IT"/>
              </w:rPr>
              <w:t>39</w:t>
            </w:r>
            <w:r w:rsidRPr="00C35E28">
              <w:rPr>
                <w:lang w:val="it-IT"/>
              </w:rPr>
              <w:t>(a)</w:t>
            </w:r>
            <w:r w:rsidRPr="0015693D">
              <w:rPr>
                <w:lang w:val="it-IT"/>
              </w:rPr>
              <w:t xml:space="preserve"> l’entità deve specificare per ogni classe di attività finanziarie trasferite che contabilmente non sono interamente eliminate:</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E84B58" w:rsidRPr="008129DA" w:rsidTr="00940A6F">
        <w:trPr>
          <w:cantSplit/>
          <w:trHeight w:val="20"/>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Default="00E84B58" w:rsidP="004300E2">
            <w:pPr>
              <w:pStyle w:val="Paragrafoelenco"/>
              <w:numPr>
                <w:ilvl w:val="0"/>
                <w:numId w:val="185"/>
              </w:numPr>
              <w:ind w:left="376"/>
              <w:rPr>
                <w:iCs/>
                <w:lang w:val="it-IT"/>
              </w:rPr>
            </w:pPr>
            <w:r>
              <w:rPr>
                <w:lang w:val="it-IT"/>
              </w:rPr>
              <w:t>l</w:t>
            </w:r>
            <w:r w:rsidRPr="008A0F36">
              <w:rPr>
                <w:lang w:val="it-IT"/>
              </w:rPr>
              <w:t>a natura delle attività trasferite</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20"/>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Default="00E84B58" w:rsidP="004300E2">
            <w:pPr>
              <w:pStyle w:val="Paragrafoelenco"/>
              <w:numPr>
                <w:ilvl w:val="0"/>
                <w:numId w:val="185"/>
              </w:numPr>
              <w:ind w:left="376"/>
              <w:rPr>
                <w:iCs/>
                <w:lang w:val="it-IT"/>
              </w:rPr>
            </w:pPr>
            <w:r>
              <w:rPr>
                <w:lang w:val="it-IT"/>
              </w:rPr>
              <w:t>l</w:t>
            </w:r>
            <w:r w:rsidRPr="008A0F36">
              <w:rPr>
                <w:lang w:val="it-IT"/>
              </w:rPr>
              <w:t>a natura dei rischi e benefici, legati alla proprietà, ai quali l’entità rimane esposta</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20"/>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Default="00E84B58" w:rsidP="004300E2">
            <w:pPr>
              <w:pStyle w:val="Paragrafoelenco"/>
              <w:numPr>
                <w:ilvl w:val="0"/>
                <w:numId w:val="185"/>
              </w:numPr>
              <w:ind w:left="376"/>
              <w:rPr>
                <w:iCs/>
                <w:lang w:val="it-IT"/>
              </w:rPr>
            </w:pPr>
            <w:r>
              <w:rPr>
                <w:lang w:val="it-IT"/>
              </w:rPr>
              <w:t>u</w:t>
            </w:r>
            <w:r w:rsidRPr="008A0F36">
              <w:rPr>
                <w:lang w:val="it-IT"/>
              </w:rPr>
              <w:t>na descrizione della natura del rapporto tra le attività trasferite e le passività a queste collegate, inclusa qualsiasi restrizione legata al trasferimento dell’utilizzo da parte dell’entità delle attività trasferite</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20"/>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612D9D" w:rsidRDefault="00E84B58" w:rsidP="004300E2">
            <w:pPr>
              <w:pStyle w:val="Paragrafoelenco"/>
              <w:numPr>
                <w:ilvl w:val="0"/>
                <w:numId w:val="185"/>
              </w:numPr>
              <w:ind w:left="376"/>
              <w:rPr>
                <w:iCs/>
                <w:lang w:val="it-IT"/>
              </w:rPr>
            </w:pPr>
            <w:r>
              <w:rPr>
                <w:lang w:val="it-IT"/>
              </w:rPr>
              <w:t>q</w:t>
            </w:r>
            <w:r w:rsidRPr="008A0F36">
              <w:rPr>
                <w:lang w:val="it-IT"/>
              </w:rPr>
              <w:t>uando la controparte (le controparti) delle passività collegate ha (hanno) diritti solo nelle attività trasferite, una tabella che evidenzi:</w:t>
            </w:r>
          </w:p>
        </w:tc>
        <w:tc>
          <w:tcPr>
            <w:tcW w:w="575" w:type="dxa"/>
            <w:tcMar>
              <w:left w:w="85" w:type="dxa"/>
              <w:right w:w="85" w:type="dxa"/>
            </w:tcMar>
            <w:vAlign w:val="center"/>
          </w:tcPr>
          <w:p w:rsidR="00E84B58" w:rsidRPr="00426597"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426597"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426597"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20"/>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612D9D" w:rsidRDefault="00E84B58" w:rsidP="004300E2">
            <w:pPr>
              <w:pStyle w:val="Puntoelenco"/>
              <w:tabs>
                <w:tab w:val="num" w:pos="712"/>
              </w:tabs>
              <w:ind w:left="712" w:hanging="254"/>
            </w:pPr>
            <w:r>
              <w:t>i</w:t>
            </w:r>
            <w:r w:rsidRPr="008A0F36">
              <w:t xml:space="preserve">l </w:t>
            </w:r>
            <w:r w:rsidRPr="008A0F36">
              <w:rPr>
                <w:i/>
              </w:rPr>
              <w:t>fair value</w:t>
            </w:r>
            <w:r w:rsidRPr="008A0F36">
              <w:t xml:space="preserve"> delle attività trasferite</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20"/>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612D9D" w:rsidRDefault="00E84B58" w:rsidP="004300E2">
            <w:pPr>
              <w:pStyle w:val="Puntoelenco"/>
              <w:tabs>
                <w:tab w:val="num" w:pos="712"/>
              </w:tabs>
              <w:ind w:left="712" w:hanging="254"/>
            </w:pPr>
            <w:r>
              <w:t>i</w:t>
            </w:r>
            <w:r w:rsidRPr="008A0F36">
              <w:t xml:space="preserve">l </w:t>
            </w:r>
            <w:r w:rsidRPr="008A0F36">
              <w:rPr>
                <w:i/>
              </w:rPr>
              <w:t>fair value</w:t>
            </w:r>
            <w:r w:rsidRPr="008A0F36">
              <w:t xml:space="preserve"> delle passività a queste collegate</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20"/>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Default="00E84B58" w:rsidP="004300E2">
            <w:pPr>
              <w:pStyle w:val="Puntoelenco"/>
              <w:tabs>
                <w:tab w:val="num" w:pos="712"/>
              </w:tabs>
              <w:ind w:left="712" w:hanging="254"/>
            </w:pPr>
            <w:r w:rsidRPr="00612D9D">
              <w:t>la posizione netta (la differenza tra attività trasferite e passività a queste collegate)</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20"/>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Default="00E84B58" w:rsidP="004300E2">
            <w:pPr>
              <w:pStyle w:val="Paragrafoelenco"/>
              <w:numPr>
                <w:ilvl w:val="0"/>
                <w:numId w:val="185"/>
              </w:numPr>
              <w:ind w:left="362"/>
              <w:rPr>
                <w:iCs/>
                <w:lang w:val="it-IT"/>
              </w:rPr>
            </w:pPr>
            <w:r>
              <w:rPr>
                <w:lang w:val="it-IT"/>
              </w:rPr>
              <w:t>q</w:t>
            </w:r>
            <w:r w:rsidRPr="008A0F36">
              <w:rPr>
                <w:lang w:val="it-IT"/>
              </w:rPr>
              <w:t>uando l’entità continua a rilevare interamente le attività trasferite, i valori contabili delle attività trasferite e delle passività a queste collegate</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20"/>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r w:rsidRPr="008A0F36">
              <w:rPr>
                <w:lang w:val="it-IT"/>
              </w:rPr>
              <w:t>IAS 39.20(c)(ii)</w:t>
            </w:r>
            <w:r w:rsidRPr="008A0F36">
              <w:rPr>
                <w:lang w:val="it-IT"/>
              </w:rPr>
              <w:br/>
              <w:t xml:space="preserve"> IAS 39.30</w:t>
            </w:r>
          </w:p>
        </w:tc>
        <w:tc>
          <w:tcPr>
            <w:tcW w:w="7079" w:type="dxa"/>
            <w:tcMar>
              <w:left w:w="108" w:type="dxa"/>
            </w:tcMar>
          </w:tcPr>
          <w:p w:rsidR="00E84B58" w:rsidRPr="00035B49" w:rsidRDefault="00E84B58" w:rsidP="004300E2">
            <w:pPr>
              <w:pStyle w:val="Paragrafoelenco"/>
              <w:numPr>
                <w:ilvl w:val="0"/>
                <w:numId w:val="185"/>
              </w:numPr>
              <w:ind w:left="376"/>
              <w:rPr>
                <w:iCs/>
                <w:lang w:val="it-IT"/>
              </w:rPr>
            </w:pPr>
            <w:r>
              <w:rPr>
                <w:lang w:val="it-IT"/>
              </w:rPr>
              <w:t>q</w:t>
            </w:r>
            <w:r w:rsidRPr="008A0F36">
              <w:rPr>
                <w:lang w:val="it-IT"/>
              </w:rPr>
              <w:t>uando l’entità continua a rilevare le attività nei limiti del coinvolgimento residuo:</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20"/>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035B49" w:rsidRDefault="00E84B58" w:rsidP="004300E2">
            <w:pPr>
              <w:pStyle w:val="Puntoelenco"/>
              <w:tabs>
                <w:tab w:val="left" w:pos="698"/>
              </w:tabs>
              <w:ind w:left="726" w:hanging="268"/>
            </w:pPr>
            <w:r>
              <w:t>i</w:t>
            </w:r>
            <w:r w:rsidRPr="008A0F36">
              <w:t>l valore contabile complessivo delle attività prima del trasferimento</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20"/>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035B49" w:rsidRDefault="00E84B58" w:rsidP="004300E2">
            <w:pPr>
              <w:pStyle w:val="Puntoelenco"/>
              <w:tabs>
                <w:tab w:val="left" w:pos="698"/>
              </w:tabs>
              <w:ind w:left="726" w:hanging="268"/>
            </w:pPr>
            <w:r>
              <w:t>i</w:t>
            </w:r>
            <w:r w:rsidRPr="008A0F36">
              <w:t>l valore contabile delle attività che viene contabilmente rilevato dopo il trasferimento</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20"/>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Default="00E84B58" w:rsidP="004300E2">
            <w:pPr>
              <w:pStyle w:val="Puntoelenco"/>
              <w:tabs>
                <w:tab w:val="left" w:pos="698"/>
              </w:tabs>
              <w:ind w:left="726" w:hanging="268"/>
            </w:pPr>
            <w:r w:rsidRPr="00035B49">
              <w:t>il valore contabile delle passività a queste collegate.</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Mar>
              <w:left w:w="108" w:type="dxa"/>
            </w:tcMar>
          </w:tcPr>
          <w:p w:rsidR="004300E2" w:rsidRPr="008A0F36" w:rsidRDefault="004300E2" w:rsidP="004300E2">
            <w:pPr>
              <w:pStyle w:val="IAS"/>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Pr="008A0F36" w:rsidRDefault="004300E2" w:rsidP="004300E2">
            <w:pPr>
              <w:pStyle w:val="Titolo2"/>
              <w:spacing w:before="40"/>
              <w:rPr>
                <w:lang w:val="it-IT"/>
              </w:rPr>
            </w:pPr>
            <w:r w:rsidRPr="008A0F36">
              <w:rPr>
                <w:lang w:val="it-IT"/>
              </w:rPr>
              <w:t>Attività finanziarie trasferite che contabilmente sono interamente eliminate</w:t>
            </w:r>
          </w:p>
        </w:tc>
        <w:tc>
          <w:tcPr>
            <w:tcW w:w="575" w:type="dxa"/>
            <w:tcMar>
              <w:left w:w="85" w:type="dxa"/>
              <w:right w:w="85" w:type="dxa"/>
            </w:tcMar>
            <w:vAlign w:val="center"/>
          </w:tcPr>
          <w:p w:rsidR="004300E2" w:rsidRPr="00090BE7" w:rsidRDefault="004300E2" w:rsidP="004300E2">
            <w:pPr>
              <w:spacing w:before="40"/>
              <w:jc w:val="center"/>
              <w:rPr>
                <w:lang w:val="it-IT"/>
              </w:rPr>
            </w:pPr>
          </w:p>
        </w:tc>
        <w:tc>
          <w:tcPr>
            <w:tcW w:w="567" w:type="dxa"/>
            <w:tcMar>
              <w:left w:w="108" w:type="dxa"/>
            </w:tcMar>
            <w:vAlign w:val="center"/>
          </w:tcPr>
          <w:p w:rsidR="004300E2" w:rsidRPr="00090BE7" w:rsidRDefault="004300E2" w:rsidP="004300E2">
            <w:pPr>
              <w:spacing w:before="40"/>
              <w:jc w:val="center"/>
              <w:rPr>
                <w:lang w:val="it-IT"/>
              </w:rPr>
            </w:pPr>
          </w:p>
        </w:tc>
        <w:tc>
          <w:tcPr>
            <w:tcW w:w="567" w:type="dxa"/>
            <w:tcMar>
              <w:left w:w="108" w:type="dxa"/>
            </w:tcMar>
            <w:vAlign w:val="center"/>
          </w:tcPr>
          <w:p w:rsidR="004300E2" w:rsidRPr="00090BE7" w:rsidRDefault="004300E2" w:rsidP="004300E2">
            <w:pPr>
              <w:spacing w:before="40"/>
              <w:jc w:val="center"/>
              <w:rPr>
                <w:lang w:val="it-IT"/>
              </w:rPr>
            </w:pPr>
          </w:p>
        </w:tc>
      </w:tr>
      <w:tr w:rsidR="004300E2" w:rsidRPr="00A44ECD" w:rsidTr="00940A6F">
        <w:trPr>
          <w:cantSplit/>
          <w:trHeight w:val="20"/>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IFRS 7.42E</w:t>
            </w:r>
          </w:p>
        </w:tc>
        <w:tc>
          <w:tcPr>
            <w:tcW w:w="7079" w:type="dxa"/>
            <w:tcMar>
              <w:left w:w="108" w:type="dxa"/>
            </w:tcMar>
          </w:tcPr>
          <w:p w:rsidR="004300E2" w:rsidRPr="005802B4" w:rsidRDefault="004300E2" w:rsidP="004300E2">
            <w:pPr>
              <w:rPr>
                <w:lang w:val="it-IT"/>
              </w:rPr>
            </w:pPr>
            <w:r w:rsidRPr="008A0F36">
              <w:rPr>
                <w:lang w:val="it-IT"/>
              </w:rPr>
              <w:t xml:space="preserve">Per soddisfare i </w:t>
            </w:r>
            <w:r w:rsidRPr="0015693D">
              <w:rPr>
                <w:lang w:val="it-IT"/>
              </w:rPr>
              <w:t xml:space="preserve">requisiti del </w:t>
            </w:r>
            <w:r w:rsidRPr="00C35E28">
              <w:rPr>
                <w:lang w:val="it-IT"/>
              </w:rPr>
              <w:t>punto 2</w:t>
            </w:r>
            <w:r w:rsidR="00D20202">
              <w:rPr>
                <w:lang w:val="it-IT"/>
              </w:rPr>
              <w:t>39</w:t>
            </w:r>
            <w:r w:rsidRPr="00C35E28">
              <w:rPr>
                <w:lang w:val="it-IT"/>
              </w:rPr>
              <w:t>(b) quando</w:t>
            </w:r>
            <w:r w:rsidRPr="0015693D">
              <w:rPr>
                <w:lang w:val="it-IT"/>
              </w:rPr>
              <w:t xml:space="preserve"> un’entità</w:t>
            </w:r>
            <w:r w:rsidRPr="008A0F36">
              <w:rPr>
                <w:lang w:val="it-IT"/>
              </w:rPr>
              <w:t xml:space="preserve"> elimina contabilmente delle attività finanziarie, ma mantiene un coinvolgimento residuo in queste, deve evidenziare alla data di chiusura dell’esercizio per ciascun tipo di coinvolgimento residuo:</w:t>
            </w:r>
          </w:p>
        </w:tc>
        <w:tc>
          <w:tcPr>
            <w:tcW w:w="575" w:type="dxa"/>
            <w:tcMar>
              <w:left w:w="85" w:type="dxa"/>
              <w:right w:w="85"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r>
      <w:tr w:rsidR="00E84B58" w:rsidRPr="008129DA" w:rsidTr="00940A6F">
        <w:trPr>
          <w:cantSplit/>
          <w:trHeight w:val="20"/>
        </w:trPr>
        <w:tc>
          <w:tcPr>
            <w:tcW w:w="567" w:type="dxa"/>
            <w:tcMar>
              <w:left w:w="108" w:type="dxa"/>
            </w:tcMar>
          </w:tcPr>
          <w:p w:rsidR="00E84B58" w:rsidRPr="008A0F36" w:rsidRDefault="00E84B58" w:rsidP="004300E2">
            <w:pPr>
              <w:pStyle w:val="Numeroelenco"/>
              <w:numPr>
                <w:ilvl w:val="0"/>
                <w:numId w:val="0"/>
              </w:numPr>
              <w:ind w:left="57"/>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5802B4" w:rsidRDefault="00E84B58" w:rsidP="004300E2">
            <w:pPr>
              <w:pStyle w:val="Paragrafoelenco"/>
              <w:numPr>
                <w:ilvl w:val="0"/>
                <w:numId w:val="186"/>
              </w:numPr>
              <w:ind w:left="348"/>
              <w:rPr>
                <w:lang w:val="it-IT"/>
              </w:rPr>
            </w:pPr>
            <w:r w:rsidRPr="005802B4">
              <w:rPr>
                <w:lang w:val="it-IT"/>
              </w:rPr>
              <w:t>il valore contabile delle attività e passività rilevate nel prospetto della situazione patrimoniale-finanziaria che rappresentano il coinvolgimento residuo da parte dell’entità nelle attività finanziarie eliminate, e le voci del bilancio in cui queste attività e passività sono rilevate</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20"/>
        </w:trPr>
        <w:tc>
          <w:tcPr>
            <w:tcW w:w="567" w:type="dxa"/>
            <w:tcMar>
              <w:left w:w="108" w:type="dxa"/>
            </w:tcMar>
          </w:tcPr>
          <w:p w:rsidR="00E84B58" w:rsidRPr="008A0F36" w:rsidRDefault="00E84B58" w:rsidP="004300E2">
            <w:pPr>
              <w:pStyle w:val="Numeroelenco"/>
              <w:numPr>
                <w:ilvl w:val="0"/>
                <w:numId w:val="0"/>
              </w:numPr>
              <w:ind w:left="57"/>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Default="00E84B58" w:rsidP="004300E2">
            <w:pPr>
              <w:pStyle w:val="Paragrafoelenco"/>
              <w:numPr>
                <w:ilvl w:val="0"/>
                <w:numId w:val="186"/>
              </w:numPr>
              <w:ind w:left="348"/>
              <w:rPr>
                <w:iCs/>
                <w:lang w:val="it-IT"/>
              </w:rPr>
            </w:pPr>
            <w:r>
              <w:rPr>
                <w:lang w:val="it-IT"/>
              </w:rPr>
              <w:t>i</w:t>
            </w:r>
            <w:r w:rsidRPr="008A0F36">
              <w:rPr>
                <w:lang w:val="it-IT"/>
              </w:rPr>
              <w:t xml:space="preserve">l </w:t>
            </w:r>
            <w:r w:rsidRPr="008A0F36">
              <w:rPr>
                <w:i/>
                <w:lang w:val="it-IT"/>
              </w:rPr>
              <w:t>fair value</w:t>
            </w:r>
            <w:r w:rsidRPr="008A0F36">
              <w:rPr>
                <w:lang w:val="it-IT"/>
              </w:rPr>
              <w:t xml:space="preserve"> delle attività e passività che rappresentano il coinvolgimento residuo da parte dell’entità nelle attività finanziarie eliminate</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20"/>
        </w:trPr>
        <w:tc>
          <w:tcPr>
            <w:tcW w:w="567" w:type="dxa"/>
            <w:tcMar>
              <w:left w:w="108" w:type="dxa"/>
            </w:tcMar>
          </w:tcPr>
          <w:p w:rsidR="00E84B58" w:rsidRPr="008A0F36" w:rsidRDefault="00E84B58" w:rsidP="004300E2">
            <w:pPr>
              <w:pStyle w:val="Numeroelenco"/>
              <w:numPr>
                <w:ilvl w:val="0"/>
                <w:numId w:val="0"/>
              </w:numPr>
              <w:ind w:left="57"/>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Default="00E84B58" w:rsidP="004300E2">
            <w:pPr>
              <w:pStyle w:val="Paragrafoelenco"/>
              <w:numPr>
                <w:ilvl w:val="0"/>
                <w:numId w:val="186"/>
              </w:numPr>
              <w:ind w:left="362"/>
              <w:rPr>
                <w:iCs/>
                <w:lang w:val="it-IT"/>
              </w:rPr>
            </w:pPr>
            <w:r>
              <w:rPr>
                <w:lang w:val="it-IT"/>
              </w:rPr>
              <w:t>l</w:t>
            </w:r>
            <w:r w:rsidRPr="008A0F36">
              <w:rPr>
                <w:lang w:val="it-IT"/>
              </w:rPr>
              <w:t xml:space="preserve">’importo che meglio rappresenta l’esposizione massima dell’entità al rischio di perdite derivante dal coinvolgimento residuo nelle attività finanziarie eliminate, e come sia stata determinata l’esposizione massima al rischio di perdite </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20"/>
        </w:trPr>
        <w:tc>
          <w:tcPr>
            <w:tcW w:w="567" w:type="dxa"/>
            <w:tcMar>
              <w:left w:w="108" w:type="dxa"/>
            </w:tcMar>
          </w:tcPr>
          <w:p w:rsidR="00E84B58" w:rsidRPr="008A0F36" w:rsidRDefault="00E84B58" w:rsidP="004300E2">
            <w:pPr>
              <w:pStyle w:val="Numeroelenco"/>
              <w:numPr>
                <w:ilvl w:val="0"/>
                <w:numId w:val="0"/>
              </w:numPr>
              <w:ind w:left="57"/>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Default="00E84B58" w:rsidP="004300E2">
            <w:pPr>
              <w:pStyle w:val="Paragrafoelenco"/>
              <w:numPr>
                <w:ilvl w:val="0"/>
                <w:numId w:val="186"/>
              </w:numPr>
              <w:ind w:left="348"/>
              <w:rPr>
                <w:iCs/>
                <w:lang w:val="it-IT"/>
              </w:rPr>
            </w:pPr>
            <w:r>
              <w:rPr>
                <w:lang w:val="it-IT"/>
              </w:rPr>
              <w:t>i</w:t>
            </w:r>
            <w:r w:rsidRPr="008A0F36">
              <w:rPr>
                <w:lang w:val="it-IT"/>
              </w:rPr>
              <w:t>l flusso di cassa non attualizzato che potrebbe essere richiesto per il riacquisto delle attività finanziarie eliminate od altri importi dovuti al cessionario a fronte delle attività trasferite</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Mar>
              <w:left w:w="108" w:type="dxa"/>
            </w:tcMar>
          </w:tcPr>
          <w:p w:rsidR="004300E2" w:rsidRPr="008A0F36" w:rsidRDefault="004300E2" w:rsidP="004300E2">
            <w:pPr>
              <w:pStyle w:val="Numeroelenco"/>
              <w:numPr>
                <w:ilvl w:val="0"/>
                <w:numId w:val="0"/>
              </w:numPr>
              <w:ind w:left="57"/>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Pr="008A0F36" w:rsidRDefault="004300E2" w:rsidP="005950D5">
            <w:pPr>
              <w:pStyle w:val="Paragarfobordato"/>
            </w:pPr>
            <w:r w:rsidRPr="008A0F36">
              <w:t xml:space="preserve">Esempi di flussi di cassa per il riacquisto della attività trasferite includono il prezzo di esercizio di un’opzione od il prezzo di riacquisto. Se i flussi di cassa sono variabili, l’importo oggetto di informativa deve essere basato sulle condizioni esistenti ad ogni data di chiusura dell’esercizio. </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E84B58" w:rsidRPr="008129DA" w:rsidTr="00940A6F">
        <w:trPr>
          <w:cantSplit/>
          <w:trHeight w:val="20"/>
        </w:trPr>
        <w:tc>
          <w:tcPr>
            <w:tcW w:w="567" w:type="dxa"/>
            <w:tcMar>
              <w:left w:w="108" w:type="dxa"/>
            </w:tcMar>
          </w:tcPr>
          <w:p w:rsidR="00E84B58" w:rsidRPr="008A0F36" w:rsidRDefault="00E84B58" w:rsidP="004300E2">
            <w:pPr>
              <w:pStyle w:val="Numeroelenco"/>
              <w:numPr>
                <w:ilvl w:val="0"/>
                <w:numId w:val="0"/>
              </w:numPr>
              <w:ind w:left="57"/>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Default="00E84B58" w:rsidP="004300E2">
            <w:pPr>
              <w:pStyle w:val="Paragrafoelenco"/>
              <w:numPr>
                <w:ilvl w:val="0"/>
                <w:numId w:val="186"/>
              </w:numPr>
              <w:ind w:left="376"/>
              <w:rPr>
                <w:iCs/>
                <w:lang w:val="it-IT"/>
              </w:rPr>
            </w:pPr>
            <w:r>
              <w:rPr>
                <w:lang w:val="it-IT"/>
              </w:rPr>
              <w:t>u</w:t>
            </w:r>
            <w:r w:rsidRPr="008A0F36">
              <w:rPr>
                <w:lang w:val="it-IT"/>
              </w:rPr>
              <w:t>n’analisi per scadenza dei flussi di cassa non attualizzati che sarebbero necessari per l’eventuale riacquisto delle attività finanziarie eliminate o rappresentativi di altri importi dovuti al cessionario in relazione alle attività trasferite, evidenziando le scadenze contrattuali non ancora giunte a maturazione e correlate al coinvolgimento residuo dell’entità</w:t>
            </w:r>
            <w:r>
              <w:rPr>
                <w:lang w:val="it-IT"/>
              </w:rPr>
              <w:t>.</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Mar>
              <w:left w:w="108" w:type="dxa"/>
            </w:tcMar>
          </w:tcPr>
          <w:p w:rsidR="004300E2" w:rsidRPr="008A0F36" w:rsidRDefault="004300E2" w:rsidP="004300E2">
            <w:pPr>
              <w:pStyle w:val="Numeroelenco"/>
              <w:numPr>
                <w:ilvl w:val="0"/>
                <w:numId w:val="0"/>
              </w:numPr>
              <w:ind w:left="57"/>
              <w:rPr>
                <w:lang w:val="it-IT"/>
              </w:rPr>
            </w:pPr>
          </w:p>
        </w:tc>
        <w:tc>
          <w:tcPr>
            <w:tcW w:w="851" w:type="dxa"/>
            <w:tcMar>
              <w:left w:w="108" w:type="dxa"/>
              <w:right w:w="0" w:type="dxa"/>
            </w:tcMar>
          </w:tcPr>
          <w:p w:rsidR="004300E2" w:rsidRPr="000C2263" w:rsidRDefault="004300E2" w:rsidP="004300E2">
            <w:pPr>
              <w:pStyle w:val="IAS"/>
            </w:pPr>
            <w:r w:rsidRPr="000C2263">
              <w:t>IFRS 7.B.34</w:t>
            </w:r>
          </w:p>
          <w:p w:rsidR="004300E2" w:rsidRPr="000C2263" w:rsidRDefault="004300E2" w:rsidP="004300E2">
            <w:pPr>
              <w:pStyle w:val="IAS"/>
            </w:pPr>
            <w:r w:rsidRPr="000C2263">
              <w:t>IFRS 7 B.35</w:t>
            </w:r>
          </w:p>
          <w:p w:rsidR="004300E2" w:rsidRPr="000C2263" w:rsidRDefault="004300E2" w:rsidP="004300E2">
            <w:pPr>
              <w:pStyle w:val="IAS"/>
            </w:pPr>
            <w:r w:rsidRPr="000C2263">
              <w:t>IFRS 7 B.36</w:t>
            </w:r>
          </w:p>
        </w:tc>
        <w:tc>
          <w:tcPr>
            <w:tcW w:w="7079" w:type="dxa"/>
            <w:tcMar>
              <w:left w:w="108" w:type="dxa"/>
            </w:tcMar>
          </w:tcPr>
          <w:p w:rsidR="004300E2" w:rsidRPr="008A0F36" w:rsidRDefault="004300E2" w:rsidP="005950D5">
            <w:pPr>
              <w:pStyle w:val="Paragarfobordato"/>
            </w:pPr>
            <w:r w:rsidRPr="008A0F36">
              <w:t>L’analisi sulle scadenze dovrebbe distinguere i flussi di cassa che si devono pagare (es.: contratti a termine), i flussi di cassa che l’entità potrebbe dover pagare (es.: opzioni put) ed i flussi di cassa che l’entità potrebbe scegliere di pagare (es.: opzioni call).</w:t>
            </w:r>
          </w:p>
          <w:p w:rsidR="004300E2" w:rsidRPr="008A0F36" w:rsidRDefault="004300E2" w:rsidP="005950D5">
            <w:pPr>
              <w:pStyle w:val="Paragarfobordato"/>
            </w:pPr>
            <w:r w:rsidRPr="008A0F36">
              <w:t>Nel predisporre l’analisi sulle scadenze l’entità utilizzerà il proprio giudizio nel determinare un numero appropriato di intervalli temporali. In presenza di diversi intervalli temporali, i flussi di cassa saranno rappresentati sulla base della prima data in cui il pagamento potrebbe essere richiesto/consentito.</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4300E2" w:rsidRPr="00A44ECD" w:rsidTr="00940A6F">
        <w:trPr>
          <w:cantSplit/>
          <w:trHeight w:val="20"/>
        </w:trPr>
        <w:tc>
          <w:tcPr>
            <w:tcW w:w="567" w:type="dxa"/>
            <w:tcMar>
              <w:left w:w="108" w:type="dxa"/>
            </w:tcMar>
          </w:tcPr>
          <w:p w:rsidR="004300E2" w:rsidRPr="008A0F36" w:rsidRDefault="004300E2" w:rsidP="004300E2">
            <w:pPr>
              <w:pStyle w:val="Numeroelenco"/>
              <w:numPr>
                <w:ilvl w:val="0"/>
                <w:numId w:val="0"/>
              </w:numPr>
              <w:ind w:left="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IFRS 7.B37</w:t>
            </w:r>
          </w:p>
          <w:p w:rsidR="004300E2" w:rsidRPr="008A0F36" w:rsidRDefault="004300E2" w:rsidP="004300E2">
            <w:pPr>
              <w:pStyle w:val="IAS"/>
              <w:jc w:val="both"/>
              <w:rPr>
                <w:lang w:val="it-IT"/>
              </w:rPr>
            </w:pPr>
          </w:p>
        </w:tc>
        <w:tc>
          <w:tcPr>
            <w:tcW w:w="7079" w:type="dxa"/>
            <w:tcMar>
              <w:left w:w="108" w:type="dxa"/>
            </w:tcMar>
          </w:tcPr>
          <w:p w:rsidR="004300E2" w:rsidRPr="00046890" w:rsidRDefault="004300E2" w:rsidP="004300E2">
            <w:pPr>
              <w:pStyle w:val="Paragrafoelenco"/>
              <w:numPr>
                <w:ilvl w:val="0"/>
                <w:numId w:val="186"/>
              </w:numPr>
              <w:ind w:left="348"/>
              <w:rPr>
                <w:iCs/>
                <w:lang w:val="it-IT"/>
              </w:rPr>
            </w:pPr>
            <w:r>
              <w:rPr>
                <w:lang w:val="it-IT"/>
              </w:rPr>
              <w:t>i</w:t>
            </w:r>
            <w:r w:rsidRPr="008A0F36">
              <w:rPr>
                <w:lang w:val="it-IT"/>
              </w:rPr>
              <w:t>nformazioni qualitative che spieghino e supportino le informazioni quantitative di cui ai punti (a)-(e) che includono una descrizione:</w:t>
            </w:r>
          </w:p>
        </w:tc>
        <w:tc>
          <w:tcPr>
            <w:tcW w:w="575" w:type="dxa"/>
            <w:tcMar>
              <w:left w:w="85" w:type="dxa"/>
              <w:right w:w="85" w:type="dxa"/>
            </w:tcMar>
          </w:tcPr>
          <w:p w:rsidR="004300E2" w:rsidRPr="00A32A16" w:rsidRDefault="004300E2" w:rsidP="004300E2">
            <w:pPr>
              <w:rPr>
                <w:lang w:val="it-IT"/>
              </w:rPr>
            </w:pPr>
          </w:p>
        </w:tc>
        <w:tc>
          <w:tcPr>
            <w:tcW w:w="567" w:type="dxa"/>
            <w:tcMar>
              <w:left w:w="108" w:type="dxa"/>
            </w:tcMar>
          </w:tcPr>
          <w:p w:rsidR="004300E2" w:rsidRPr="00A32A16" w:rsidRDefault="004300E2" w:rsidP="004300E2">
            <w:pPr>
              <w:rPr>
                <w:lang w:val="it-IT"/>
              </w:rPr>
            </w:pPr>
          </w:p>
        </w:tc>
        <w:tc>
          <w:tcPr>
            <w:tcW w:w="567" w:type="dxa"/>
            <w:tcMar>
              <w:left w:w="108" w:type="dxa"/>
            </w:tcMar>
          </w:tcPr>
          <w:p w:rsidR="004300E2" w:rsidRPr="00A32A16" w:rsidRDefault="004300E2" w:rsidP="004300E2">
            <w:pPr>
              <w:rPr>
                <w:lang w:val="it-IT"/>
              </w:rPr>
            </w:pPr>
          </w:p>
        </w:tc>
      </w:tr>
      <w:tr w:rsidR="00E84B58" w:rsidRPr="008129DA" w:rsidTr="00940A6F">
        <w:trPr>
          <w:cantSplit/>
          <w:trHeight w:val="20"/>
        </w:trPr>
        <w:tc>
          <w:tcPr>
            <w:tcW w:w="567" w:type="dxa"/>
            <w:tcMar>
              <w:left w:w="108" w:type="dxa"/>
            </w:tcMar>
          </w:tcPr>
          <w:p w:rsidR="00E84B58" w:rsidRPr="008A0F36" w:rsidRDefault="00E84B58" w:rsidP="004300E2">
            <w:pPr>
              <w:pStyle w:val="Numeroelenco"/>
              <w:numPr>
                <w:ilvl w:val="0"/>
                <w:numId w:val="0"/>
              </w:numPr>
              <w:ind w:left="57"/>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046890" w:rsidRDefault="00E84B58" w:rsidP="004300E2">
            <w:pPr>
              <w:pStyle w:val="Puntoelenco"/>
              <w:tabs>
                <w:tab w:val="clear" w:pos="780"/>
              </w:tabs>
              <w:ind w:left="600" w:hanging="238"/>
            </w:pPr>
            <w:r w:rsidRPr="008A0F36">
              <w:t>delle attività finanziarie eliminate e la natura e lo scopo del coinvolgimento residuo dopo il trasferimento di quelle attività</w:t>
            </w:r>
          </w:p>
        </w:tc>
        <w:tc>
          <w:tcPr>
            <w:tcW w:w="575" w:type="dxa"/>
            <w:tcMar>
              <w:left w:w="85" w:type="dxa"/>
              <w:right w:w="85"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20"/>
        </w:trPr>
        <w:tc>
          <w:tcPr>
            <w:tcW w:w="567" w:type="dxa"/>
            <w:tcMar>
              <w:left w:w="108" w:type="dxa"/>
            </w:tcMar>
          </w:tcPr>
          <w:p w:rsidR="00E84B58" w:rsidRPr="008A0F36" w:rsidRDefault="00E84B58" w:rsidP="004300E2">
            <w:pPr>
              <w:pStyle w:val="Numeroelenco"/>
              <w:numPr>
                <w:ilvl w:val="0"/>
                <w:numId w:val="0"/>
              </w:numPr>
              <w:ind w:left="57"/>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046890" w:rsidRDefault="00E84B58" w:rsidP="004300E2">
            <w:pPr>
              <w:pStyle w:val="Puntoelenco"/>
              <w:tabs>
                <w:tab w:val="clear" w:pos="780"/>
              </w:tabs>
              <w:ind w:left="600" w:hanging="238"/>
            </w:pPr>
            <w:r w:rsidRPr="008A0F36">
              <w:t>dei rischi a cui l’entità è soggetta, inclusi:</w:t>
            </w:r>
          </w:p>
        </w:tc>
        <w:tc>
          <w:tcPr>
            <w:tcW w:w="575" w:type="dxa"/>
            <w:tcMar>
              <w:left w:w="85" w:type="dxa"/>
              <w:right w:w="85" w:type="dxa"/>
            </w:tcMar>
            <w:vAlign w:val="center"/>
          </w:tcPr>
          <w:p w:rsidR="00E84B58" w:rsidRPr="004979D5"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046890"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046890"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20"/>
        </w:trPr>
        <w:tc>
          <w:tcPr>
            <w:tcW w:w="567" w:type="dxa"/>
            <w:tcMar>
              <w:left w:w="108" w:type="dxa"/>
            </w:tcMar>
          </w:tcPr>
          <w:p w:rsidR="00E84B58" w:rsidRPr="008A0F36" w:rsidRDefault="00E84B58" w:rsidP="004300E2">
            <w:pPr>
              <w:pStyle w:val="Numeroelenco"/>
              <w:numPr>
                <w:ilvl w:val="0"/>
                <w:numId w:val="0"/>
              </w:numPr>
              <w:ind w:left="57"/>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046890" w:rsidRDefault="00E84B58" w:rsidP="004300E2">
            <w:pPr>
              <w:pStyle w:val="Puntoelenco"/>
              <w:numPr>
                <w:ilvl w:val="0"/>
                <w:numId w:val="241"/>
              </w:numPr>
              <w:spacing w:line="200" w:lineRule="exact"/>
              <w:ind w:left="884" w:hanging="283"/>
              <w:rPr>
                <w:iCs/>
              </w:rPr>
            </w:pPr>
            <w:r w:rsidRPr="008A0F36">
              <w:t>una descrizione di come l’entità gestisce il rischio inerente al suo coinvolgimento residuo nelle attività eliminate</w:t>
            </w:r>
          </w:p>
        </w:tc>
        <w:tc>
          <w:tcPr>
            <w:tcW w:w="575" w:type="dxa"/>
            <w:tcMar>
              <w:left w:w="85" w:type="dxa"/>
              <w:right w:w="85"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20"/>
        </w:trPr>
        <w:tc>
          <w:tcPr>
            <w:tcW w:w="567" w:type="dxa"/>
            <w:tcMar>
              <w:left w:w="108" w:type="dxa"/>
            </w:tcMar>
          </w:tcPr>
          <w:p w:rsidR="00E84B58" w:rsidRPr="008A0F36" w:rsidRDefault="00E84B58" w:rsidP="004300E2">
            <w:pPr>
              <w:pStyle w:val="Numeroelenco"/>
              <w:numPr>
                <w:ilvl w:val="0"/>
                <w:numId w:val="0"/>
              </w:numPr>
              <w:ind w:left="57"/>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046890" w:rsidRDefault="00E84B58" w:rsidP="004300E2">
            <w:pPr>
              <w:pStyle w:val="Puntoelenco"/>
              <w:numPr>
                <w:ilvl w:val="0"/>
                <w:numId w:val="241"/>
              </w:numPr>
              <w:spacing w:line="200" w:lineRule="exact"/>
              <w:ind w:left="884" w:hanging="283"/>
              <w:rPr>
                <w:iCs/>
              </w:rPr>
            </w:pPr>
            <w:r w:rsidRPr="008A0F36">
              <w:t>se l’entità deve fare fronte alle perdite prima di altre controparti, nonché la graduatoria e l’ammontare delle perdite a carico di altre controparti, se il loro livello di partecipazione al rischio è inferiore rispetto a quello dell’entità (es.: il coinvolgimento continuo nell’attività)</w:t>
            </w:r>
          </w:p>
        </w:tc>
        <w:tc>
          <w:tcPr>
            <w:tcW w:w="575" w:type="dxa"/>
            <w:tcMar>
              <w:left w:w="85" w:type="dxa"/>
              <w:right w:w="85"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20"/>
        </w:trPr>
        <w:tc>
          <w:tcPr>
            <w:tcW w:w="567" w:type="dxa"/>
            <w:tcMar>
              <w:left w:w="108" w:type="dxa"/>
            </w:tcMar>
          </w:tcPr>
          <w:p w:rsidR="00E84B58" w:rsidRPr="008A0F36" w:rsidRDefault="00E84B58" w:rsidP="004300E2">
            <w:pPr>
              <w:pStyle w:val="Numeroelenco"/>
              <w:numPr>
                <w:ilvl w:val="0"/>
                <w:numId w:val="0"/>
              </w:numPr>
              <w:ind w:left="57"/>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Default="00E84B58" w:rsidP="004300E2">
            <w:pPr>
              <w:pStyle w:val="Paragrafoelenco"/>
              <w:numPr>
                <w:ilvl w:val="0"/>
                <w:numId w:val="241"/>
              </w:numPr>
              <w:ind w:left="884" w:hanging="283"/>
              <w:rPr>
                <w:lang w:val="it-IT"/>
              </w:rPr>
            </w:pPr>
            <w:r w:rsidRPr="00046890">
              <w:rPr>
                <w:lang w:val="it-IT"/>
              </w:rPr>
              <w:t>una descrizione di ogni evento a cui siano associate obbligazioni a fornire supporto finanziario o a riacquistare l’attività finanziaria trasferita.</w:t>
            </w:r>
          </w:p>
        </w:tc>
        <w:tc>
          <w:tcPr>
            <w:tcW w:w="575" w:type="dxa"/>
            <w:tcMar>
              <w:left w:w="85" w:type="dxa"/>
              <w:right w:w="85"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Mar>
              <w:left w:w="108" w:type="dxa"/>
            </w:tcMar>
          </w:tcPr>
          <w:p w:rsidR="004300E2" w:rsidRPr="008A0F36" w:rsidRDefault="004300E2" w:rsidP="004300E2">
            <w:pPr>
              <w:pStyle w:val="Numeroelenco"/>
              <w:numPr>
                <w:ilvl w:val="0"/>
                <w:numId w:val="0"/>
              </w:numPr>
              <w:ind w:left="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IFRS 7.42F</w:t>
            </w:r>
          </w:p>
        </w:tc>
        <w:tc>
          <w:tcPr>
            <w:tcW w:w="7079" w:type="dxa"/>
            <w:tcMar>
              <w:left w:w="108" w:type="dxa"/>
            </w:tcMar>
          </w:tcPr>
          <w:p w:rsidR="004300E2" w:rsidRPr="008A0F36" w:rsidRDefault="004300E2" w:rsidP="005950D5">
            <w:pPr>
              <w:pStyle w:val="Paragarfobordato"/>
            </w:pPr>
            <w:r w:rsidRPr="008A0F36">
              <w:t xml:space="preserve">Un’entità può aggregare l’informativa richiesta </w:t>
            </w:r>
            <w:r>
              <w:t>al punto 24</w:t>
            </w:r>
            <w:r w:rsidR="00D20202">
              <w:t>1</w:t>
            </w:r>
            <w:r w:rsidRPr="0015693D">
              <w:t xml:space="preserve"> per</w:t>
            </w:r>
            <w:r w:rsidRPr="008A0F36">
              <w:t xml:space="preserve"> una specifica attività se l’entità ha mantenuto più di un tipo di coinvolgimento residuo nell’attività finanziaria eliminata, e presentare tale informativa con riferimento ad un tipo di coinvolgimento residuo.</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4300E2" w:rsidRPr="00A44ECD" w:rsidTr="00940A6F">
        <w:trPr>
          <w:cantSplit/>
          <w:trHeight w:val="20"/>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IFRS 7.42G</w:t>
            </w:r>
          </w:p>
        </w:tc>
        <w:tc>
          <w:tcPr>
            <w:tcW w:w="7079" w:type="dxa"/>
            <w:tcMar>
              <w:left w:w="108" w:type="dxa"/>
            </w:tcMar>
          </w:tcPr>
          <w:p w:rsidR="004300E2" w:rsidRPr="008A0F36" w:rsidRDefault="004300E2" w:rsidP="004300E2">
            <w:pPr>
              <w:rPr>
                <w:lang w:val="it-IT"/>
              </w:rPr>
            </w:pPr>
            <w:r w:rsidRPr="008A0F36">
              <w:rPr>
                <w:lang w:val="it-IT"/>
              </w:rPr>
              <w:t xml:space="preserve">Per ogni periodo contabile oggetto di presentazione per il quale è stato predisposto il prospetto </w:t>
            </w:r>
            <w:r>
              <w:rPr>
                <w:lang w:val="it-IT"/>
              </w:rPr>
              <w:t>(i prospetti) dell’utile/(perdita) e delle altre componenti di conto economico complessivo</w:t>
            </w:r>
            <w:r w:rsidRPr="008A0F36">
              <w:rPr>
                <w:lang w:val="it-IT"/>
              </w:rPr>
              <w:t>, l’entità ha fornito con riferimento ad ogni tipo di coinvolgimento residuo:</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E84B58" w:rsidRPr="008129DA" w:rsidTr="00940A6F">
        <w:trPr>
          <w:cantSplit/>
          <w:trHeight w:val="20"/>
        </w:trPr>
        <w:tc>
          <w:tcPr>
            <w:tcW w:w="567" w:type="dxa"/>
            <w:tcMar>
              <w:left w:w="108" w:type="dxa"/>
            </w:tcMar>
          </w:tcPr>
          <w:p w:rsidR="00E84B58" w:rsidRPr="008A0F36" w:rsidRDefault="00E84B58" w:rsidP="004300E2">
            <w:pPr>
              <w:pStyle w:val="Numeroelenco"/>
              <w:numPr>
                <w:ilvl w:val="0"/>
                <w:numId w:val="0"/>
              </w:numPr>
              <w:ind w:left="57"/>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Borders>
              <w:bottom w:val="single" w:sz="2" w:space="0" w:color="auto"/>
            </w:tcBorders>
            <w:tcMar>
              <w:left w:w="108" w:type="dxa"/>
            </w:tcMar>
          </w:tcPr>
          <w:p w:rsidR="00E84B58" w:rsidRDefault="00E84B58" w:rsidP="004300E2">
            <w:pPr>
              <w:pStyle w:val="Paragrafoelenco"/>
              <w:ind w:left="348" w:hanging="364"/>
              <w:rPr>
                <w:lang w:val="it-IT"/>
              </w:rPr>
            </w:pPr>
            <w:r w:rsidRPr="008A0F36">
              <w:rPr>
                <w:lang w:val="it-IT"/>
              </w:rPr>
              <w:t xml:space="preserve">a) </w:t>
            </w:r>
            <w:r w:rsidRPr="008A0F36">
              <w:rPr>
                <w:lang w:val="it-IT"/>
              </w:rPr>
              <w:tab/>
            </w:r>
            <w:r>
              <w:rPr>
                <w:lang w:val="it-IT"/>
              </w:rPr>
              <w:t>l</w:t>
            </w:r>
            <w:r w:rsidRPr="008A0F36">
              <w:rPr>
                <w:lang w:val="it-IT"/>
              </w:rPr>
              <w:t>’utile o la perdita riconosciuti alla data del trasferimento delle attività</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Mar>
              <w:left w:w="108" w:type="dxa"/>
            </w:tcMar>
          </w:tcPr>
          <w:p w:rsidR="004300E2" w:rsidRPr="008A0F36" w:rsidRDefault="004300E2" w:rsidP="004300E2">
            <w:pPr>
              <w:pStyle w:val="Numeroelenco"/>
              <w:numPr>
                <w:ilvl w:val="0"/>
                <w:numId w:val="0"/>
              </w:numPr>
              <w:ind w:left="57"/>
              <w:rPr>
                <w:lang w:val="it-IT"/>
              </w:rPr>
            </w:pPr>
          </w:p>
        </w:tc>
        <w:tc>
          <w:tcPr>
            <w:tcW w:w="851" w:type="dxa"/>
            <w:tcBorders>
              <w:right w:val="single" w:sz="2" w:space="0" w:color="auto"/>
            </w:tcBorders>
            <w:tcMar>
              <w:left w:w="108" w:type="dxa"/>
              <w:right w:w="0" w:type="dxa"/>
            </w:tcMar>
          </w:tcPr>
          <w:p w:rsidR="004300E2" w:rsidRPr="008A0F36" w:rsidRDefault="004300E2" w:rsidP="004300E2">
            <w:pPr>
              <w:pStyle w:val="IAS"/>
              <w:rPr>
                <w:lang w:val="it-IT"/>
              </w:rPr>
            </w:pPr>
            <w:r w:rsidRPr="008A0F36">
              <w:rPr>
                <w:lang w:val="it-IT"/>
              </w:rPr>
              <w:t>IFRS 7.B38</w:t>
            </w:r>
          </w:p>
        </w:tc>
        <w:tc>
          <w:tcPr>
            <w:tcW w:w="7079" w:type="dxa"/>
            <w:tcBorders>
              <w:top w:val="single" w:sz="2" w:space="0" w:color="auto"/>
              <w:left w:val="single" w:sz="2" w:space="0" w:color="auto"/>
              <w:bottom w:val="single" w:sz="2" w:space="0" w:color="auto"/>
              <w:right w:val="single" w:sz="2" w:space="0" w:color="auto"/>
            </w:tcBorders>
            <w:tcMar>
              <w:left w:w="108" w:type="dxa"/>
            </w:tcMar>
          </w:tcPr>
          <w:p w:rsidR="004300E2" w:rsidRDefault="004300E2" w:rsidP="005950D5">
            <w:pPr>
              <w:pStyle w:val="Paragarfobordato"/>
            </w:pPr>
            <w:r w:rsidRPr="00AB2C1C">
              <w:t xml:space="preserve">Il paragrafo 42G(a) richiede a una entità di indicare l’utile o la perdita derivanti dall’eliminazione contabile relativi ad attività finanziarie in cui l’entità ha un coinvolgimento continuo. L’entità deve indicare se l’utile o la perdita derivanti dall’eliminazione contabile si sono verificati perché i </w:t>
            </w:r>
            <w:r w:rsidRPr="00AB2C1C">
              <w:rPr>
                <w:i/>
              </w:rPr>
              <w:t xml:space="preserve">fair value </w:t>
            </w:r>
            <w:r w:rsidRPr="00AB2C1C">
              <w:t xml:space="preserve">delle componenti dell’attività rilevata in precedenza (ossia, l’interesse nell’attività eliminata e l’interesse mantenuto dall’entità) differivano dal </w:t>
            </w:r>
            <w:r w:rsidRPr="00AB2C1C">
              <w:rPr>
                <w:i/>
              </w:rPr>
              <w:t xml:space="preserve">fair value </w:t>
            </w:r>
            <w:r w:rsidRPr="00AB2C1C">
              <w:t xml:space="preserve">dell’attività rilevata in precedenza nel suo insieme. In tale situazione, l’entità deve anche indicare se le valutazioni al </w:t>
            </w:r>
            <w:r w:rsidRPr="00AB2C1C">
              <w:rPr>
                <w:i/>
              </w:rPr>
              <w:t xml:space="preserve">fair value </w:t>
            </w:r>
            <w:r w:rsidRPr="00AB2C1C">
              <w:t>contenevano dati significativi non basati su dati di mercato osservabili.</w:t>
            </w:r>
          </w:p>
        </w:tc>
        <w:tc>
          <w:tcPr>
            <w:tcW w:w="575" w:type="dxa"/>
            <w:tcBorders>
              <w:left w:val="single" w:sz="2" w:space="0" w:color="auto"/>
            </w:tcBorders>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E84B58" w:rsidRPr="008129DA" w:rsidTr="00940A6F">
        <w:trPr>
          <w:cantSplit/>
          <w:trHeight w:val="20"/>
        </w:trPr>
        <w:tc>
          <w:tcPr>
            <w:tcW w:w="567" w:type="dxa"/>
            <w:tcMar>
              <w:left w:w="108" w:type="dxa"/>
            </w:tcMar>
          </w:tcPr>
          <w:p w:rsidR="00E84B58" w:rsidRPr="008A0F36" w:rsidRDefault="00E84B58" w:rsidP="004300E2">
            <w:pPr>
              <w:pStyle w:val="Numeroelenco"/>
              <w:numPr>
                <w:ilvl w:val="0"/>
                <w:numId w:val="0"/>
              </w:numPr>
              <w:spacing w:line="224" w:lineRule="exact"/>
              <w:ind w:left="57"/>
              <w:rPr>
                <w:lang w:val="it-IT"/>
              </w:rPr>
            </w:pPr>
          </w:p>
        </w:tc>
        <w:tc>
          <w:tcPr>
            <w:tcW w:w="851" w:type="dxa"/>
            <w:tcMar>
              <w:left w:w="108" w:type="dxa"/>
              <w:right w:w="0" w:type="dxa"/>
            </w:tcMar>
          </w:tcPr>
          <w:p w:rsidR="00E84B58" w:rsidRPr="008A0F36" w:rsidRDefault="00E84B58" w:rsidP="004300E2">
            <w:pPr>
              <w:pStyle w:val="IAS"/>
              <w:spacing w:line="224" w:lineRule="exact"/>
              <w:rPr>
                <w:lang w:val="it-IT"/>
              </w:rPr>
            </w:pPr>
          </w:p>
        </w:tc>
        <w:tc>
          <w:tcPr>
            <w:tcW w:w="7079" w:type="dxa"/>
            <w:tcBorders>
              <w:top w:val="single" w:sz="2" w:space="0" w:color="auto"/>
            </w:tcBorders>
            <w:tcMar>
              <w:left w:w="108" w:type="dxa"/>
            </w:tcMar>
          </w:tcPr>
          <w:p w:rsidR="00E84B58" w:rsidRDefault="00E84B58" w:rsidP="004300E2">
            <w:pPr>
              <w:pStyle w:val="Paragrafoelenco"/>
              <w:numPr>
                <w:ilvl w:val="0"/>
                <w:numId w:val="199"/>
              </w:numPr>
              <w:spacing w:line="224" w:lineRule="exact"/>
              <w:ind w:left="334"/>
              <w:rPr>
                <w:iCs/>
                <w:lang w:val="it-IT"/>
              </w:rPr>
            </w:pPr>
            <w:r>
              <w:rPr>
                <w:lang w:val="it-IT"/>
              </w:rPr>
              <w:t>c</w:t>
            </w:r>
            <w:r w:rsidRPr="008A0F36">
              <w:rPr>
                <w:lang w:val="it-IT"/>
              </w:rPr>
              <w:t xml:space="preserve">osti e ricavi rilevati, sia nel periodo corrente che cumulativamente, derivanti dal coinvolgimento residuo dall’entità nell’attività finanziaria eliminata (i.e.: la variazione del </w:t>
            </w:r>
            <w:r w:rsidRPr="008A0F36">
              <w:rPr>
                <w:i/>
                <w:lang w:val="it-IT"/>
              </w:rPr>
              <w:t>fair value</w:t>
            </w:r>
            <w:r w:rsidRPr="008A0F36">
              <w:rPr>
                <w:lang w:val="it-IT"/>
              </w:rPr>
              <w:t xml:space="preserve"> degli strumenti derivati)</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Mar>
              <w:left w:w="108" w:type="dxa"/>
            </w:tcMar>
          </w:tcPr>
          <w:p w:rsidR="004300E2" w:rsidRPr="008A0F36" w:rsidRDefault="004300E2" w:rsidP="004300E2">
            <w:pPr>
              <w:pStyle w:val="Numeroelenco"/>
              <w:numPr>
                <w:ilvl w:val="0"/>
                <w:numId w:val="0"/>
              </w:numPr>
              <w:spacing w:line="224" w:lineRule="exact"/>
              <w:ind w:left="57"/>
              <w:rPr>
                <w:lang w:val="it-IT"/>
              </w:rPr>
            </w:pPr>
          </w:p>
        </w:tc>
        <w:tc>
          <w:tcPr>
            <w:tcW w:w="851" w:type="dxa"/>
            <w:tcMar>
              <w:left w:w="108" w:type="dxa"/>
              <w:right w:w="0" w:type="dxa"/>
            </w:tcMar>
          </w:tcPr>
          <w:p w:rsidR="004300E2" w:rsidRPr="008A0F36" w:rsidRDefault="004300E2" w:rsidP="004300E2">
            <w:pPr>
              <w:pStyle w:val="IAS"/>
              <w:spacing w:line="224" w:lineRule="exact"/>
              <w:rPr>
                <w:lang w:val="it-IT"/>
              </w:rPr>
            </w:pPr>
          </w:p>
        </w:tc>
        <w:tc>
          <w:tcPr>
            <w:tcW w:w="7079" w:type="dxa"/>
            <w:tcMar>
              <w:left w:w="108" w:type="dxa"/>
            </w:tcMar>
          </w:tcPr>
          <w:p w:rsidR="004300E2" w:rsidRPr="00DA79B3" w:rsidRDefault="004300E2" w:rsidP="004300E2">
            <w:pPr>
              <w:pStyle w:val="Paragrafoelenco"/>
              <w:numPr>
                <w:ilvl w:val="0"/>
                <w:numId w:val="199"/>
              </w:numPr>
              <w:spacing w:line="224" w:lineRule="exact"/>
              <w:ind w:left="348"/>
              <w:rPr>
                <w:iCs/>
                <w:lang w:val="it-IT"/>
              </w:rPr>
            </w:pPr>
            <w:r>
              <w:rPr>
                <w:lang w:val="it-IT"/>
              </w:rPr>
              <w:t>s</w:t>
            </w:r>
            <w:r w:rsidRPr="008A0F36">
              <w:rPr>
                <w:lang w:val="it-IT"/>
              </w:rPr>
              <w:t>e l’ammontare complessivo degli incassi derivanti dal trasferimento delle attività (che si qualificano per l’eliminazione) in un periodo contabile non si è uniformemente distribuito lungo il periodo contabile stesso (es.: se una parte sostanziale dell’ammontare totale del trasferimento ha luogo negli ultimi giorni del periodo contabile in oggetto):</w:t>
            </w:r>
          </w:p>
        </w:tc>
        <w:tc>
          <w:tcPr>
            <w:tcW w:w="575" w:type="dxa"/>
            <w:tcMar>
              <w:left w:w="85" w:type="dxa"/>
              <w:right w:w="85" w:type="dxa"/>
            </w:tcMar>
          </w:tcPr>
          <w:p w:rsidR="004300E2" w:rsidRPr="00A32A16" w:rsidRDefault="004300E2" w:rsidP="004300E2">
            <w:pPr>
              <w:rPr>
                <w:lang w:val="it-IT"/>
              </w:rPr>
            </w:pPr>
          </w:p>
        </w:tc>
        <w:tc>
          <w:tcPr>
            <w:tcW w:w="567" w:type="dxa"/>
            <w:tcMar>
              <w:left w:w="108" w:type="dxa"/>
            </w:tcMar>
          </w:tcPr>
          <w:p w:rsidR="004300E2" w:rsidRPr="00DA79B3" w:rsidRDefault="004300E2" w:rsidP="004300E2">
            <w:pPr>
              <w:rPr>
                <w:lang w:val="it-IT"/>
              </w:rPr>
            </w:pPr>
          </w:p>
        </w:tc>
        <w:tc>
          <w:tcPr>
            <w:tcW w:w="567" w:type="dxa"/>
            <w:tcMar>
              <w:left w:w="108" w:type="dxa"/>
            </w:tcMar>
          </w:tcPr>
          <w:p w:rsidR="004300E2" w:rsidRPr="00DA79B3" w:rsidRDefault="004300E2" w:rsidP="004300E2">
            <w:pPr>
              <w:rPr>
                <w:lang w:val="it-IT"/>
              </w:rPr>
            </w:pPr>
          </w:p>
        </w:tc>
      </w:tr>
      <w:tr w:rsidR="00E84B58" w:rsidRPr="008129DA" w:rsidTr="00940A6F">
        <w:trPr>
          <w:cantSplit/>
          <w:trHeight w:val="20"/>
        </w:trPr>
        <w:tc>
          <w:tcPr>
            <w:tcW w:w="567" w:type="dxa"/>
            <w:tcMar>
              <w:left w:w="108" w:type="dxa"/>
            </w:tcMar>
          </w:tcPr>
          <w:p w:rsidR="00E84B58" w:rsidRPr="008A0F36" w:rsidRDefault="00E84B58" w:rsidP="004300E2">
            <w:pPr>
              <w:pStyle w:val="Numeroelenco"/>
              <w:numPr>
                <w:ilvl w:val="0"/>
                <w:numId w:val="0"/>
              </w:numPr>
              <w:spacing w:line="224" w:lineRule="exact"/>
              <w:ind w:left="57"/>
              <w:rPr>
                <w:lang w:val="it-IT"/>
              </w:rPr>
            </w:pPr>
          </w:p>
        </w:tc>
        <w:tc>
          <w:tcPr>
            <w:tcW w:w="851" w:type="dxa"/>
            <w:tcMar>
              <w:left w:w="108" w:type="dxa"/>
              <w:right w:w="0" w:type="dxa"/>
            </w:tcMar>
          </w:tcPr>
          <w:p w:rsidR="00E84B58" w:rsidRPr="008A0F36" w:rsidRDefault="00E84B58" w:rsidP="004300E2">
            <w:pPr>
              <w:pStyle w:val="IAS"/>
              <w:spacing w:line="224" w:lineRule="exact"/>
              <w:rPr>
                <w:lang w:val="it-IT"/>
              </w:rPr>
            </w:pPr>
          </w:p>
        </w:tc>
        <w:tc>
          <w:tcPr>
            <w:tcW w:w="7079" w:type="dxa"/>
            <w:tcMar>
              <w:left w:w="108" w:type="dxa"/>
            </w:tcMar>
          </w:tcPr>
          <w:p w:rsidR="00E84B58" w:rsidRPr="00DA79B3" w:rsidRDefault="00E84B58" w:rsidP="004300E2">
            <w:pPr>
              <w:pStyle w:val="Puntoelenco"/>
              <w:spacing w:line="224" w:lineRule="exact"/>
              <w:ind w:left="628" w:hanging="284"/>
            </w:pPr>
            <w:r w:rsidRPr="008A0F36">
              <w:t>quando il principale trasferimento ha avuto luogo nel corso del periodo contabile (es.: gli ultimi cinque giorni prima della chiusura del periodo contabile)</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20"/>
        </w:trPr>
        <w:tc>
          <w:tcPr>
            <w:tcW w:w="567" w:type="dxa"/>
            <w:tcMar>
              <w:left w:w="108" w:type="dxa"/>
            </w:tcMar>
          </w:tcPr>
          <w:p w:rsidR="00E84B58" w:rsidRPr="008A0F36" w:rsidRDefault="00E84B58" w:rsidP="004300E2">
            <w:pPr>
              <w:pStyle w:val="Numeroelenco"/>
              <w:numPr>
                <w:ilvl w:val="0"/>
                <w:numId w:val="0"/>
              </w:numPr>
              <w:spacing w:line="224" w:lineRule="exact"/>
              <w:ind w:left="57"/>
              <w:rPr>
                <w:lang w:val="it-IT"/>
              </w:rPr>
            </w:pPr>
          </w:p>
        </w:tc>
        <w:tc>
          <w:tcPr>
            <w:tcW w:w="851" w:type="dxa"/>
            <w:tcMar>
              <w:left w:w="108" w:type="dxa"/>
              <w:right w:w="0" w:type="dxa"/>
            </w:tcMar>
          </w:tcPr>
          <w:p w:rsidR="00E84B58" w:rsidRPr="008A0F36" w:rsidRDefault="00E84B58" w:rsidP="004300E2">
            <w:pPr>
              <w:pStyle w:val="IAS"/>
              <w:spacing w:line="224" w:lineRule="exact"/>
              <w:rPr>
                <w:lang w:val="it-IT"/>
              </w:rPr>
            </w:pPr>
          </w:p>
        </w:tc>
        <w:tc>
          <w:tcPr>
            <w:tcW w:w="7079" w:type="dxa"/>
            <w:tcMar>
              <w:left w:w="108" w:type="dxa"/>
            </w:tcMar>
          </w:tcPr>
          <w:p w:rsidR="00E84B58" w:rsidRPr="00DA79B3" w:rsidRDefault="00E84B58" w:rsidP="004300E2">
            <w:pPr>
              <w:pStyle w:val="Puntoelenco"/>
              <w:spacing w:line="224" w:lineRule="exact"/>
              <w:ind w:left="628" w:hanging="284"/>
            </w:pPr>
            <w:r w:rsidRPr="008A0F36">
              <w:t>l’ammontare rilevato (es.: utile o perdita relativi) a seguito del trasferimento delle attività in quella parte del periodo contabile</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20"/>
        </w:trPr>
        <w:tc>
          <w:tcPr>
            <w:tcW w:w="567" w:type="dxa"/>
            <w:tcMar>
              <w:left w:w="108" w:type="dxa"/>
            </w:tcMar>
          </w:tcPr>
          <w:p w:rsidR="00E84B58" w:rsidRPr="008A0F36" w:rsidRDefault="00E84B58" w:rsidP="004300E2">
            <w:pPr>
              <w:pStyle w:val="Numeroelenco"/>
              <w:numPr>
                <w:ilvl w:val="0"/>
                <w:numId w:val="0"/>
              </w:numPr>
              <w:spacing w:line="224" w:lineRule="exact"/>
              <w:ind w:left="57"/>
              <w:rPr>
                <w:lang w:val="it-IT"/>
              </w:rPr>
            </w:pPr>
          </w:p>
        </w:tc>
        <w:tc>
          <w:tcPr>
            <w:tcW w:w="851" w:type="dxa"/>
            <w:tcMar>
              <w:left w:w="108" w:type="dxa"/>
              <w:right w:w="0" w:type="dxa"/>
            </w:tcMar>
          </w:tcPr>
          <w:p w:rsidR="00E84B58" w:rsidRPr="008A0F36" w:rsidRDefault="00E84B58" w:rsidP="004300E2">
            <w:pPr>
              <w:pStyle w:val="IAS"/>
              <w:spacing w:line="224" w:lineRule="exact"/>
              <w:rPr>
                <w:lang w:val="it-IT"/>
              </w:rPr>
            </w:pPr>
          </w:p>
        </w:tc>
        <w:tc>
          <w:tcPr>
            <w:tcW w:w="7079" w:type="dxa"/>
            <w:tcMar>
              <w:left w:w="108" w:type="dxa"/>
            </w:tcMar>
          </w:tcPr>
          <w:p w:rsidR="00E84B58" w:rsidRPr="00DA79B3" w:rsidRDefault="00E84B58" w:rsidP="004300E2">
            <w:pPr>
              <w:pStyle w:val="Puntoelenco"/>
              <w:tabs>
                <w:tab w:val="clear" w:pos="780"/>
              </w:tabs>
              <w:ind w:left="601" w:hanging="284"/>
            </w:pPr>
            <w:r w:rsidRPr="00DA79B3">
              <w:t>l’importo totale degli incassi derivanti dal trasferimento delle attività in quella parte del periodo contabile.</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A0F36" w:rsidTr="00940A6F">
        <w:trPr>
          <w:cantSplit/>
          <w:trHeight w:val="20"/>
        </w:trPr>
        <w:tc>
          <w:tcPr>
            <w:tcW w:w="567" w:type="dxa"/>
            <w:tcMar>
              <w:left w:w="108" w:type="dxa"/>
            </w:tcMar>
          </w:tcPr>
          <w:p w:rsidR="004300E2" w:rsidRDefault="004300E2" w:rsidP="00B468C8">
            <w:pPr>
              <w:pStyle w:val="IAS"/>
              <w:spacing w:after="40"/>
              <w:rPr>
                <w:lang w:val="it-IT"/>
              </w:rPr>
            </w:pPr>
          </w:p>
        </w:tc>
        <w:tc>
          <w:tcPr>
            <w:tcW w:w="851" w:type="dxa"/>
            <w:tcMar>
              <w:left w:w="108" w:type="dxa"/>
              <w:right w:w="0" w:type="dxa"/>
            </w:tcMar>
          </w:tcPr>
          <w:p w:rsidR="004300E2" w:rsidRDefault="004300E2" w:rsidP="00B468C8">
            <w:pPr>
              <w:pStyle w:val="IAS"/>
              <w:spacing w:after="40"/>
              <w:rPr>
                <w:lang w:val="it-IT"/>
              </w:rPr>
            </w:pPr>
          </w:p>
        </w:tc>
        <w:tc>
          <w:tcPr>
            <w:tcW w:w="7079" w:type="dxa"/>
            <w:tcMar>
              <w:left w:w="108" w:type="dxa"/>
            </w:tcMar>
          </w:tcPr>
          <w:p w:rsidR="004300E2" w:rsidRDefault="004300E2" w:rsidP="00B468C8">
            <w:pPr>
              <w:pStyle w:val="Titolo2"/>
              <w:keepNext w:val="0"/>
              <w:spacing w:before="40" w:after="40"/>
              <w:rPr>
                <w:lang w:val="it-IT"/>
              </w:rPr>
            </w:pPr>
            <w:r w:rsidRPr="008A0F36">
              <w:rPr>
                <w:lang w:val="it-IT"/>
              </w:rPr>
              <w:t>Informativa integrativa</w:t>
            </w:r>
          </w:p>
        </w:tc>
        <w:tc>
          <w:tcPr>
            <w:tcW w:w="575" w:type="dxa"/>
            <w:tcMar>
              <w:left w:w="85" w:type="dxa"/>
              <w:right w:w="85" w:type="dxa"/>
            </w:tcMar>
            <w:vAlign w:val="center"/>
          </w:tcPr>
          <w:p w:rsidR="004300E2" w:rsidRDefault="004300E2" w:rsidP="00B468C8">
            <w:pPr>
              <w:spacing w:before="40" w:after="40"/>
              <w:jc w:val="center"/>
            </w:pPr>
          </w:p>
        </w:tc>
        <w:tc>
          <w:tcPr>
            <w:tcW w:w="567" w:type="dxa"/>
            <w:tcMar>
              <w:left w:w="108" w:type="dxa"/>
            </w:tcMar>
            <w:vAlign w:val="center"/>
          </w:tcPr>
          <w:p w:rsidR="004300E2" w:rsidRDefault="004300E2" w:rsidP="00B468C8">
            <w:pPr>
              <w:spacing w:before="40" w:after="40"/>
              <w:jc w:val="center"/>
            </w:pPr>
          </w:p>
        </w:tc>
        <w:tc>
          <w:tcPr>
            <w:tcW w:w="567" w:type="dxa"/>
            <w:tcMar>
              <w:left w:w="108" w:type="dxa"/>
            </w:tcMar>
            <w:vAlign w:val="center"/>
          </w:tcPr>
          <w:p w:rsidR="004300E2" w:rsidRDefault="004300E2" w:rsidP="00B468C8">
            <w:pPr>
              <w:spacing w:before="40" w:after="40"/>
              <w:jc w:val="center"/>
            </w:pPr>
          </w:p>
        </w:tc>
      </w:tr>
      <w:tr w:rsidR="00E84B58" w:rsidRPr="008129DA" w:rsidTr="00940A6F">
        <w:trPr>
          <w:cantSplit/>
          <w:trHeight w:val="20"/>
        </w:trPr>
        <w:tc>
          <w:tcPr>
            <w:tcW w:w="567" w:type="dxa"/>
            <w:tcMar>
              <w:left w:w="108" w:type="dxa"/>
            </w:tcMar>
          </w:tcPr>
          <w:p w:rsidR="00E84B58" w:rsidRPr="008A0F36" w:rsidRDefault="00E84B58" w:rsidP="004300E2">
            <w:pPr>
              <w:pStyle w:val="Numeroelenco"/>
              <w:ind w:left="0" w:firstLine="57"/>
              <w:rPr>
                <w:lang w:val="it-IT"/>
              </w:rPr>
            </w:pPr>
          </w:p>
        </w:tc>
        <w:tc>
          <w:tcPr>
            <w:tcW w:w="851" w:type="dxa"/>
            <w:tcMar>
              <w:left w:w="108" w:type="dxa"/>
              <w:right w:w="0" w:type="dxa"/>
            </w:tcMar>
          </w:tcPr>
          <w:p w:rsidR="00E84B58" w:rsidRPr="008A0F36" w:rsidRDefault="00E84B58" w:rsidP="004300E2">
            <w:pPr>
              <w:pStyle w:val="IAS"/>
              <w:rPr>
                <w:lang w:val="it-IT"/>
              </w:rPr>
            </w:pPr>
            <w:r w:rsidRPr="008A0F36">
              <w:rPr>
                <w:lang w:val="it-IT"/>
              </w:rPr>
              <w:t>IFRS 7.42H IFRS 7.B39</w:t>
            </w:r>
          </w:p>
        </w:tc>
        <w:tc>
          <w:tcPr>
            <w:tcW w:w="7079" w:type="dxa"/>
            <w:tcMar>
              <w:left w:w="108" w:type="dxa"/>
            </w:tcMar>
          </w:tcPr>
          <w:p w:rsidR="00E84B58" w:rsidRPr="008A0F36" w:rsidRDefault="00E84B58" w:rsidP="004300E2">
            <w:pPr>
              <w:rPr>
                <w:lang w:val="it-IT"/>
              </w:rPr>
            </w:pPr>
            <w:r w:rsidRPr="008A0F36">
              <w:rPr>
                <w:lang w:val="it-IT"/>
              </w:rPr>
              <w:t xml:space="preserve">L’entità, se </w:t>
            </w:r>
            <w:r w:rsidRPr="0015693D">
              <w:rPr>
                <w:lang w:val="it-IT"/>
              </w:rPr>
              <w:t xml:space="preserve">necessario, ha fornito ulteriori informazioni integrative al fine di soddisfare i requisiti generali di cui al punto </w:t>
            </w:r>
            <w:r>
              <w:rPr>
                <w:lang w:val="it-IT"/>
              </w:rPr>
              <w:t>239.</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Mar>
              <w:left w:w="108" w:type="dxa"/>
            </w:tcMar>
          </w:tcPr>
          <w:p w:rsidR="004300E2" w:rsidRPr="008A0F36" w:rsidRDefault="004300E2" w:rsidP="004300E2">
            <w:pPr>
              <w:pStyle w:val="Numeroelenco"/>
              <w:numPr>
                <w:ilvl w:val="0"/>
                <w:numId w:val="0"/>
              </w:numPr>
              <w:ind w:left="57"/>
              <w:rPr>
                <w:lang w:val="it-IT"/>
              </w:rPr>
            </w:pPr>
          </w:p>
        </w:tc>
        <w:tc>
          <w:tcPr>
            <w:tcW w:w="851" w:type="dxa"/>
            <w:tcMar>
              <w:left w:w="108" w:type="dxa"/>
              <w:right w:w="0" w:type="dxa"/>
            </w:tcMar>
          </w:tcPr>
          <w:p w:rsidR="004300E2" w:rsidRPr="000C2263" w:rsidRDefault="004300E2" w:rsidP="004300E2">
            <w:pPr>
              <w:pStyle w:val="IAS"/>
            </w:pPr>
            <w:r w:rsidRPr="000C2263">
              <w:t>IFRS 7.42C</w:t>
            </w:r>
          </w:p>
          <w:p w:rsidR="004300E2" w:rsidRPr="000C2263" w:rsidRDefault="004300E2" w:rsidP="004300E2">
            <w:pPr>
              <w:pStyle w:val="IAS"/>
            </w:pPr>
            <w:r w:rsidRPr="000C2263">
              <w:t>IFRS 7 B.30</w:t>
            </w:r>
          </w:p>
          <w:p w:rsidR="004300E2" w:rsidRPr="000C2263" w:rsidRDefault="004300E2" w:rsidP="004300E2">
            <w:pPr>
              <w:pStyle w:val="IAS"/>
            </w:pPr>
          </w:p>
          <w:p w:rsidR="004300E2" w:rsidRPr="000C2263" w:rsidRDefault="004300E2" w:rsidP="004300E2">
            <w:pPr>
              <w:pStyle w:val="IAS"/>
            </w:pPr>
          </w:p>
          <w:p w:rsidR="004300E2" w:rsidRPr="000C2263" w:rsidRDefault="004300E2" w:rsidP="004300E2">
            <w:pPr>
              <w:pStyle w:val="IAS"/>
            </w:pPr>
          </w:p>
          <w:p w:rsidR="004300E2" w:rsidRPr="000C2263" w:rsidRDefault="004300E2" w:rsidP="004300E2">
            <w:pPr>
              <w:pStyle w:val="IAS"/>
            </w:pPr>
          </w:p>
          <w:p w:rsidR="004300E2" w:rsidRPr="000C2263" w:rsidRDefault="004300E2" w:rsidP="004300E2">
            <w:pPr>
              <w:pStyle w:val="IAS"/>
            </w:pPr>
          </w:p>
          <w:p w:rsidR="004300E2" w:rsidRPr="000C2263" w:rsidRDefault="004300E2" w:rsidP="004300E2">
            <w:pPr>
              <w:pStyle w:val="IAS"/>
            </w:pPr>
          </w:p>
          <w:p w:rsidR="004300E2" w:rsidRPr="000C2263" w:rsidRDefault="004300E2" w:rsidP="004300E2">
            <w:pPr>
              <w:pStyle w:val="IAS"/>
            </w:pPr>
          </w:p>
          <w:p w:rsidR="004300E2" w:rsidRPr="000C2263" w:rsidRDefault="004300E2" w:rsidP="004300E2">
            <w:pPr>
              <w:pStyle w:val="IAS"/>
            </w:pPr>
          </w:p>
          <w:p w:rsidR="004300E2" w:rsidRPr="000C2263" w:rsidRDefault="004300E2" w:rsidP="004300E2">
            <w:pPr>
              <w:pStyle w:val="IAS"/>
            </w:pPr>
          </w:p>
          <w:p w:rsidR="004300E2" w:rsidRPr="000C2263" w:rsidRDefault="004300E2" w:rsidP="004300E2">
            <w:pPr>
              <w:pStyle w:val="IAS"/>
            </w:pPr>
          </w:p>
          <w:p w:rsidR="004300E2" w:rsidRPr="000C2263" w:rsidRDefault="004300E2" w:rsidP="004300E2">
            <w:pPr>
              <w:pStyle w:val="IAS"/>
              <w:spacing w:before="100"/>
              <w:rPr>
                <w:sz w:val="4"/>
                <w:szCs w:val="4"/>
              </w:rPr>
            </w:pPr>
          </w:p>
          <w:p w:rsidR="004300E2" w:rsidRPr="000C2263" w:rsidRDefault="004300E2" w:rsidP="004300E2">
            <w:pPr>
              <w:pStyle w:val="IAS"/>
            </w:pPr>
            <w:r w:rsidRPr="000C2263">
              <w:t>IFRS 7.B33</w:t>
            </w:r>
          </w:p>
        </w:tc>
        <w:tc>
          <w:tcPr>
            <w:tcW w:w="7079" w:type="dxa"/>
            <w:tcMar>
              <w:left w:w="108" w:type="dxa"/>
            </w:tcMar>
          </w:tcPr>
          <w:p w:rsidR="004300E2" w:rsidRPr="0015693D" w:rsidRDefault="004300E2" w:rsidP="004300E2">
            <w:pPr>
              <w:pStyle w:val="Commentiriquadro"/>
              <w:spacing w:before="60" w:after="60" w:line="180" w:lineRule="exact"/>
              <w:rPr>
                <w:lang w:val="it-IT"/>
              </w:rPr>
            </w:pPr>
            <w:r w:rsidRPr="0015693D">
              <w:rPr>
                <w:lang w:val="it-IT"/>
              </w:rPr>
              <w:t xml:space="preserve">Per i punti </w:t>
            </w:r>
            <w:r w:rsidRPr="00C35E28">
              <w:rPr>
                <w:lang w:val="it-IT"/>
              </w:rPr>
              <w:t>24</w:t>
            </w:r>
            <w:r w:rsidR="00D20202">
              <w:rPr>
                <w:lang w:val="it-IT"/>
              </w:rPr>
              <w:t>0</w:t>
            </w:r>
            <w:r w:rsidRPr="00C35E28">
              <w:rPr>
                <w:lang w:val="it-IT"/>
              </w:rPr>
              <w:t>-24</w:t>
            </w:r>
            <w:r w:rsidR="00D20202">
              <w:rPr>
                <w:lang w:val="it-IT"/>
              </w:rPr>
              <w:t>2</w:t>
            </w:r>
            <w:r w:rsidRPr="0015693D">
              <w:rPr>
                <w:lang w:val="it-IT"/>
              </w:rPr>
              <w:t>, un’entità mantiene un coinvolgimento residuo in un’attività finanziaria trasferita se, nel contesto del trasferimento, l’entità mantiene qualsiasi diritto od obbligazione contrattuale legati all’attività finanziaria trasferita od ottiene qualsiasi nuovo diritto od obbligazione contrattuale legati all’attività finanziaria trasferita. Peraltro, non rappresentano il mantenimento di un coinvolgimento residuo:</w:t>
            </w:r>
          </w:p>
          <w:p w:rsidR="004300E2" w:rsidRPr="0015693D" w:rsidRDefault="004300E2" w:rsidP="004300E2">
            <w:pPr>
              <w:pStyle w:val="Commentiriquadro"/>
              <w:numPr>
                <w:ilvl w:val="0"/>
                <w:numId w:val="187"/>
              </w:numPr>
              <w:spacing w:line="180" w:lineRule="exact"/>
              <w:ind w:left="533" w:hanging="357"/>
              <w:rPr>
                <w:iCs/>
                <w:lang w:val="it-IT"/>
              </w:rPr>
            </w:pPr>
            <w:r w:rsidRPr="0015693D">
              <w:rPr>
                <w:lang w:val="it-IT"/>
              </w:rPr>
              <w:t>normali attestazioni e garanzie legate a trasferimenti fraudolenti ed ai concetti di ragionevolezza, buona fede e transazioni eque che potrebbero invalidare il trasferimento in caso di azione legale</w:t>
            </w:r>
          </w:p>
          <w:p w:rsidR="004300E2" w:rsidRPr="0015693D" w:rsidRDefault="004300E2" w:rsidP="004300E2">
            <w:pPr>
              <w:pStyle w:val="Commentiriquadro"/>
              <w:numPr>
                <w:ilvl w:val="0"/>
                <w:numId w:val="187"/>
              </w:numPr>
              <w:spacing w:line="180" w:lineRule="exact"/>
              <w:ind w:left="533" w:hanging="357"/>
              <w:rPr>
                <w:iCs/>
                <w:lang w:val="it-IT"/>
              </w:rPr>
            </w:pPr>
            <w:r w:rsidRPr="0015693D">
              <w:rPr>
                <w:lang w:val="it-IT"/>
              </w:rPr>
              <w:t xml:space="preserve">contratti a termine, opzioni ed altri contratti a riacquistare l’attività finanziaria trasferita per i quali il prezzo stabilito dal contratto (o prezzo di esercizio) è il </w:t>
            </w:r>
            <w:r w:rsidRPr="0015693D">
              <w:rPr>
                <w:i/>
                <w:lang w:val="it-IT"/>
              </w:rPr>
              <w:t>fair value</w:t>
            </w:r>
            <w:r w:rsidRPr="0015693D">
              <w:rPr>
                <w:lang w:val="it-IT"/>
              </w:rPr>
              <w:t xml:space="preserve"> dell’attività finanziaria trasferita</w:t>
            </w:r>
          </w:p>
          <w:p w:rsidR="004300E2" w:rsidRPr="0015693D" w:rsidRDefault="004300E2" w:rsidP="004300E2">
            <w:pPr>
              <w:pStyle w:val="Commentiriquadro"/>
              <w:numPr>
                <w:ilvl w:val="0"/>
                <w:numId w:val="187"/>
              </w:numPr>
              <w:spacing w:line="180" w:lineRule="exact"/>
              <w:ind w:left="533" w:hanging="357"/>
              <w:rPr>
                <w:iCs/>
                <w:lang w:val="it-IT"/>
              </w:rPr>
            </w:pPr>
            <w:r w:rsidRPr="0015693D">
              <w:rPr>
                <w:lang w:val="it-IT"/>
              </w:rPr>
              <w:t xml:space="preserve">un accordo in base al quale l’entità mantiene il diritto contrattuale a ricevere i flussi di cassa di un’attività finanziaria, ma assume l’obbligazione contrattuale di pagare questi flussi di cassa ad una o più controparti e sono rispettate le condizioni di cui allo IAS 39.19(a)-(c). </w:t>
            </w:r>
          </w:p>
          <w:p w:rsidR="004300E2" w:rsidRPr="0015693D" w:rsidRDefault="004300E2" w:rsidP="004300E2">
            <w:pPr>
              <w:pStyle w:val="Commentiriquadro"/>
              <w:spacing w:line="240" w:lineRule="auto"/>
              <w:rPr>
                <w:sz w:val="4"/>
                <w:szCs w:val="4"/>
                <w:lang w:val="it-IT"/>
              </w:rPr>
            </w:pPr>
          </w:p>
          <w:p w:rsidR="004300E2" w:rsidRPr="008A0F36" w:rsidRDefault="004300E2" w:rsidP="004300E2">
            <w:pPr>
              <w:pStyle w:val="Commentiriquadro"/>
              <w:spacing w:line="180" w:lineRule="atLeast"/>
              <w:rPr>
                <w:lang w:val="it-IT"/>
              </w:rPr>
            </w:pPr>
            <w:r w:rsidRPr="0015693D">
              <w:rPr>
                <w:lang w:val="it-IT"/>
              </w:rPr>
              <w:t xml:space="preserve">I punti </w:t>
            </w:r>
            <w:r w:rsidRPr="00C35E28">
              <w:rPr>
                <w:lang w:val="it-IT"/>
              </w:rPr>
              <w:t>24</w:t>
            </w:r>
            <w:r w:rsidR="00D20202">
              <w:rPr>
                <w:lang w:val="it-IT"/>
              </w:rPr>
              <w:t>0</w:t>
            </w:r>
            <w:r w:rsidRPr="00C35E28">
              <w:rPr>
                <w:lang w:val="it-IT"/>
              </w:rPr>
              <w:t>-24</w:t>
            </w:r>
            <w:r w:rsidR="00D20202">
              <w:rPr>
                <w:lang w:val="it-IT"/>
              </w:rPr>
              <w:t>2</w:t>
            </w:r>
            <w:r w:rsidRPr="00C35E28">
              <w:rPr>
                <w:lang w:val="it-IT"/>
              </w:rPr>
              <w:t xml:space="preserve"> richiedono</w:t>
            </w:r>
            <w:r w:rsidRPr="0015693D">
              <w:rPr>
                <w:lang w:val="it-IT"/>
              </w:rPr>
              <w:t xml:space="preserve"> informati</w:t>
            </w:r>
            <w:r w:rsidRPr="008A0F36">
              <w:rPr>
                <w:lang w:val="it-IT"/>
              </w:rPr>
              <w:t>va qualitativa e quantitativa per ogni tipo di coinvolgimento residuo nelle attività finanziarie eliminate.</w:t>
            </w:r>
          </w:p>
          <w:p w:rsidR="004300E2" w:rsidRPr="008A0F36" w:rsidRDefault="004300E2" w:rsidP="00771DEA">
            <w:pPr>
              <w:pStyle w:val="Commentiriquadro"/>
              <w:tabs>
                <w:tab w:val="left" w:pos="0"/>
              </w:tabs>
              <w:spacing w:before="60" w:after="60" w:line="180" w:lineRule="atLeast"/>
              <w:rPr>
                <w:lang w:val="it-IT"/>
              </w:rPr>
            </w:pPr>
            <w:r w:rsidRPr="008A0F36">
              <w:rPr>
                <w:lang w:val="it-IT"/>
              </w:rPr>
              <w:t>Un’entità aggrega il coinvolgimento residuo in classi che sono rappresentative dell’esposizione dell’entità al rischio. Per esempio, per tipologia di strumento finanziario (es.: garanzie od opzioni call), o per tipologia di trasferimento (es.: factoring di crediti commerciali, cartolarizzazioni e finanziamenti garantiti)</w:t>
            </w:r>
            <w:r>
              <w:rPr>
                <w:lang w:val="it-IT"/>
              </w:rPr>
              <w:t xml:space="preserve"> </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4300E2" w:rsidRPr="008A0F36" w:rsidTr="00940A6F">
        <w:trPr>
          <w:cantSplit/>
          <w:trHeight w:val="20"/>
        </w:trPr>
        <w:tc>
          <w:tcPr>
            <w:tcW w:w="567" w:type="dxa"/>
            <w:tcMar>
              <w:left w:w="108" w:type="dxa"/>
            </w:tcMar>
            <w:vAlign w:val="center"/>
          </w:tcPr>
          <w:p w:rsidR="004300E2" w:rsidRDefault="004300E2" w:rsidP="004300E2">
            <w:pPr>
              <w:pStyle w:val="IAS"/>
              <w:spacing w:after="40"/>
              <w:jc w:val="left"/>
              <w:rPr>
                <w:lang w:val="it-IT"/>
              </w:rPr>
            </w:pPr>
          </w:p>
        </w:tc>
        <w:tc>
          <w:tcPr>
            <w:tcW w:w="851" w:type="dxa"/>
            <w:tcMar>
              <w:left w:w="108" w:type="dxa"/>
              <w:right w:w="0" w:type="dxa"/>
            </w:tcMar>
            <w:vAlign w:val="center"/>
          </w:tcPr>
          <w:p w:rsidR="004300E2" w:rsidRDefault="004300E2" w:rsidP="004300E2">
            <w:pPr>
              <w:pStyle w:val="IAS"/>
              <w:spacing w:after="40"/>
              <w:jc w:val="left"/>
              <w:rPr>
                <w:lang w:val="it-IT"/>
              </w:rPr>
            </w:pPr>
          </w:p>
        </w:tc>
        <w:tc>
          <w:tcPr>
            <w:tcW w:w="7079" w:type="dxa"/>
            <w:tcMar>
              <w:left w:w="108" w:type="dxa"/>
            </w:tcMar>
            <w:vAlign w:val="center"/>
          </w:tcPr>
          <w:p w:rsidR="004300E2" w:rsidRDefault="004300E2" w:rsidP="004300E2">
            <w:pPr>
              <w:pStyle w:val="Titolo2"/>
              <w:spacing w:before="40" w:after="40"/>
              <w:rPr>
                <w:lang w:val="it-IT"/>
              </w:rPr>
            </w:pPr>
            <w:r w:rsidRPr="008A0F36">
              <w:rPr>
                <w:lang w:val="it-IT"/>
              </w:rPr>
              <w:t>Garanzie</w:t>
            </w:r>
          </w:p>
        </w:tc>
        <w:tc>
          <w:tcPr>
            <w:tcW w:w="575" w:type="dxa"/>
            <w:tcMar>
              <w:left w:w="85" w:type="dxa"/>
              <w:right w:w="85" w:type="dxa"/>
            </w:tcMar>
            <w:vAlign w:val="center"/>
          </w:tcPr>
          <w:p w:rsidR="004300E2" w:rsidRDefault="004300E2" w:rsidP="004300E2">
            <w:pPr>
              <w:spacing w:before="40" w:after="40"/>
              <w:jc w:val="left"/>
            </w:pPr>
          </w:p>
        </w:tc>
        <w:tc>
          <w:tcPr>
            <w:tcW w:w="567" w:type="dxa"/>
            <w:tcMar>
              <w:left w:w="108" w:type="dxa"/>
            </w:tcMar>
            <w:vAlign w:val="center"/>
          </w:tcPr>
          <w:p w:rsidR="004300E2" w:rsidRDefault="004300E2" w:rsidP="004300E2">
            <w:pPr>
              <w:spacing w:before="40" w:after="40"/>
              <w:jc w:val="left"/>
            </w:pPr>
          </w:p>
        </w:tc>
        <w:tc>
          <w:tcPr>
            <w:tcW w:w="567" w:type="dxa"/>
            <w:tcMar>
              <w:left w:w="108" w:type="dxa"/>
            </w:tcMar>
            <w:vAlign w:val="center"/>
          </w:tcPr>
          <w:p w:rsidR="004300E2" w:rsidRDefault="004300E2" w:rsidP="004300E2">
            <w:pPr>
              <w:spacing w:before="40" w:after="40"/>
              <w:jc w:val="left"/>
            </w:pPr>
          </w:p>
        </w:tc>
      </w:tr>
      <w:tr w:rsidR="004300E2" w:rsidRPr="00A44ECD" w:rsidTr="00940A6F">
        <w:trPr>
          <w:cantSplit/>
          <w:trHeight w:val="20"/>
        </w:trPr>
        <w:tc>
          <w:tcPr>
            <w:tcW w:w="567" w:type="dxa"/>
            <w:tcMar>
              <w:left w:w="108" w:type="dxa"/>
              <w:right w:w="0"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IFRS 7.14, IAS 39.37</w:t>
            </w:r>
          </w:p>
        </w:tc>
        <w:tc>
          <w:tcPr>
            <w:tcW w:w="7079" w:type="dxa"/>
            <w:tcMar>
              <w:left w:w="108" w:type="dxa"/>
            </w:tcMar>
          </w:tcPr>
          <w:p w:rsidR="004300E2" w:rsidRPr="00FE5FDA" w:rsidRDefault="004300E2" w:rsidP="004300E2">
            <w:pPr>
              <w:rPr>
                <w:lang w:val="it-IT"/>
              </w:rPr>
            </w:pPr>
            <w:r w:rsidRPr="008A0F36">
              <w:rPr>
                <w:lang w:val="it-IT"/>
              </w:rPr>
              <w:t>L’entità fornisce la seguente informativa:</w:t>
            </w:r>
          </w:p>
        </w:tc>
        <w:tc>
          <w:tcPr>
            <w:tcW w:w="575" w:type="dxa"/>
            <w:tcMar>
              <w:left w:w="85" w:type="dxa"/>
              <w:right w:w="85"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r>
      <w:tr w:rsidR="00E84B58" w:rsidRPr="008129DA" w:rsidTr="00940A6F">
        <w:trPr>
          <w:cantSplit/>
          <w:trHeight w:val="20"/>
        </w:trPr>
        <w:tc>
          <w:tcPr>
            <w:tcW w:w="567" w:type="dxa"/>
            <w:tcMar>
              <w:left w:w="108" w:type="dxa"/>
              <w:right w:w="0" w:type="dxa"/>
            </w:tcMar>
          </w:tcPr>
          <w:p w:rsidR="00E84B58" w:rsidRPr="008A0F36" w:rsidRDefault="00E84B58" w:rsidP="004300E2">
            <w:pPr>
              <w:pStyle w:val="Numeroelenco"/>
              <w:numPr>
                <w:ilvl w:val="0"/>
                <w:numId w:val="0"/>
              </w:numPr>
              <w:ind w:left="57"/>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FE5FDA" w:rsidRDefault="00E84B58" w:rsidP="004300E2">
            <w:pPr>
              <w:pStyle w:val="Rientroa"/>
              <w:numPr>
                <w:ilvl w:val="0"/>
                <w:numId w:val="67"/>
              </w:numPr>
            </w:pPr>
            <w:r w:rsidRPr="00FE5FDA">
              <w:t>il valore contabile delle attività finanziarie date a garanzia per passività o passività potenziali, incluso l’ammontare che è stato riclassificato in accordo con lo IAS 39.37 a) e</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20"/>
        </w:trPr>
        <w:tc>
          <w:tcPr>
            <w:tcW w:w="567" w:type="dxa"/>
            <w:tcMar>
              <w:left w:w="108" w:type="dxa"/>
              <w:right w:w="0"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4300E2">
            <w:pPr>
              <w:pStyle w:val="Rientroa"/>
              <w:numPr>
                <w:ilvl w:val="0"/>
                <w:numId w:val="67"/>
              </w:numPr>
            </w:pPr>
            <w:r w:rsidRPr="008A0F36">
              <w:t>i termini e le condizioni relative a tale garanzia.</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Mar>
              <w:left w:w="108" w:type="dxa"/>
              <w:right w:w="0" w:type="dxa"/>
            </w:tcMar>
          </w:tcPr>
          <w:p w:rsidR="004300E2" w:rsidRPr="008A0F36" w:rsidRDefault="004300E2" w:rsidP="004300E2">
            <w:pPr>
              <w:pStyle w:val="IAS"/>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39.37</w:t>
            </w:r>
          </w:p>
        </w:tc>
        <w:tc>
          <w:tcPr>
            <w:tcW w:w="7079" w:type="dxa"/>
            <w:tcMar>
              <w:left w:w="108" w:type="dxa"/>
            </w:tcMar>
          </w:tcPr>
          <w:p w:rsidR="004300E2" w:rsidRPr="008A0F36" w:rsidRDefault="004300E2" w:rsidP="00771DEA">
            <w:pPr>
              <w:pStyle w:val="Commentiriquadro"/>
            </w:pPr>
            <w:r w:rsidRPr="008A0F36">
              <w:t xml:space="preserve">Se un cedente fornisce garanzie non monetarie (quali strumenti di debito o di capitale) all’acquirente, la contabilizzazione della garanzia da parte del cedente e dell’acquirente dipende dal diritto dell’acquirente di vendere o dare in pegno la garanzia ricevuta, nonché dal fatto che il cedente sia o meno in default. Cedente ed acquirente contabilizzeranno la garanzia collaterale come segue: (a) se l’acquirente ha un diritto contrattuale a vendere o dare in pegno la garanzia, il cedente riclassificherà l’attività nel bilancio prospetto della situazione patrimoniale-finanziaria (per esempio come </w:t>
            </w:r>
            <w:r w:rsidR="00E022E0">
              <w:t>un’a</w:t>
            </w:r>
            <w:r w:rsidRPr="008A0F36">
              <w:t xml:space="preserve">ttività prestata, strumenti di capitale ceduti in garanzia o credito per riacquisto) separatamente da altre attività. </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4300E2" w:rsidRPr="00A44ECD" w:rsidTr="00940A6F">
        <w:trPr>
          <w:cantSplit/>
          <w:trHeight w:val="20"/>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IFRS 7.15</w:t>
            </w:r>
          </w:p>
          <w:p w:rsidR="004300E2" w:rsidRPr="008A0F36" w:rsidRDefault="004300E2" w:rsidP="004300E2">
            <w:pPr>
              <w:pStyle w:val="IAS"/>
              <w:rPr>
                <w:lang w:val="it-IT"/>
              </w:rPr>
            </w:pPr>
          </w:p>
        </w:tc>
        <w:tc>
          <w:tcPr>
            <w:tcW w:w="7079" w:type="dxa"/>
            <w:tcMar>
              <w:left w:w="108" w:type="dxa"/>
            </w:tcMar>
          </w:tcPr>
          <w:p w:rsidR="004300E2" w:rsidRPr="008A0F36" w:rsidRDefault="004300E2" w:rsidP="004300E2">
            <w:pPr>
              <w:spacing w:line="224" w:lineRule="exact"/>
              <w:rPr>
                <w:lang w:val="it-IT"/>
              </w:rPr>
            </w:pPr>
            <w:r w:rsidRPr="008A0F36">
              <w:rPr>
                <w:lang w:val="it-IT"/>
              </w:rPr>
              <w:t>Quando l’entità detiene garanzie (di attività finanziarie e non finanziarie) ed è consentito vendere la garanzia o darla in pegno in assenza di inadempimento da parte del possessore della garanzia stessa, l’entità ha fornito la seguente informativa:</w:t>
            </w:r>
          </w:p>
        </w:tc>
        <w:tc>
          <w:tcPr>
            <w:tcW w:w="575" w:type="dxa"/>
            <w:tcMar>
              <w:left w:w="85" w:type="dxa"/>
              <w:right w:w="85" w:type="dxa"/>
            </w:tcMar>
            <w:vAlign w:val="center"/>
          </w:tcPr>
          <w:p w:rsidR="004300E2" w:rsidRPr="00090BE7" w:rsidRDefault="004300E2" w:rsidP="004300E2">
            <w:pPr>
              <w:spacing w:line="224" w:lineRule="exact"/>
              <w:jc w:val="center"/>
              <w:rPr>
                <w:lang w:val="it-IT"/>
              </w:rPr>
            </w:pPr>
          </w:p>
        </w:tc>
        <w:tc>
          <w:tcPr>
            <w:tcW w:w="567" w:type="dxa"/>
            <w:tcMar>
              <w:left w:w="108" w:type="dxa"/>
            </w:tcMar>
            <w:vAlign w:val="center"/>
          </w:tcPr>
          <w:p w:rsidR="004300E2" w:rsidRPr="00090BE7" w:rsidRDefault="004300E2" w:rsidP="004300E2">
            <w:pPr>
              <w:spacing w:line="224" w:lineRule="exact"/>
              <w:jc w:val="center"/>
              <w:rPr>
                <w:lang w:val="it-IT"/>
              </w:rPr>
            </w:pPr>
          </w:p>
        </w:tc>
        <w:tc>
          <w:tcPr>
            <w:tcW w:w="567" w:type="dxa"/>
            <w:tcMar>
              <w:left w:w="108" w:type="dxa"/>
            </w:tcMar>
            <w:vAlign w:val="center"/>
          </w:tcPr>
          <w:p w:rsidR="004300E2" w:rsidRPr="00090BE7" w:rsidRDefault="004300E2" w:rsidP="004300E2">
            <w:pPr>
              <w:spacing w:line="224" w:lineRule="exact"/>
              <w:jc w:val="center"/>
              <w:rPr>
                <w:lang w:val="it-IT"/>
              </w:rPr>
            </w:pPr>
          </w:p>
        </w:tc>
      </w:tr>
      <w:tr w:rsidR="00E84B58" w:rsidRPr="008129DA" w:rsidTr="00940A6F">
        <w:trPr>
          <w:cantSplit/>
          <w:trHeight w:val="20"/>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4300E2">
            <w:pPr>
              <w:pStyle w:val="Rientroa"/>
              <w:numPr>
                <w:ilvl w:val="0"/>
                <w:numId w:val="68"/>
              </w:numPr>
              <w:spacing w:line="224" w:lineRule="exact"/>
              <w:rPr>
                <w:iCs/>
              </w:rPr>
            </w:pPr>
            <w:r w:rsidRPr="008A0F36">
              <w:t xml:space="preserve">il </w:t>
            </w:r>
            <w:r w:rsidRPr="008A0F36">
              <w:rPr>
                <w:i/>
              </w:rPr>
              <w:t>fair value</w:t>
            </w:r>
            <w:r w:rsidRPr="008A0F36">
              <w:t xml:space="preserve"> della garanzia detenuta</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20"/>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4300E2">
            <w:pPr>
              <w:pStyle w:val="Rientroa"/>
              <w:spacing w:line="224" w:lineRule="exact"/>
            </w:pPr>
            <w:r w:rsidRPr="008A0F36">
              <w:t xml:space="preserve">il </w:t>
            </w:r>
            <w:r w:rsidRPr="008A0F36">
              <w:rPr>
                <w:i/>
              </w:rPr>
              <w:t>fair value</w:t>
            </w:r>
            <w:r w:rsidRPr="008A0F36">
              <w:t xml:space="preserve"> di ognuna di tali garanzie vendute o date in pegno e se l’entità ha una obbligazione di restituirla; e </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20"/>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4300E2">
            <w:pPr>
              <w:pStyle w:val="Rientroa"/>
              <w:spacing w:line="224" w:lineRule="exact"/>
            </w:pPr>
            <w:r w:rsidRPr="008A0F36">
              <w:t>i termini e le condizioni connesse con l’uso di tale garanzia.</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Mar>
              <w:left w:w="108" w:type="dxa"/>
            </w:tcMar>
            <w:vAlign w:val="center"/>
          </w:tcPr>
          <w:p w:rsidR="004300E2" w:rsidRDefault="004300E2" w:rsidP="004300E2">
            <w:pPr>
              <w:pStyle w:val="IAS"/>
              <w:spacing w:after="40"/>
              <w:jc w:val="left"/>
              <w:rPr>
                <w:lang w:val="it-IT"/>
              </w:rPr>
            </w:pPr>
          </w:p>
        </w:tc>
        <w:tc>
          <w:tcPr>
            <w:tcW w:w="851" w:type="dxa"/>
            <w:tcMar>
              <w:left w:w="108" w:type="dxa"/>
              <w:right w:w="0" w:type="dxa"/>
            </w:tcMar>
            <w:vAlign w:val="center"/>
          </w:tcPr>
          <w:p w:rsidR="004300E2" w:rsidRDefault="004300E2" w:rsidP="004300E2">
            <w:pPr>
              <w:pStyle w:val="IAS"/>
              <w:spacing w:after="40"/>
              <w:jc w:val="left"/>
              <w:rPr>
                <w:lang w:val="it-IT"/>
              </w:rPr>
            </w:pPr>
          </w:p>
        </w:tc>
        <w:tc>
          <w:tcPr>
            <w:tcW w:w="7079" w:type="dxa"/>
            <w:tcMar>
              <w:left w:w="108" w:type="dxa"/>
            </w:tcMar>
            <w:vAlign w:val="center"/>
          </w:tcPr>
          <w:p w:rsidR="004300E2" w:rsidRDefault="004300E2" w:rsidP="004300E2">
            <w:pPr>
              <w:pStyle w:val="Titolo2"/>
              <w:spacing w:before="40" w:after="40"/>
              <w:rPr>
                <w:lang w:val="it-IT"/>
              </w:rPr>
            </w:pPr>
            <w:r w:rsidRPr="008A0F36">
              <w:rPr>
                <w:lang w:val="it-IT"/>
              </w:rPr>
              <w:t>Accantonamento per perdite su crediti</w:t>
            </w:r>
          </w:p>
        </w:tc>
        <w:tc>
          <w:tcPr>
            <w:tcW w:w="575" w:type="dxa"/>
            <w:tcMar>
              <w:left w:w="85" w:type="dxa"/>
              <w:right w:w="85" w:type="dxa"/>
            </w:tcMar>
            <w:vAlign w:val="center"/>
          </w:tcPr>
          <w:p w:rsidR="004300E2" w:rsidRDefault="004300E2" w:rsidP="004300E2">
            <w:pPr>
              <w:spacing w:before="40" w:after="40"/>
              <w:jc w:val="left"/>
              <w:rPr>
                <w:lang w:val="it-IT"/>
              </w:rPr>
            </w:pPr>
          </w:p>
        </w:tc>
        <w:tc>
          <w:tcPr>
            <w:tcW w:w="567" w:type="dxa"/>
            <w:tcMar>
              <w:left w:w="108" w:type="dxa"/>
            </w:tcMar>
            <w:vAlign w:val="center"/>
          </w:tcPr>
          <w:p w:rsidR="004300E2" w:rsidRDefault="004300E2" w:rsidP="004300E2">
            <w:pPr>
              <w:spacing w:before="40" w:after="40"/>
              <w:jc w:val="left"/>
              <w:rPr>
                <w:lang w:val="it-IT"/>
              </w:rPr>
            </w:pPr>
          </w:p>
        </w:tc>
        <w:tc>
          <w:tcPr>
            <w:tcW w:w="567" w:type="dxa"/>
            <w:tcMar>
              <w:left w:w="108" w:type="dxa"/>
            </w:tcMar>
            <w:vAlign w:val="center"/>
          </w:tcPr>
          <w:p w:rsidR="004300E2" w:rsidRDefault="004300E2" w:rsidP="004300E2">
            <w:pPr>
              <w:spacing w:before="40" w:after="40"/>
              <w:jc w:val="left"/>
              <w:rPr>
                <w:lang w:val="it-IT"/>
              </w:rPr>
            </w:pPr>
          </w:p>
        </w:tc>
      </w:tr>
      <w:tr w:rsidR="00E84B58" w:rsidRPr="008129DA" w:rsidTr="00940A6F">
        <w:trPr>
          <w:cantSplit/>
          <w:trHeight w:val="20"/>
        </w:trPr>
        <w:tc>
          <w:tcPr>
            <w:tcW w:w="567" w:type="dxa"/>
            <w:tcMar>
              <w:left w:w="108" w:type="dxa"/>
            </w:tcMar>
          </w:tcPr>
          <w:p w:rsidR="00E84B58" w:rsidRPr="008A0F36" w:rsidRDefault="00E84B58" w:rsidP="004300E2">
            <w:pPr>
              <w:pStyle w:val="Numeroelenco"/>
              <w:ind w:left="0" w:firstLine="57"/>
              <w:rPr>
                <w:lang w:val="it-IT"/>
              </w:rPr>
            </w:pPr>
          </w:p>
        </w:tc>
        <w:tc>
          <w:tcPr>
            <w:tcW w:w="851" w:type="dxa"/>
            <w:tcMar>
              <w:left w:w="108" w:type="dxa"/>
              <w:right w:w="0" w:type="dxa"/>
            </w:tcMar>
          </w:tcPr>
          <w:p w:rsidR="00E84B58" w:rsidRPr="008A0F36" w:rsidRDefault="00E84B58" w:rsidP="004300E2">
            <w:pPr>
              <w:pStyle w:val="IAS"/>
              <w:rPr>
                <w:lang w:val="it-IT"/>
              </w:rPr>
            </w:pPr>
            <w:r w:rsidRPr="008A0F36">
              <w:rPr>
                <w:lang w:val="it-IT"/>
              </w:rPr>
              <w:t>IFRS 7.16</w:t>
            </w:r>
          </w:p>
          <w:p w:rsidR="00E84B58" w:rsidRPr="008A0F36" w:rsidRDefault="00E84B58" w:rsidP="004300E2">
            <w:pPr>
              <w:pStyle w:val="IAS"/>
              <w:rPr>
                <w:lang w:val="it-IT"/>
              </w:rPr>
            </w:pPr>
          </w:p>
        </w:tc>
        <w:tc>
          <w:tcPr>
            <w:tcW w:w="7079" w:type="dxa"/>
            <w:tcMar>
              <w:left w:w="108" w:type="dxa"/>
            </w:tcMar>
          </w:tcPr>
          <w:p w:rsidR="00E84B58" w:rsidRPr="008A0F36" w:rsidRDefault="00E84B58" w:rsidP="004300E2">
            <w:pPr>
              <w:rPr>
                <w:lang w:val="it-IT"/>
              </w:rPr>
            </w:pPr>
            <w:r w:rsidRPr="008A0F36">
              <w:rPr>
                <w:lang w:val="it-IT"/>
              </w:rPr>
              <w:t>Quando le attività finanziarie sono svalutate per perdite su crediti e l’entità registra la svalutazione in un conto separato (ad esempio un accantonamento utilizzato per rilevare specifiche riduzioni di valore o un conto analogo utilizzato per rilevare le riduzioni collettive di valore delle attività) prima di ridurre direttamente il valore contabile di un’attività, l’entità fornisce una riconciliazione della variazione in quel conto durante il periodo per ogni classe di attività finanziaria.</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
        </w:trPr>
        <w:tc>
          <w:tcPr>
            <w:tcW w:w="567" w:type="dxa"/>
            <w:tcMar>
              <w:left w:w="108" w:type="dxa"/>
            </w:tcMar>
          </w:tcPr>
          <w:p w:rsidR="004300E2" w:rsidRPr="008A0F36" w:rsidRDefault="004300E2" w:rsidP="00C13ABF">
            <w:pPr>
              <w:pStyle w:val="IAS"/>
              <w:spacing w:after="40"/>
              <w:rPr>
                <w:lang w:val="it-IT"/>
              </w:rPr>
            </w:pPr>
          </w:p>
        </w:tc>
        <w:tc>
          <w:tcPr>
            <w:tcW w:w="851" w:type="dxa"/>
            <w:tcMar>
              <w:left w:w="108" w:type="dxa"/>
              <w:right w:w="0" w:type="dxa"/>
            </w:tcMar>
          </w:tcPr>
          <w:p w:rsidR="004300E2" w:rsidRPr="008A0F36" w:rsidRDefault="004300E2" w:rsidP="004300E2">
            <w:pPr>
              <w:pStyle w:val="IAS"/>
              <w:pageBreakBefore/>
              <w:spacing w:after="40"/>
              <w:rPr>
                <w:lang w:val="it-IT"/>
              </w:rPr>
            </w:pPr>
          </w:p>
        </w:tc>
        <w:tc>
          <w:tcPr>
            <w:tcW w:w="7079" w:type="dxa"/>
            <w:tcMar>
              <w:left w:w="108" w:type="dxa"/>
            </w:tcMar>
          </w:tcPr>
          <w:p w:rsidR="004300E2" w:rsidRPr="008A0F36" w:rsidRDefault="004300E2" w:rsidP="004300E2">
            <w:pPr>
              <w:pStyle w:val="Titolo2"/>
              <w:pageBreakBefore/>
              <w:spacing w:before="40" w:after="40"/>
              <w:rPr>
                <w:lang w:val="it-IT"/>
              </w:rPr>
            </w:pPr>
            <w:r w:rsidRPr="008A0F36">
              <w:rPr>
                <w:lang w:val="it-IT"/>
              </w:rPr>
              <w:t>Strumenti finanziari composti con derivati impliciti multipli</w:t>
            </w:r>
          </w:p>
        </w:tc>
        <w:tc>
          <w:tcPr>
            <w:tcW w:w="575" w:type="dxa"/>
            <w:tcMar>
              <w:left w:w="85" w:type="dxa"/>
              <w:right w:w="85" w:type="dxa"/>
            </w:tcMar>
            <w:vAlign w:val="center"/>
          </w:tcPr>
          <w:p w:rsidR="004300E2" w:rsidRPr="00090BE7" w:rsidRDefault="004300E2" w:rsidP="004300E2">
            <w:pPr>
              <w:pageBreakBefore/>
              <w:spacing w:before="40" w:after="40"/>
              <w:jc w:val="center"/>
              <w:rPr>
                <w:lang w:val="it-IT"/>
              </w:rPr>
            </w:pPr>
          </w:p>
        </w:tc>
        <w:tc>
          <w:tcPr>
            <w:tcW w:w="567" w:type="dxa"/>
            <w:tcMar>
              <w:left w:w="108" w:type="dxa"/>
            </w:tcMar>
            <w:vAlign w:val="center"/>
          </w:tcPr>
          <w:p w:rsidR="004300E2" w:rsidRPr="00090BE7" w:rsidRDefault="004300E2" w:rsidP="004300E2">
            <w:pPr>
              <w:pageBreakBefore/>
              <w:spacing w:before="40" w:after="40"/>
              <w:jc w:val="center"/>
              <w:rPr>
                <w:lang w:val="it-IT"/>
              </w:rPr>
            </w:pPr>
          </w:p>
        </w:tc>
        <w:tc>
          <w:tcPr>
            <w:tcW w:w="567" w:type="dxa"/>
            <w:tcMar>
              <w:left w:w="108" w:type="dxa"/>
            </w:tcMar>
            <w:vAlign w:val="center"/>
          </w:tcPr>
          <w:p w:rsidR="004300E2" w:rsidRPr="00090BE7" w:rsidRDefault="004300E2" w:rsidP="004300E2">
            <w:pPr>
              <w:pageBreakBefore/>
              <w:spacing w:before="40" w:after="40"/>
              <w:jc w:val="center"/>
              <w:rPr>
                <w:lang w:val="it-IT"/>
              </w:rPr>
            </w:pPr>
          </w:p>
        </w:tc>
      </w:tr>
      <w:tr w:rsidR="00E84B58" w:rsidRPr="008129DA" w:rsidTr="00940A6F">
        <w:trPr>
          <w:cantSplit/>
        </w:trPr>
        <w:tc>
          <w:tcPr>
            <w:tcW w:w="567" w:type="dxa"/>
            <w:tcMar>
              <w:left w:w="108" w:type="dxa"/>
              <w:right w:w="0" w:type="dxa"/>
            </w:tcMar>
          </w:tcPr>
          <w:p w:rsidR="00E84B58" w:rsidRPr="008A0F36" w:rsidRDefault="00E84B58" w:rsidP="004300E2">
            <w:pPr>
              <w:pStyle w:val="Numeroelenco"/>
              <w:ind w:left="0" w:firstLine="57"/>
              <w:rPr>
                <w:lang w:val="it-IT"/>
              </w:rPr>
            </w:pPr>
          </w:p>
        </w:tc>
        <w:tc>
          <w:tcPr>
            <w:tcW w:w="851" w:type="dxa"/>
            <w:tcMar>
              <w:left w:w="108" w:type="dxa"/>
              <w:right w:w="0" w:type="dxa"/>
            </w:tcMar>
          </w:tcPr>
          <w:p w:rsidR="00E84B58" w:rsidRPr="008A0F36" w:rsidRDefault="00E84B58" w:rsidP="004300E2">
            <w:pPr>
              <w:pStyle w:val="IAS"/>
              <w:rPr>
                <w:lang w:val="it-IT"/>
              </w:rPr>
            </w:pPr>
            <w:r w:rsidRPr="008A0F36">
              <w:rPr>
                <w:lang w:val="it-IT"/>
              </w:rPr>
              <w:t>IFRS 7.17</w:t>
            </w:r>
            <w:r w:rsidRPr="008A0F36">
              <w:rPr>
                <w:lang w:val="it-IT"/>
              </w:rPr>
              <w:br/>
              <w:t>IAS 32.28</w:t>
            </w:r>
          </w:p>
          <w:p w:rsidR="00E84B58" w:rsidRPr="008A0F36" w:rsidRDefault="00E84B58" w:rsidP="004300E2">
            <w:pPr>
              <w:pStyle w:val="IAS"/>
              <w:rPr>
                <w:lang w:val="it-IT"/>
              </w:rPr>
            </w:pPr>
          </w:p>
        </w:tc>
        <w:tc>
          <w:tcPr>
            <w:tcW w:w="7079" w:type="dxa"/>
            <w:tcMar>
              <w:left w:w="108" w:type="dxa"/>
            </w:tcMar>
          </w:tcPr>
          <w:p w:rsidR="00E84B58" w:rsidRPr="008A0F36" w:rsidRDefault="00E84B58" w:rsidP="004300E2">
            <w:pPr>
              <w:rPr>
                <w:lang w:val="it-IT"/>
              </w:rPr>
            </w:pPr>
            <w:r w:rsidRPr="008A0F36">
              <w:rPr>
                <w:lang w:val="it-IT"/>
              </w:rPr>
              <w:t xml:space="preserve">Se un’entità ha emesso uno strumento che contiene sia una componente di debito che una componente di patrimonio e lo strumento include derivati impliciti multipli i cui valori sono interdipendenti (come un’obbligazione convertibile estinguibile anticipatamente) l’entità ha fornito l’informativa circa l’esistenza di tali caratteristiche dello strumento emesso. </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A0F36" w:rsidTr="00940A6F">
        <w:trPr>
          <w:cantSplit/>
        </w:trPr>
        <w:tc>
          <w:tcPr>
            <w:tcW w:w="567" w:type="dxa"/>
            <w:tcMar>
              <w:left w:w="108" w:type="dxa"/>
              <w:right w:w="0" w:type="dxa"/>
            </w:tcMar>
          </w:tcPr>
          <w:p w:rsidR="004300E2" w:rsidRPr="008A0F36" w:rsidRDefault="004300E2" w:rsidP="004300E2">
            <w:pPr>
              <w:pStyle w:val="IAS"/>
              <w:spacing w:after="40"/>
              <w:rPr>
                <w:lang w:val="it-IT"/>
              </w:rPr>
            </w:pPr>
          </w:p>
        </w:tc>
        <w:tc>
          <w:tcPr>
            <w:tcW w:w="851" w:type="dxa"/>
            <w:tcMar>
              <w:left w:w="108" w:type="dxa"/>
              <w:right w:w="0" w:type="dxa"/>
            </w:tcMar>
          </w:tcPr>
          <w:p w:rsidR="004300E2" w:rsidRPr="008A0F36" w:rsidRDefault="004300E2" w:rsidP="004300E2">
            <w:pPr>
              <w:pStyle w:val="IAS"/>
              <w:spacing w:after="40"/>
              <w:rPr>
                <w:lang w:val="it-IT"/>
              </w:rPr>
            </w:pPr>
          </w:p>
        </w:tc>
        <w:tc>
          <w:tcPr>
            <w:tcW w:w="7079" w:type="dxa"/>
            <w:tcMar>
              <w:left w:w="108" w:type="dxa"/>
            </w:tcMar>
          </w:tcPr>
          <w:p w:rsidR="004300E2" w:rsidRPr="008A0F36" w:rsidRDefault="004300E2" w:rsidP="004300E2">
            <w:pPr>
              <w:pStyle w:val="Titolo2"/>
              <w:spacing w:before="40" w:after="40"/>
              <w:rPr>
                <w:lang w:val="it-IT"/>
              </w:rPr>
            </w:pPr>
            <w:r w:rsidRPr="008A0F36">
              <w:rPr>
                <w:lang w:val="it-IT"/>
              </w:rPr>
              <w:t>Inadempimenti</w:t>
            </w:r>
          </w:p>
        </w:tc>
        <w:tc>
          <w:tcPr>
            <w:tcW w:w="575" w:type="dxa"/>
            <w:tcMar>
              <w:left w:w="85" w:type="dxa"/>
              <w:right w:w="85" w:type="dxa"/>
            </w:tcMar>
            <w:vAlign w:val="center"/>
          </w:tcPr>
          <w:p w:rsidR="004300E2" w:rsidRDefault="004300E2" w:rsidP="004300E2">
            <w:pPr>
              <w:spacing w:before="40" w:after="40"/>
              <w:jc w:val="center"/>
            </w:pPr>
          </w:p>
        </w:tc>
        <w:tc>
          <w:tcPr>
            <w:tcW w:w="567" w:type="dxa"/>
            <w:tcMar>
              <w:left w:w="108" w:type="dxa"/>
            </w:tcMar>
            <w:vAlign w:val="center"/>
          </w:tcPr>
          <w:p w:rsidR="004300E2" w:rsidRDefault="004300E2" w:rsidP="004300E2">
            <w:pPr>
              <w:spacing w:before="40" w:after="40"/>
              <w:jc w:val="center"/>
            </w:pPr>
          </w:p>
        </w:tc>
        <w:tc>
          <w:tcPr>
            <w:tcW w:w="567" w:type="dxa"/>
            <w:tcMar>
              <w:left w:w="108" w:type="dxa"/>
            </w:tcMar>
            <w:vAlign w:val="center"/>
          </w:tcPr>
          <w:p w:rsidR="004300E2" w:rsidRDefault="004300E2" w:rsidP="004300E2">
            <w:pPr>
              <w:spacing w:before="40" w:after="40"/>
              <w:jc w:val="center"/>
            </w:pPr>
          </w:p>
        </w:tc>
      </w:tr>
      <w:tr w:rsidR="004300E2" w:rsidRPr="00A44ECD" w:rsidTr="00940A6F">
        <w:trPr>
          <w:cantSplit/>
          <w:trHeight w:val="305"/>
        </w:trPr>
        <w:tc>
          <w:tcPr>
            <w:tcW w:w="567" w:type="dxa"/>
            <w:tcMar>
              <w:left w:w="108" w:type="dxa"/>
              <w:right w:w="0"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IFRS 7.18</w:t>
            </w:r>
          </w:p>
        </w:tc>
        <w:tc>
          <w:tcPr>
            <w:tcW w:w="7079" w:type="dxa"/>
            <w:tcMar>
              <w:left w:w="108" w:type="dxa"/>
            </w:tcMar>
          </w:tcPr>
          <w:p w:rsidR="004300E2" w:rsidRPr="008A0F36" w:rsidRDefault="004300E2" w:rsidP="004300E2">
            <w:pPr>
              <w:rPr>
                <w:lang w:val="it-IT"/>
              </w:rPr>
            </w:pPr>
            <w:r w:rsidRPr="008A0F36">
              <w:rPr>
                <w:lang w:val="it-IT"/>
              </w:rPr>
              <w:t>Per i finanziamenti passivi iscritti alla data di chiusura dell’esercizio l’entità ha fornito le seguenti informazioni:</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4300E2">
            <w:pPr>
              <w:pStyle w:val="Rientroa"/>
              <w:numPr>
                <w:ilvl w:val="0"/>
                <w:numId w:val="69"/>
              </w:numPr>
              <w:rPr>
                <w:iCs/>
              </w:rPr>
            </w:pPr>
            <w:r w:rsidRPr="008A0F36">
              <w:t>dettaglio di ogni inadempimento avvenuto nel corso del periodo in termini di capitale, interesse, piano di ammortamento o nelle scadenze di questi finanziamenti</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283"/>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4300E2">
            <w:pPr>
              <w:pStyle w:val="Rientroa"/>
            </w:pPr>
            <w:r w:rsidRPr="008A0F36">
              <w:t>il valore contabile dei finanziamenti oggetto di inadempimenti alla data di chiusura dell’esercizio; e</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4300E2">
            <w:pPr>
              <w:pStyle w:val="Rientroa"/>
            </w:pPr>
            <w:r w:rsidRPr="008A0F36">
              <w:t xml:space="preserve">se l’inadempimento è stato rimediato, o i termini dei finanziamenti sono stati rinegoziati prima che il bilancio sia stato autorizzato per l’emissione. </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Numeroelenco"/>
              <w:ind w:left="0" w:firstLine="57"/>
              <w:rPr>
                <w:lang w:val="it-IT"/>
              </w:rPr>
            </w:pPr>
          </w:p>
        </w:tc>
        <w:tc>
          <w:tcPr>
            <w:tcW w:w="851" w:type="dxa"/>
            <w:tcMar>
              <w:left w:w="108" w:type="dxa"/>
              <w:right w:w="0" w:type="dxa"/>
            </w:tcMar>
          </w:tcPr>
          <w:p w:rsidR="00E84B58" w:rsidRPr="008A0F36" w:rsidRDefault="00E84B58" w:rsidP="004300E2">
            <w:pPr>
              <w:pStyle w:val="IAS"/>
              <w:rPr>
                <w:lang w:val="it-IT"/>
              </w:rPr>
            </w:pPr>
            <w:r w:rsidRPr="008A0F36">
              <w:rPr>
                <w:lang w:val="it-IT"/>
              </w:rPr>
              <w:t>IFRS 7.19</w:t>
            </w:r>
          </w:p>
        </w:tc>
        <w:tc>
          <w:tcPr>
            <w:tcW w:w="7079" w:type="dxa"/>
            <w:tcMar>
              <w:left w:w="108" w:type="dxa"/>
            </w:tcMar>
          </w:tcPr>
          <w:p w:rsidR="00E84B58" w:rsidRPr="008A0F36" w:rsidRDefault="00E84B58" w:rsidP="004300E2">
            <w:pPr>
              <w:rPr>
                <w:lang w:val="it-IT"/>
              </w:rPr>
            </w:pPr>
            <w:r w:rsidRPr="0015693D">
              <w:rPr>
                <w:lang w:val="it-IT"/>
              </w:rPr>
              <w:t>Se durante il periodo ci sono state violazioni nei termini contrattuali di un finanziamento diverse da quelli descritti nell'IFRS 7.18 (</w:t>
            </w:r>
            <w:r w:rsidRPr="00C35E28">
              <w:rPr>
                <w:lang w:val="it-IT"/>
              </w:rPr>
              <w:t>punto 2</w:t>
            </w:r>
            <w:r>
              <w:rPr>
                <w:lang w:val="it-IT"/>
              </w:rPr>
              <w:t>48</w:t>
            </w:r>
            <w:r w:rsidRPr="0015693D">
              <w:rPr>
                <w:lang w:val="it-IT"/>
              </w:rPr>
              <w:t>), l’entità ha fornito le stesse informazioni richieste dall’IFRS 7.18 (punto</w:t>
            </w:r>
            <w:r>
              <w:rPr>
                <w:lang w:val="it-IT"/>
              </w:rPr>
              <w:t xml:space="preserve"> 248</w:t>
            </w:r>
            <w:r w:rsidRPr="0015693D">
              <w:rPr>
                <w:lang w:val="it-IT"/>
              </w:rPr>
              <w:t>) se tali violazioni consentono al finanziatore</w:t>
            </w:r>
            <w:r w:rsidRPr="008A0F36">
              <w:rPr>
                <w:lang w:val="it-IT"/>
              </w:rPr>
              <w:t xml:space="preserve"> di richiedere il pagamento anticipato (a meno che le violazioni siano state rimediate, o i termini del finanziamento rinegoziati, alla o prima della data di chiusura dell’esercizio).</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IAS"/>
              <w:spacing w:after="40"/>
              <w:rPr>
                <w:lang w:val="it-IT"/>
              </w:rPr>
            </w:pPr>
          </w:p>
        </w:tc>
        <w:tc>
          <w:tcPr>
            <w:tcW w:w="851" w:type="dxa"/>
            <w:tcMar>
              <w:left w:w="108" w:type="dxa"/>
              <w:right w:w="0" w:type="dxa"/>
            </w:tcMar>
          </w:tcPr>
          <w:p w:rsidR="004300E2" w:rsidRPr="008A0F36" w:rsidRDefault="004300E2" w:rsidP="004300E2">
            <w:pPr>
              <w:pStyle w:val="IAS"/>
              <w:spacing w:after="40"/>
              <w:rPr>
                <w:lang w:val="it-IT"/>
              </w:rPr>
            </w:pPr>
          </w:p>
        </w:tc>
        <w:tc>
          <w:tcPr>
            <w:tcW w:w="7079" w:type="dxa"/>
            <w:tcMar>
              <w:left w:w="108" w:type="dxa"/>
            </w:tcMar>
          </w:tcPr>
          <w:p w:rsidR="004300E2" w:rsidRPr="008A0F36" w:rsidRDefault="004300E2" w:rsidP="004300E2">
            <w:pPr>
              <w:pStyle w:val="Titolo2"/>
              <w:spacing w:before="40" w:after="40"/>
              <w:jc w:val="both"/>
              <w:rPr>
                <w:lang w:val="it-IT"/>
              </w:rPr>
            </w:pPr>
            <w:r>
              <w:rPr>
                <w:lang w:val="it-IT"/>
              </w:rPr>
              <w:t>Prospetto(i) dell’utile/(perdita) d’esercizio e delle altre componenti di c</w:t>
            </w:r>
            <w:r w:rsidRPr="008A0F36">
              <w:rPr>
                <w:lang w:val="it-IT"/>
              </w:rPr>
              <w:t xml:space="preserve">onto economico complessivo </w:t>
            </w:r>
          </w:p>
        </w:tc>
        <w:tc>
          <w:tcPr>
            <w:tcW w:w="575" w:type="dxa"/>
            <w:tcMar>
              <w:left w:w="85" w:type="dxa"/>
              <w:right w:w="85" w:type="dxa"/>
            </w:tcMar>
            <w:vAlign w:val="center"/>
          </w:tcPr>
          <w:p w:rsidR="004300E2" w:rsidRPr="00090BE7" w:rsidRDefault="004300E2" w:rsidP="004300E2">
            <w:pPr>
              <w:spacing w:before="40" w:after="40"/>
              <w:jc w:val="center"/>
              <w:rPr>
                <w:lang w:val="it-IT"/>
              </w:rPr>
            </w:pPr>
          </w:p>
        </w:tc>
        <w:tc>
          <w:tcPr>
            <w:tcW w:w="567" w:type="dxa"/>
            <w:tcMar>
              <w:left w:w="108" w:type="dxa"/>
            </w:tcMar>
            <w:vAlign w:val="center"/>
          </w:tcPr>
          <w:p w:rsidR="004300E2" w:rsidRPr="00090BE7" w:rsidRDefault="004300E2" w:rsidP="004300E2">
            <w:pPr>
              <w:spacing w:before="40" w:after="40"/>
              <w:jc w:val="center"/>
              <w:rPr>
                <w:lang w:val="it-IT"/>
              </w:rPr>
            </w:pPr>
          </w:p>
        </w:tc>
        <w:tc>
          <w:tcPr>
            <w:tcW w:w="567" w:type="dxa"/>
            <w:tcMar>
              <w:left w:w="108" w:type="dxa"/>
            </w:tcMar>
            <w:vAlign w:val="center"/>
          </w:tcPr>
          <w:p w:rsidR="004300E2" w:rsidRPr="00090BE7" w:rsidRDefault="004300E2" w:rsidP="004300E2">
            <w:pPr>
              <w:spacing w:before="40" w:after="40"/>
              <w:jc w:val="center"/>
              <w:rPr>
                <w:lang w:val="it-IT"/>
              </w:rPr>
            </w:pPr>
          </w:p>
        </w:tc>
      </w:tr>
      <w:tr w:rsidR="004300E2" w:rsidRPr="00A44ECD" w:rsidTr="00940A6F">
        <w:trPr>
          <w:cantSplit/>
        </w:trPr>
        <w:tc>
          <w:tcPr>
            <w:tcW w:w="567" w:type="dxa"/>
            <w:tcMar>
              <w:left w:w="108" w:type="dxa"/>
            </w:tcMar>
          </w:tcPr>
          <w:p w:rsidR="004300E2" w:rsidRPr="008A0F36" w:rsidRDefault="004300E2" w:rsidP="004300E2">
            <w:pPr>
              <w:pStyle w:val="IAS"/>
              <w:spacing w:after="40"/>
              <w:rPr>
                <w:lang w:val="it-IT"/>
              </w:rPr>
            </w:pPr>
          </w:p>
        </w:tc>
        <w:tc>
          <w:tcPr>
            <w:tcW w:w="851" w:type="dxa"/>
            <w:tcMar>
              <w:left w:w="108" w:type="dxa"/>
              <w:right w:w="0" w:type="dxa"/>
            </w:tcMar>
          </w:tcPr>
          <w:p w:rsidR="004300E2" w:rsidRPr="008A0F36" w:rsidRDefault="004300E2" w:rsidP="004300E2">
            <w:pPr>
              <w:pStyle w:val="IAS"/>
              <w:spacing w:after="40"/>
              <w:rPr>
                <w:lang w:val="it-IT"/>
              </w:rPr>
            </w:pPr>
          </w:p>
        </w:tc>
        <w:tc>
          <w:tcPr>
            <w:tcW w:w="7079" w:type="dxa"/>
            <w:tcMar>
              <w:left w:w="108" w:type="dxa"/>
            </w:tcMar>
          </w:tcPr>
          <w:p w:rsidR="004300E2" w:rsidRPr="008A0F36" w:rsidRDefault="004300E2" w:rsidP="004300E2">
            <w:pPr>
              <w:pStyle w:val="Titolo2"/>
              <w:spacing w:before="40" w:after="40"/>
              <w:rPr>
                <w:lang w:val="it-IT"/>
              </w:rPr>
            </w:pPr>
            <w:r w:rsidRPr="008A0F36">
              <w:rPr>
                <w:lang w:val="it-IT"/>
              </w:rPr>
              <w:t>Proventi, oneri, utili e perdite</w:t>
            </w:r>
          </w:p>
        </w:tc>
        <w:tc>
          <w:tcPr>
            <w:tcW w:w="575" w:type="dxa"/>
            <w:tcMar>
              <w:left w:w="85" w:type="dxa"/>
              <w:right w:w="85" w:type="dxa"/>
            </w:tcMar>
            <w:vAlign w:val="center"/>
          </w:tcPr>
          <w:p w:rsidR="004300E2" w:rsidRPr="00090BE7" w:rsidRDefault="004300E2" w:rsidP="004300E2">
            <w:pPr>
              <w:spacing w:before="40" w:after="40"/>
              <w:jc w:val="center"/>
              <w:rPr>
                <w:lang w:val="it-IT"/>
              </w:rPr>
            </w:pPr>
          </w:p>
        </w:tc>
        <w:tc>
          <w:tcPr>
            <w:tcW w:w="567" w:type="dxa"/>
            <w:tcMar>
              <w:left w:w="108" w:type="dxa"/>
            </w:tcMar>
            <w:vAlign w:val="center"/>
          </w:tcPr>
          <w:p w:rsidR="004300E2" w:rsidRPr="00090BE7" w:rsidRDefault="004300E2" w:rsidP="004300E2">
            <w:pPr>
              <w:spacing w:before="40" w:after="40"/>
              <w:jc w:val="center"/>
              <w:rPr>
                <w:lang w:val="it-IT"/>
              </w:rPr>
            </w:pPr>
          </w:p>
        </w:tc>
        <w:tc>
          <w:tcPr>
            <w:tcW w:w="567" w:type="dxa"/>
            <w:tcMar>
              <w:left w:w="108" w:type="dxa"/>
            </w:tcMar>
            <w:vAlign w:val="center"/>
          </w:tcPr>
          <w:p w:rsidR="004300E2" w:rsidRPr="00090BE7" w:rsidRDefault="004300E2" w:rsidP="004300E2">
            <w:pPr>
              <w:spacing w:before="40" w:after="40"/>
              <w:jc w:val="center"/>
              <w:rPr>
                <w:lang w:val="it-IT"/>
              </w:rPr>
            </w:pP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IFRS 7.20</w:t>
            </w:r>
          </w:p>
        </w:tc>
        <w:tc>
          <w:tcPr>
            <w:tcW w:w="7079" w:type="dxa"/>
            <w:tcMar>
              <w:left w:w="108" w:type="dxa"/>
            </w:tcMar>
          </w:tcPr>
          <w:p w:rsidR="004300E2" w:rsidRPr="008A0F36" w:rsidDel="007F1AFB" w:rsidRDefault="004300E2" w:rsidP="004300E2">
            <w:pPr>
              <w:rPr>
                <w:b/>
                <w:lang w:val="it-IT"/>
              </w:rPr>
            </w:pPr>
            <w:r w:rsidRPr="008A0F36">
              <w:rPr>
                <w:lang w:val="it-IT"/>
              </w:rPr>
              <w:t xml:space="preserve">L’entità ha fornito l’indicazione delle seguenti voci di proventi, oneri, utili e perdite nel prospetto </w:t>
            </w:r>
            <w:r>
              <w:rPr>
                <w:lang w:val="it-IT"/>
              </w:rPr>
              <w:t xml:space="preserve">(nei prospetti) dell’utile/(perdita) d’esercizio e delle altre componenti </w:t>
            </w:r>
            <w:r w:rsidRPr="008A0F36">
              <w:rPr>
                <w:lang w:val="it-IT"/>
              </w:rPr>
              <w:t>di conto economico complessivo o nelle note:</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r w:rsidRPr="008A0F36">
              <w:rPr>
                <w:lang w:val="it-IT"/>
              </w:rPr>
              <w:t>IAS 39.9</w:t>
            </w:r>
          </w:p>
        </w:tc>
        <w:tc>
          <w:tcPr>
            <w:tcW w:w="7079" w:type="dxa"/>
            <w:tcMar>
              <w:left w:w="108" w:type="dxa"/>
            </w:tcMar>
          </w:tcPr>
          <w:p w:rsidR="00E84B58" w:rsidRPr="008A0F36" w:rsidRDefault="00E84B58" w:rsidP="004300E2">
            <w:pPr>
              <w:pStyle w:val="Rientroa"/>
              <w:numPr>
                <w:ilvl w:val="0"/>
                <w:numId w:val="70"/>
              </w:numPr>
              <w:rPr>
                <w:iCs/>
              </w:rPr>
            </w:pPr>
            <w:r w:rsidRPr="008A0F36">
              <w:t>utili o perdite nette relative a:</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4300E2">
            <w:pPr>
              <w:pStyle w:val="Rientroisottoa"/>
              <w:ind w:left="741" w:hanging="305"/>
            </w:pPr>
            <w:r w:rsidRPr="008A0F36">
              <w:t>i)</w:t>
            </w:r>
            <w:r w:rsidRPr="008A0F36">
              <w:tab/>
              <w:t xml:space="preserve">attività finanziarie o passività finanziarie al </w:t>
            </w:r>
            <w:r w:rsidRPr="008A0F36">
              <w:rPr>
                <w:i/>
              </w:rPr>
              <w:t>fair value</w:t>
            </w:r>
            <w:r w:rsidRPr="008A0F36">
              <w:t xml:space="preserve"> rilevato </w:t>
            </w:r>
            <w:r>
              <w:t>nell’utile/(perdita)</w:t>
            </w:r>
            <w:r w:rsidRPr="008A0F36">
              <w:t>, con separata indicazione di:</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4300E2">
            <w:pPr>
              <w:pStyle w:val="Rientrosottoi"/>
              <w:ind w:left="883" w:hanging="141"/>
            </w:pPr>
            <w:r w:rsidRPr="008A0F36">
              <w:t>-</w:t>
            </w:r>
            <w:r w:rsidRPr="008A0F36">
              <w:tab/>
              <w:t>quelli relativi alle attività e passività finanziarie designate come tali sin dalla loro iniziale iscrizione, e</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4300E2">
            <w:pPr>
              <w:pStyle w:val="Rientrosottoi"/>
              <w:ind w:left="883" w:hanging="141"/>
            </w:pPr>
            <w:r w:rsidRPr="008A0F36">
              <w:t>-</w:t>
            </w:r>
            <w:r w:rsidRPr="008A0F36">
              <w:tab/>
              <w:t>quelli relativi ad attività e passività finanziarie che sono state classificate come detenute per la negoziazione in accordo con lo IAS 39</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4300E2">
            <w:pPr>
              <w:pStyle w:val="Rientroisottoa"/>
              <w:ind w:left="741" w:hanging="305"/>
            </w:pPr>
            <w:r w:rsidRPr="008A0F36">
              <w:t>ii)</w:t>
            </w:r>
            <w:r w:rsidRPr="008A0F36">
              <w:tab/>
              <w:t>attività finanziarie disponibili per la vendita, con separata indicazione di:</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4300E2">
            <w:pPr>
              <w:pStyle w:val="Rientrosottoi"/>
              <w:ind w:left="883" w:hanging="136"/>
            </w:pPr>
            <w:r w:rsidRPr="008A0F36">
              <w:t>-</w:t>
            </w:r>
            <w:r w:rsidRPr="008A0F36">
              <w:tab/>
              <w:t xml:space="preserve">ammontare di utili o perdite iscritti nelle altre componenti </w:t>
            </w:r>
            <w:r>
              <w:t>di</w:t>
            </w:r>
            <w:r w:rsidRPr="008A0F36">
              <w:t xml:space="preserve"> conto economico complessivo durante il periodo e</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4300E2">
            <w:pPr>
              <w:pStyle w:val="Rientrosottoi"/>
              <w:ind w:left="883" w:hanging="136"/>
            </w:pPr>
            <w:r w:rsidRPr="008A0F36">
              <w:t>-</w:t>
            </w:r>
            <w:r w:rsidRPr="008A0F36">
              <w:tab/>
              <w:t xml:space="preserve">importi riclassificati dalle altre componenti </w:t>
            </w:r>
            <w:r>
              <w:t xml:space="preserve">di </w:t>
            </w:r>
            <w:r w:rsidRPr="008A0F36">
              <w:t>conto economico complessivo e iscritti nell’utile/(perdita) d’esercizio</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4300E2">
            <w:pPr>
              <w:pStyle w:val="Rientroisottoa"/>
              <w:ind w:left="741" w:hanging="305"/>
            </w:pPr>
            <w:r w:rsidRPr="008A0F36">
              <w:t>iii)</w:t>
            </w:r>
            <w:r w:rsidRPr="008A0F36">
              <w:tab/>
              <w:t>investimenti detenuti fino a scadenza</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A0F36"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4300E2">
            <w:pPr>
              <w:pStyle w:val="Rientroisottoa"/>
              <w:ind w:left="741" w:hanging="305"/>
            </w:pPr>
            <w:r w:rsidRPr="008A0F36">
              <w:t>iv)</w:t>
            </w:r>
            <w:r w:rsidRPr="008A0F36">
              <w:tab/>
              <w:t>finanziamenti e crediti</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4300E2">
            <w:pPr>
              <w:pStyle w:val="Rientroisottoa"/>
              <w:ind w:left="741" w:hanging="305"/>
            </w:pPr>
            <w:r w:rsidRPr="008A0F36">
              <w:t>v)</w:t>
            </w:r>
            <w:r w:rsidRPr="008A0F36">
              <w:tab/>
              <w:t>passività finanziarie al costo ammortizzato.</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4300E2">
            <w:pPr>
              <w:pStyle w:val="Rientroa"/>
            </w:pPr>
            <w:r w:rsidRPr="008A0F36">
              <w:t xml:space="preserve">totale interessi attivi e totale interessi passivi (calcolati usando il metodo dell’interesse effettivo) per le attività finanziarie o passività finanziarie che non sono valutate al </w:t>
            </w:r>
            <w:r w:rsidRPr="008A0F36">
              <w:rPr>
                <w:i/>
              </w:rPr>
              <w:t>fair value</w:t>
            </w:r>
            <w:r w:rsidRPr="008A0F36">
              <w:t xml:space="preserve"> rilevato </w:t>
            </w:r>
            <w:r>
              <w:t>nell’utile/(perdita).</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IAS"/>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IFRS 4.35(d), IFRS 7.20(b)</w:t>
            </w:r>
          </w:p>
          <w:p w:rsidR="004300E2" w:rsidRPr="008A0F36" w:rsidRDefault="004300E2" w:rsidP="004300E2">
            <w:pPr>
              <w:pStyle w:val="IAS"/>
              <w:rPr>
                <w:lang w:val="it-IT"/>
              </w:rPr>
            </w:pPr>
          </w:p>
        </w:tc>
        <w:tc>
          <w:tcPr>
            <w:tcW w:w="7079" w:type="dxa"/>
            <w:tcMar>
              <w:left w:w="108" w:type="dxa"/>
            </w:tcMar>
          </w:tcPr>
          <w:p w:rsidR="004300E2" w:rsidRPr="008A0F36" w:rsidRDefault="004300E2" w:rsidP="00B468C8">
            <w:pPr>
              <w:pStyle w:val="Paragarfobordato"/>
            </w:pPr>
            <w:r w:rsidRPr="008A0F36">
              <w:t xml:space="preserve">L’IFRS 4.35 (d) stabilisce che l’entità deve fornire informazioni sul totale degli interessi passivi rilevati </w:t>
            </w:r>
            <w:r w:rsidRPr="00251283">
              <w:t>nell’utile/(perdita)</w:t>
            </w:r>
            <w:r>
              <w:t xml:space="preserve"> </w:t>
            </w:r>
            <w:r w:rsidRPr="008A0F36">
              <w:t>ma non richiede il calcolo di tali interessi sulla base del tasso di interesse effettivo come richiesto dall’IFRS 7.20(b) per strumenti finanziari che contengono elementi di partecipazione discrezionali.</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4300E2" w:rsidRPr="00A44ECD" w:rsidTr="00940A6F">
        <w:trPr>
          <w:cantSplit/>
        </w:trPr>
        <w:tc>
          <w:tcPr>
            <w:tcW w:w="567" w:type="dxa"/>
            <w:tcMar>
              <w:left w:w="108" w:type="dxa"/>
            </w:tcMar>
          </w:tcPr>
          <w:p w:rsidR="004300E2" w:rsidRPr="008A0F36" w:rsidRDefault="004300E2" w:rsidP="004300E2">
            <w:pPr>
              <w:pStyle w:val="IAS"/>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Pr="008A0F36" w:rsidRDefault="004300E2" w:rsidP="004300E2">
            <w:pPr>
              <w:pStyle w:val="Rientroa"/>
            </w:pPr>
            <w:r w:rsidRPr="008A0F36">
              <w:t>commissioni attive e passive (diverse da quelle incluse nella determinazione del tasso di interesse effettivo) derivanti da:</w:t>
            </w:r>
          </w:p>
        </w:tc>
        <w:tc>
          <w:tcPr>
            <w:tcW w:w="575" w:type="dxa"/>
            <w:tcMar>
              <w:left w:w="85" w:type="dxa"/>
              <w:right w:w="85"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4300E2">
            <w:pPr>
              <w:pStyle w:val="Rientroisottoa"/>
            </w:pPr>
            <w:r w:rsidRPr="008A0F36">
              <w:t>i)</w:t>
            </w:r>
            <w:r w:rsidRPr="008A0F36">
              <w:tab/>
              <w:t xml:space="preserve">attività finanziarie o passività finanziarie che non sono valutate al </w:t>
            </w:r>
            <w:r w:rsidRPr="008A0F36">
              <w:rPr>
                <w:i/>
              </w:rPr>
              <w:t>fair value</w:t>
            </w:r>
            <w:r w:rsidRPr="008A0F36">
              <w:t xml:space="preserve"> rilevato </w:t>
            </w:r>
            <w:r>
              <w:t>nell’utile/(perdita)</w:t>
            </w:r>
            <w:r w:rsidRPr="008A0F36">
              <w:t xml:space="preserve">, e </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363"/>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4300E2">
            <w:pPr>
              <w:pStyle w:val="Rientroisottoa"/>
            </w:pPr>
            <w:r w:rsidRPr="008A0F36">
              <w:t>ii)</w:t>
            </w:r>
            <w:r w:rsidRPr="008A0F36">
              <w:tab/>
            </w:r>
            <w:r w:rsidRPr="008A0F36">
              <w:rPr>
                <w:i/>
              </w:rPr>
              <w:t>trust</w:t>
            </w:r>
            <w:r w:rsidRPr="008A0F36">
              <w:t xml:space="preserve"> e altre attività fiduciarie che consistono nel detenere o investire attività per conto di persone, </w:t>
            </w:r>
            <w:r w:rsidRPr="008A0F36">
              <w:rPr>
                <w:i/>
              </w:rPr>
              <w:t>trust</w:t>
            </w:r>
            <w:r w:rsidRPr="008A0F36">
              <w:t>, entità che gestiscono piani a beneficio di dipendenti e altre istituzioni</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r w:rsidRPr="008A0F36">
              <w:rPr>
                <w:lang w:val="it-IT"/>
              </w:rPr>
              <w:t>IAS 39.AG93</w:t>
            </w:r>
          </w:p>
        </w:tc>
        <w:tc>
          <w:tcPr>
            <w:tcW w:w="7079" w:type="dxa"/>
            <w:tcMar>
              <w:left w:w="108" w:type="dxa"/>
            </w:tcMar>
          </w:tcPr>
          <w:p w:rsidR="00E84B58" w:rsidRPr="008A0F36" w:rsidRDefault="00E84B58" w:rsidP="004300E2">
            <w:pPr>
              <w:pStyle w:val="Rientroa"/>
            </w:pPr>
            <w:r w:rsidRPr="008A0F36">
              <w:t>interessi attivi relativi ad attività finanziarie svalutate in accordo con lo IAS 39.AG 93; e</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4300E2">
            <w:pPr>
              <w:pStyle w:val="Rientroa"/>
            </w:pPr>
            <w:r w:rsidRPr="008A0F36">
              <w:t>l’importo di ogni svalutazione per ogni classe di attività finanziaria.</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A0F36" w:rsidTr="00940A6F">
        <w:trPr>
          <w:cantSplit/>
        </w:trPr>
        <w:tc>
          <w:tcPr>
            <w:tcW w:w="567" w:type="dxa"/>
            <w:tcMar>
              <w:left w:w="108" w:type="dxa"/>
            </w:tcMar>
          </w:tcPr>
          <w:p w:rsidR="004300E2" w:rsidRPr="008A0F36" w:rsidRDefault="004300E2" w:rsidP="00C13ABF">
            <w:pPr>
              <w:pStyle w:val="IAS"/>
              <w:rPr>
                <w:lang w:val="it-IT"/>
              </w:rPr>
            </w:pPr>
          </w:p>
        </w:tc>
        <w:tc>
          <w:tcPr>
            <w:tcW w:w="851" w:type="dxa"/>
            <w:tcMar>
              <w:left w:w="108" w:type="dxa"/>
              <w:right w:w="0" w:type="dxa"/>
            </w:tcMar>
          </w:tcPr>
          <w:p w:rsidR="004300E2" w:rsidRPr="008A0F36" w:rsidRDefault="004300E2" w:rsidP="004300E2">
            <w:pPr>
              <w:pStyle w:val="IAS"/>
              <w:pageBreakBefore/>
              <w:rPr>
                <w:lang w:val="it-IT"/>
              </w:rPr>
            </w:pPr>
          </w:p>
        </w:tc>
        <w:tc>
          <w:tcPr>
            <w:tcW w:w="7079" w:type="dxa"/>
            <w:tcMar>
              <w:left w:w="108" w:type="dxa"/>
            </w:tcMar>
          </w:tcPr>
          <w:p w:rsidR="004300E2" w:rsidRPr="008A0F36" w:rsidRDefault="004300E2" w:rsidP="004300E2">
            <w:pPr>
              <w:pStyle w:val="Titolo2"/>
              <w:keepNext w:val="0"/>
              <w:pageBreakBefore/>
              <w:spacing w:before="40"/>
              <w:rPr>
                <w:lang w:val="it-IT"/>
              </w:rPr>
            </w:pPr>
            <w:r w:rsidRPr="008A0F36">
              <w:rPr>
                <w:lang w:val="it-IT"/>
              </w:rPr>
              <w:t>Altre informazioni</w:t>
            </w:r>
          </w:p>
        </w:tc>
        <w:tc>
          <w:tcPr>
            <w:tcW w:w="575" w:type="dxa"/>
            <w:tcMar>
              <w:left w:w="85" w:type="dxa"/>
              <w:right w:w="85" w:type="dxa"/>
            </w:tcMar>
            <w:vAlign w:val="center"/>
          </w:tcPr>
          <w:p w:rsidR="004300E2" w:rsidRDefault="004300E2" w:rsidP="004300E2">
            <w:pPr>
              <w:pageBreakBefore/>
              <w:spacing w:before="40"/>
              <w:jc w:val="center"/>
            </w:pPr>
          </w:p>
        </w:tc>
        <w:tc>
          <w:tcPr>
            <w:tcW w:w="567" w:type="dxa"/>
            <w:tcMar>
              <w:left w:w="108" w:type="dxa"/>
            </w:tcMar>
            <w:vAlign w:val="center"/>
          </w:tcPr>
          <w:p w:rsidR="004300E2" w:rsidRDefault="004300E2" w:rsidP="004300E2">
            <w:pPr>
              <w:pageBreakBefore/>
              <w:spacing w:before="40"/>
              <w:jc w:val="center"/>
            </w:pPr>
          </w:p>
        </w:tc>
        <w:tc>
          <w:tcPr>
            <w:tcW w:w="567" w:type="dxa"/>
            <w:tcMar>
              <w:left w:w="108" w:type="dxa"/>
            </w:tcMar>
            <w:vAlign w:val="center"/>
          </w:tcPr>
          <w:p w:rsidR="004300E2" w:rsidRDefault="004300E2" w:rsidP="004300E2">
            <w:pPr>
              <w:pageBreakBefore/>
              <w:spacing w:before="40"/>
              <w:jc w:val="center"/>
            </w:pPr>
          </w:p>
        </w:tc>
      </w:tr>
      <w:tr w:rsidR="004300E2" w:rsidRPr="008A0F36" w:rsidTr="00940A6F">
        <w:trPr>
          <w:cantSplit/>
        </w:trPr>
        <w:tc>
          <w:tcPr>
            <w:tcW w:w="567" w:type="dxa"/>
            <w:tcMar>
              <w:left w:w="108" w:type="dxa"/>
            </w:tcMar>
          </w:tcPr>
          <w:p w:rsidR="004300E2" w:rsidRPr="008A0F36" w:rsidRDefault="004300E2" w:rsidP="004300E2">
            <w:pPr>
              <w:pStyle w:val="IAS"/>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Pr="008A0F36" w:rsidRDefault="004300E2" w:rsidP="004300E2">
            <w:pPr>
              <w:pStyle w:val="Titolo2"/>
              <w:spacing w:before="40"/>
              <w:rPr>
                <w:lang w:val="it-IT"/>
              </w:rPr>
            </w:pPr>
            <w:r w:rsidRPr="008A0F36">
              <w:rPr>
                <w:lang w:val="it-IT"/>
              </w:rPr>
              <w:t>Principi contabili</w:t>
            </w:r>
          </w:p>
        </w:tc>
        <w:tc>
          <w:tcPr>
            <w:tcW w:w="575" w:type="dxa"/>
            <w:tcMar>
              <w:left w:w="85" w:type="dxa"/>
              <w:right w:w="85" w:type="dxa"/>
            </w:tcMar>
            <w:vAlign w:val="center"/>
          </w:tcPr>
          <w:p w:rsidR="004300E2" w:rsidRDefault="004300E2" w:rsidP="004300E2">
            <w:pPr>
              <w:spacing w:before="40"/>
              <w:jc w:val="center"/>
            </w:pPr>
          </w:p>
        </w:tc>
        <w:tc>
          <w:tcPr>
            <w:tcW w:w="567" w:type="dxa"/>
            <w:tcMar>
              <w:left w:w="108" w:type="dxa"/>
            </w:tcMar>
            <w:vAlign w:val="center"/>
          </w:tcPr>
          <w:p w:rsidR="004300E2" w:rsidRDefault="004300E2" w:rsidP="004300E2">
            <w:pPr>
              <w:spacing w:before="40"/>
              <w:jc w:val="center"/>
            </w:pPr>
          </w:p>
        </w:tc>
        <w:tc>
          <w:tcPr>
            <w:tcW w:w="567" w:type="dxa"/>
            <w:tcMar>
              <w:left w:w="108" w:type="dxa"/>
            </w:tcMar>
            <w:vAlign w:val="center"/>
          </w:tcPr>
          <w:p w:rsidR="004300E2" w:rsidRDefault="004300E2" w:rsidP="004300E2">
            <w:pPr>
              <w:spacing w:before="40"/>
              <w:jc w:val="center"/>
            </w:pPr>
          </w:p>
        </w:tc>
      </w:tr>
      <w:tr w:rsidR="00E84B58" w:rsidRPr="008129DA" w:rsidTr="00940A6F">
        <w:trPr>
          <w:cantSplit/>
        </w:trPr>
        <w:tc>
          <w:tcPr>
            <w:tcW w:w="567" w:type="dxa"/>
            <w:tcMar>
              <w:left w:w="108" w:type="dxa"/>
            </w:tcMar>
          </w:tcPr>
          <w:p w:rsidR="00E84B58" w:rsidRPr="008A0F36" w:rsidRDefault="00E84B58" w:rsidP="004300E2">
            <w:pPr>
              <w:pStyle w:val="Numeroelenco"/>
              <w:ind w:left="0" w:firstLine="57"/>
              <w:rPr>
                <w:lang w:val="it-IT"/>
              </w:rPr>
            </w:pPr>
          </w:p>
        </w:tc>
        <w:tc>
          <w:tcPr>
            <w:tcW w:w="851" w:type="dxa"/>
            <w:tcMar>
              <w:left w:w="108" w:type="dxa"/>
              <w:right w:w="0" w:type="dxa"/>
            </w:tcMar>
          </w:tcPr>
          <w:p w:rsidR="00E84B58" w:rsidRPr="008A0F36" w:rsidRDefault="00E84B58" w:rsidP="004300E2">
            <w:pPr>
              <w:pStyle w:val="IAS"/>
              <w:rPr>
                <w:lang w:val="it-IT"/>
              </w:rPr>
            </w:pPr>
            <w:r w:rsidRPr="008A0F36">
              <w:rPr>
                <w:lang w:val="it-IT"/>
              </w:rPr>
              <w:t>IFRS 7.21</w:t>
            </w:r>
          </w:p>
          <w:p w:rsidR="00E84B58" w:rsidRPr="008A0F36" w:rsidRDefault="00E84B58" w:rsidP="004300E2">
            <w:pPr>
              <w:pStyle w:val="IAS"/>
              <w:rPr>
                <w:lang w:val="it-IT"/>
              </w:rPr>
            </w:pPr>
            <w:r w:rsidRPr="008A0F36">
              <w:rPr>
                <w:lang w:val="it-IT"/>
              </w:rPr>
              <w:t>IAS 1.117</w:t>
            </w:r>
          </w:p>
          <w:p w:rsidR="00E84B58" w:rsidRPr="008A0F36" w:rsidRDefault="00E84B58" w:rsidP="004300E2">
            <w:pPr>
              <w:pStyle w:val="IAS"/>
              <w:rPr>
                <w:lang w:val="it-IT"/>
              </w:rPr>
            </w:pPr>
          </w:p>
        </w:tc>
        <w:tc>
          <w:tcPr>
            <w:tcW w:w="7079" w:type="dxa"/>
            <w:tcMar>
              <w:left w:w="108" w:type="dxa"/>
            </w:tcMar>
          </w:tcPr>
          <w:p w:rsidR="00E84B58" w:rsidRPr="008A0F36" w:rsidRDefault="00E84B58" w:rsidP="007B3B0B">
            <w:pPr>
              <w:rPr>
                <w:lang w:val="it-IT"/>
              </w:rPr>
            </w:pPr>
            <w:r w:rsidRPr="008A0F36">
              <w:rPr>
                <w:lang w:val="it-IT"/>
              </w:rPr>
              <w:t xml:space="preserve">L’entità, in accordo con lo IAS 1.117, ha fornito </w:t>
            </w:r>
            <w:r>
              <w:rPr>
                <w:lang w:val="it-IT"/>
              </w:rPr>
              <w:t xml:space="preserve">un’illustrazione </w:t>
            </w:r>
            <w:r w:rsidRPr="008A0F36">
              <w:rPr>
                <w:lang w:val="it-IT"/>
              </w:rPr>
              <w:t>dei principi contabili rilevanti, i</w:t>
            </w:r>
            <w:r>
              <w:rPr>
                <w:lang w:val="it-IT"/>
              </w:rPr>
              <w:t>l</w:t>
            </w:r>
            <w:r w:rsidRPr="008A0F36">
              <w:rPr>
                <w:lang w:val="it-IT"/>
              </w:rPr>
              <w:t xml:space="preserve"> criteri</w:t>
            </w:r>
            <w:r>
              <w:rPr>
                <w:lang w:val="it-IT"/>
              </w:rPr>
              <w:t>o (criterio)</w:t>
            </w:r>
            <w:r w:rsidRPr="008A0F36">
              <w:rPr>
                <w:lang w:val="it-IT"/>
              </w:rPr>
              <w:t xml:space="preserve"> </w:t>
            </w:r>
            <w:r>
              <w:rPr>
                <w:lang w:val="it-IT"/>
              </w:rPr>
              <w:t xml:space="preserve">base </w:t>
            </w:r>
            <w:r w:rsidRPr="008A0F36">
              <w:rPr>
                <w:lang w:val="it-IT"/>
              </w:rPr>
              <w:t xml:space="preserve">di valutazione </w:t>
            </w:r>
            <w:r>
              <w:rPr>
                <w:lang w:val="it-IT"/>
              </w:rPr>
              <w:t xml:space="preserve">adottato (adottati) </w:t>
            </w:r>
            <w:r w:rsidRPr="008A0F36">
              <w:rPr>
                <w:lang w:val="it-IT"/>
              </w:rPr>
              <w:t>per la predisposizione del bilancio e gli altri principi contabili utilizzati che sono significativi per la comprensione del bilancio con riferimento agli strumenti finanziari.</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Numeroelenco"/>
              <w:ind w:left="0" w:firstLine="57"/>
              <w:rPr>
                <w:lang w:val="it-IT"/>
              </w:rPr>
            </w:pPr>
          </w:p>
        </w:tc>
        <w:tc>
          <w:tcPr>
            <w:tcW w:w="851" w:type="dxa"/>
            <w:tcMar>
              <w:left w:w="108" w:type="dxa"/>
              <w:right w:w="0" w:type="dxa"/>
            </w:tcMar>
          </w:tcPr>
          <w:p w:rsidR="00E84B58" w:rsidRPr="008A0F36" w:rsidRDefault="00E84B58" w:rsidP="004300E2">
            <w:pPr>
              <w:pStyle w:val="IAS"/>
              <w:rPr>
                <w:lang w:val="it-IT"/>
              </w:rPr>
            </w:pPr>
            <w:r w:rsidRPr="008A0F36">
              <w:rPr>
                <w:lang w:val="it-IT"/>
              </w:rPr>
              <w:t>IFRS 7.B5</w:t>
            </w:r>
          </w:p>
        </w:tc>
        <w:tc>
          <w:tcPr>
            <w:tcW w:w="7079" w:type="dxa"/>
            <w:tcMar>
              <w:left w:w="108" w:type="dxa"/>
            </w:tcMar>
          </w:tcPr>
          <w:p w:rsidR="00E84B58" w:rsidRDefault="00E84B58" w:rsidP="004300E2">
            <w:pPr>
              <w:rPr>
                <w:sz w:val="19"/>
                <w:szCs w:val="19"/>
                <w:lang w:val="it-IT"/>
              </w:rPr>
            </w:pPr>
            <w:r w:rsidRPr="004300E2">
              <w:rPr>
                <w:sz w:val="19"/>
                <w:szCs w:val="19"/>
                <w:lang w:val="it-IT"/>
              </w:rPr>
              <w:t xml:space="preserve">Il paragrafo 21 </w:t>
            </w:r>
            <w:r>
              <w:rPr>
                <w:sz w:val="19"/>
                <w:szCs w:val="19"/>
                <w:lang w:val="it-IT"/>
              </w:rPr>
              <w:t xml:space="preserve">dell’IFRS 7 </w:t>
            </w:r>
            <w:r w:rsidRPr="004300E2">
              <w:rPr>
                <w:sz w:val="19"/>
                <w:szCs w:val="19"/>
                <w:lang w:val="it-IT"/>
              </w:rPr>
              <w:t xml:space="preserve">richiede che vengano indicati i criteri di valutazione utilizzati per la preparazione del bilancio e gli altri principi contabili utilizzati che sono significativi per la comprensione del bilancio. </w:t>
            </w:r>
            <w:r w:rsidRPr="00FB4B6E">
              <w:rPr>
                <w:sz w:val="19"/>
                <w:szCs w:val="19"/>
                <w:lang w:val="it-IT"/>
              </w:rPr>
              <w:t>Per gli strumenti finanziari, le informazioni integrative possono comprendere:</w:t>
            </w:r>
          </w:p>
          <w:p w:rsidR="00E84B58" w:rsidRPr="00747045" w:rsidRDefault="00E84B58" w:rsidP="00FB4B6E">
            <w:pPr>
              <w:pStyle w:val="Paragrafoelenco"/>
              <w:numPr>
                <w:ilvl w:val="0"/>
                <w:numId w:val="260"/>
              </w:numPr>
              <w:ind w:left="317" w:hanging="317"/>
              <w:rPr>
                <w:lang w:val="it-IT"/>
              </w:rPr>
            </w:pPr>
            <w:r>
              <w:rPr>
                <w:lang w:val="it-IT"/>
              </w:rPr>
              <w:t xml:space="preserve">Per le attività e passività finanziarie </w:t>
            </w:r>
            <w:r w:rsidRPr="00FB4B6E">
              <w:rPr>
                <w:lang w:val="it-IT"/>
              </w:rPr>
              <w:t xml:space="preserve">che l’entità ha designato al </w:t>
            </w:r>
            <w:r w:rsidRPr="00FB4B6E">
              <w:rPr>
                <w:i/>
                <w:lang w:val="it-IT"/>
              </w:rPr>
              <w:t>fair value</w:t>
            </w:r>
            <w:r w:rsidRPr="00FB4B6E">
              <w:rPr>
                <w:lang w:val="it-IT"/>
              </w:rPr>
              <w:t xml:space="preserve"> rilevato nell’utile/(perdita)</w:t>
            </w:r>
            <w:r>
              <w:rPr>
                <w:lang w:val="it-IT"/>
              </w:rPr>
              <w:t>:</w:t>
            </w:r>
          </w:p>
        </w:tc>
        <w:tc>
          <w:tcPr>
            <w:tcW w:w="575" w:type="dxa"/>
            <w:tcMar>
              <w:left w:w="85" w:type="dxa"/>
              <w:right w:w="85" w:type="dxa"/>
            </w:tcMar>
            <w:vAlign w:val="center"/>
          </w:tcPr>
          <w:p w:rsidR="00E84B58" w:rsidRPr="00090BE7"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090BE7"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090BE7"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Default="00E84B58" w:rsidP="00FB4B6E">
            <w:pPr>
              <w:pStyle w:val="Rientroisottoa"/>
              <w:ind w:left="601" w:hanging="284"/>
            </w:pPr>
            <w:r w:rsidRPr="008A0F36">
              <w:t>i)</w:t>
            </w:r>
            <w:r w:rsidRPr="008A0F36">
              <w:tab/>
              <w:t xml:space="preserve">la natura </w:t>
            </w:r>
            <w:r>
              <w:t xml:space="preserve">di tali </w:t>
            </w:r>
            <w:r w:rsidRPr="008A0F36">
              <w:t xml:space="preserve">attività </w:t>
            </w:r>
            <w:r>
              <w:t xml:space="preserve">e passività </w:t>
            </w:r>
            <w:r w:rsidRPr="008A0F36">
              <w:t>finanziarie</w:t>
            </w:r>
            <w:r>
              <w:t>;</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Default="00E84B58" w:rsidP="00FB4B6E">
            <w:pPr>
              <w:pStyle w:val="Rientroisottoa"/>
              <w:ind w:left="601" w:hanging="284"/>
            </w:pPr>
            <w:r w:rsidRPr="008A0F36">
              <w:t>ii)</w:t>
            </w:r>
            <w:r w:rsidRPr="008A0F36">
              <w:tab/>
              <w:t>i criteri per tale designazione al momento della loro iscrizione iniziale; e</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Default="00E84B58" w:rsidP="00FB4B6E">
            <w:pPr>
              <w:pStyle w:val="Rientroisottoa"/>
              <w:ind w:left="601" w:hanging="284"/>
            </w:pPr>
            <w:r w:rsidRPr="008A0F36">
              <w:t>iii)</w:t>
            </w:r>
            <w:r w:rsidRPr="008A0F36">
              <w:tab/>
              <w:t>come l’entità ha soddisfatto le condizioni dello IAS 39.9, IAS 39.11 A o IAS 39.12 per tale designazione:</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Default="00E84B58" w:rsidP="00325C09">
            <w:pPr>
              <w:pStyle w:val="Rientrosottoi"/>
              <w:ind w:left="740" w:hanging="170"/>
              <w:rPr>
                <w:rFonts w:ascii="Times New Roman" w:hAnsi="Times New Roman"/>
              </w:rPr>
            </w:pPr>
            <w:r w:rsidRPr="008A0F36">
              <w:t>-</w:t>
            </w:r>
            <w:r w:rsidRPr="008A0F36">
              <w:tab/>
              <w:t xml:space="preserve">per gli strumenti finanziari designati in accordo con il paragrafo b) i) della definizione di attività o passività finanziarie al </w:t>
            </w:r>
            <w:r w:rsidRPr="008A0F36">
              <w:rPr>
                <w:i/>
              </w:rPr>
              <w:t>fair value</w:t>
            </w:r>
            <w:r w:rsidRPr="008A0F36">
              <w:t xml:space="preserve"> rilevato </w:t>
            </w:r>
            <w:r>
              <w:t>nell’utile/(perdita)</w:t>
            </w:r>
            <w:r w:rsidRPr="008A0F36">
              <w:t xml:space="preserve"> </w:t>
            </w:r>
            <w:r>
              <w:t>(IAS 39.9)</w:t>
            </w:r>
            <w:r w:rsidRPr="008A0F36">
              <w:t xml:space="preserve">, l’informativa include una descrizione narrativa delle circostanze sottostanti un’incoerente </w:t>
            </w:r>
            <w:r>
              <w:t xml:space="preserve">valutazione </w:t>
            </w:r>
            <w:r w:rsidRPr="008A0F36">
              <w:t>o iscrizione che potrebbe altrimenti derivarne</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Default="00E84B58" w:rsidP="00325C09">
            <w:pPr>
              <w:pStyle w:val="Rientrosottoi"/>
              <w:ind w:left="740" w:hanging="170"/>
            </w:pPr>
            <w:r w:rsidRPr="008A0F36">
              <w:t>-</w:t>
            </w:r>
            <w:r w:rsidRPr="008A0F36">
              <w:tab/>
              <w:t xml:space="preserve">per gli strumenti finanziari designati in accordo con il paragrafo b) ii) della definizione di attività o passività finanziarie al </w:t>
            </w:r>
            <w:r w:rsidRPr="008A0F36">
              <w:rPr>
                <w:i/>
              </w:rPr>
              <w:t>fair value</w:t>
            </w:r>
            <w:r w:rsidRPr="008A0F36">
              <w:t xml:space="preserve"> rilevato </w:t>
            </w:r>
            <w:r>
              <w:t>nell’utile/(perdita)</w:t>
            </w:r>
            <w:r w:rsidRPr="008A0F36">
              <w:t xml:space="preserve"> </w:t>
            </w:r>
            <w:r>
              <w:t>(</w:t>
            </w:r>
            <w:r w:rsidRPr="008A0F36">
              <w:t>IAS 39</w:t>
            </w:r>
            <w:r>
              <w:t>.9)</w:t>
            </w:r>
            <w:r w:rsidRPr="008A0F36">
              <w:t xml:space="preserve">, l’informativa include una descrizione narrativa di come la designazione al </w:t>
            </w:r>
            <w:r w:rsidRPr="008A0F36">
              <w:rPr>
                <w:i/>
              </w:rPr>
              <w:t>fair value</w:t>
            </w:r>
            <w:r w:rsidRPr="008A0F36">
              <w:t xml:space="preserve"> rilevato </w:t>
            </w:r>
            <w:r>
              <w:t>nell’utile/(perdita)</w:t>
            </w:r>
            <w:r w:rsidRPr="008A0F36">
              <w:t xml:space="preserve"> è coerente con la strategia di investimento o di gestione del rischio documentata dell’entità.</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FB4B6E">
            <w:pPr>
              <w:pStyle w:val="Rientroa"/>
              <w:numPr>
                <w:ilvl w:val="0"/>
                <w:numId w:val="0"/>
              </w:numPr>
              <w:ind w:left="317" w:hanging="283"/>
            </w:pPr>
            <w:r>
              <w:t xml:space="preserve">b) </w:t>
            </w:r>
            <w:r>
              <w:tab/>
            </w:r>
            <w:r w:rsidRPr="008A0F36">
              <w:t>i criteri per designare le attività finanziarie come disponibili per la vendita</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r w:rsidRPr="008A0F36">
              <w:rPr>
                <w:lang w:val="it-IT"/>
              </w:rPr>
              <w:t>IAS 39.38</w:t>
            </w:r>
          </w:p>
          <w:p w:rsidR="00E84B58" w:rsidRPr="008A0F36" w:rsidRDefault="00E84B58" w:rsidP="004300E2">
            <w:pPr>
              <w:pStyle w:val="IAS"/>
              <w:rPr>
                <w:lang w:val="it-IT"/>
              </w:rPr>
            </w:pPr>
          </w:p>
        </w:tc>
        <w:tc>
          <w:tcPr>
            <w:tcW w:w="7079" w:type="dxa"/>
            <w:tcMar>
              <w:left w:w="108" w:type="dxa"/>
            </w:tcMar>
          </w:tcPr>
          <w:p w:rsidR="00E84B58" w:rsidRPr="008A0F36" w:rsidRDefault="00E84B58" w:rsidP="00FB4B6E">
            <w:pPr>
              <w:pStyle w:val="Rientroa"/>
              <w:numPr>
                <w:ilvl w:val="0"/>
                <w:numId w:val="0"/>
              </w:numPr>
              <w:ind w:left="317" w:hanging="285"/>
            </w:pPr>
            <w:r>
              <w:t xml:space="preserve">c) </w:t>
            </w:r>
            <w:r>
              <w:tab/>
            </w:r>
            <w:r w:rsidRPr="008A0F36">
              <w:t>se l’acquisto o la vendita di attività finanziarie sono contabilizzate per data negoziazione o per data regolamento (vedi IAS 39.38)</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FB4B6E">
            <w:pPr>
              <w:pStyle w:val="Rientroa"/>
              <w:numPr>
                <w:ilvl w:val="0"/>
                <w:numId w:val="187"/>
              </w:numPr>
              <w:ind w:left="317" w:hanging="283"/>
            </w:pPr>
            <w:r w:rsidRPr="008A0F36">
              <w:t>quando un accantonamento è utilizzato per ridurre il valore contabile di attività finanziarie svalutate per perdite su crediti:</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4300E2">
            <w:pPr>
              <w:pStyle w:val="Rientroisottoa"/>
            </w:pPr>
            <w:r w:rsidRPr="008A0F36">
              <w:t>i)</w:t>
            </w:r>
            <w:r w:rsidRPr="008A0F36">
              <w:tab/>
              <w:t>i criteri per determinare quando il valore contabile di attività finanziarie svalutate è ridotto direttamente (o, nel caso di uno storno di una svalutazione, è incrementato direttamente) e quando è utilizzato un fondo svalutazione</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r w:rsidRPr="008A0F36">
              <w:rPr>
                <w:lang w:val="it-IT"/>
              </w:rPr>
              <w:t>IFRS 7.16</w:t>
            </w:r>
          </w:p>
        </w:tc>
        <w:tc>
          <w:tcPr>
            <w:tcW w:w="7079" w:type="dxa"/>
            <w:tcMar>
              <w:left w:w="108" w:type="dxa"/>
            </w:tcMar>
          </w:tcPr>
          <w:p w:rsidR="00E84B58" w:rsidRPr="008A0F36" w:rsidRDefault="00E84B58" w:rsidP="004300E2">
            <w:pPr>
              <w:pStyle w:val="Rientroisottoa"/>
            </w:pPr>
            <w:r w:rsidRPr="008A0F36">
              <w:t>ii)</w:t>
            </w:r>
            <w:r w:rsidRPr="008A0F36">
              <w:tab/>
              <w:t>i criteri per stornare importi iscritti nel fondo svalutazione contro il valore contabile di attività finanziarie svalutate</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r w:rsidRPr="008A0F36">
              <w:rPr>
                <w:lang w:val="it-IT"/>
              </w:rPr>
              <w:t xml:space="preserve">IFRS </w:t>
            </w:r>
            <w:r w:rsidRPr="008A0F36">
              <w:rPr>
                <w:lang w:val="it-IT"/>
              </w:rPr>
              <w:br/>
              <w:t>7.20 (a)</w:t>
            </w:r>
          </w:p>
        </w:tc>
        <w:tc>
          <w:tcPr>
            <w:tcW w:w="7079" w:type="dxa"/>
            <w:tcMar>
              <w:left w:w="108" w:type="dxa"/>
            </w:tcMar>
          </w:tcPr>
          <w:p w:rsidR="00E84B58" w:rsidRPr="008A0F36" w:rsidRDefault="00E84B58" w:rsidP="00FB4B6E">
            <w:pPr>
              <w:pStyle w:val="Rientroa"/>
              <w:numPr>
                <w:ilvl w:val="0"/>
                <w:numId w:val="187"/>
              </w:numPr>
              <w:ind w:left="317" w:hanging="283"/>
            </w:pPr>
            <w:r w:rsidRPr="008A0F36">
              <w:t xml:space="preserve">come utili o perdite nette in ogni categoria di strumenti finanziari sono determinati, per esempio, se gli utili o perdite netti di elementi al </w:t>
            </w:r>
            <w:r w:rsidRPr="008A0F36">
              <w:rPr>
                <w:i/>
              </w:rPr>
              <w:t>fair value</w:t>
            </w:r>
            <w:r w:rsidRPr="008A0F36">
              <w:t xml:space="preserve"> rilevato </w:t>
            </w:r>
            <w:r>
              <w:t>nell’utile/(perdita)</w:t>
            </w:r>
            <w:r w:rsidRPr="008A0F36">
              <w:t xml:space="preserve"> includono proventi per interessi o dividendi</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r w:rsidRPr="008A0F36">
              <w:rPr>
                <w:lang w:val="it-IT"/>
              </w:rPr>
              <w:t xml:space="preserve">IFRS </w:t>
            </w:r>
            <w:r w:rsidRPr="008A0F36">
              <w:rPr>
                <w:lang w:val="it-IT"/>
              </w:rPr>
              <w:br/>
              <w:t>7.20 (e)</w:t>
            </w:r>
          </w:p>
        </w:tc>
        <w:tc>
          <w:tcPr>
            <w:tcW w:w="7079" w:type="dxa"/>
            <w:tcMar>
              <w:left w:w="108" w:type="dxa"/>
            </w:tcMar>
          </w:tcPr>
          <w:p w:rsidR="00E84B58" w:rsidRPr="008A0F36" w:rsidRDefault="00E84B58" w:rsidP="00FB4B6E">
            <w:pPr>
              <w:pStyle w:val="Rientroa"/>
              <w:numPr>
                <w:ilvl w:val="0"/>
                <w:numId w:val="187"/>
              </w:numPr>
              <w:ind w:left="317" w:hanging="283"/>
            </w:pPr>
            <w:r w:rsidRPr="008A0F36">
              <w:t>i criteri che l’entità utilizza per determinare se vi è una evidenza oggettiva che un perdita di valore si è verificata</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r w:rsidRPr="008A0F36">
              <w:rPr>
                <w:lang w:val="it-IT"/>
              </w:rPr>
              <w:t xml:space="preserve">IFRS </w:t>
            </w:r>
            <w:r w:rsidRPr="008A0F36">
              <w:rPr>
                <w:lang w:val="it-IT"/>
              </w:rPr>
              <w:br/>
              <w:t>7.36(d)</w:t>
            </w:r>
          </w:p>
        </w:tc>
        <w:tc>
          <w:tcPr>
            <w:tcW w:w="7079" w:type="dxa"/>
            <w:tcMar>
              <w:left w:w="108" w:type="dxa"/>
            </w:tcMar>
          </w:tcPr>
          <w:p w:rsidR="00E84B58" w:rsidRPr="008A0F36" w:rsidRDefault="00E84B58" w:rsidP="00FB4B6E">
            <w:pPr>
              <w:pStyle w:val="Rientroa"/>
              <w:numPr>
                <w:ilvl w:val="0"/>
                <w:numId w:val="187"/>
              </w:numPr>
              <w:ind w:left="317" w:hanging="283"/>
            </w:pPr>
            <w:r w:rsidRPr="008A0F36">
              <w:t xml:space="preserve">quando i termini delle attività finanziarie scaduti o svalutati sono stati rinegoziati, i principi contabili delle attività finanziarie che sono soggetti ai termini rinegoziati. </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noWrap/>
            <w:tcMar>
              <w:left w:w="108" w:type="dxa"/>
            </w:tcMar>
          </w:tcPr>
          <w:p w:rsidR="00E84B58" w:rsidRPr="008A0F36" w:rsidRDefault="00E84B58" w:rsidP="004300E2">
            <w:pPr>
              <w:pStyle w:val="Numeroelenco"/>
              <w:ind w:left="0" w:firstLine="57"/>
              <w:rPr>
                <w:lang w:val="it-IT"/>
              </w:rPr>
            </w:pPr>
          </w:p>
        </w:tc>
        <w:tc>
          <w:tcPr>
            <w:tcW w:w="851" w:type="dxa"/>
            <w:noWrap/>
            <w:tcMar>
              <w:left w:w="108" w:type="dxa"/>
              <w:right w:w="0" w:type="dxa"/>
            </w:tcMar>
          </w:tcPr>
          <w:p w:rsidR="00E84B58" w:rsidRPr="008A0F36" w:rsidRDefault="00E84B58" w:rsidP="004300E2">
            <w:pPr>
              <w:pStyle w:val="IAS"/>
              <w:rPr>
                <w:lang w:val="it-IT"/>
              </w:rPr>
            </w:pPr>
            <w:r w:rsidRPr="008A0F36">
              <w:rPr>
                <w:lang w:val="it-IT"/>
              </w:rPr>
              <w:t>IFRS.</w:t>
            </w:r>
            <w:r>
              <w:rPr>
                <w:lang w:val="it-IT"/>
              </w:rPr>
              <w:t>7.</w:t>
            </w:r>
            <w:r w:rsidRPr="008A0F36">
              <w:rPr>
                <w:lang w:val="it-IT"/>
              </w:rPr>
              <w:t>B5</w:t>
            </w:r>
          </w:p>
          <w:p w:rsidR="00E84B58" w:rsidRPr="008A0F36" w:rsidRDefault="00E84B58" w:rsidP="004300E2">
            <w:pPr>
              <w:pStyle w:val="IAS"/>
              <w:rPr>
                <w:lang w:val="it-IT"/>
              </w:rPr>
            </w:pPr>
            <w:r w:rsidRPr="008A0F36">
              <w:rPr>
                <w:lang w:val="it-IT"/>
              </w:rPr>
              <w:t xml:space="preserve"> IAS 1.122</w:t>
            </w:r>
          </w:p>
        </w:tc>
        <w:tc>
          <w:tcPr>
            <w:tcW w:w="7079" w:type="dxa"/>
            <w:noWrap/>
            <w:tcMar>
              <w:left w:w="108" w:type="dxa"/>
            </w:tcMar>
          </w:tcPr>
          <w:p w:rsidR="00E84B58" w:rsidRPr="008A0F36" w:rsidRDefault="00E84B58" w:rsidP="007B3B0B">
            <w:pPr>
              <w:rPr>
                <w:lang w:val="it-IT"/>
              </w:rPr>
            </w:pPr>
            <w:r w:rsidRPr="008A0F36">
              <w:rPr>
                <w:lang w:val="it-IT"/>
              </w:rPr>
              <w:t xml:space="preserve">L’entità ha fornito, </w:t>
            </w:r>
            <w:r>
              <w:rPr>
                <w:lang w:val="it-IT"/>
              </w:rPr>
              <w:t xml:space="preserve">nell’illustrazione </w:t>
            </w:r>
            <w:r w:rsidRPr="008A0F36">
              <w:rPr>
                <w:lang w:val="it-IT"/>
              </w:rPr>
              <w:t>dei principi contabili o nelle note, il criterio, a parte quello relativo alle stime, che gli amministratori hanno utilizzato nell’applicare i principi contabili dell’entità e che hanno gli effetti più significativi sugli importi riconosciuti nel bilancio, come richiesto dallo IAS 1.122.</w:t>
            </w:r>
          </w:p>
        </w:tc>
        <w:tc>
          <w:tcPr>
            <w:tcW w:w="575" w:type="dxa"/>
            <w:noWrap/>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noWrap/>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noWrap/>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noWrap/>
            <w:tcMar>
              <w:left w:w="108" w:type="dxa"/>
            </w:tcMar>
          </w:tcPr>
          <w:p w:rsidR="004300E2" w:rsidRDefault="004300E2" w:rsidP="004300E2">
            <w:pPr>
              <w:pStyle w:val="IAS"/>
              <w:rPr>
                <w:b/>
                <w:bCs/>
                <w:i/>
                <w:lang w:val="it-IT"/>
              </w:rPr>
            </w:pPr>
          </w:p>
        </w:tc>
        <w:tc>
          <w:tcPr>
            <w:tcW w:w="851" w:type="dxa"/>
            <w:noWrap/>
            <w:tcMar>
              <w:left w:w="108" w:type="dxa"/>
              <w:right w:w="0" w:type="dxa"/>
            </w:tcMar>
          </w:tcPr>
          <w:p w:rsidR="004300E2" w:rsidRDefault="004300E2" w:rsidP="004300E2">
            <w:pPr>
              <w:pStyle w:val="IAS"/>
              <w:rPr>
                <w:b/>
                <w:bCs/>
                <w:i/>
                <w:lang w:val="it-IT"/>
              </w:rPr>
            </w:pPr>
          </w:p>
        </w:tc>
        <w:tc>
          <w:tcPr>
            <w:tcW w:w="7079" w:type="dxa"/>
            <w:noWrap/>
            <w:tcMar>
              <w:left w:w="108" w:type="dxa"/>
            </w:tcMar>
          </w:tcPr>
          <w:p w:rsidR="004300E2" w:rsidRDefault="004300E2" w:rsidP="004300E2">
            <w:pPr>
              <w:pStyle w:val="Titolo2"/>
              <w:keepNext w:val="0"/>
              <w:rPr>
                <w:lang w:val="it-IT"/>
              </w:rPr>
            </w:pPr>
            <w:r w:rsidRPr="008A0F36">
              <w:rPr>
                <w:lang w:val="it-IT"/>
              </w:rPr>
              <w:t>Contabilizzazione delle coperture (</w:t>
            </w:r>
            <w:r w:rsidRPr="008A0F36">
              <w:rPr>
                <w:i/>
                <w:lang w:val="it-IT"/>
              </w:rPr>
              <w:t>hedge accounting</w:t>
            </w:r>
            <w:r w:rsidRPr="008A0F36">
              <w:rPr>
                <w:lang w:val="it-IT"/>
              </w:rPr>
              <w:t>)</w:t>
            </w:r>
          </w:p>
        </w:tc>
        <w:tc>
          <w:tcPr>
            <w:tcW w:w="575" w:type="dxa"/>
            <w:noWrap/>
            <w:tcMar>
              <w:left w:w="85" w:type="dxa"/>
              <w:right w:w="85" w:type="dxa"/>
            </w:tcMar>
            <w:vAlign w:val="center"/>
          </w:tcPr>
          <w:p w:rsidR="004300E2" w:rsidRPr="00090BE7" w:rsidRDefault="004300E2" w:rsidP="004300E2">
            <w:pPr>
              <w:jc w:val="center"/>
              <w:rPr>
                <w:lang w:val="it-IT"/>
              </w:rPr>
            </w:pPr>
          </w:p>
        </w:tc>
        <w:tc>
          <w:tcPr>
            <w:tcW w:w="567" w:type="dxa"/>
            <w:noWrap/>
            <w:tcMar>
              <w:left w:w="108" w:type="dxa"/>
            </w:tcMar>
            <w:vAlign w:val="center"/>
          </w:tcPr>
          <w:p w:rsidR="004300E2" w:rsidRPr="00090BE7" w:rsidRDefault="004300E2" w:rsidP="004300E2">
            <w:pPr>
              <w:jc w:val="center"/>
              <w:rPr>
                <w:lang w:val="it-IT"/>
              </w:rPr>
            </w:pPr>
          </w:p>
        </w:tc>
        <w:tc>
          <w:tcPr>
            <w:tcW w:w="567" w:type="dxa"/>
            <w:noWrap/>
            <w:tcMar>
              <w:left w:w="108" w:type="dxa"/>
            </w:tcMar>
            <w:vAlign w:val="center"/>
          </w:tcPr>
          <w:p w:rsidR="004300E2" w:rsidRPr="00090BE7" w:rsidRDefault="004300E2" w:rsidP="004300E2">
            <w:pPr>
              <w:jc w:val="center"/>
              <w:rPr>
                <w:lang w:val="it-IT"/>
              </w:rPr>
            </w:pPr>
          </w:p>
        </w:tc>
      </w:tr>
      <w:tr w:rsidR="004300E2" w:rsidRPr="00A44ECD" w:rsidTr="00940A6F">
        <w:trPr>
          <w:cantSplit/>
        </w:trPr>
        <w:tc>
          <w:tcPr>
            <w:tcW w:w="567" w:type="dxa"/>
            <w:noWrap/>
            <w:tcMar>
              <w:left w:w="108" w:type="dxa"/>
            </w:tcMar>
          </w:tcPr>
          <w:p w:rsidR="004300E2" w:rsidRPr="008A0F36" w:rsidRDefault="004300E2" w:rsidP="004300E2">
            <w:pPr>
              <w:pStyle w:val="Numeroelenco"/>
              <w:ind w:left="0" w:firstLine="57"/>
              <w:rPr>
                <w:lang w:val="it-IT"/>
              </w:rPr>
            </w:pPr>
          </w:p>
        </w:tc>
        <w:tc>
          <w:tcPr>
            <w:tcW w:w="851" w:type="dxa"/>
            <w:noWrap/>
            <w:tcMar>
              <w:left w:w="108" w:type="dxa"/>
              <w:right w:w="0" w:type="dxa"/>
            </w:tcMar>
          </w:tcPr>
          <w:p w:rsidR="004300E2" w:rsidRPr="008A0F36" w:rsidRDefault="004300E2" w:rsidP="004300E2">
            <w:pPr>
              <w:pStyle w:val="IAS"/>
              <w:rPr>
                <w:lang w:val="it-IT"/>
              </w:rPr>
            </w:pPr>
            <w:r w:rsidRPr="008A0F36">
              <w:rPr>
                <w:lang w:val="it-IT"/>
              </w:rPr>
              <w:t>IFRS 7.22</w:t>
            </w:r>
          </w:p>
          <w:p w:rsidR="004300E2" w:rsidRPr="008A0F36" w:rsidRDefault="004300E2" w:rsidP="004300E2">
            <w:pPr>
              <w:pStyle w:val="IAS"/>
              <w:rPr>
                <w:lang w:val="it-IT"/>
              </w:rPr>
            </w:pPr>
            <w:r w:rsidRPr="008A0F36">
              <w:rPr>
                <w:lang w:val="it-IT"/>
              </w:rPr>
              <w:t xml:space="preserve"> IAS 39.86</w:t>
            </w:r>
          </w:p>
          <w:p w:rsidR="004300E2" w:rsidRPr="008A0F36" w:rsidRDefault="004300E2" w:rsidP="004300E2">
            <w:pPr>
              <w:pStyle w:val="IAS"/>
              <w:rPr>
                <w:lang w:val="it-IT"/>
              </w:rPr>
            </w:pPr>
          </w:p>
        </w:tc>
        <w:tc>
          <w:tcPr>
            <w:tcW w:w="7079" w:type="dxa"/>
            <w:noWrap/>
            <w:tcMar>
              <w:left w:w="108" w:type="dxa"/>
            </w:tcMar>
          </w:tcPr>
          <w:p w:rsidR="004300E2" w:rsidRPr="008A0F36" w:rsidRDefault="004300E2" w:rsidP="004300E2">
            <w:pPr>
              <w:rPr>
                <w:lang w:val="it-IT"/>
              </w:rPr>
            </w:pPr>
            <w:r w:rsidRPr="008A0F36">
              <w:rPr>
                <w:lang w:val="it-IT"/>
              </w:rPr>
              <w:t xml:space="preserve">L’entità ha fornito l’informativa seguente separatamente per ogni tipo di copertura descritta nello IAS 39 (es., copertura di </w:t>
            </w:r>
            <w:r w:rsidRPr="008A0F36">
              <w:rPr>
                <w:i/>
                <w:lang w:val="it-IT"/>
              </w:rPr>
              <w:t>fair value</w:t>
            </w:r>
            <w:r w:rsidRPr="008A0F36">
              <w:rPr>
                <w:lang w:val="it-IT"/>
              </w:rPr>
              <w:t xml:space="preserve">, copertura di flussi di cassa, copertura di un investimento netto in </w:t>
            </w:r>
            <w:r w:rsidR="00E022E0">
              <w:rPr>
                <w:lang w:val="it-IT"/>
              </w:rPr>
              <w:t>un’a</w:t>
            </w:r>
            <w:r w:rsidRPr="008A0F36">
              <w:rPr>
                <w:lang w:val="it-IT"/>
              </w:rPr>
              <w:t>ttività estera):</w:t>
            </w:r>
          </w:p>
        </w:tc>
        <w:tc>
          <w:tcPr>
            <w:tcW w:w="575" w:type="dxa"/>
            <w:noWrap/>
            <w:tcMar>
              <w:left w:w="85" w:type="dxa"/>
              <w:right w:w="85" w:type="dxa"/>
            </w:tcMar>
            <w:vAlign w:val="center"/>
          </w:tcPr>
          <w:p w:rsidR="004300E2" w:rsidRPr="00090BE7" w:rsidRDefault="004300E2" w:rsidP="004300E2">
            <w:pPr>
              <w:jc w:val="center"/>
              <w:rPr>
                <w:lang w:val="it-IT"/>
              </w:rPr>
            </w:pPr>
          </w:p>
        </w:tc>
        <w:tc>
          <w:tcPr>
            <w:tcW w:w="567" w:type="dxa"/>
            <w:noWrap/>
            <w:tcMar>
              <w:left w:w="108" w:type="dxa"/>
            </w:tcMar>
            <w:vAlign w:val="center"/>
          </w:tcPr>
          <w:p w:rsidR="004300E2" w:rsidRPr="00090BE7" w:rsidRDefault="004300E2" w:rsidP="004300E2">
            <w:pPr>
              <w:jc w:val="center"/>
              <w:rPr>
                <w:lang w:val="it-IT"/>
              </w:rPr>
            </w:pPr>
          </w:p>
        </w:tc>
        <w:tc>
          <w:tcPr>
            <w:tcW w:w="567" w:type="dxa"/>
            <w:noWrap/>
            <w:tcMar>
              <w:left w:w="108" w:type="dxa"/>
            </w:tcMar>
            <w:vAlign w:val="center"/>
          </w:tcPr>
          <w:p w:rsidR="004300E2" w:rsidRPr="00090BE7" w:rsidRDefault="004300E2" w:rsidP="004300E2">
            <w:pPr>
              <w:jc w:val="center"/>
              <w:rPr>
                <w:lang w:val="it-IT"/>
              </w:rPr>
            </w:pP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4300E2">
            <w:pPr>
              <w:pStyle w:val="Rientroa"/>
              <w:numPr>
                <w:ilvl w:val="0"/>
                <w:numId w:val="72"/>
              </w:numPr>
            </w:pPr>
            <w:r w:rsidRPr="008A0F36">
              <w:t>una descrizione di ogni tipo di copertura</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FB4B6E">
            <w:pPr>
              <w:pStyle w:val="Rientroa"/>
              <w:numPr>
                <w:ilvl w:val="0"/>
                <w:numId w:val="72"/>
              </w:numPr>
            </w:pPr>
            <w:r w:rsidRPr="008A0F36">
              <w:t xml:space="preserve">una descrizione degli strumenti finanziari designati come strumenti di copertura ed il loro </w:t>
            </w:r>
            <w:r w:rsidRPr="00ED180E">
              <w:rPr>
                <w:i/>
              </w:rPr>
              <w:t>fair value</w:t>
            </w:r>
            <w:r w:rsidRPr="008A0F36">
              <w:t xml:space="preserve"> alla data di chiusura dell’esercizio</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FB4B6E">
            <w:pPr>
              <w:pStyle w:val="Rientroa"/>
              <w:numPr>
                <w:ilvl w:val="0"/>
                <w:numId w:val="72"/>
              </w:numPr>
            </w:pPr>
            <w:r w:rsidRPr="008A0F36">
              <w:t>la natura dei rischi oggetto di copertura.</w:t>
            </w:r>
          </w:p>
        </w:tc>
        <w:tc>
          <w:tcPr>
            <w:tcW w:w="575" w:type="dxa"/>
            <w:tcMar>
              <w:left w:w="85" w:type="dxa"/>
              <w:right w:w="85" w:type="dxa"/>
            </w:tcMar>
            <w:vAlign w:val="center"/>
          </w:tcPr>
          <w:p w:rsidR="00E84B58" w:rsidRPr="003E3E83"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3E3E83"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3E3E83"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IFRS 7.23</w:t>
            </w:r>
          </w:p>
        </w:tc>
        <w:tc>
          <w:tcPr>
            <w:tcW w:w="7079" w:type="dxa"/>
            <w:tcMar>
              <w:left w:w="108" w:type="dxa"/>
            </w:tcMar>
          </w:tcPr>
          <w:p w:rsidR="004300E2" w:rsidRPr="008A0F36" w:rsidRDefault="004300E2" w:rsidP="004300E2">
            <w:pPr>
              <w:rPr>
                <w:lang w:val="it-IT"/>
              </w:rPr>
            </w:pPr>
            <w:r w:rsidRPr="008A0F36">
              <w:rPr>
                <w:lang w:val="it-IT"/>
              </w:rPr>
              <w:t>Per ogni copertura dei flussi di cassa, un’entità ha fornito la seguente informativa:</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4300E2">
            <w:pPr>
              <w:pStyle w:val="Rientroa"/>
              <w:numPr>
                <w:ilvl w:val="0"/>
                <w:numId w:val="73"/>
              </w:numPr>
            </w:pPr>
            <w:r w:rsidRPr="008A0F36">
              <w:t xml:space="preserve">i periodi in cui i flussi di cassa sono attesi e quando è atteso che impattino </w:t>
            </w:r>
            <w:r>
              <w:t>l’utile/(perdita) d’esercizio</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FB4B6E">
            <w:pPr>
              <w:pStyle w:val="Rientroa"/>
              <w:numPr>
                <w:ilvl w:val="0"/>
                <w:numId w:val="72"/>
              </w:numPr>
            </w:pPr>
            <w:r w:rsidRPr="008A0F36">
              <w:t>una descrizione di ogni transazione futura per la quale l’</w:t>
            </w:r>
            <w:r w:rsidRPr="008A0F36">
              <w:rPr>
                <w:i/>
              </w:rPr>
              <w:t xml:space="preserve">hedge accounting </w:t>
            </w:r>
            <w:r w:rsidRPr="008A0F36">
              <w:t>è stato usato in precedenza ma che non ci si aspetti più che si verifichi</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FB4B6E">
            <w:pPr>
              <w:pStyle w:val="Rientroa"/>
              <w:numPr>
                <w:ilvl w:val="0"/>
                <w:numId w:val="72"/>
              </w:numPr>
            </w:pPr>
            <w:r w:rsidRPr="008A0F36">
              <w:t>l’ammontare che è stato rilevato nel prospetto delle altre componenti di conto economico complessivo nel corso dell’esercizio</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FB4B6E">
            <w:pPr>
              <w:pStyle w:val="Rientroa"/>
              <w:numPr>
                <w:ilvl w:val="0"/>
                <w:numId w:val="72"/>
              </w:numPr>
            </w:pPr>
            <w:r w:rsidRPr="008A0F36">
              <w:t xml:space="preserve">l’ammontare che è stato riclassificato dalle altre componenti </w:t>
            </w:r>
            <w:r>
              <w:t>di</w:t>
            </w:r>
            <w:r w:rsidRPr="008A0F36">
              <w:t xml:space="preserve"> conto economico complessivo all’utile/(perdita) d’esercizio, con l’evidenza dell’importo imputato ad ogni voce delle altre componenti di conto economico complessivo</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FB4B6E">
            <w:pPr>
              <w:pStyle w:val="Rientroa"/>
              <w:numPr>
                <w:ilvl w:val="0"/>
                <w:numId w:val="72"/>
              </w:numPr>
            </w:pPr>
            <w:r w:rsidRPr="008A0F36">
              <w:t xml:space="preserve">l’importo che è stato riclassificato dalle altre componenti </w:t>
            </w:r>
            <w:r>
              <w:t>di</w:t>
            </w:r>
            <w:r w:rsidRPr="008A0F36">
              <w:t xml:space="preserve"> conto economico complessivo nel corso dell’esercizio ed incluso nel costo iniziale o in altro valore contabile di un’attività o passività non finanziaria la cui acquisizione o il cui verificarsi costituiva un’operazione coperta programmata ritenuta altamente probabile.</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IFRS 7.24</w:t>
            </w:r>
          </w:p>
        </w:tc>
        <w:tc>
          <w:tcPr>
            <w:tcW w:w="7079" w:type="dxa"/>
            <w:tcMar>
              <w:left w:w="108" w:type="dxa"/>
            </w:tcMar>
          </w:tcPr>
          <w:p w:rsidR="004300E2" w:rsidRPr="008A0F36" w:rsidRDefault="004300E2" w:rsidP="004300E2">
            <w:pPr>
              <w:rPr>
                <w:lang w:val="it-IT"/>
              </w:rPr>
            </w:pPr>
            <w:r w:rsidRPr="008A0F36">
              <w:rPr>
                <w:lang w:val="it-IT"/>
              </w:rPr>
              <w:t>L’entità ha fornito separatamente la seguente informativa:</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4300E2">
            <w:pPr>
              <w:pStyle w:val="Rientroa"/>
              <w:numPr>
                <w:ilvl w:val="0"/>
                <w:numId w:val="74"/>
              </w:numPr>
            </w:pPr>
            <w:r w:rsidRPr="008A0F36">
              <w:t xml:space="preserve">nelle coperture di </w:t>
            </w:r>
            <w:r w:rsidRPr="008A0F36">
              <w:rPr>
                <w:i/>
              </w:rPr>
              <w:t>fair value</w:t>
            </w:r>
            <w:r w:rsidRPr="008A0F36">
              <w:t>, gli utili o perdite:</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4300E2">
            <w:pPr>
              <w:pStyle w:val="Rientroisottoa"/>
            </w:pPr>
            <w:r w:rsidRPr="008A0F36">
              <w:t>i)</w:t>
            </w:r>
            <w:r w:rsidRPr="008A0F36">
              <w:tab/>
              <w:t>sugli strumenti di copertura; e</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4300E2">
            <w:pPr>
              <w:pStyle w:val="Rientroisottoa"/>
            </w:pPr>
            <w:r w:rsidRPr="008A0F36">
              <w:t>ii)</w:t>
            </w:r>
            <w:r w:rsidRPr="008A0F36">
              <w:tab/>
              <w:t>sugli elementi coperti attribuibili al rischio coperto</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r w:rsidRPr="008A0F36">
              <w:rPr>
                <w:lang w:val="it-IT"/>
              </w:rPr>
              <w:t>IFRS 7.24</w:t>
            </w:r>
          </w:p>
        </w:tc>
        <w:tc>
          <w:tcPr>
            <w:tcW w:w="7079" w:type="dxa"/>
            <w:tcMar>
              <w:left w:w="108" w:type="dxa"/>
            </w:tcMar>
          </w:tcPr>
          <w:p w:rsidR="00E84B58" w:rsidRPr="008A0F36" w:rsidRDefault="00E84B58" w:rsidP="00FB4B6E">
            <w:pPr>
              <w:pStyle w:val="Rientroa"/>
              <w:numPr>
                <w:ilvl w:val="0"/>
                <w:numId w:val="72"/>
              </w:numPr>
            </w:pPr>
            <w:r w:rsidRPr="008A0F36">
              <w:t>l</w:t>
            </w:r>
            <w:r>
              <w:t xml:space="preserve">a quota di </w:t>
            </w:r>
            <w:r w:rsidRPr="008A0F36">
              <w:t xml:space="preserve">inefficacia </w:t>
            </w:r>
            <w:r>
              <w:t xml:space="preserve">rilevata nell’utile/(perdita) d’esercizio </w:t>
            </w:r>
            <w:r w:rsidRPr="008A0F36">
              <w:t>che deriva dalle coperture di flussi di cassa; e</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FB4B6E">
            <w:pPr>
              <w:pStyle w:val="Rientroa"/>
              <w:numPr>
                <w:ilvl w:val="0"/>
                <w:numId w:val="72"/>
              </w:numPr>
            </w:pPr>
            <w:r w:rsidRPr="008A0F36">
              <w:t xml:space="preserve">la </w:t>
            </w:r>
            <w:r>
              <w:t xml:space="preserve">quota di </w:t>
            </w:r>
            <w:r w:rsidRPr="008A0F36">
              <w:t xml:space="preserve">inefficacia </w:t>
            </w:r>
            <w:r>
              <w:t xml:space="preserve">rilevata nell’utile/(perdita) </w:t>
            </w:r>
            <w:r w:rsidRPr="008A0F36">
              <w:t xml:space="preserve">che deriva dalle coperture di investimenti netti in </w:t>
            </w:r>
            <w:r>
              <w:t xml:space="preserve">gestioni </w:t>
            </w:r>
            <w:r w:rsidRPr="008A0F36">
              <w:t>estere.</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A0F36" w:rsidTr="00940A6F">
        <w:trPr>
          <w:cantSplit/>
        </w:trPr>
        <w:tc>
          <w:tcPr>
            <w:tcW w:w="567" w:type="dxa"/>
            <w:tcMar>
              <w:left w:w="108" w:type="dxa"/>
            </w:tcMar>
          </w:tcPr>
          <w:p w:rsidR="004300E2" w:rsidRPr="008A0F36" w:rsidRDefault="004300E2" w:rsidP="004300E2">
            <w:pPr>
              <w:pStyle w:val="IAS"/>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Pr="008A0F36" w:rsidRDefault="004300E2" w:rsidP="004300E2">
            <w:pPr>
              <w:pStyle w:val="Titolo2"/>
              <w:rPr>
                <w:i/>
                <w:lang w:val="it-IT"/>
              </w:rPr>
            </w:pPr>
            <w:r w:rsidRPr="008A0F36">
              <w:rPr>
                <w:i/>
                <w:lang w:val="it-IT"/>
              </w:rPr>
              <w:t>Fair value</w:t>
            </w:r>
          </w:p>
        </w:tc>
        <w:tc>
          <w:tcPr>
            <w:tcW w:w="575" w:type="dxa"/>
            <w:tcMar>
              <w:left w:w="85" w:type="dxa"/>
              <w:right w:w="85" w:type="dxa"/>
            </w:tcMar>
            <w:vAlign w:val="center"/>
          </w:tcPr>
          <w:p w:rsidR="004300E2" w:rsidRDefault="004300E2" w:rsidP="004300E2">
            <w:pPr>
              <w:jc w:val="center"/>
            </w:pPr>
          </w:p>
        </w:tc>
        <w:tc>
          <w:tcPr>
            <w:tcW w:w="567" w:type="dxa"/>
            <w:tcMar>
              <w:left w:w="108" w:type="dxa"/>
            </w:tcMar>
            <w:vAlign w:val="center"/>
          </w:tcPr>
          <w:p w:rsidR="004300E2" w:rsidRDefault="004300E2" w:rsidP="004300E2">
            <w:pPr>
              <w:jc w:val="center"/>
            </w:pPr>
          </w:p>
        </w:tc>
        <w:tc>
          <w:tcPr>
            <w:tcW w:w="567" w:type="dxa"/>
            <w:tcMar>
              <w:left w:w="108" w:type="dxa"/>
            </w:tcMar>
            <w:vAlign w:val="center"/>
          </w:tcPr>
          <w:p w:rsidR="004300E2" w:rsidRDefault="004300E2" w:rsidP="004300E2">
            <w:pPr>
              <w:jc w:val="center"/>
            </w:pPr>
          </w:p>
        </w:tc>
      </w:tr>
      <w:tr w:rsidR="00E84B58" w:rsidRPr="008129DA" w:rsidTr="00940A6F">
        <w:trPr>
          <w:cantSplit/>
        </w:trPr>
        <w:tc>
          <w:tcPr>
            <w:tcW w:w="567" w:type="dxa"/>
            <w:tcMar>
              <w:left w:w="108" w:type="dxa"/>
            </w:tcMar>
          </w:tcPr>
          <w:p w:rsidR="00E84B58" w:rsidRPr="008A0F36" w:rsidRDefault="00E84B58" w:rsidP="004300E2">
            <w:pPr>
              <w:pStyle w:val="Numeroelenco"/>
              <w:ind w:left="0" w:firstLine="57"/>
              <w:rPr>
                <w:lang w:val="it-IT"/>
              </w:rPr>
            </w:pPr>
          </w:p>
        </w:tc>
        <w:tc>
          <w:tcPr>
            <w:tcW w:w="851" w:type="dxa"/>
            <w:tcMar>
              <w:left w:w="108" w:type="dxa"/>
              <w:right w:w="0" w:type="dxa"/>
            </w:tcMar>
          </w:tcPr>
          <w:p w:rsidR="00E84B58" w:rsidRPr="008A0F36" w:rsidRDefault="00E84B58" w:rsidP="004300E2">
            <w:pPr>
              <w:pStyle w:val="IAS"/>
              <w:rPr>
                <w:lang w:val="it-IT"/>
              </w:rPr>
            </w:pPr>
            <w:r w:rsidRPr="008A0F36">
              <w:rPr>
                <w:lang w:val="it-IT"/>
              </w:rPr>
              <w:t>IFRS 7.25, IFRS 7.29</w:t>
            </w:r>
          </w:p>
          <w:p w:rsidR="00E84B58" w:rsidRPr="008A0F36" w:rsidRDefault="00E84B58" w:rsidP="004300E2">
            <w:pPr>
              <w:pStyle w:val="IAS"/>
              <w:rPr>
                <w:lang w:val="it-IT"/>
              </w:rPr>
            </w:pPr>
          </w:p>
        </w:tc>
        <w:tc>
          <w:tcPr>
            <w:tcW w:w="7079" w:type="dxa"/>
            <w:tcMar>
              <w:left w:w="108" w:type="dxa"/>
            </w:tcMar>
          </w:tcPr>
          <w:p w:rsidR="00E84B58" w:rsidRPr="008A0F36" w:rsidRDefault="00E84B58" w:rsidP="00771DEA">
            <w:pPr>
              <w:rPr>
                <w:lang w:val="it-IT"/>
              </w:rPr>
            </w:pPr>
            <w:r w:rsidRPr="008A0F36">
              <w:rPr>
                <w:lang w:val="it-IT"/>
              </w:rPr>
              <w:t xml:space="preserve">L’entità ha indicato, per ogni classe di attività e passività finanziaria il </w:t>
            </w:r>
            <w:r w:rsidRPr="008A0F36">
              <w:rPr>
                <w:i/>
                <w:lang w:val="it-IT"/>
              </w:rPr>
              <w:t>fair value</w:t>
            </w:r>
            <w:r w:rsidRPr="008A0F36">
              <w:rPr>
                <w:lang w:val="it-IT"/>
              </w:rPr>
              <w:t xml:space="preserve"> di tale classe in modo che sia confrontabile con il suo valore contabile (fatta eccezione per quelli indicati nell’IFRS 7.29).</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Numeroelenco"/>
              <w:ind w:left="0" w:firstLine="57"/>
              <w:rPr>
                <w:lang w:val="it-IT"/>
              </w:rPr>
            </w:pPr>
          </w:p>
        </w:tc>
        <w:tc>
          <w:tcPr>
            <w:tcW w:w="851" w:type="dxa"/>
            <w:tcMar>
              <w:left w:w="108" w:type="dxa"/>
              <w:right w:w="0" w:type="dxa"/>
            </w:tcMar>
          </w:tcPr>
          <w:p w:rsidR="00E84B58" w:rsidRPr="008A0F36" w:rsidRDefault="00E84B58" w:rsidP="004300E2">
            <w:pPr>
              <w:pStyle w:val="IAS"/>
              <w:rPr>
                <w:lang w:val="it-IT"/>
              </w:rPr>
            </w:pPr>
            <w:r w:rsidRPr="008A0F36">
              <w:rPr>
                <w:lang w:val="it-IT"/>
              </w:rPr>
              <w:t>IFRS 7.26</w:t>
            </w:r>
          </w:p>
        </w:tc>
        <w:tc>
          <w:tcPr>
            <w:tcW w:w="7079" w:type="dxa"/>
            <w:tcMar>
              <w:left w:w="108" w:type="dxa"/>
            </w:tcMar>
          </w:tcPr>
          <w:p w:rsidR="00E84B58" w:rsidRPr="008A0F36" w:rsidRDefault="00E84B58" w:rsidP="00771DEA">
            <w:pPr>
              <w:rPr>
                <w:lang w:val="it-IT"/>
              </w:rPr>
            </w:pPr>
            <w:r w:rsidRPr="008A0F36">
              <w:rPr>
                <w:lang w:val="it-IT"/>
              </w:rPr>
              <w:t xml:space="preserve">Nell’indicare i </w:t>
            </w:r>
            <w:r w:rsidRPr="008A0F36">
              <w:rPr>
                <w:i/>
                <w:lang w:val="it-IT"/>
              </w:rPr>
              <w:t>fair value</w:t>
            </w:r>
            <w:r w:rsidRPr="008A0F36">
              <w:rPr>
                <w:lang w:val="it-IT"/>
              </w:rPr>
              <w:t>, l’entità ha raggruppato le attività e le passività finanziarie in classi, ma li compensa soltanto nella misura in cui i loro valori contabili sono compensati nel bilancio.</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Del="00CF2904" w:rsidTr="00940A6F">
        <w:trPr>
          <w:cantSplit/>
        </w:trPr>
        <w:tc>
          <w:tcPr>
            <w:tcW w:w="567" w:type="dxa"/>
            <w:tcMar>
              <w:left w:w="108" w:type="dxa"/>
            </w:tcMar>
          </w:tcPr>
          <w:p w:rsidR="00E84B58" w:rsidRDefault="00E84B58" w:rsidP="004300E2">
            <w:pPr>
              <w:pStyle w:val="Numeroelenco"/>
              <w:ind w:left="0" w:firstLine="57"/>
              <w:rPr>
                <w:lang w:val="it-IT"/>
              </w:rPr>
            </w:pPr>
          </w:p>
        </w:tc>
        <w:tc>
          <w:tcPr>
            <w:tcW w:w="851" w:type="dxa"/>
            <w:tcMar>
              <w:left w:w="108" w:type="dxa"/>
              <w:right w:w="0" w:type="dxa"/>
            </w:tcMar>
          </w:tcPr>
          <w:p w:rsidR="00E84B58" w:rsidRPr="008A0F36" w:rsidDel="00CF2904" w:rsidRDefault="00E84B58" w:rsidP="004300E2">
            <w:pPr>
              <w:pStyle w:val="IAS"/>
              <w:spacing w:after="40"/>
              <w:rPr>
                <w:lang w:val="it-IT"/>
              </w:rPr>
            </w:pPr>
            <w:r>
              <w:rPr>
                <w:lang w:val="it-IT"/>
              </w:rPr>
              <w:t>IFRS 13.5-7</w:t>
            </w:r>
          </w:p>
        </w:tc>
        <w:tc>
          <w:tcPr>
            <w:tcW w:w="7079" w:type="dxa"/>
            <w:tcMar>
              <w:left w:w="108" w:type="dxa"/>
            </w:tcMar>
          </w:tcPr>
          <w:p w:rsidR="00E84B58" w:rsidRDefault="00E84B58" w:rsidP="00771DEA">
            <w:pPr>
              <w:pStyle w:val="Didascalia"/>
              <w:spacing w:after="0" w:line="220" w:lineRule="exact"/>
              <w:rPr>
                <w:lang w:val="it-IT"/>
              </w:rPr>
            </w:pPr>
            <w:r w:rsidRPr="00AB2C1C">
              <w:rPr>
                <w:rFonts w:cs="EUAlbertina"/>
                <w:b w:val="0"/>
                <w:bCs w:val="0"/>
                <w:color w:val="19161B"/>
                <w:sz w:val="20"/>
                <w:szCs w:val="20"/>
                <w:lang w:val="it-IT" w:eastAsia="it-IT"/>
              </w:rPr>
              <w:t xml:space="preserve">Con riferimento alla </w:t>
            </w:r>
            <w:r>
              <w:rPr>
                <w:rFonts w:cs="EUAlbertina"/>
                <w:b w:val="0"/>
                <w:bCs w:val="0"/>
                <w:color w:val="19161B"/>
                <w:sz w:val="20"/>
                <w:szCs w:val="20"/>
                <w:lang w:val="it-IT" w:eastAsia="it-IT"/>
              </w:rPr>
              <w:t xml:space="preserve">valutazione </w:t>
            </w:r>
            <w:r w:rsidRPr="00AB2C1C">
              <w:rPr>
                <w:rFonts w:cs="EUAlbertina"/>
                <w:b w:val="0"/>
                <w:bCs w:val="0"/>
                <w:color w:val="19161B"/>
                <w:sz w:val="20"/>
                <w:szCs w:val="20"/>
                <w:lang w:val="it-IT" w:eastAsia="it-IT"/>
              </w:rPr>
              <w:t xml:space="preserve">del </w:t>
            </w:r>
            <w:r w:rsidRPr="00251283">
              <w:rPr>
                <w:rFonts w:cs="EUAlbertina"/>
                <w:b w:val="0"/>
                <w:bCs w:val="0"/>
                <w:i/>
                <w:color w:val="19161B"/>
                <w:sz w:val="20"/>
                <w:szCs w:val="20"/>
                <w:lang w:val="it-IT" w:eastAsia="it-IT"/>
              </w:rPr>
              <w:t>fair value</w:t>
            </w:r>
            <w:r w:rsidRPr="00AB2C1C">
              <w:rPr>
                <w:rFonts w:cs="EUAlbertina"/>
                <w:b w:val="0"/>
                <w:bCs w:val="0"/>
                <w:color w:val="19161B"/>
                <w:sz w:val="20"/>
                <w:szCs w:val="20"/>
                <w:lang w:val="it-IT" w:eastAsia="it-IT"/>
              </w:rPr>
              <w:t xml:space="preserve"> (sia nel caso in cui sia rilevato che nel caso in cui sia </w:t>
            </w:r>
            <w:r w:rsidRPr="0015693D">
              <w:rPr>
                <w:rFonts w:cs="EUAlbertina"/>
                <w:b w:val="0"/>
                <w:bCs w:val="0"/>
                <w:color w:val="19161B"/>
                <w:sz w:val="20"/>
                <w:szCs w:val="20"/>
                <w:lang w:val="it-IT" w:eastAsia="it-IT"/>
              </w:rPr>
              <w:t xml:space="preserve">solo oggetto di informativa) l’entita deve fornire l’informativa richiesta dall’IFRS 13 (vedi punti </w:t>
            </w:r>
            <w:r>
              <w:rPr>
                <w:rFonts w:cs="EUAlbertina"/>
                <w:b w:val="0"/>
                <w:bCs w:val="0"/>
                <w:color w:val="19161B"/>
                <w:sz w:val="20"/>
                <w:szCs w:val="20"/>
                <w:lang w:val="it-IT" w:eastAsia="it-IT"/>
              </w:rPr>
              <w:t>221-229</w:t>
            </w:r>
            <w:r w:rsidRPr="0015693D">
              <w:rPr>
                <w:rFonts w:cs="EUAlbertina"/>
                <w:b w:val="0"/>
                <w:bCs w:val="0"/>
                <w:color w:val="19161B"/>
                <w:sz w:val="20"/>
                <w:szCs w:val="20"/>
                <w:lang w:val="it-IT" w:eastAsia="it-IT"/>
              </w:rPr>
              <w:t>).</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IFRS 7.28</w:t>
            </w:r>
          </w:p>
          <w:p w:rsidR="004300E2" w:rsidRPr="008A0F36" w:rsidRDefault="004300E2" w:rsidP="004300E2">
            <w:pPr>
              <w:pStyle w:val="IAS"/>
              <w:rPr>
                <w:lang w:val="it-IT"/>
              </w:rPr>
            </w:pPr>
            <w:r w:rsidRPr="008A0F36">
              <w:rPr>
                <w:lang w:val="it-IT"/>
              </w:rPr>
              <w:t xml:space="preserve"> IAS 39.AG74-79</w:t>
            </w:r>
          </w:p>
        </w:tc>
        <w:tc>
          <w:tcPr>
            <w:tcW w:w="7079" w:type="dxa"/>
            <w:tcMar>
              <w:left w:w="108" w:type="dxa"/>
            </w:tcMar>
          </w:tcPr>
          <w:p w:rsidR="004300E2" w:rsidRPr="00AB2C1C" w:rsidRDefault="004300E2" w:rsidP="00771DEA">
            <w:pPr>
              <w:overflowPunct/>
              <w:spacing w:before="40" w:after="40"/>
              <w:textAlignment w:val="auto"/>
              <w:rPr>
                <w:rFonts w:cs="EUAlbertina"/>
                <w:color w:val="19161B"/>
                <w:lang w:val="it-IT" w:eastAsia="it-IT"/>
              </w:rPr>
            </w:pPr>
            <w:r w:rsidRPr="005B14F4">
              <w:rPr>
                <w:rFonts w:cs="EUAlbertina"/>
                <w:color w:val="19161B"/>
                <w:lang w:val="it-IT" w:eastAsia="it-IT"/>
              </w:rPr>
              <w:t xml:space="preserve">In alcuni casi, un’entità non rileva un utile o una perdita al momento della rilevazione iniziale di un’attività finanziaria o di una passività finanziaria perché il </w:t>
            </w:r>
            <w:r w:rsidRPr="005B14F4">
              <w:rPr>
                <w:rFonts w:cs="EUAlbertina"/>
                <w:i/>
                <w:iCs/>
                <w:color w:val="19161B"/>
                <w:lang w:val="it-IT" w:eastAsia="it-IT"/>
              </w:rPr>
              <w:t xml:space="preserve">fair value </w:t>
            </w:r>
            <w:r w:rsidRPr="005B14F4">
              <w:rPr>
                <w:rFonts w:cs="EUAlbertina"/>
                <w:color w:val="19161B"/>
                <w:lang w:val="it-IT" w:eastAsia="it-IT"/>
              </w:rPr>
              <w:t xml:space="preserve">non è attestato da un prezzo quotato in un mercato attivo per un’attività o passività identica (ossia un dato di input di Livello 1) né è basato su una tecnica di valutazione che utilizza solo dati di mercati osservabili (vedere paragrafo AG76 dello IAS 39). In tali casi, per ogni classe di attività o passività finanziaria, l’entità deve indicare: </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AB2C1C" w:rsidRDefault="00E84B58" w:rsidP="00771DEA">
            <w:pPr>
              <w:pStyle w:val="Rientroa"/>
              <w:numPr>
                <w:ilvl w:val="0"/>
                <w:numId w:val="226"/>
              </w:numPr>
              <w:spacing w:before="40" w:after="40"/>
              <w:ind w:left="391" w:hanging="357"/>
              <w:rPr>
                <w:rFonts w:cs="EUAlbertina"/>
                <w:color w:val="19161B"/>
                <w:lang w:eastAsia="it-IT"/>
              </w:rPr>
            </w:pPr>
            <w:r>
              <w:rPr>
                <w:rFonts w:cs="EUAlbertina"/>
                <w:color w:val="19161B"/>
                <w:lang w:eastAsia="it-IT"/>
              </w:rPr>
              <w:t xml:space="preserve">i principi contabili da essa utilizzati nel rilevare nell’utile/(perdita) di esercizio la differenza tra il </w:t>
            </w:r>
            <w:r>
              <w:rPr>
                <w:rFonts w:cs="EUAlbertina"/>
                <w:i/>
                <w:iCs/>
                <w:color w:val="19161B"/>
                <w:lang w:eastAsia="it-IT"/>
              </w:rPr>
              <w:t xml:space="preserve">fair value </w:t>
            </w:r>
            <w:r>
              <w:rPr>
                <w:rFonts w:cs="EUAlbertina"/>
                <w:color w:val="19161B"/>
                <w:lang w:eastAsia="it-IT"/>
              </w:rPr>
              <w:t xml:space="preserve">al momento della rilevazione iniziale e il prezzo dell’operazione per riflettere un cambiamento nei fattori (incluso il tempo) che gli operatori di mercato prenderebbero in considerazione per determinare il prezzo dell’attività o della passività (vedere paragrafo AG76(b) dello IAS 39); </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771DEA">
            <w:pPr>
              <w:pStyle w:val="Rientroa"/>
              <w:numPr>
                <w:ilvl w:val="0"/>
                <w:numId w:val="72"/>
              </w:numPr>
            </w:pPr>
            <w:r w:rsidRPr="008A0F36">
              <w:t xml:space="preserve">la differenza complessiva ancora da rilevare </w:t>
            </w:r>
            <w:r>
              <w:t xml:space="preserve">nell’utile/(perdita) </w:t>
            </w:r>
            <w:r w:rsidRPr="008A0F36">
              <w:t>all’inizio e alla fine dell’esercizio e la riconciliazione delle variazioni del saldo di detta differenza</w:t>
            </w:r>
            <w:r>
              <w:t>;</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771DEA">
            <w:pPr>
              <w:pStyle w:val="Rientroa"/>
              <w:numPr>
                <w:ilvl w:val="0"/>
                <w:numId w:val="72"/>
              </w:numPr>
            </w:pPr>
            <w:r w:rsidRPr="005B14F4">
              <w:rPr>
                <w:rFonts w:cs="EUAlbertina"/>
                <w:color w:val="19161B"/>
                <w:lang w:eastAsia="it-IT"/>
              </w:rPr>
              <w:t xml:space="preserve">il motivo per cui l’entità ha concluso che il prezzo dell’operazione non era la prova migliore del </w:t>
            </w:r>
            <w:r w:rsidRPr="005B14F4">
              <w:rPr>
                <w:rFonts w:cs="EUAlbertina"/>
                <w:i/>
                <w:iCs/>
                <w:color w:val="19161B"/>
                <w:lang w:eastAsia="it-IT"/>
              </w:rPr>
              <w:t>fair value</w:t>
            </w:r>
            <w:r w:rsidRPr="005B14F4">
              <w:rPr>
                <w:rFonts w:cs="EUAlbertina"/>
                <w:color w:val="19161B"/>
                <w:lang w:eastAsia="it-IT"/>
              </w:rPr>
              <w:t xml:space="preserve">, inclusa una descrizione dell’evidenza a supporto del </w:t>
            </w:r>
            <w:r w:rsidRPr="005B14F4">
              <w:rPr>
                <w:rFonts w:cs="EUAlbertina"/>
                <w:i/>
                <w:iCs/>
                <w:color w:val="19161B"/>
                <w:lang w:eastAsia="it-IT"/>
              </w:rPr>
              <w:t>fair value</w:t>
            </w:r>
            <w:r w:rsidRPr="005B14F4">
              <w:rPr>
                <w:rFonts w:cs="EUAlbertina"/>
                <w:color w:val="19161B"/>
                <w:lang w:eastAsia="it-IT"/>
              </w:rPr>
              <w:t>.</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IAS"/>
              <w:spacing w:before="60" w:after="60"/>
              <w:rPr>
                <w:lang w:val="it-IT"/>
              </w:rPr>
            </w:pPr>
          </w:p>
        </w:tc>
        <w:tc>
          <w:tcPr>
            <w:tcW w:w="851" w:type="dxa"/>
            <w:tcMar>
              <w:left w:w="108" w:type="dxa"/>
              <w:right w:w="0" w:type="dxa"/>
            </w:tcMar>
          </w:tcPr>
          <w:p w:rsidR="004300E2" w:rsidRPr="008A0F36" w:rsidRDefault="004300E2" w:rsidP="004300E2">
            <w:pPr>
              <w:pStyle w:val="IAS"/>
              <w:spacing w:before="60" w:after="60"/>
              <w:rPr>
                <w:lang w:val="it-IT"/>
              </w:rPr>
            </w:pPr>
            <w:r w:rsidRPr="008A0F36">
              <w:rPr>
                <w:lang w:val="it-IT"/>
              </w:rPr>
              <w:t>IAS 39.</w:t>
            </w:r>
            <w:r w:rsidRPr="008A0F36">
              <w:rPr>
                <w:lang w:val="it-IT"/>
              </w:rPr>
              <w:br/>
              <w:t>AG76A</w:t>
            </w:r>
          </w:p>
        </w:tc>
        <w:tc>
          <w:tcPr>
            <w:tcW w:w="7079" w:type="dxa"/>
            <w:tcMar>
              <w:left w:w="108" w:type="dxa"/>
            </w:tcMar>
          </w:tcPr>
          <w:p w:rsidR="004300E2" w:rsidRPr="008A0F36" w:rsidRDefault="004300E2" w:rsidP="00771DEA">
            <w:pPr>
              <w:pStyle w:val="Paragarfobordato"/>
            </w:pPr>
            <w:r w:rsidRPr="008A0F36">
              <w:t xml:space="preserve">Le </w:t>
            </w:r>
            <w:r>
              <w:t xml:space="preserve">valutazioni </w:t>
            </w:r>
            <w:r w:rsidRPr="008A0F36">
              <w:t xml:space="preserve">successive di </w:t>
            </w:r>
            <w:r w:rsidR="00E022E0">
              <w:t>un’a</w:t>
            </w:r>
            <w:r w:rsidRPr="008A0F36">
              <w:t>ttività o passività finanziaria e la successiva rilevazione di utili o perdite sarà coerente con i requisiti dello IAS 39. L’applicazione del paragrafo IAS 39 AG76 può non determinare un utile o una perdita con riferimento alla rilevazione iniziale di un’attività o passività finanziaria (</w:t>
            </w:r>
            <w:r w:rsidRPr="008A0F36">
              <w:rPr>
                <w:i/>
              </w:rPr>
              <w:t>day one profit</w:t>
            </w:r>
            <w:r w:rsidRPr="008A0F36">
              <w:t>). In tale caso, lo IAS 39 dispone che un utile o una perdita debba essere rilevato dopo la rilevazione iniziale soltanto nella misura in cui esso sia la conseguenza di un cambiamento di un fattore (incluso il tempo) che gli operatori del mercato considererebbero nel determinare un prezzo.</w:t>
            </w:r>
          </w:p>
        </w:tc>
        <w:tc>
          <w:tcPr>
            <w:tcW w:w="575" w:type="dxa"/>
            <w:tcMar>
              <w:left w:w="85" w:type="dxa"/>
              <w:right w:w="85" w:type="dxa"/>
            </w:tcMar>
            <w:vAlign w:val="center"/>
          </w:tcPr>
          <w:p w:rsidR="004300E2" w:rsidRPr="00090BE7" w:rsidRDefault="004300E2" w:rsidP="004300E2">
            <w:pPr>
              <w:spacing w:before="60" w:after="60"/>
              <w:jc w:val="center"/>
              <w:rPr>
                <w:lang w:val="it-IT"/>
              </w:rPr>
            </w:pPr>
          </w:p>
        </w:tc>
        <w:tc>
          <w:tcPr>
            <w:tcW w:w="567" w:type="dxa"/>
            <w:tcMar>
              <w:left w:w="108" w:type="dxa"/>
            </w:tcMar>
            <w:vAlign w:val="center"/>
          </w:tcPr>
          <w:p w:rsidR="004300E2" w:rsidRPr="00090BE7" w:rsidRDefault="004300E2" w:rsidP="004300E2">
            <w:pPr>
              <w:spacing w:before="60" w:after="60"/>
              <w:jc w:val="center"/>
              <w:rPr>
                <w:lang w:val="it-IT"/>
              </w:rPr>
            </w:pPr>
          </w:p>
        </w:tc>
        <w:tc>
          <w:tcPr>
            <w:tcW w:w="567" w:type="dxa"/>
            <w:tcMar>
              <w:left w:w="108" w:type="dxa"/>
            </w:tcMar>
            <w:vAlign w:val="center"/>
          </w:tcPr>
          <w:p w:rsidR="004300E2" w:rsidRPr="00090BE7" w:rsidRDefault="004300E2" w:rsidP="004300E2">
            <w:pPr>
              <w:spacing w:before="60" w:after="60"/>
              <w:jc w:val="center"/>
              <w:rPr>
                <w:lang w:val="it-IT"/>
              </w:rPr>
            </w:pPr>
          </w:p>
        </w:tc>
      </w:tr>
      <w:tr w:rsidR="004300E2" w:rsidRPr="00A44ECD" w:rsidTr="00940A6F">
        <w:trPr>
          <w:cantSplit/>
        </w:trPr>
        <w:tc>
          <w:tcPr>
            <w:tcW w:w="567" w:type="dxa"/>
            <w:tcMar>
              <w:left w:w="108" w:type="dxa"/>
            </w:tcMar>
          </w:tcPr>
          <w:p w:rsidR="004300E2" w:rsidRPr="008A0F36" w:rsidRDefault="004300E2" w:rsidP="004300E2">
            <w:pPr>
              <w:pStyle w:val="IAS"/>
              <w:spacing w:before="60" w:after="60"/>
              <w:rPr>
                <w:lang w:val="it-IT"/>
              </w:rPr>
            </w:pPr>
          </w:p>
        </w:tc>
        <w:tc>
          <w:tcPr>
            <w:tcW w:w="851" w:type="dxa"/>
            <w:tcMar>
              <w:left w:w="108" w:type="dxa"/>
              <w:right w:w="0" w:type="dxa"/>
            </w:tcMar>
          </w:tcPr>
          <w:p w:rsidR="004300E2" w:rsidRPr="008A0F36" w:rsidRDefault="004300E2" w:rsidP="004300E2">
            <w:pPr>
              <w:pStyle w:val="IAS"/>
              <w:spacing w:before="60" w:after="60"/>
              <w:rPr>
                <w:lang w:val="it-IT"/>
              </w:rPr>
            </w:pPr>
            <w:r>
              <w:rPr>
                <w:lang w:val="it-IT"/>
              </w:rPr>
              <w:t>IFRS 7.29</w:t>
            </w:r>
          </w:p>
        </w:tc>
        <w:tc>
          <w:tcPr>
            <w:tcW w:w="7079" w:type="dxa"/>
            <w:tcMar>
              <w:left w:w="108" w:type="dxa"/>
            </w:tcMar>
          </w:tcPr>
          <w:p w:rsidR="004300E2" w:rsidRDefault="004300E2" w:rsidP="00771DEA">
            <w:pPr>
              <w:pStyle w:val="Paragarfobordato"/>
              <w:rPr>
                <w:lang w:eastAsia="it-IT"/>
              </w:rPr>
            </w:pPr>
            <w:r w:rsidRPr="005B14F4">
              <w:rPr>
                <w:lang w:eastAsia="it-IT"/>
              </w:rPr>
              <w:t xml:space="preserve">L’indicazione del </w:t>
            </w:r>
            <w:r w:rsidRPr="005B14F4">
              <w:rPr>
                <w:i/>
                <w:lang w:eastAsia="it-IT"/>
              </w:rPr>
              <w:t xml:space="preserve">fair value </w:t>
            </w:r>
            <w:r w:rsidRPr="005B14F4">
              <w:rPr>
                <w:lang w:eastAsia="it-IT"/>
              </w:rPr>
              <w:t xml:space="preserve">non è necessaria: </w:t>
            </w:r>
          </w:p>
          <w:p w:rsidR="004300E2" w:rsidRDefault="004300E2" w:rsidP="00771DEA">
            <w:pPr>
              <w:pStyle w:val="Paragarfobordato"/>
              <w:ind w:left="205" w:hanging="205"/>
              <w:rPr>
                <w:lang w:eastAsia="it-IT"/>
              </w:rPr>
            </w:pPr>
            <w:r>
              <w:rPr>
                <w:lang w:eastAsia="it-IT"/>
              </w:rPr>
              <w:t xml:space="preserve">(a) </w:t>
            </w:r>
            <w:r>
              <w:rPr>
                <w:lang w:eastAsia="it-IT"/>
              </w:rPr>
              <w:tab/>
              <w:t xml:space="preserve">quando il valore contabile è un’approssimazione ragionevole del </w:t>
            </w:r>
            <w:r>
              <w:rPr>
                <w:i/>
                <w:lang w:eastAsia="it-IT"/>
              </w:rPr>
              <w:t xml:space="preserve">fair value, </w:t>
            </w:r>
            <w:r>
              <w:rPr>
                <w:lang w:eastAsia="it-IT"/>
              </w:rPr>
              <w:t>per esempio nel caso di strumenti finanziari quali crediti e debiti commerciali a breve termine;</w:t>
            </w:r>
            <w:r>
              <w:rPr>
                <w:i/>
                <w:lang w:eastAsia="it-IT"/>
              </w:rPr>
              <w:t xml:space="preserve"> </w:t>
            </w:r>
          </w:p>
          <w:p w:rsidR="004300E2" w:rsidRDefault="004300E2" w:rsidP="00771DEA">
            <w:pPr>
              <w:pStyle w:val="Paragarfobordato"/>
              <w:ind w:left="205" w:hanging="205"/>
              <w:rPr>
                <w:lang w:eastAsia="it-IT"/>
              </w:rPr>
            </w:pPr>
            <w:r w:rsidRPr="005B14F4">
              <w:rPr>
                <w:lang w:eastAsia="it-IT"/>
              </w:rPr>
              <w:t xml:space="preserve">(b) </w:t>
            </w:r>
            <w:r>
              <w:rPr>
                <w:lang w:eastAsia="it-IT"/>
              </w:rPr>
              <w:tab/>
            </w:r>
            <w:r w:rsidRPr="005B14F4">
              <w:rPr>
                <w:lang w:eastAsia="it-IT"/>
              </w:rPr>
              <w:t xml:space="preserve">per investimenti in strumenti rappresentativi di capitale che non hanno un prezzo di mercato quotato in un mercato attivo per uno strumento identico (ossia, un input di Livello 1), o derivati correlati a tali strumenti rappresentativi di capitale, che sono valutati al costo secondo quanto previsto dallo IAS 39 poiché il loro </w:t>
            </w:r>
            <w:r w:rsidRPr="005B14F4">
              <w:rPr>
                <w:i/>
                <w:lang w:eastAsia="it-IT"/>
              </w:rPr>
              <w:t xml:space="preserve">fair value </w:t>
            </w:r>
            <w:r w:rsidRPr="005B14F4">
              <w:rPr>
                <w:lang w:eastAsia="it-IT"/>
              </w:rPr>
              <w:t xml:space="preserve">non può essere </w:t>
            </w:r>
            <w:r>
              <w:rPr>
                <w:lang w:eastAsia="it-IT"/>
              </w:rPr>
              <w:t xml:space="preserve">valutato </w:t>
            </w:r>
            <w:r w:rsidRPr="005B14F4">
              <w:rPr>
                <w:lang w:eastAsia="it-IT"/>
              </w:rPr>
              <w:t xml:space="preserve">attendibilmente; o </w:t>
            </w:r>
          </w:p>
          <w:p w:rsidR="004300E2" w:rsidRDefault="004300E2" w:rsidP="00771DEA">
            <w:pPr>
              <w:pStyle w:val="Paragarfobordato"/>
              <w:ind w:left="205" w:hanging="205"/>
              <w:rPr>
                <w:lang w:eastAsia="it-IT"/>
              </w:rPr>
            </w:pPr>
            <w:r>
              <w:rPr>
                <w:lang w:eastAsia="it-IT"/>
              </w:rPr>
              <w:t xml:space="preserve">(c) </w:t>
            </w:r>
            <w:r>
              <w:rPr>
                <w:lang w:eastAsia="it-IT"/>
              </w:rPr>
              <w:tab/>
              <w:t xml:space="preserve">per i contratti che contengono un elemento di partecipazione discrezionale (secondo quanto descritto nell’IFRS 4), se il </w:t>
            </w:r>
            <w:r>
              <w:rPr>
                <w:i/>
                <w:lang w:eastAsia="it-IT"/>
              </w:rPr>
              <w:t xml:space="preserve">fair value </w:t>
            </w:r>
            <w:r>
              <w:rPr>
                <w:lang w:eastAsia="it-IT"/>
              </w:rPr>
              <w:t>di detto elemento non può essere valutato attendibilmente.</w:t>
            </w:r>
          </w:p>
        </w:tc>
        <w:tc>
          <w:tcPr>
            <w:tcW w:w="575" w:type="dxa"/>
            <w:tcMar>
              <w:left w:w="85" w:type="dxa"/>
              <w:right w:w="85" w:type="dxa"/>
            </w:tcMar>
            <w:vAlign w:val="center"/>
          </w:tcPr>
          <w:p w:rsidR="004300E2" w:rsidRPr="00090BE7" w:rsidRDefault="004300E2" w:rsidP="004300E2">
            <w:pPr>
              <w:spacing w:before="60" w:after="60"/>
              <w:jc w:val="center"/>
              <w:rPr>
                <w:lang w:val="it-IT"/>
              </w:rPr>
            </w:pPr>
          </w:p>
        </w:tc>
        <w:tc>
          <w:tcPr>
            <w:tcW w:w="567" w:type="dxa"/>
            <w:tcMar>
              <w:left w:w="108" w:type="dxa"/>
            </w:tcMar>
            <w:vAlign w:val="center"/>
          </w:tcPr>
          <w:p w:rsidR="004300E2" w:rsidRPr="00090BE7" w:rsidRDefault="004300E2" w:rsidP="004300E2">
            <w:pPr>
              <w:spacing w:before="60" w:after="60"/>
              <w:jc w:val="center"/>
              <w:rPr>
                <w:lang w:val="it-IT"/>
              </w:rPr>
            </w:pPr>
          </w:p>
        </w:tc>
        <w:tc>
          <w:tcPr>
            <w:tcW w:w="567" w:type="dxa"/>
            <w:tcMar>
              <w:left w:w="108" w:type="dxa"/>
            </w:tcMar>
            <w:vAlign w:val="center"/>
          </w:tcPr>
          <w:p w:rsidR="004300E2" w:rsidRPr="00090BE7" w:rsidRDefault="004300E2" w:rsidP="004300E2">
            <w:pPr>
              <w:spacing w:before="60" w:after="60"/>
              <w:jc w:val="center"/>
              <w:rPr>
                <w:lang w:val="it-IT"/>
              </w:rPr>
            </w:pPr>
          </w:p>
        </w:tc>
      </w:tr>
      <w:tr w:rsidR="004300E2" w:rsidRPr="00A44ECD" w:rsidTr="00940A6F">
        <w:trPr>
          <w:cantSplit/>
        </w:trPr>
        <w:tc>
          <w:tcPr>
            <w:tcW w:w="567" w:type="dxa"/>
            <w:tcMar>
              <w:left w:w="108" w:type="dxa"/>
            </w:tcMar>
          </w:tcPr>
          <w:p w:rsidR="004300E2" w:rsidRPr="008A0F36" w:rsidRDefault="004300E2" w:rsidP="004300E2">
            <w:pPr>
              <w:pStyle w:val="Numeroelenco"/>
              <w:spacing w:before="40" w:after="40"/>
              <w:ind w:left="0" w:firstLine="57"/>
              <w:rPr>
                <w:lang w:val="it-IT"/>
              </w:rPr>
            </w:pPr>
          </w:p>
        </w:tc>
        <w:tc>
          <w:tcPr>
            <w:tcW w:w="851" w:type="dxa"/>
            <w:tcMar>
              <w:left w:w="108" w:type="dxa"/>
              <w:right w:w="0" w:type="dxa"/>
            </w:tcMar>
          </w:tcPr>
          <w:p w:rsidR="004300E2" w:rsidRPr="008A0F36" w:rsidRDefault="004300E2" w:rsidP="004300E2">
            <w:pPr>
              <w:pStyle w:val="IAS"/>
              <w:spacing w:after="40"/>
              <w:rPr>
                <w:lang w:val="it-IT"/>
              </w:rPr>
            </w:pPr>
            <w:r w:rsidRPr="008A0F36">
              <w:rPr>
                <w:lang w:val="it-IT"/>
              </w:rPr>
              <w:t>IFRS 7.30</w:t>
            </w:r>
          </w:p>
          <w:p w:rsidR="004300E2" w:rsidRPr="008A0F36" w:rsidRDefault="004300E2" w:rsidP="004300E2">
            <w:pPr>
              <w:pStyle w:val="IAS"/>
              <w:spacing w:after="40"/>
              <w:rPr>
                <w:lang w:val="it-IT"/>
              </w:rPr>
            </w:pPr>
          </w:p>
        </w:tc>
        <w:tc>
          <w:tcPr>
            <w:tcW w:w="7079" w:type="dxa"/>
            <w:tcMar>
              <w:left w:w="108" w:type="dxa"/>
            </w:tcMar>
          </w:tcPr>
          <w:p w:rsidR="004300E2" w:rsidRPr="008A0F36" w:rsidRDefault="004300E2" w:rsidP="00771DEA">
            <w:pPr>
              <w:spacing w:before="40" w:after="40"/>
              <w:rPr>
                <w:lang w:val="it-IT"/>
              </w:rPr>
            </w:pPr>
            <w:r w:rsidRPr="008A0F36">
              <w:rPr>
                <w:lang w:val="it-IT"/>
              </w:rPr>
              <w:t xml:space="preserve">Nei casi descritti al paragrafo 29(b) e (c) dell’IFRS 7, l’entità ha fornito informazioni per aiutare gli utilizzatori del bilancio ad effettuare le loro valutazioni circa la misura delle possibili differenze tra il valore contabile di tali attività o passività finanziarie e il loro </w:t>
            </w:r>
            <w:r w:rsidRPr="008A0F36">
              <w:rPr>
                <w:i/>
                <w:lang w:val="it-IT"/>
              </w:rPr>
              <w:t>fair value</w:t>
            </w:r>
            <w:r w:rsidRPr="008A0F36">
              <w:rPr>
                <w:lang w:val="it-IT"/>
              </w:rPr>
              <w:t>, tra cui:</w:t>
            </w:r>
            <w:r w:rsidRPr="008A0F36" w:rsidDel="00F4028A">
              <w:rPr>
                <w:lang w:val="it-IT"/>
              </w:rPr>
              <w:t xml:space="preserve"> </w:t>
            </w:r>
          </w:p>
        </w:tc>
        <w:tc>
          <w:tcPr>
            <w:tcW w:w="575" w:type="dxa"/>
            <w:tcMar>
              <w:left w:w="85" w:type="dxa"/>
              <w:right w:w="85" w:type="dxa"/>
            </w:tcMar>
            <w:vAlign w:val="center"/>
          </w:tcPr>
          <w:p w:rsidR="004300E2" w:rsidRPr="00090BE7" w:rsidRDefault="004300E2" w:rsidP="004300E2">
            <w:pPr>
              <w:spacing w:before="40" w:after="40"/>
              <w:jc w:val="center"/>
              <w:rPr>
                <w:lang w:val="it-IT"/>
              </w:rPr>
            </w:pPr>
          </w:p>
        </w:tc>
        <w:tc>
          <w:tcPr>
            <w:tcW w:w="567" w:type="dxa"/>
            <w:tcMar>
              <w:left w:w="108" w:type="dxa"/>
            </w:tcMar>
            <w:vAlign w:val="center"/>
          </w:tcPr>
          <w:p w:rsidR="004300E2" w:rsidRPr="00090BE7" w:rsidRDefault="004300E2" w:rsidP="004300E2">
            <w:pPr>
              <w:spacing w:before="40" w:after="40"/>
              <w:jc w:val="center"/>
              <w:rPr>
                <w:lang w:val="it-IT"/>
              </w:rPr>
            </w:pPr>
          </w:p>
        </w:tc>
        <w:tc>
          <w:tcPr>
            <w:tcW w:w="567" w:type="dxa"/>
            <w:tcMar>
              <w:left w:w="108" w:type="dxa"/>
            </w:tcMar>
            <w:vAlign w:val="center"/>
          </w:tcPr>
          <w:p w:rsidR="004300E2" w:rsidRPr="00090BE7" w:rsidRDefault="004300E2" w:rsidP="004300E2">
            <w:pPr>
              <w:spacing w:before="40" w:after="40"/>
              <w:jc w:val="center"/>
              <w:rPr>
                <w:lang w:val="it-IT"/>
              </w:rPr>
            </w:pP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771DEA">
            <w:pPr>
              <w:pStyle w:val="Rientroa"/>
              <w:numPr>
                <w:ilvl w:val="0"/>
                <w:numId w:val="75"/>
              </w:numPr>
            </w:pPr>
            <w:r w:rsidRPr="008A0F36">
              <w:t xml:space="preserve">il fatto che per i predetti strumenti il </w:t>
            </w:r>
            <w:r w:rsidRPr="008A0F36">
              <w:rPr>
                <w:i/>
              </w:rPr>
              <w:t>fair value</w:t>
            </w:r>
            <w:r w:rsidRPr="008A0F36">
              <w:t xml:space="preserve"> non è stato indicato poiché non può essere </w:t>
            </w:r>
            <w:r>
              <w:t xml:space="preserve">valutato </w:t>
            </w:r>
            <w:r w:rsidRPr="008A0F36">
              <w:t>attendibilmente</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771DEA">
            <w:pPr>
              <w:pStyle w:val="Rientroa"/>
              <w:numPr>
                <w:ilvl w:val="0"/>
                <w:numId w:val="72"/>
              </w:numPr>
              <w:spacing w:before="40" w:after="40"/>
              <w:ind w:left="391" w:hanging="357"/>
            </w:pPr>
            <w:r w:rsidRPr="008A0F36">
              <w:t xml:space="preserve">la descrizione degli strumenti finanziari, l’indicazione del loro valore contabile e la spiegazione del perché il </w:t>
            </w:r>
            <w:r w:rsidRPr="008A0F36">
              <w:rPr>
                <w:i/>
              </w:rPr>
              <w:t>fair value</w:t>
            </w:r>
            <w:r w:rsidRPr="008A0F36">
              <w:t xml:space="preserve"> non può essere valutato attendibilmente</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771DEA">
            <w:pPr>
              <w:pStyle w:val="Rientroa"/>
              <w:numPr>
                <w:ilvl w:val="0"/>
                <w:numId w:val="72"/>
              </w:numPr>
            </w:pPr>
            <w:r w:rsidRPr="008A0F36">
              <w:t>informazioni sul mercato degli strumenti</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771DEA">
            <w:pPr>
              <w:pStyle w:val="Rientroa"/>
              <w:numPr>
                <w:ilvl w:val="0"/>
                <w:numId w:val="72"/>
              </w:numPr>
            </w:pPr>
            <w:r w:rsidRPr="008A0F36">
              <w:t xml:space="preserve">l’indicazione se e come l’entità ha intenzione di cedere gli strumenti finanziari; e </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771DEA">
            <w:pPr>
              <w:pStyle w:val="Rientroa"/>
              <w:numPr>
                <w:ilvl w:val="0"/>
                <w:numId w:val="72"/>
              </w:numPr>
              <w:spacing w:before="40" w:after="40"/>
              <w:ind w:left="391" w:hanging="357"/>
            </w:pPr>
            <w:r w:rsidRPr="008A0F36">
              <w:t xml:space="preserve">nel caso in cui siano stati eliminati dal bilancio strumenti finanziari il cui </w:t>
            </w:r>
            <w:r w:rsidRPr="008A0F36">
              <w:rPr>
                <w:i/>
              </w:rPr>
              <w:t>fair value</w:t>
            </w:r>
            <w:r w:rsidRPr="008A0F36">
              <w:t xml:space="preserve"> precedentemente non poteva essere valutato attendibilmente, deve esserne data informazione, con indicazione:</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A0F36"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771DEA">
            <w:pPr>
              <w:pStyle w:val="Puntoelenco"/>
            </w:pPr>
            <w:r w:rsidRPr="008A0F36">
              <w:t>del fatto</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771DEA">
            <w:pPr>
              <w:pStyle w:val="Puntoelenco"/>
            </w:pPr>
            <w:r w:rsidRPr="008A0F36">
              <w:t xml:space="preserve">del loro valore contabile al momento dell’eliminazione e </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771DEA">
            <w:pPr>
              <w:pStyle w:val="Puntoelenco"/>
            </w:pPr>
            <w:r w:rsidRPr="008A0F36">
              <w:t>dell’importo dell’utile o della perdita rilevati.</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IAS"/>
              <w:spacing w:after="40"/>
              <w:rPr>
                <w:lang w:val="it-IT"/>
              </w:rPr>
            </w:pPr>
          </w:p>
        </w:tc>
        <w:tc>
          <w:tcPr>
            <w:tcW w:w="851" w:type="dxa"/>
            <w:tcMar>
              <w:left w:w="108" w:type="dxa"/>
              <w:right w:w="0" w:type="dxa"/>
            </w:tcMar>
          </w:tcPr>
          <w:p w:rsidR="004300E2" w:rsidRPr="008A0F36" w:rsidRDefault="004300E2" w:rsidP="004300E2">
            <w:pPr>
              <w:pStyle w:val="IAS"/>
              <w:spacing w:after="40"/>
              <w:rPr>
                <w:lang w:val="it-IT"/>
              </w:rPr>
            </w:pPr>
          </w:p>
        </w:tc>
        <w:tc>
          <w:tcPr>
            <w:tcW w:w="7079" w:type="dxa"/>
            <w:tcMar>
              <w:left w:w="108" w:type="dxa"/>
            </w:tcMar>
          </w:tcPr>
          <w:p w:rsidR="004300E2" w:rsidRPr="008A0F36" w:rsidRDefault="004300E2" w:rsidP="004300E2">
            <w:pPr>
              <w:pStyle w:val="Titolo2"/>
              <w:spacing w:before="40" w:after="40"/>
              <w:rPr>
                <w:lang w:val="it-IT"/>
              </w:rPr>
            </w:pPr>
            <w:r w:rsidRPr="008A0F36">
              <w:rPr>
                <w:lang w:val="it-IT"/>
              </w:rPr>
              <w:t>Natura ed estensione dei rischi derivanti dagli strumenti finanziari</w:t>
            </w:r>
          </w:p>
        </w:tc>
        <w:tc>
          <w:tcPr>
            <w:tcW w:w="575" w:type="dxa"/>
            <w:tcMar>
              <w:left w:w="85" w:type="dxa"/>
              <w:right w:w="85" w:type="dxa"/>
            </w:tcMar>
            <w:vAlign w:val="center"/>
          </w:tcPr>
          <w:p w:rsidR="004300E2" w:rsidRPr="00090BE7" w:rsidRDefault="004300E2" w:rsidP="004300E2">
            <w:pPr>
              <w:spacing w:before="40" w:after="40"/>
              <w:jc w:val="center"/>
              <w:rPr>
                <w:lang w:val="it-IT"/>
              </w:rPr>
            </w:pPr>
          </w:p>
        </w:tc>
        <w:tc>
          <w:tcPr>
            <w:tcW w:w="567" w:type="dxa"/>
            <w:tcMar>
              <w:left w:w="108" w:type="dxa"/>
            </w:tcMar>
            <w:vAlign w:val="center"/>
          </w:tcPr>
          <w:p w:rsidR="004300E2" w:rsidRPr="00090BE7" w:rsidRDefault="004300E2" w:rsidP="004300E2">
            <w:pPr>
              <w:spacing w:before="40" w:after="40"/>
              <w:jc w:val="center"/>
              <w:rPr>
                <w:lang w:val="it-IT"/>
              </w:rPr>
            </w:pPr>
          </w:p>
        </w:tc>
        <w:tc>
          <w:tcPr>
            <w:tcW w:w="567" w:type="dxa"/>
            <w:tcMar>
              <w:left w:w="108" w:type="dxa"/>
            </w:tcMar>
            <w:vAlign w:val="center"/>
          </w:tcPr>
          <w:p w:rsidR="004300E2" w:rsidRPr="00090BE7" w:rsidRDefault="004300E2" w:rsidP="004300E2">
            <w:pPr>
              <w:spacing w:before="40" w:after="40"/>
              <w:jc w:val="center"/>
              <w:rPr>
                <w:lang w:val="it-IT"/>
              </w:rPr>
            </w:pPr>
          </w:p>
        </w:tc>
      </w:tr>
      <w:tr w:rsidR="004300E2" w:rsidRPr="00A44ECD" w:rsidTr="00940A6F">
        <w:trPr>
          <w:cantSplit/>
        </w:trPr>
        <w:tc>
          <w:tcPr>
            <w:tcW w:w="567" w:type="dxa"/>
            <w:tcMar>
              <w:left w:w="108" w:type="dxa"/>
            </w:tcMar>
          </w:tcPr>
          <w:p w:rsidR="004300E2" w:rsidRPr="008A0F36" w:rsidRDefault="004300E2" w:rsidP="004300E2">
            <w:pPr>
              <w:pStyle w:val="IAS"/>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 xml:space="preserve">IFRS 7.B6 </w:t>
            </w:r>
          </w:p>
          <w:p w:rsidR="004300E2" w:rsidRPr="008A0F36" w:rsidRDefault="004300E2" w:rsidP="004300E2">
            <w:pPr>
              <w:pStyle w:val="IAS"/>
              <w:rPr>
                <w:lang w:val="it-IT"/>
              </w:rPr>
            </w:pPr>
          </w:p>
        </w:tc>
        <w:tc>
          <w:tcPr>
            <w:tcW w:w="7079" w:type="dxa"/>
            <w:tcMar>
              <w:left w:w="108" w:type="dxa"/>
            </w:tcMar>
          </w:tcPr>
          <w:p w:rsidR="004300E2" w:rsidRPr="008A0F36" w:rsidRDefault="004300E2" w:rsidP="00771DEA">
            <w:pPr>
              <w:pStyle w:val="Paragarfobordato"/>
            </w:pPr>
            <w:r w:rsidRPr="008A0F36">
              <w:t xml:space="preserve">Le informazioni richieste </w:t>
            </w:r>
            <w:r w:rsidRPr="00062A74">
              <w:t xml:space="preserve">dai punti </w:t>
            </w:r>
            <w:r w:rsidRPr="00F1746B">
              <w:t>26</w:t>
            </w:r>
            <w:r w:rsidR="00D20202">
              <w:t>2</w:t>
            </w:r>
            <w:r w:rsidRPr="00F1746B">
              <w:t>-2</w:t>
            </w:r>
            <w:r>
              <w:t>8</w:t>
            </w:r>
            <w:r w:rsidR="00D20202">
              <w:t>4</w:t>
            </w:r>
            <w:r w:rsidRPr="00062A74">
              <w:t xml:space="preserve"> devono essere</w:t>
            </w:r>
            <w:r w:rsidRPr="008A0F36">
              <w:t xml:space="preserve"> fornite nel bilancio o incorporate con specifico rimando dal bilancio ad un altro prospetto, come ad esempio la relazione sulla gestione od altra relazione degli amministratori, che è disponibile per gli utilizzatori del bilancio negli stessi termini e contestualmente al bilancio. Senza l’informativa incorporata con uno specifico rimando, il bilancio è incompleto. </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E84B58" w:rsidRPr="008129DA" w:rsidTr="00940A6F">
        <w:trPr>
          <w:cantSplit/>
        </w:trPr>
        <w:tc>
          <w:tcPr>
            <w:tcW w:w="567" w:type="dxa"/>
            <w:tcMar>
              <w:left w:w="108" w:type="dxa"/>
            </w:tcMar>
          </w:tcPr>
          <w:p w:rsidR="00E84B58" w:rsidRPr="008A0F36" w:rsidRDefault="00E84B58" w:rsidP="004300E2">
            <w:pPr>
              <w:pStyle w:val="Numeroelenco"/>
              <w:ind w:left="0" w:firstLine="57"/>
              <w:rPr>
                <w:lang w:val="it-IT"/>
              </w:rPr>
            </w:pPr>
          </w:p>
        </w:tc>
        <w:tc>
          <w:tcPr>
            <w:tcW w:w="851" w:type="dxa"/>
            <w:tcMar>
              <w:left w:w="108" w:type="dxa"/>
              <w:right w:w="0" w:type="dxa"/>
            </w:tcMar>
          </w:tcPr>
          <w:p w:rsidR="00E84B58" w:rsidRPr="008A0F36" w:rsidRDefault="00E84B58" w:rsidP="004300E2">
            <w:pPr>
              <w:pStyle w:val="IAS"/>
              <w:rPr>
                <w:lang w:val="it-IT"/>
              </w:rPr>
            </w:pPr>
            <w:r w:rsidRPr="008A0F36">
              <w:rPr>
                <w:lang w:val="it-IT"/>
              </w:rPr>
              <w:t>IFRS</w:t>
            </w:r>
            <w:r>
              <w:rPr>
                <w:lang w:val="it-IT"/>
              </w:rPr>
              <w:t xml:space="preserve"> </w:t>
            </w:r>
            <w:r w:rsidRPr="008A0F36">
              <w:rPr>
                <w:lang w:val="it-IT"/>
              </w:rPr>
              <w:t>7.31</w:t>
            </w:r>
          </w:p>
        </w:tc>
        <w:tc>
          <w:tcPr>
            <w:tcW w:w="7079" w:type="dxa"/>
            <w:tcMar>
              <w:left w:w="108" w:type="dxa"/>
            </w:tcMar>
          </w:tcPr>
          <w:p w:rsidR="00E84B58" w:rsidRPr="008A0F36" w:rsidRDefault="00E84B58" w:rsidP="00771DEA">
            <w:pPr>
              <w:rPr>
                <w:lang w:val="it-IT"/>
              </w:rPr>
            </w:pPr>
            <w:r w:rsidRPr="008A0F36">
              <w:rPr>
                <w:lang w:val="it-IT"/>
              </w:rPr>
              <w:t>L’entità ha fornito l’informativa che consente agli utilizzatori del bilancio di valutare la natura e l’estensione dei rischi derivanti dagli strumenti finanziari cui l’entità è esposta alla data di chiusura dell’esercizio.</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A0F36" w:rsidTr="00940A6F">
        <w:trPr>
          <w:cantSplit/>
        </w:trPr>
        <w:tc>
          <w:tcPr>
            <w:tcW w:w="567" w:type="dxa"/>
            <w:tcMar>
              <w:left w:w="108" w:type="dxa"/>
            </w:tcMar>
          </w:tcPr>
          <w:p w:rsidR="004300E2" w:rsidRPr="008A0F36" w:rsidRDefault="004300E2" w:rsidP="004300E2">
            <w:pPr>
              <w:pStyle w:val="IAS"/>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Pr="008A0F36" w:rsidRDefault="004300E2" w:rsidP="004300E2">
            <w:pPr>
              <w:pStyle w:val="Titolo2"/>
              <w:rPr>
                <w:lang w:val="it-IT"/>
              </w:rPr>
            </w:pPr>
            <w:r w:rsidRPr="008A0F36">
              <w:rPr>
                <w:lang w:val="it-IT"/>
              </w:rPr>
              <w:t>Informazioni qualitative</w:t>
            </w:r>
          </w:p>
        </w:tc>
        <w:tc>
          <w:tcPr>
            <w:tcW w:w="575" w:type="dxa"/>
            <w:tcMar>
              <w:left w:w="85" w:type="dxa"/>
              <w:right w:w="85" w:type="dxa"/>
            </w:tcMar>
            <w:vAlign w:val="center"/>
          </w:tcPr>
          <w:p w:rsidR="004300E2" w:rsidRDefault="004300E2" w:rsidP="004300E2">
            <w:pPr>
              <w:jc w:val="center"/>
            </w:pPr>
          </w:p>
        </w:tc>
        <w:tc>
          <w:tcPr>
            <w:tcW w:w="567" w:type="dxa"/>
            <w:tcMar>
              <w:left w:w="108" w:type="dxa"/>
            </w:tcMar>
            <w:vAlign w:val="center"/>
          </w:tcPr>
          <w:p w:rsidR="004300E2" w:rsidRDefault="004300E2" w:rsidP="004300E2">
            <w:pPr>
              <w:jc w:val="center"/>
            </w:pPr>
          </w:p>
        </w:tc>
        <w:tc>
          <w:tcPr>
            <w:tcW w:w="567" w:type="dxa"/>
            <w:tcMar>
              <w:left w:w="108" w:type="dxa"/>
            </w:tcMar>
            <w:vAlign w:val="center"/>
          </w:tcPr>
          <w:p w:rsidR="004300E2" w:rsidRDefault="004300E2" w:rsidP="004300E2">
            <w:pPr>
              <w:jc w:val="center"/>
            </w:pP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IFRS 7.33</w:t>
            </w:r>
          </w:p>
        </w:tc>
        <w:tc>
          <w:tcPr>
            <w:tcW w:w="7079" w:type="dxa"/>
            <w:tcMar>
              <w:left w:w="108" w:type="dxa"/>
            </w:tcMar>
          </w:tcPr>
          <w:p w:rsidR="004300E2" w:rsidRPr="008A0F36" w:rsidRDefault="004300E2" w:rsidP="004300E2">
            <w:pPr>
              <w:rPr>
                <w:lang w:val="it-IT"/>
              </w:rPr>
            </w:pPr>
            <w:r w:rsidRPr="008A0F36">
              <w:rPr>
                <w:lang w:val="it-IT"/>
              </w:rPr>
              <w:t>Per ogni tipo di rischio derivante dagli strumenti finanziari, l’entità ha fornito l’informativa seguente:</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4300E2">
            <w:pPr>
              <w:pStyle w:val="Rientroa"/>
              <w:numPr>
                <w:ilvl w:val="0"/>
                <w:numId w:val="76"/>
              </w:numPr>
              <w:tabs>
                <w:tab w:val="center" w:pos="4536"/>
                <w:tab w:val="right" w:pos="9072"/>
              </w:tabs>
              <w:rPr>
                <w:iCs/>
              </w:rPr>
            </w:pPr>
            <w:r w:rsidRPr="008A0F36">
              <w:t>le esposizioni al rischio e come traggono origine;</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FB4B6E">
            <w:pPr>
              <w:pStyle w:val="Rientroa"/>
              <w:numPr>
                <w:ilvl w:val="0"/>
                <w:numId w:val="72"/>
              </w:numPr>
            </w:pPr>
            <w:r w:rsidRPr="008A0F36">
              <w:t xml:space="preserve">gli obiettivi, le politiche e i processi per gestire il rischio e i metodi usati per </w:t>
            </w:r>
            <w:r>
              <w:t xml:space="preserve">valutare </w:t>
            </w:r>
            <w:r w:rsidRPr="008A0F36">
              <w:t>il rischio; e</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FB4B6E">
            <w:pPr>
              <w:pStyle w:val="Rientroa"/>
              <w:numPr>
                <w:ilvl w:val="0"/>
                <w:numId w:val="72"/>
              </w:numPr>
            </w:pPr>
            <w:r w:rsidRPr="008A0F36">
              <w:t>ogni cambiamento in a) o b) rispetto al periodo precedente.</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A0F36" w:rsidTr="00940A6F">
        <w:trPr>
          <w:cantSplit/>
        </w:trPr>
        <w:tc>
          <w:tcPr>
            <w:tcW w:w="567" w:type="dxa"/>
            <w:tcMar>
              <w:left w:w="108" w:type="dxa"/>
            </w:tcMar>
          </w:tcPr>
          <w:p w:rsidR="004300E2" w:rsidRPr="008A0F36" w:rsidRDefault="004300E2" w:rsidP="004300E2">
            <w:pPr>
              <w:pStyle w:val="IAS"/>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Pr="008A0F36" w:rsidRDefault="004300E2" w:rsidP="004300E2">
            <w:pPr>
              <w:pStyle w:val="Titolo2"/>
              <w:rPr>
                <w:lang w:val="it-IT"/>
              </w:rPr>
            </w:pPr>
            <w:r w:rsidRPr="008A0F36">
              <w:rPr>
                <w:lang w:val="it-IT"/>
              </w:rPr>
              <w:t>Informazioni quantitative</w:t>
            </w:r>
          </w:p>
        </w:tc>
        <w:tc>
          <w:tcPr>
            <w:tcW w:w="575" w:type="dxa"/>
            <w:tcMar>
              <w:left w:w="85" w:type="dxa"/>
              <w:right w:w="85" w:type="dxa"/>
            </w:tcMar>
            <w:vAlign w:val="center"/>
          </w:tcPr>
          <w:p w:rsidR="004300E2" w:rsidRDefault="004300E2" w:rsidP="004300E2">
            <w:pPr>
              <w:jc w:val="center"/>
            </w:pPr>
          </w:p>
        </w:tc>
        <w:tc>
          <w:tcPr>
            <w:tcW w:w="567" w:type="dxa"/>
            <w:tcMar>
              <w:left w:w="108" w:type="dxa"/>
            </w:tcMar>
            <w:vAlign w:val="center"/>
          </w:tcPr>
          <w:p w:rsidR="004300E2" w:rsidRDefault="004300E2" w:rsidP="004300E2">
            <w:pPr>
              <w:jc w:val="center"/>
            </w:pPr>
          </w:p>
        </w:tc>
        <w:tc>
          <w:tcPr>
            <w:tcW w:w="567" w:type="dxa"/>
            <w:tcMar>
              <w:left w:w="108" w:type="dxa"/>
            </w:tcMar>
            <w:vAlign w:val="center"/>
          </w:tcPr>
          <w:p w:rsidR="004300E2" w:rsidRDefault="004300E2" w:rsidP="004300E2">
            <w:pPr>
              <w:jc w:val="center"/>
            </w:pPr>
          </w:p>
        </w:tc>
      </w:tr>
      <w:tr w:rsidR="004300E2" w:rsidRPr="00A44ECD" w:rsidTr="00940A6F">
        <w:trPr>
          <w:cantSplit/>
          <w:trHeight w:val="144"/>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IFRS 7.34</w:t>
            </w:r>
            <w:r w:rsidRPr="008A0F36">
              <w:rPr>
                <w:lang w:val="it-IT"/>
              </w:rPr>
              <w:br/>
              <w:t>IAS 24.9</w:t>
            </w:r>
          </w:p>
        </w:tc>
        <w:tc>
          <w:tcPr>
            <w:tcW w:w="7079" w:type="dxa"/>
            <w:tcMar>
              <w:left w:w="108" w:type="dxa"/>
            </w:tcMar>
          </w:tcPr>
          <w:p w:rsidR="004300E2" w:rsidRPr="008A0F36" w:rsidRDefault="004300E2" w:rsidP="00771DEA">
            <w:pPr>
              <w:rPr>
                <w:lang w:val="it-IT"/>
              </w:rPr>
            </w:pPr>
            <w:r w:rsidRPr="008A0F36">
              <w:rPr>
                <w:lang w:val="it-IT"/>
              </w:rPr>
              <w:t>Per ogni tipo di rischio legato agli strumenti finanziari l’entità deve indicare:</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E84B58" w:rsidRPr="008129DA" w:rsidTr="00940A6F">
        <w:trPr>
          <w:cantSplit/>
          <w:trHeight w:val="188"/>
        </w:trPr>
        <w:tc>
          <w:tcPr>
            <w:tcW w:w="567" w:type="dxa"/>
            <w:tcMar>
              <w:left w:w="108" w:type="dxa"/>
            </w:tcMar>
          </w:tcPr>
          <w:p w:rsidR="00E84B58" w:rsidRPr="008A0F36" w:rsidRDefault="00E84B58" w:rsidP="004300E2">
            <w:pPr>
              <w:rPr>
                <w:lang w:val="it-IT"/>
              </w:rPr>
            </w:pPr>
          </w:p>
        </w:tc>
        <w:tc>
          <w:tcPr>
            <w:tcW w:w="851" w:type="dxa"/>
            <w:tcMar>
              <w:left w:w="108" w:type="dxa"/>
              <w:right w:w="0" w:type="dxa"/>
            </w:tcMar>
          </w:tcPr>
          <w:p w:rsidR="00E84B58" w:rsidRPr="008A0F36" w:rsidRDefault="00E84B58" w:rsidP="004300E2">
            <w:pPr>
              <w:rPr>
                <w:lang w:val="it-IT"/>
              </w:rPr>
            </w:pPr>
          </w:p>
        </w:tc>
        <w:tc>
          <w:tcPr>
            <w:tcW w:w="7079" w:type="dxa"/>
            <w:tcMar>
              <w:left w:w="108" w:type="dxa"/>
            </w:tcMar>
          </w:tcPr>
          <w:p w:rsidR="00E84B58" w:rsidRDefault="00E84B58" w:rsidP="00771DEA">
            <w:pPr>
              <w:pStyle w:val="Rientroa"/>
              <w:numPr>
                <w:ilvl w:val="0"/>
                <w:numId w:val="78"/>
              </w:numPr>
              <w:tabs>
                <w:tab w:val="center" w:pos="4536"/>
                <w:tab w:val="right" w:pos="9072"/>
              </w:tabs>
              <w:ind w:left="391" w:hanging="357"/>
              <w:rPr>
                <w:iCs/>
              </w:rPr>
            </w:pPr>
            <w:r w:rsidRPr="008A0F36">
              <w:t>dati quantitativi sintetici sulla propria esposizione al rischio alla data di chiusura dell’esercizio di riferimento basati sulle informazioni a disposizione dei dirigenti con responsabilità strategiche (così come definiti dallo IAS 24) come, ad esempio, il consiglio di amministrazione e l’amministratore delegato</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188"/>
        </w:trPr>
        <w:tc>
          <w:tcPr>
            <w:tcW w:w="567" w:type="dxa"/>
            <w:tcMar>
              <w:left w:w="108" w:type="dxa"/>
            </w:tcMar>
          </w:tcPr>
          <w:p w:rsidR="00E84B58" w:rsidRPr="008A0F36" w:rsidRDefault="00E84B58" w:rsidP="004300E2">
            <w:pPr>
              <w:rPr>
                <w:lang w:val="it-IT"/>
              </w:rPr>
            </w:pPr>
          </w:p>
        </w:tc>
        <w:tc>
          <w:tcPr>
            <w:tcW w:w="851" w:type="dxa"/>
            <w:tcMar>
              <w:left w:w="108" w:type="dxa"/>
              <w:right w:w="0" w:type="dxa"/>
            </w:tcMar>
          </w:tcPr>
          <w:p w:rsidR="00E84B58" w:rsidRPr="008A0F36" w:rsidRDefault="00E84B58" w:rsidP="004300E2">
            <w:pPr>
              <w:rPr>
                <w:lang w:val="it-IT"/>
              </w:rPr>
            </w:pPr>
          </w:p>
        </w:tc>
        <w:tc>
          <w:tcPr>
            <w:tcW w:w="7079" w:type="dxa"/>
            <w:tcMar>
              <w:left w:w="108" w:type="dxa"/>
            </w:tcMar>
          </w:tcPr>
          <w:p w:rsidR="00E84B58" w:rsidRPr="008A0F36" w:rsidRDefault="00E84B58" w:rsidP="00771DEA">
            <w:pPr>
              <w:pStyle w:val="Rientroa"/>
              <w:numPr>
                <w:ilvl w:val="0"/>
                <w:numId w:val="72"/>
              </w:numPr>
            </w:pPr>
            <w:r w:rsidRPr="008A0F36">
              <w:t xml:space="preserve">l’informativa di cui ai </w:t>
            </w:r>
            <w:r w:rsidRPr="00062A74">
              <w:t xml:space="preserve">punti </w:t>
            </w:r>
            <w:r w:rsidRPr="00F1746B">
              <w:t>2</w:t>
            </w:r>
            <w:r>
              <w:t>67</w:t>
            </w:r>
            <w:r w:rsidRPr="00F1746B">
              <w:t>-2</w:t>
            </w:r>
            <w:r>
              <w:t>84</w:t>
            </w:r>
            <w:r w:rsidRPr="00062A74">
              <w:t xml:space="preserve"> nei limiti</w:t>
            </w:r>
            <w:r w:rsidRPr="008A0F36">
              <w:t xml:space="preserve"> in cui non è stata fornita al precedente punto a)</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188"/>
        </w:trPr>
        <w:tc>
          <w:tcPr>
            <w:tcW w:w="567" w:type="dxa"/>
            <w:tcMar>
              <w:left w:w="108" w:type="dxa"/>
            </w:tcMar>
          </w:tcPr>
          <w:p w:rsidR="00E84B58" w:rsidRPr="008A0F36" w:rsidRDefault="00E84B58" w:rsidP="004300E2">
            <w:pPr>
              <w:rPr>
                <w:lang w:val="it-IT"/>
              </w:rPr>
            </w:pPr>
          </w:p>
        </w:tc>
        <w:tc>
          <w:tcPr>
            <w:tcW w:w="851" w:type="dxa"/>
            <w:tcMar>
              <w:left w:w="108" w:type="dxa"/>
              <w:right w:w="0" w:type="dxa"/>
            </w:tcMar>
          </w:tcPr>
          <w:p w:rsidR="00E84B58" w:rsidRPr="008A0F36" w:rsidRDefault="00E84B58" w:rsidP="004300E2">
            <w:pPr>
              <w:rPr>
                <w:lang w:val="it-IT"/>
              </w:rPr>
            </w:pPr>
          </w:p>
        </w:tc>
        <w:tc>
          <w:tcPr>
            <w:tcW w:w="7079" w:type="dxa"/>
            <w:tcMar>
              <w:left w:w="108" w:type="dxa"/>
            </w:tcMar>
          </w:tcPr>
          <w:p w:rsidR="00E84B58" w:rsidRPr="008A0F36" w:rsidRDefault="00E84B58" w:rsidP="00771DEA">
            <w:pPr>
              <w:pStyle w:val="Rientroa"/>
              <w:numPr>
                <w:ilvl w:val="0"/>
                <w:numId w:val="72"/>
              </w:numPr>
            </w:pPr>
            <w:r w:rsidRPr="008A0F36">
              <w:t>le concentrazioni del rischio se non risultano già evidenti dall’informativa fornita ai punti a) e b).</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A0F36" w:rsidTr="00940A6F">
        <w:trPr>
          <w:cantSplit/>
          <w:trHeight w:val="743"/>
        </w:trPr>
        <w:tc>
          <w:tcPr>
            <w:tcW w:w="567" w:type="dxa"/>
            <w:tcMar>
              <w:left w:w="108" w:type="dxa"/>
            </w:tcMar>
          </w:tcPr>
          <w:p w:rsidR="004300E2" w:rsidRPr="008A0F36" w:rsidRDefault="004300E2" w:rsidP="004300E2">
            <w:pPr>
              <w:pStyle w:val="IAS"/>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IFRS 7.B7</w:t>
            </w:r>
            <w:r w:rsidRPr="008A0F36">
              <w:rPr>
                <w:lang w:val="it-IT"/>
              </w:rPr>
              <w:br/>
              <w:t>IAS 8.10</w:t>
            </w:r>
          </w:p>
        </w:tc>
        <w:tc>
          <w:tcPr>
            <w:tcW w:w="7079" w:type="dxa"/>
            <w:tcMar>
              <w:left w:w="108" w:type="dxa"/>
            </w:tcMar>
          </w:tcPr>
          <w:p w:rsidR="004300E2" w:rsidRPr="008A0F36" w:rsidRDefault="004300E2" w:rsidP="003A5BB7">
            <w:pPr>
              <w:pStyle w:val="Commentiariquadro"/>
              <w:ind w:left="34" w:firstLine="0"/>
            </w:pPr>
            <w:r w:rsidRPr="008A0F36">
              <w:t xml:space="preserve">Se l’entità utilizza metodi diversi per la gestione del rischio o di una esposizione, l’entità dà l’informativa basandosi sul metodo od i metodi che sono più attendibili e rilevanti. Lo IAS 8.10 discute il tema dell’attendibilità e rilevanza dell’informativa. </w:t>
            </w:r>
          </w:p>
        </w:tc>
        <w:tc>
          <w:tcPr>
            <w:tcW w:w="575" w:type="dxa"/>
            <w:tcMar>
              <w:left w:w="85" w:type="dxa"/>
              <w:right w:w="85" w:type="dxa"/>
            </w:tcMar>
            <w:vAlign w:val="center"/>
          </w:tcPr>
          <w:p w:rsidR="004300E2" w:rsidRDefault="004300E2" w:rsidP="004300E2">
            <w:pPr>
              <w:jc w:val="center"/>
            </w:pPr>
          </w:p>
        </w:tc>
        <w:tc>
          <w:tcPr>
            <w:tcW w:w="567" w:type="dxa"/>
            <w:tcMar>
              <w:left w:w="108" w:type="dxa"/>
            </w:tcMar>
            <w:vAlign w:val="center"/>
          </w:tcPr>
          <w:p w:rsidR="004300E2" w:rsidRDefault="004300E2" w:rsidP="004300E2">
            <w:pPr>
              <w:jc w:val="center"/>
            </w:pPr>
          </w:p>
        </w:tc>
        <w:tc>
          <w:tcPr>
            <w:tcW w:w="567" w:type="dxa"/>
            <w:tcMar>
              <w:left w:w="108" w:type="dxa"/>
            </w:tcMar>
            <w:vAlign w:val="center"/>
          </w:tcPr>
          <w:p w:rsidR="004300E2" w:rsidRDefault="004300E2" w:rsidP="004300E2">
            <w:pPr>
              <w:jc w:val="center"/>
            </w:pPr>
          </w:p>
        </w:tc>
      </w:tr>
      <w:tr w:rsidR="004300E2" w:rsidRPr="00A44ECD" w:rsidTr="00940A6F">
        <w:trPr>
          <w:cantSplit/>
          <w:trHeight w:val="698"/>
        </w:trPr>
        <w:tc>
          <w:tcPr>
            <w:tcW w:w="567" w:type="dxa"/>
            <w:tcMar>
              <w:left w:w="108" w:type="dxa"/>
            </w:tcMar>
          </w:tcPr>
          <w:p w:rsidR="004300E2" w:rsidRPr="008A0F36" w:rsidRDefault="004300E2" w:rsidP="004300E2">
            <w:pPr>
              <w:pStyle w:val="IAS"/>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IFRS 7.B8</w:t>
            </w:r>
            <w:r w:rsidRPr="008A0F36">
              <w:rPr>
                <w:lang w:val="it-IT"/>
              </w:rPr>
              <w:br/>
              <w:t>IFRS 7.IG18</w:t>
            </w:r>
          </w:p>
        </w:tc>
        <w:tc>
          <w:tcPr>
            <w:tcW w:w="7079" w:type="dxa"/>
            <w:tcMar>
              <w:left w:w="108" w:type="dxa"/>
            </w:tcMar>
          </w:tcPr>
          <w:p w:rsidR="004300E2" w:rsidRPr="008A0F36" w:rsidRDefault="004300E2" w:rsidP="004300E2">
            <w:pPr>
              <w:pStyle w:val="Commentiariquadro"/>
              <w:ind w:left="35" w:firstLine="0"/>
            </w:pPr>
            <w:r w:rsidRPr="008A0F36">
              <w:t>Concentrazioni del rischio sono legate a strumenti finanziari che hanno caratteristiche simili e sono influenzati in modo simile da cambiamenti delle condizioni economiche o di altra natura. L‘identificazione delle concentrazioni di rischio richiede una valutazione tenuto conto delle circostanze specifiche dell’entità (si veda IFRS 7.IG18).</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4300E2" w:rsidRPr="00A44ECD" w:rsidTr="00940A6F">
        <w:trPr>
          <w:cantSplit/>
          <w:trHeight w:val="282"/>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IFRS 7.B8</w:t>
            </w:r>
          </w:p>
        </w:tc>
        <w:tc>
          <w:tcPr>
            <w:tcW w:w="7079" w:type="dxa"/>
            <w:tcMar>
              <w:left w:w="108" w:type="dxa"/>
            </w:tcMar>
          </w:tcPr>
          <w:p w:rsidR="004300E2" w:rsidRPr="008A0F36" w:rsidRDefault="004300E2" w:rsidP="004300E2">
            <w:pPr>
              <w:rPr>
                <w:lang w:val="it-IT"/>
              </w:rPr>
            </w:pPr>
            <w:r w:rsidRPr="008A0F36">
              <w:rPr>
                <w:lang w:val="it-IT"/>
              </w:rPr>
              <w:t>Con riferimento alla concentrazione dei rischi, l’entità ha fornito l’informativa seguente:</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Default="00E84B58" w:rsidP="004300E2">
            <w:pPr>
              <w:pStyle w:val="Rientroa"/>
              <w:numPr>
                <w:ilvl w:val="0"/>
                <w:numId w:val="79"/>
              </w:numPr>
              <w:tabs>
                <w:tab w:val="center" w:pos="4536"/>
                <w:tab w:val="right" w:pos="9072"/>
              </w:tabs>
              <w:rPr>
                <w:iCs/>
              </w:rPr>
            </w:pPr>
            <w:r w:rsidRPr="008A0F36">
              <w:t>una descrizione di come la Direzione aziendale ha determinato la concentrazione dei rischi</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D351BE">
            <w:pPr>
              <w:pStyle w:val="Rientroa"/>
              <w:numPr>
                <w:ilvl w:val="0"/>
                <w:numId w:val="72"/>
              </w:numPr>
              <w:ind w:left="391" w:hanging="357"/>
            </w:pPr>
            <w:r w:rsidRPr="008A0F36">
              <w:t>una descrizione delle caratteristiche comuni che identificano ogni concentrazione (ad esempio controparti, area geografica, valuta e mercato); e</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left w:w="108" w:type="dxa"/>
              <w:right w:w="0" w:type="dxa"/>
            </w:tcMar>
          </w:tcPr>
          <w:p w:rsidR="00E84B58" w:rsidRPr="008A0F36" w:rsidRDefault="00E84B58" w:rsidP="004300E2">
            <w:pPr>
              <w:pStyle w:val="IAS"/>
              <w:rPr>
                <w:lang w:val="it-IT"/>
              </w:rPr>
            </w:pPr>
          </w:p>
        </w:tc>
        <w:tc>
          <w:tcPr>
            <w:tcW w:w="7079" w:type="dxa"/>
            <w:tcMar>
              <w:left w:w="108" w:type="dxa"/>
            </w:tcMar>
          </w:tcPr>
          <w:p w:rsidR="00E84B58" w:rsidRPr="008A0F36" w:rsidRDefault="00E84B58" w:rsidP="00D351BE">
            <w:pPr>
              <w:pStyle w:val="Rientroa"/>
              <w:numPr>
                <w:ilvl w:val="0"/>
                <w:numId w:val="72"/>
              </w:numPr>
              <w:spacing w:before="40" w:after="40"/>
              <w:ind w:left="391" w:hanging="357"/>
            </w:pPr>
            <w:r w:rsidRPr="008A0F36">
              <w:t>l’ammontare delle esposizioni al rischio connesso agli strumenti finanziari con le medesime caratteristiche.</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Numeroelenco"/>
              <w:ind w:left="0" w:firstLine="57"/>
              <w:rPr>
                <w:lang w:val="it-IT"/>
              </w:rPr>
            </w:pPr>
          </w:p>
        </w:tc>
        <w:tc>
          <w:tcPr>
            <w:tcW w:w="851" w:type="dxa"/>
            <w:tcMar>
              <w:left w:w="108" w:type="dxa"/>
              <w:right w:w="0" w:type="dxa"/>
            </w:tcMar>
          </w:tcPr>
          <w:p w:rsidR="00E84B58" w:rsidRPr="008A0F36" w:rsidRDefault="00E84B58" w:rsidP="004300E2">
            <w:pPr>
              <w:pStyle w:val="IAS"/>
              <w:rPr>
                <w:lang w:val="it-IT"/>
              </w:rPr>
            </w:pPr>
            <w:r w:rsidRPr="008A0F36">
              <w:rPr>
                <w:lang w:val="it-IT"/>
              </w:rPr>
              <w:t>IFRS 7.35</w:t>
            </w:r>
          </w:p>
        </w:tc>
        <w:tc>
          <w:tcPr>
            <w:tcW w:w="7079" w:type="dxa"/>
            <w:tcMar>
              <w:left w:w="108" w:type="dxa"/>
            </w:tcMar>
          </w:tcPr>
          <w:p w:rsidR="00E84B58" w:rsidRPr="008A0F36" w:rsidRDefault="00E84B58" w:rsidP="00D351BE">
            <w:pPr>
              <w:spacing w:before="40" w:after="40"/>
              <w:rPr>
                <w:lang w:val="it-IT"/>
              </w:rPr>
            </w:pPr>
            <w:r w:rsidRPr="008A0F36">
              <w:rPr>
                <w:lang w:val="it-IT"/>
              </w:rPr>
              <w:t>Se le informazioni quantitative alla data di chiusura dell’esercizio non sono rappresentative della esposizione ai rischi dell’entità durante il periodo, l’entità fornisce ulteriori informazioni che siano rappresentative.</w:t>
            </w:r>
          </w:p>
        </w:tc>
        <w:tc>
          <w:tcPr>
            <w:tcW w:w="575"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A0F36" w:rsidTr="00940A6F">
        <w:trPr>
          <w:cantSplit/>
        </w:trPr>
        <w:tc>
          <w:tcPr>
            <w:tcW w:w="567" w:type="dxa"/>
            <w:tcMar>
              <w:left w:w="108" w:type="dxa"/>
            </w:tcMar>
            <w:vAlign w:val="center"/>
          </w:tcPr>
          <w:p w:rsidR="004300E2" w:rsidRPr="008A0F36" w:rsidRDefault="004300E2" w:rsidP="004300E2">
            <w:pPr>
              <w:pStyle w:val="IAS"/>
              <w:jc w:val="left"/>
              <w:rPr>
                <w:lang w:val="it-IT"/>
              </w:rPr>
            </w:pPr>
          </w:p>
        </w:tc>
        <w:tc>
          <w:tcPr>
            <w:tcW w:w="851" w:type="dxa"/>
            <w:tcMar>
              <w:left w:w="108" w:type="dxa"/>
              <w:right w:w="0" w:type="dxa"/>
            </w:tcMar>
            <w:vAlign w:val="center"/>
          </w:tcPr>
          <w:p w:rsidR="004300E2" w:rsidRPr="008A0F36" w:rsidRDefault="004300E2" w:rsidP="004300E2">
            <w:pPr>
              <w:pStyle w:val="IAS"/>
              <w:jc w:val="left"/>
              <w:rPr>
                <w:lang w:val="it-IT"/>
              </w:rPr>
            </w:pPr>
          </w:p>
        </w:tc>
        <w:tc>
          <w:tcPr>
            <w:tcW w:w="7079" w:type="dxa"/>
            <w:tcMar>
              <w:left w:w="108" w:type="dxa"/>
            </w:tcMar>
            <w:vAlign w:val="center"/>
          </w:tcPr>
          <w:p w:rsidR="004300E2" w:rsidRPr="008A0F36" w:rsidRDefault="004300E2" w:rsidP="004300E2">
            <w:pPr>
              <w:pStyle w:val="Titolo2"/>
              <w:rPr>
                <w:lang w:val="it-IT"/>
              </w:rPr>
            </w:pPr>
            <w:r w:rsidRPr="008A0F36">
              <w:rPr>
                <w:lang w:val="it-IT"/>
              </w:rPr>
              <w:t>Informativa minima</w:t>
            </w:r>
          </w:p>
        </w:tc>
        <w:tc>
          <w:tcPr>
            <w:tcW w:w="575" w:type="dxa"/>
            <w:tcMar>
              <w:left w:w="85" w:type="dxa"/>
              <w:right w:w="85" w:type="dxa"/>
            </w:tcMar>
            <w:vAlign w:val="center"/>
          </w:tcPr>
          <w:p w:rsidR="004300E2" w:rsidRPr="008A0F36" w:rsidRDefault="004300E2" w:rsidP="004300E2">
            <w:pPr>
              <w:keepNext/>
              <w:jc w:val="left"/>
              <w:rPr>
                <w:lang w:val="it-IT"/>
              </w:rPr>
            </w:pPr>
          </w:p>
        </w:tc>
        <w:tc>
          <w:tcPr>
            <w:tcW w:w="567" w:type="dxa"/>
            <w:tcMar>
              <w:left w:w="108" w:type="dxa"/>
            </w:tcMar>
            <w:vAlign w:val="center"/>
          </w:tcPr>
          <w:p w:rsidR="004300E2" w:rsidRPr="008A0F36" w:rsidRDefault="004300E2" w:rsidP="004300E2">
            <w:pPr>
              <w:keepNext/>
              <w:jc w:val="left"/>
              <w:rPr>
                <w:lang w:val="it-IT"/>
              </w:rPr>
            </w:pPr>
          </w:p>
        </w:tc>
        <w:tc>
          <w:tcPr>
            <w:tcW w:w="567" w:type="dxa"/>
            <w:tcMar>
              <w:left w:w="108" w:type="dxa"/>
            </w:tcMar>
            <w:vAlign w:val="center"/>
          </w:tcPr>
          <w:p w:rsidR="004300E2" w:rsidRPr="008A0F36" w:rsidRDefault="004300E2" w:rsidP="004300E2">
            <w:pPr>
              <w:keepNext/>
              <w:jc w:val="left"/>
              <w:rPr>
                <w:lang w:val="it-IT"/>
              </w:rPr>
            </w:pPr>
          </w:p>
        </w:tc>
      </w:tr>
      <w:tr w:rsidR="004300E2" w:rsidRPr="008A0F36" w:rsidTr="00940A6F">
        <w:trPr>
          <w:cantSplit/>
        </w:trPr>
        <w:tc>
          <w:tcPr>
            <w:tcW w:w="567" w:type="dxa"/>
            <w:tcMar>
              <w:left w:w="108" w:type="dxa"/>
            </w:tcMar>
            <w:vAlign w:val="center"/>
          </w:tcPr>
          <w:p w:rsidR="004300E2" w:rsidRPr="008A0F36" w:rsidRDefault="004300E2" w:rsidP="004300E2">
            <w:pPr>
              <w:pStyle w:val="IAS"/>
              <w:jc w:val="left"/>
              <w:rPr>
                <w:lang w:val="it-IT"/>
              </w:rPr>
            </w:pPr>
          </w:p>
        </w:tc>
        <w:tc>
          <w:tcPr>
            <w:tcW w:w="851" w:type="dxa"/>
            <w:tcMar>
              <w:left w:w="108" w:type="dxa"/>
              <w:right w:w="0" w:type="dxa"/>
            </w:tcMar>
            <w:vAlign w:val="center"/>
          </w:tcPr>
          <w:p w:rsidR="004300E2" w:rsidRPr="008A0F36" w:rsidRDefault="004300E2" w:rsidP="004300E2">
            <w:pPr>
              <w:pStyle w:val="IAS"/>
              <w:jc w:val="left"/>
              <w:rPr>
                <w:lang w:val="it-IT"/>
              </w:rPr>
            </w:pPr>
          </w:p>
        </w:tc>
        <w:tc>
          <w:tcPr>
            <w:tcW w:w="7079" w:type="dxa"/>
            <w:tcMar>
              <w:left w:w="108" w:type="dxa"/>
            </w:tcMar>
            <w:vAlign w:val="center"/>
          </w:tcPr>
          <w:p w:rsidR="004300E2" w:rsidRPr="008A0F36" w:rsidRDefault="004300E2" w:rsidP="004300E2">
            <w:pPr>
              <w:pStyle w:val="Titolo2"/>
              <w:rPr>
                <w:lang w:val="it-IT"/>
              </w:rPr>
            </w:pPr>
            <w:r w:rsidRPr="008A0F36">
              <w:rPr>
                <w:lang w:val="it-IT"/>
              </w:rPr>
              <w:t>Rischio di credito</w:t>
            </w:r>
          </w:p>
        </w:tc>
        <w:tc>
          <w:tcPr>
            <w:tcW w:w="575" w:type="dxa"/>
            <w:tcMar>
              <w:left w:w="85" w:type="dxa"/>
              <w:right w:w="85" w:type="dxa"/>
            </w:tcMar>
            <w:vAlign w:val="center"/>
          </w:tcPr>
          <w:p w:rsidR="004300E2" w:rsidRPr="008A0F36" w:rsidRDefault="004300E2" w:rsidP="004300E2">
            <w:pPr>
              <w:keepNext/>
              <w:jc w:val="left"/>
              <w:rPr>
                <w:lang w:val="it-IT"/>
              </w:rPr>
            </w:pPr>
          </w:p>
        </w:tc>
        <w:tc>
          <w:tcPr>
            <w:tcW w:w="567" w:type="dxa"/>
            <w:tcMar>
              <w:left w:w="108" w:type="dxa"/>
            </w:tcMar>
            <w:vAlign w:val="center"/>
          </w:tcPr>
          <w:p w:rsidR="004300E2" w:rsidRPr="008A0F36" w:rsidRDefault="004300E2" w:rsidP="004300E2">
            <w:pPr>
              <w:keepNext/>
              <w:jc w:val="left"/>
              <w:rPr>
                <w:lang w:val="it-IT"/>
              </w:rPr>
            </w:pPr>
          </w:p>
        </w:tc>
        <w:tc>
          <w:tcPr>
            <w:tcW w:w="567" w:type="dxa"/>
            <w:tcMar>
              <w:left w:w="108" w:type="dxa"/>
            </w:tcMar>
            <w:vAlign w:val="center"/>
          </w:tcPr>
          <w:p w:rsidR="004300E2" w:rsidRPr="008A0F36" w:rsidRDefault="004300E2" w:rsidP="004300E2">
            <w:pPr>
              <w:keepNext/>
              <w:jc w:val="left"/>
              <w:rPr>
                <w:lang w:val="it-IT"/>
              </w:rPr>
            </w:pPr>
          </w:p>
        </w:tc>
      </w:tr>
      <w:tr w:rsidR="004300E2" w:rsidRPr="00A44ECD" w:rsidTr="00771DEA">
        <w:trPr>
          <w:cantSplit/>
          <w:trHeight w:val="481"/>
        </w:trPr>
        <w:tc>
          <w:tcPr>
            <w:tcW w:w="567" w:type="dxa"/>
            <w:tcMar>
              <w:left w:w="108" w:type="dxa"/>
            </w:tcMar>
          </w:tcPr>
          <w:p w:rsidR="004300E2" w:rsidRPr="008A0F36" w:rsidRDefault="004300E2" w:rsidP="004300E2">
            <w:pPr>
              <w:pStyle w:val="IAS"/>
              <w:rPr>
                <w:lang w:val="it-IT"/>
              </w:rPr>
            </w:pPr>
          </w:p>
        </w:tc>
        <w:tc>
          <w:tcPr>
            <w:tcW w:w="851" w:type="dxa"/>
            <w:tcMar>
              <w:left w:w="108" w:type="dxa"/>
              <w:right w:w="0" w:type="dxa"/>
            </w:tcMar>
          </w:tcPr>
          <w:p w:rsidR="004300E2" w:rsidRPr="008A0F36" w:rsidRDefault="004300E2" w:rsidP="00D351BE">
            <w:pPr>
              <w:pStyle w:val="IAS"/>
              <w:pageBreakBefore/>
              <w:rPr>
                <w:lang w:val="it-IT"/>
              </w:rPr>
            </w:pPr>
          </w:p>
        </w:tc>
        <w:tc>
          <w:tcPr>
            <w:tcW w:w="7079" w:type="dxa"/>
            <w:tcMar>
              <w:left w:w="108" w:type="dxa"/>
            </w:tcMar>
          </w:tcPr>
          <w:p w:rsidR="004300E2" w:rsidRPr="008A0F36" w:rsidRDefault="004300E2" w:rsidP="00771DEA">
            <w:pPr>
              <w:pStyle w:val="Paragarfobordato"/>
            </w:pPr>
            <w:r w:rsidRPr="008A0F36">
              <w:t xml:space="preserve">Si segnala, che con specifico riferimento al rischio di credito dovranno anche essere fornite nelle note al bilancio le informazioni qualitative e quantitative indicate ai precedenti </w:t>
            </w:r>
            <w:r w:rsidRPr="00F1746B">
              <w:t>punti 26</w:t>
            </w:r>
            <w:r w:rsidR="00D20202">
              <w:t>2</w:t>
            </w:r>
            <w:r w:rsidRPr="00F1746B">
              <w:t>-26</w:t>
            </w:r>
            <w:r w:rsidR="00D20202">
              <w:t>6</w:t>
            </w:r>
            <w:r w:rsidRPr="00062A74">
              <w:t>.</w:t>
            </w:r>
          </w:p>
        </w:tc>
        <w:tc>
          <w:tcPr>
            <w:tcW w:w="575" w:type="dxa"/>
            <w:tcMar>
              <w:left w:w="85" w:type="dxa"/>
              <w:right w:w="85" w:type="dxa"/>
            </w:tcMar>
            <w:vAlign w:val="center"/>
          </w:tcPr>
          <w:p w:rsidR="004300E2" w:rsidRPr="00090BE7" w:rsidRDefault="004300E2" w:rsidP="00D351BE">
            <w:pPr>
              <w:pageBreakBefore/>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0C2263" w:rsidRDefault="004300E2" w:rsidP="00D351BE">
            <w:pPr>
              <w:pStyle w:val="IAS"/>
              <w:pageBreakBefore/>
            </w:pPr>
            <w:r w:rsidRPr="000C2263">
              <w:t>IFRS 7.36</w:t>
            </w:r>
            <w:r w:rsidRPr="000C2263">
              <w:br/>
              <w:t>IAS 32.42</w:t>
            </w:r>
          </w:p>
        </w:tc>
        <w:tc>
          <w:tcPr>
            <w:tcW w:w="7079" w:type="dxa"/>
            <w:tcMar>
              <w:left w:w="108" w:type="dxa"/>
            </w:tcMar>
          </w:tcPr>
          <w:p w:rsidR="004300E2" w:rsidRPr="008A0F36" w:rsidRDefault="004300E2" w:rsidP="00D351BE">
            <w:pPr>
              <w:pageBreakBefore/>
              <w:rPr>
                <w:lang w:val="it-IT"/>
              </w:rPr>
            </w:pPr>
            <w:r w:rsidRPr="008A0F36">
              <w:rPr>
                <w:lang w:val="it-IT"/>
              </w:rPr>
              <w:t>L’entità indica per ogni classe di strumento finanziario:</w:t>
            </w:r>
          </w:p>
        </w:tc>
        <w:tc>
          <w:tcPr>
            <w:tcW w:w="575" w:type="dxa"/>
            <w:tcMar>
              <w:left w:w="85" w:type="dxa"/>
              <w:right w:w="85" w:type="dxa"/>
            </w:tcMar>
            <w:vAlign w:val="bottom"/>
          </w:tcPr>
          <w:p w:rsidR="004300E2" w:rsidRPr="00A32A16" w:rsidRDefault="004300E2" w:rsidP="004300E2">
            <w:pPr>
              <w:rPr>
                <w:lang w:val="it-IT"/>
              </w:rPr>
            </w:pPr>
          </w:p>
        </w:tc>
        <w:tc>
          <w:tcPr>
            <w:tcW w:w="567" w:type="dxa"/>
            <w:tcMar>
              <w:left w:w="108" w:type="dxa"/>
            </w:tcMar>
            <w:vAlign w:val="center"/>
          </w:tcPr>
          <w:p w:rsidR="004300E2" w:rsidRPr="00A32A16" w:rsidRDefault="004300E2" w:rsidP="004300E2">
            <w:pPr>
              <w:rPr>
                <w:lang w:val="it-IT"/>
              </w:rPr>
            </w:pPr>
          </w:p>
        </w:tc>
        <w:tc>
          <w:tcPr>
            <w:tcW w:w="567" w:type="dxa"/>
            <w:tcMar>
              <w:left w:w="108" w:type="dxa"/>
            </w:tcMar>
            <w:vAlign w:val="center"/>
          </w:tcPr>
          <w:p w:rsidR="004300E2" w:rsidRPr="00A32A16" w:rsidRDefault="004300E2" w:rsidP="004300E2">
            <w:pPr>
              <w:rPr>
                <w:lang w:val="it-IT"/>
              </w:rPr>
            </w:pPr>
          </w:p>
        </w:tc>
      </w:tr>
      <w:tr w:rsidR="00E84B58" w:rsidRPr="008129DA" w:rsidTr="00940A6F">
        <w:trPr>
          <w:cantSplit/>
        </w:trPr>
        <w:tc>
          <w:tcPr>
            <w:tcW w:w="567" w:type="dxa"/>
            <w:tcMar>
              <w:left w:w="108" w:type="dxa"/>
            </w:tcMar>
          </w:tcPr>
          <w:p w:rsidR="00E84B58" w:rsidRPr="008A0F36" w:rsidRDefault="00E84B58" w:rsidP="004300E2">
            <w:pPr>
              <w:pStyle w:val="Numeroelenco"/>
              <w:numPr>
                <w:ilvl w:val="0"/>
                <w:numId w:val="0"/>
              </w:numPr>
              <w:ind w:left="57"/>
              <w:rPr>
                <w:lang w:val="it-IT"/>
              </w:rPr>
            </w:pPr>
          </w:p>
        </w:tc>
        <w:tc>
          <w:tcPr>
            <w:tcW w:w="851" w:type="dxa"/>
            <w:tcMar>
              <w:left w:w="108" w:type="dxa"/>
              <w:right w:w="0" w:type="dxa"/>
            </w:tcMar>
          </w:tcPr>
          <w:p w:rsidR="00E84B58" w:rsidRPr="00621EF1" w:rsidRDefault="00E84B58" w:rsidP="004300E2">
            <w:pPr>
              <w:pStyle w:val="IAS"/>
            </w:pPr>
            <w:r w:rsidRPr="00BF03D1">
              <w:t>IFRS 7.36 IFRS 7.IG22</w:t>
            </w:r>
          </w:p>
          <w:p w:rsidR="00E84B58" w:rsidRPr="00621EF1" w:rsidRDefault="00E84B58" w:rsidP="004300E2">
            <w:pPr>
              <w:pStyle w:val="IAS"/>
            </w:pPr>
          </w:p>
        </w:tc>
        <w:tc>
          <w:tcPr>
            <w:tcW w:w="7079" w:type="dxa"/>
            <w:tcMar>
              <w:left w:w="108" w:type="dxa"/>
            </w:tcMar>
          </w:tcPr>
          <w:p w:rsidR="00E84B58" w:rsidRPr="00426597" w:rsidRDefault="00E84B58" w:rsidP="00563D94">
            <w:pPr>
              <w:numPr>
                <w:ilvl w:val="0"/>
                <w:numId w:val="242"/>
              </w:numPr>
              <w:spacing w:line="240" w:lineRule="exact"/>
              <w:ind w:left="459" w:hanging="425"/>
              <w:rPr>
                <w:lang w:val="it-IT"/>
              </w:rPr>
            </w:pPr>
            <w:r w:rsidRPr="008A0F36">
              <w:rPr>
                <w:lang w:val="it-IT"/>
              </w:rPr>
              <w:t>l’ammontare che meglio rappresenta la propria esposizione massima al rischio di credito alla data di chiusura dell’esercizio di riferimento senza tener conto delle garanzie detenute o altri strumenti di miglioramento della gestione dei crediti (per esempio accordi per la compensazione che non hanno le caratteristiche per un’esposizione “al netto” in accordo con IAS 32.42), tale informativa non è richiesta nel caso in cui il valore contabile rappresenta l’esposizione massima al rischio di credito</w:t>
            </w:r>
          </w:p>
        </w:tc>
        <w:tc>
          <w:tcPr>
            <w:tcW w:w="575" w:type="dxa"/>
            <w:tcMar>
              <w:left w:w="85" w:type="dxa"/>
              <w:right w:w="85"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Numeroelenco"/>
              <w:numPr>
                <w:ilvl w:val="0"/>
                <w:numId w:val="0"/>
              </w:numPr>
              <w:ind w:left="57"/>
              <w:rPr>
                <w:lang w:val="it-IT"/>
              </w:rPr>
            </w:pPr>
          </w:p>
        </w:tc>
        <w:tc>
          <w:tcPr>
            <w:tcW w:w="851" w:type="dxa"/>
            <w:tcMar>
              <w:left w:w="108" w:type="dxa"/>
              <w:right w:w="0" w:type="dxa"/>
            </w:tcMar>
          </w:tcPr>
          <w:p w:rsidR="00E84B58" w:rsidRPr="00621EF1" w:rsidRDefault="00E84B58" w:rsidP="004300E2">
            <w:pPr>
              <w:pStyle w:val="IAS"/>
              <w:rPr>
                <w:lang w:val="it-IT"/>
              </w:rPr>
            </w:pPr>
            <w:r w:rsidRPr="00BF03D1">
              <w:t>IFRS 7.36 IFRS 7.IG23-25</w:t>
            </w:r>
          </w:p>
        </w:tc>
        <w:tc>
          <w:tcPr>
            <w:tcW w:w="7079" w:type="dxa"/>
            <w:tcMar>
              <w:left w:w="108" w:type="dxa"/>
            </w:tcMar>
          </w:tcPr>
          <w:p w:rsidR="00E84B58" w:rsidRPr="00426597" w:rsidRDefault="00E84B58" w:rsidP="00563D94">
            <w:pPr>
              <w:pStyle w:val="Paragrafoelenco"/>
              <w:numPr>
                <w:ilvl w:val="0"/>
                <w:numId w:val="242"/>
              </w:numPr>
              <w:spacing w:line="240" w:lineRule="exact"/>
              <w:ind w:left="459" w:hanging="425"/>
              <w:rPr>
                <w:lang w:val="it-IT"/>
              </w:rPr>
            </w:pPr>
            <w:r w:rsidRPr="00426597">
              <w:rPr>
                <w:lang w:val="it-IT"/>
              </w:rPr>
              <w:t>una descrizione delle garanzie detenute o altri strumenti di miglioramento della gestione dei crediti (per esempio una quantificazione della misura in cui le garanzie detenute o gli altri strumenti di miglioramento della gestione dei crediti mitigano il rischio di credito) con riferimento all’importo che meglio rappresenta la massima esposizione al rischio di credito (sia che sia esposto in accordo con il punto a) o rappresentato dal valore contabile dello strumento finanziario)</w:t>
            </w:r>
          </w:p>
        </w:tc>
        <w:tc>
          <w:tcPr>
            <w:tcW w:w="575" w:type="dxa"/>
            <w:tcMar>
              <w:left w:w="85" w:type="dxa"/>
              <w:right w:w="85"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Numeroelenco"/>
              <w:numPr>
                <w:ilvl w:val="0"/>
                <w:numId w:val="0"/>
              </w:numPr>
              <w:ind w:left="57"/>
              <w:rPr>
                <w:lang w:val="it-IT"/>
              </w:rPr>
            </w:pPr>
          </w:p>
        </w:tc>
        <w:tc>
          <w:tcPr>
            <w:tcW w:w="851" w:type="dxa"/>
            <w:tcMar>
              <w:left w:w="108" w:type="dxa"/>
              <w:right w:w="0" w:type="dxa"/>
            </w:tcMar>
          </w:tcPr>
          <w:p w:rsidR="00E84B58" w:rsidRPr="00426597" w:rsidRDefault="00E84B58" w:rsidP="004300E2">
            <w:pPr>
              <w:pStyle w:val="IAS"/>
              <w:rPr>
                <w:lang w:val="it-IT"/>
              </w:rPr>
            </w:pPr>
          </w:p>
        </w:tc>
        <w:tc>
          <w:tcPr>
            <w:tcW w:w="7079" w:type="dxa"/>
            <w:tcMar>
              <w:left w:w="108" w:type="dxa"/>
            </w:tcMar>
          </w:tcPr>
          <w:p w:rsidR="00E84B58" w:rsidRPr="00426597" w:rsidRDefault="00E84B58" w:rsidP="004300E2">
            <w:pPr>
              <w:pStyle w:val="Paragrafoelenco"/>
              <w:numPr>
                <w:ilvl w:val="0"/>
                <w:numId w:val="242"/>
              </w:numPr>
              <w:ind w:left="459" w:hanging="425"/>
              <w:rPr>
                <w:lang w:val="it-IT"/>
              </w:rPr>
            </w:pPr>
            <w:r w:rsidRPr="00426597">
              <w:rPr>
                <w:lang w:val="it-IT"/>
              </w:rPr>
              <w:t>la qualità creditizia degli strumenti finanziari che non sono né scaduti né svalutati.</w:t>
            </w:r>
          </w:p>
        </w:tc>
        <w:tc>
          <w:tcPr>
            <w:tcW w:w="575" w:type="dxa"/>
            <w:tcMar>
              <w:left w:w="85" w:type="dxa"/>
              <w:right w:w="85"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A0F36" w:rsidTr="00940A6F">
        <w:trPr>
          <w:cantSplit/>
        </w:trPr>
        <w:tc>
          <w:tcPr>
            <w:tcW w:w="567" w:type="dxa"/>
            <w:tcMar>
              <w:left w:w="108" w:type="dxa"/>
            </w:tcMar>
          </w:tcPr>
          <w:p w:rsidR="004300E2" w:rsidRPr="008A0F36" w:rsidRDefault="004300E2" w:rsidP="004300E2">
            <w:pPr>
              <w:pStyle w:val="IAS"/>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IFRS 7.</w:t>
            </w:r>
            <w:r w:rsidRPr="008A0F36" w:rsidDel="00FC0D40">
              <w:rPr>
                <w:lang w:val="it-IT"/>
              </w:rPr>
              <w:t xml:space="preserve"> </w:t>
            </w:r>
            <w:r w:rsidRPr="008A0F36">
              <w:rPr>
                <w:lang w:val="it-IT"/>
              </w:rPr>
              <w:t>B9-B10</w:t>
            </w:r>
          </w:p>
        </w:tc>
        <w:tc>
          <w:tcPr>
            <w:tcW w:w="7079" w:type="dxa"/>
            <w:tcMar>
              <w:left w:w="108" w:type="dxa"/>
            </w:tcMar>
          </w:tcPr>
          <w:p w:rsidR="004300E2" w:rsidRPr="008A0F36" w:rsidRDefault="004300E2" w:rsidP="00771DEA">
            <w:pPr>
              <w:pStyle w:val="Paragarfobordato"/>
            </w:pPr>
            <w:r w:rsidRPr="008A0F36">
              <w:t xml:space="preserve">Massima esposizione al rischio di credito </w:t>
            </w:r>
          </w:p>
          <w:p w:rsidR="004300E2" w:rsidRPr="008A0F36" w:rsidRDefault="004300E2" w:rsidP="00771DEA">
            <w:pPr>
              <w:pStyle w:val="Paragarfobordato"/>
            </w:pPr>
            <w:r w:rsidRPr="008A0F36">
              <w:t xml:space="preserve">L’IFRS 7.36 (a) richiede l’informativa dell’importo che meglio rappresenta la massima esposizione dell’entità al rischio di credito. Per </w:t>
            </w:r>
            <w:r w:rsidR="00E022E0">
              <w:t>un’a</w:t>
            </w:r>
            <w:r w:rsidRPr="008A0F36">
              <w:t>ttività finanziaria questo è rappresentato tipicamente dal valore lordo contabile al netto di:</w:t>
            </w:r>
          </w:p>
          <w:p w:rsidR="004300E2" w:rsidRPr="008A0F36" w:rsidRDefault="004300E2" w:rsidP="00771DEA">
            <w:pPr>
              <w:pStyle w:val="Paragarfobordato"/>
            </w:pPr>
            <w:r w:rsidRPr="008A0F36">
              <w:t>a)</w:t>
            </w:r>
            <w:r w:rsidRPr="008A0F36">
              <w:tab/>
              <w:t>di ogni importo portato in compensazione in accordo con lo IAS 32; e</w:t>
            </w:r>
          </w:p>
          <w:p w:rsidR="004300E2" w:rsidRPr="008A0F36" w:rsidRDefault="004300E2" w:rsidP="00771DEA">
            <w:pPr>
              <w:pStyle w:val="Paragarfobordato"/>
            </w:pPr>
            <w:r w:rsidRPr="008A0F36">
              <w:t>b)</w:t>
            </w:r>
            <w:r w:rsidRPr="008A0F36">
              <w:tab/>
              <w:t>qualsiasi perdita di valore iscritta in accordo con lo IAS 39.</w:t>
            </w:r>
          </w:p>
          <w:p w:rsidR="004300E2" w:rsidRPr="008A0F36" w:rsidRDefault="004300E2" w:rsidP="00771DEA">
            <w:pPr>
              <w:pStyle w:val="Paragarfobordato"/>
            </w:pPr>
            <w:r w:rsidRPr="008A0F36">
              <w:t>Le attività che danno origine a rischio di credito e la connessa massima esposizione al rischio di credito includono, ma non sono limitate a :</w:t>
            </w:r>
          </w:p>
          <w:p w:rsidR="004300E2" w:rsidRPr="008A0F36" w:rsidRDefault="004300E2" w:rsidP="00771DEA">
            <w:pPr>
              <w:pStyle w:val="Paragarfobordato"/>
              <w:ind w:left="205" w:hanging="205"/>
            </w:pPr>
            <w:r w:rsidRPr="008A0F36">
              <w:t>a)</w:t>
            </w:r>
            <w:r w:rsidRPr="008A0F36">
              <w:tab/>
              <w:t xml:space="preserve">concessione di finanziamenti a clienti ed erogazione di depositi ad altre entità. In questi casi, una massima esposizione al rischio di credito è costituita dal valore contabile delle relative attività finanziarie </w:t>
            </w:r>
          </w:p>
          <w:p w:rsidR="004300E2" w:rsidRPr="008A0F36" w:rsidRDefault="004300E2" w:rsidP="00771DEA">
            <w:pPr>
              <w:pStyle w:val="Paragarfobordato"/>
              <w:ind w:left="205" w:hanging="205"/>
            </w:pPr>
            <w:r w:rsidRPr="008A0F36">
              <w:t>b)</w:t>
            </w:r>
            <w:r w:rsidRPr="008A0F36">
              <w:tab/>
              <w:t xml:space="preserve">sottoscrizione di un contratto derivato, ad esempio contratti sui cambi, </w:t>
            </w:r>
            <w:r w:rsidRPr="008A0F36">
              <w:rPr>
                <w:i/>
              </w:rPr>
              <w:t>interest rate swaps</w:t>
            </w:r>
            <w:r w:rsidRPr="008A0F36">
              <w:t xml:space="preserve"> e derivati di credito. Quando l’attività che ne deriva è </w:t>
            </w:r>
            <w:r>
              <w:t xml:space="preserve">valutata </w:t>
            </w:r>
            <w:r w:rsidRPr="008A0F36">
              <w:t xml:space="preserve">al </w:t>
            </w:r>
            <w:r w:rsidRPr="008A0F36">
              <w:rPr>
                <w:i/>
              </w:rPr>
              <w:t>fair value</w:t>
            </w:r>
            <w:r w:rsidRPr="008A0F36">
              <w:t>, la massima esposizione al rischio di credito alla data di chiusura dell’esercizio sarà uguale al valore contabile</w:t>
            </w:r>
          </w:p>
          <w:p w:rsidR="004300E2" w:rsidRPr="008A0F36" w:rsidRDefault="004300E2" w:rsidP="00771DEA">
            <w:pPr>
              <w:pStyle w:val="Paragarfobordato"/>
              <w:ind w:left="205" w:hanging="205"/>
            </w:pPr>
            <w:r w:rsidRPr="008A0F36">
              <w:t>c)</w:t>
            </w:r>
            <w:r w:rsidRPr="008A0F36">
              <w:tab/>
              <w:t>concessione di garanzie finanziarie. In questo caso, la massima esposizione al rischio di credito è l’importo massimo che l’entità potrebbe dover pagare se la garanzia fosse escussa, importo che potrebbe essere significativamente maggiore di quello iscritto come passività</w:t>
            </w:r>
          </w:p>
          <w:p w:rsidR="004300E2" w:rsidRPr="008A0F36" w:rsidRDefault="004300E2" w:rsidP="00771DEA">
            <w:pPr>
              <w:pStyle w:val="Paragarfobordato"/>
              <w:ind w:left="205" w:hanging="205"/>
            </w:pPr>
            <w:r w:rsidRPr="008A0F36">
              <w:t>d)</w:t>
            </w:r>
            <w:r w:rsidRPr="008A0F36">
              <w:tab/>
              <w:t>impegno per un finanziamento che è irrevocabile per la durata del finanziamento o è revocabile solo a seguito di significativi cambiamenti avversi. Se l’emittente non può regolare l’impegno per contanti o con altri strumenti finanziari la massima esposizione al rischio di credito è costituita dall’importo complessivo dell’impegno. Questo poiché è incerto se l’importo di qualsiasi porzione non escussa potrebbe essere escussa in futuro. Questo potrebbe essere significativamente maggiore dell’importo iscritto come passività.</w:t>
            </w:r>
          </w:p>
        </w:tc>
        <w:tc>
          <w:tcPr>
            <w:tcW w:w="575" w:type="dxa"/>
            <w:tcMar>
              <w:left w:w="85" w:type="dxa"/>
              <w:right w:w="85" w:type="dxa"/>
            </w:tcMar>
            <w:vAlign w:val="center"/>
          </w:tcPr>
          <w:p w:rsidR="004300E2" w:rsidRDefault="004300E2" w:rsidP="004300E2">
            <w:pPr>
              <w:jc w:val="center"/>
            </w:pPr>
          </w:p>
        </w:tc>
        <w:tc>
          <w:tcPr>
            <w:tcW w:w="567" w:type="dxa"/>
            <w:tcMar>
              <w:left w:w="108" w:type="dxa"/>
            </w:tcMar>
            <w:vAlign w:val="center"/>
          </w:tcPr>
          <w:p w:rsidR="004300E2" w:rsidRDefault="004300E2" w:rsidP="004300E2">
            <w:pPr>
              <w:jc w:val="center"/>
            </w:pPr>
          </w:p>
        </w:tc>
        <w:tc>
          <w:tcPr>
            <w:tcW w:w="567" w:type="dxa"/>
            <w:tcMar>
              <w:left w:w="108" w:type="dxa"/>
            </w:tcMar>
            <w:vAlign w:val="center"/>
          </w:tcPr>
          <w:p w:rsidR="004300E2" w:rsidRDefault="004300E2" w:rsidP="004300E2">
            <w:pPr>
              <w:jc w:val="center"/>
            </w:pPr>
          </w:p>
        </w:tc>
      </w:tr>
      <w:tr w:rsidR="004300E2" w:rsidRPr="00A44ECD" w:rsidTr="00940A6F">
        <w:trPr>
          <w:cantSplit/>
        </w:trPr>
        <w:tc>
          <w:tcPr>
            <w:tcW w:w="567" w:type="dxa"/>
            <w:tcMar>
              <w:left w:w="108" w:type="dxa"/>
            </w:tcMar>
          </w:tcPr>
          <w:p w:rsidR="004300E2" w:rsidRPr="008A0F36" w:rsidRDefault="004300E2" w:rsidP="004300E2">
            <w:pPr>
              <w:pStyle w:val="IAS"/>
              <w:rPr>
                <w:lang w:val="it-IT"/>
              </w:rPr>
            </w:pPr>
          </w:p>
        </w:tc>
        <w:tc>
          <w:tcPr>
            <w:tcW w:w="851" w:type="dxa"/>
            <w:tcMar>
              <w:left w:w="108" w:type="dxa"/>
              <w:right w:w="0" w:type="dxa"/>
            </w:tcMar>
          </w:tcPr>
          <w:p w:rsidR="004300E2" w:rsidRPr="008A0F36" w:rsidRDefault="004300E2" w:rsidP="004300E2">
            <w:pPr>
              <w:pStyle w:val="IAS"/>
              <w:rPr>
                <w:lang w:val="it-IT"/>
              </w:rPr>
            </w:pPr>
            <w:r w:rsidRPr="00F207AB">
              <w:rPr>
                <w:lang w:val="it-IT"/>
              </w:rPr>
              <w:t>IAS 32.47</w:t>
            </w:r>
            <w:r>
              <w:rPr>
                <w:lang w:val="it-IT"/>
              </w:rPr>
              <w:t xml:space="preserve"> </w:t>
            </w:r>
          </w:p>
        </w:tc>
        <w:tc>
          <w:tcPr>
            <w:tcW w:w="7079" w:type="dxa"/>
            <w:tcMar>
              <w:left w:w="108" w:type="dxa"/>
            </w:tcMar>
          </w:tcPr>
          <w:p w:rsidR="004300E2" w:rsidRPr="00062A74" w:rsidRDefault="004300E2" w:rsidP="00771DEA">
            <w:pPr>
              <w:pStyle w:val="Paragarfobordato"/>
            </w:pPr>
            <w:r w:rsidRPr="00062A74">
              <w:t xml:space="preserve">L’intenzione dell’entità di regolare particolari attività e passività può essere influenzata dalle sue normali politiche aziendali, dalle condizioni dei mercati finanziari e da altre situazioni che possono limitare la capacità di regolare per il loro saldo netto o contemporaneamente. Quando un’entità ha il diritto di compensare ma non intende regolare per il saldo netto, o realizzare l’attività e contemporaneamente estinguere la passività, l’effetto di tale diritto sull’esposizione dell’entità ai rischi di credito è oggetto di informativa secondo quanto previsto dall’IFRS 7.36 (vedi punto </w:t>
            </w:r>
            <w:r>
              <w:t>2</w:t>
            </w:r>
            <w:r w:rsidR="00D20202">
              <w:t>67</w:t>
            </w:r>
            <w:r w:rsidRPr="00062A74">
              <w:t>).</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4300E2" w:rsidRPr="00A44ECD" w:rsidTr="00940A6F">
        <w:trPr>
          <w:cantSplit/>
        </w:trPr>
        <w:tc>
          <w:tcPr>
            <w:tcW w:w="567" w:type="dxa"/>
            <w:tcMar>
              <w:left w:w="108" w:type="dxa"/>
            </w:tcMar>
          </w:tcPr>
          <w:p w:rsidR="004300E2" w:rsidRPr="008A0F36" w:rsidRDefault="004300E2" w:rsidP="004300E2">
            <w:pPr>
              <w:pStyle w:val="IAS"/>
              <w:rPr>
                <w:lang w:val="it-IT"/>
              </w:rPr>
            </w:pPr>
          </w:p>
        </w:tc>
        <w:tc>
          <w:tcPr>
            <w:tcW w:w="851" w:type="dxa"/>
            <w:tcMar>
              <w:left w:w="108" w:type="dxa"/>
              <w:right w:w="0" w:type="dxa"/>
            </w:tcMar>
          </w:tcPr>
          <w:p w:rsidR="004300E2" w:rsidRPr="008A0F36" w:rsidRDefault="004300E2" w:rsidP="004300E2">
            <w:pPr>
              <w:pStyle w:val="IAS"/>
              <w:rPr>
                <w:lang w:val="it-IT"/>
              </w:rPr>
            </w:pPr>
            <w:r w:rsidRPr="00F207AB">
              <w:rPr>
                <w:lang w:val="it-IT"/>
              </w:rPr>
              <w:t>IAS 32.50</w:t>
            </w:r>
            <w:r>
              <w:rPr>
                <w:lang w:val="it-IT"/>
              </w:rPr>
              <w:t xml:space="preserve"> </w:t>
            </w:r>
          </w:p>
        </w:tc>
        <w:tc>
          <w:tcPr>
            <w:tcW w:w="7079" w:type="dxa"/>
            <w:tcMar>
              <w:left w:w="108" w:type="dxa"/>
            </w:tcMar>
          </w:tcPr>
          <w:p w:rsidR="004300E2" w:rsidRPr="00062A74" w:rsidRDefault="004300E2" w:rsidP="00771DEA">
            <w:pPr>
              <w:pStyle w:val="Paragarfobordato"/>
            </w:pPr>
            <w:r w:rsidRPr="00062A74">
              <w:t xml:space="preserve">Quando le attività e le passività finanziarie soggette a un accordo generale di compensazione non vengono compensate, l’effetto dell’accordo sull’esposizione dell’entità al rischio di credito deve essere oggetto di informativa secondo quanto previsto dall’IFRS 7.36 (vedi punto </w:t>
            </w:r>
            <w:r>
              <w:t>2</w:t>
            </w:r>
            <w:r w:rsidR="00D20202">
              <w:t>67</w:t>
            </w:r>
            <w:r w:rsidRPr="00062A74">
              <w:t>).</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4300E2" w:rsidRPr="00A44ECD" w:rsidTr="00940A6F">
        <w:trPr>
          <w:cantSplit/>
        </w:trPr>
        <w:tc>
          <w:tcPr>
            <w:tcW w:w="567" w:type="dxa"/>
            <w:tcMar>
              <w:left w:w="108" w:type="dxa"/>
            </w:tcMar>
          </w:tcPr>
          <w:p w:rsidR="004300E2" w:rsidRPr="008A0F36" w:rsidRDefault="004300E2" w:rsidP="004300E2">
            <w:pPr>
              <w:pStyle w:val="IAS"/>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Pr="008A0F36" w:rsidRDefault="004300E2" w:rsidP="004300E2">
            <w:pPr>
              <w:pStyle w:val="Titolo2"/>
              <w:keepNext w:val="0"/>
              <w:rPr>
                <w:lang w:val="it-IT"/>
              </w:rPr>
            </w:pPr>
            <w:r w:rsidRPr="008A0F36">
              <w:rPr>
                <w:lang w:val="it-IT"/>
              </w:rPr>
              <w:t xml:space="preserve">Attività finanziarie scadute o che hanno subito una riduzione di valore </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4300E2" w:rsidRPr="00A44ECD" w:rsidTr="00940A6F">
        <w:trPr>
          <w:cantSplit/>
          <w:trHeight w:val="301"/>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right w:w="0" w:type="dxa"/>
            </w:tcMar>
          </w:tcPr>
          <w:p w:rsidR="004300E2" w:rsidRPr="000C2263" w:rsidRDefault="004300E2" w:rsidP="004300E2">
            <w:pPr>
              <w:pStyle w:val="IAS"/>
            </w:pPr>
            <w:r w:rsidRPr="000C2263">
              <w:t>IFRS 7.37</w:t>
            </w:r>
          </w:p>
          <w:p w:rsidR="004300E2" w:rsidRPr="000C2263" w:rsidRDefault="004300E2" w:rsidP="004300E2">
            <w:pPr>
              <w:pStyle w:val="IAS"/>
            </w:pPr>
            <w:r w:rsidRPr="000C2263">
              <w:t>IFRS 7.IG28</w:t>
            </w:r>
          </w:p>
          <w:p w:rsidR="004300E2" w:rsidRPr="000C2263" w:rsidRDefault="004300E2" w:rsidP="004300E2">
            <w:pPr>
              <w:pStyle w:val="IAS"/>
            </w:pPr>
            <w:r w:rsidRPr="000C2263">
              <w:t>IFRS 7.IG29</w:t>
            </w:r>
          </w:p>
        </w:tc>
        <w:tc>
          <w:tcPr>
            <w:tcW w:w="7079" w:type="dxa"/>
          </w:tcPr>
          <w:p w:rsidR="004300E2" w:rsidRPr="008A0F36" w:rsidRDefault="004300E2" w:rsidP="004300E2">
            <w:pPr>
              <w:rPr>
                <w:lang w:val="it-IT"/>
              </w:rPr>
            </w:pPr>
            <w:r w:rsidRPr="008A0F36">
              <w:rPr>
                <w:lang w:val="it-IT"/>
              </w:rPr>
              <w:t>L’entità ha fornito per ogni classe di attività finanziaria:</w:t>
            </w:r>
          </w:p>
          <w:p w:rsidR="004300E2" w:rsidRPr="008A0F36" w:rsidRDefault="004300E2" w:rsidP="004300E2">
            <w:pPr>
              <w:ind w:left="394"/>
              <w:rPr>
                <w:lang w:val="it-IT"/>
              </w:rPr>
            </w:pPr>
          </w:p>
        </w:tc>
        <w:tc>
          <w:tcPr>
            <w:tcW w:w="575" w:type="dxa"/>
            <w:vAlign w:val="center"/>
          </w:tcPr>
          <w:p w:rsidR="004300E2" w:rsidRPr="00EA586F" w:rsidRDefault="004300E2" w:rsidP="004300E2">
            <w:pPr>
              <w:jc w:val="center"/>
              <w:rPr>
                <w:lang w:val="it-IT"/>
              </w:rPr>
            </w:pPr>
          </w:p>
          <w:p w:rsidR="004300E2" w:rsidRPr="00A32A16" w:rsidRDefault="004300E2" w:rsidP="004300E2">
            <w:pPr>
              <w:jc w:val="center"/>
              <w:rPr>
                <w:lang w:val="it-IT"/>
              </w:rPr>
            </w:pPr>
          </w:p>
        </w:tc>
        <w:tc>
          <w:tcPr>
            <w:tcW w:w="567" w:type="dxa"/>
            <w:vAlign w:val="center"/>
          </w:tcPr>
          <w:p w:rsidR="004300E2" w:rsidRPr="00EA586F" w:rsidRDefault="004300E2" w:rsidP="004300E2">
            <w:pPr>
              <w:jc w:val="center"/>
              <w:rPr>
                <w:lang w:val="it-IT"/>
              </w:rPr>
            </w:pPr>
          </w:p>
          <w:p w:rsidR="004300E2" w:rsidRPr="00A32A16" w:rsidRDefault="004300E2" w:rsidP="004300E2">
            <w:pPr>
              <w:jc w:val="center"/>
              <w:rPr>
                <w:lang w:val="it-IT"/>
              </w:rPr>
            </w:pPr>
          </w:p>
        </w:tc>
        <w:tc>
          <w:tcPr>
            <w:tcW w:w="567" w:type="dxa"/>
            <w:tcMar>
              <w:left w:w="85" w:type="dxa"/>
              <w:right w:w="85" w:type="dxa"/>
            </w:tcMar>
            <w:vAlign w:val="center"/>
          </w:tcPr>
          <w:p w:rsidR="004300E2" w:rsidRPr="00EA586F" w:rsidRDefault="004300E2" w:rsidP="004300E2">
            <w:pPr>
              <w:jc w:val="center"/>
              <w:rPr>
                <w:lang w:val="it-IT"/>
              </w:rPr>
            </w:pPr>
          </w:p>
          <w:p w:rsidR="004300E2" w:rsidRPr="00A32A16" w:rsidRDefault="004300E2" w:rsidP="004300E2">
            <w:pPr>
              <w:jc w:val="center"/>
              <w:rPr>
                <w:lang w:val="it-IT"/>
              </w:rPr>
            </w:pPr>
          </w:p>
        </w:tc>
      </w:tr>
      <w:tr w:rsidR="00E84B58" w:rsidRPr="008129DA" w:rsidTr="00940A6F">
        <w:trPr>
          <w:cantSplit/>
          <w:trHeight w:val="301"/>
        </w:trPr>
        <w:tc>
          <w:tcPr>
            <w:tcW w:w="567" w:type="dxa"/>
            <w:tcMar>
              <w:left w:w="108" w:type="dxa"/>
            </w:tcMar>
          </w:tcPr>
          <w:p w:rsidR="00E84B58" w:rsidRPr="008A0F36" w:rsidRDefault="00E84B58" w:rsidP="004300E2">
            <w:pPr>
              <w:pStyle w:val="Numeroelenco"/>
              <w:numPr>
                <w:ilvl w:val="0"/>
                <w:numId w:val="0"/>
              </w:numPr>
              <w:ind w:left="57"/>
              <w:rPr>
                <w:lang w:val="it-IT"/>
              </w:rPr>
            </w:pPr>
          </w:p>
        </w:tc>
        <w:tc>
          <w:tcPr>
            <w:tcW w:w="851" w:type="dxa"/>
            <w:tcMar>
              <w:right w:w="0" w:type="dxa"/>
            </w:tcMar>
          </w:tcPr>
          <w:p w:rsidR="00E84B58" w:rsidRPr="00EA586F" w:rsidRDefault="00E84B58" w:rsidP="004300E2">
            <w:pPr>
              <w:pStyle w:val="IAS"/>
              <w:rPr>
                <w:lang w:val="it-IT"/>
              </w:rPr>
            </w:pPr>
          </w:p>
        </w:tc>
        <w:tc>
          <w:tcPr>
            <w:tcW w:w="7079" w:type="dxa"/>
          </w:tcPr>
          <w:p w:rsidR="00E84B58" w:rsidRPr="00447BAF" w:rsidRDefault="00E84B58" w:rsidP="004300E2">
            <w:pPr>
              <w:pStyle w:val="Paragrafoelenco"/>
              <w:numPr>
                <w:ilvl w:val="0"/>
                <w:numId w:val="243"/>
              </w:numPr>
              <w:ind w:left="459" w:hanging="425"/>
              <w:rPr>
                <w:lang w:val="it-IT"/>
              </w:rPr>
            </w:pPr>
            <w:r w:rsidRPr="00447BAF">
              <w:rPr>
                <w:lang w:val="it-IT"/>
              </w:rPr>
              <w:t xml:space="preserve">un’analisi dell’anzianità delle attività finanziarie che sono scadute alla data di chiusura </w:t>
            </w:r>
            <w:r>
              <w:rPr>
                <w:lang w:val="it-IT"/>
              </w:rPr>
              <w:t xml:space="preserve">   </w:t>
            </w:r>
            <w:r w:rsidRPr="00447BAF">
              <w:rPr>
                <w:lang w:val="it-IT"/>
              </w:rPr>
              <w:t>dell’esercizio di riferimento ma non sono svalutate</w:t>
            </w:r>
            <w:r>
              <w:rPr>
                <w:lang w:val="it-IT"/>
              </w:rPr>
              <w:t>;</w:t>
            </w:r>
          </w:p>
        </w:tc>
        <w:tc>
          <w:tcPr>
            <w:tcW w:w="575" w:type="dxa"/>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85" w:type="dxa"/>
              <w:right w:w="85"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Height w:val="301"/>
        </w:trPr>
        <w:tc>
          <w:tcPr>
            <w:tcW w:w="567" w:type="dxa"/>
            <w:tcMar>
              <w:left w:w="108" w:type="dxa"/>
            </w:tcMar>
          </w:tcPr>
          <w:p w:rsidR="00E84B58" w:rsidRPr="008A0F36" w:rsidRDefault="00E84B58" w:rsidP="004300E2">
            <w:pPr>
              <w:pStyle w:val="Numeroelenco"/>
              <w:numPr>
                <w:ilvl w:val="0"/>
                <w:numId w:val="0"/>
              </w:numPr>
              <w:ind w:left="57"/>
              <w:rPr>
                <w:lang w:val="it-IT"/>
              </w:rPr>
            </w:pPr>
          </w:p>
        </w:tc>
        <w:tc>
          <w:tcPr>
            <w:tcW w:w="851" w:type="dxa"/>
            <w:tcMar>
              <w:right w:w="0" w:type="dxa"/>
            </w:tcMar>
          </w:tcPr>
          <w:p w:rsidR="00E84B58" w:rsidRPr="003D4FF3" w:rsidRDefault="00E84B58" w:rsidP="004300E2">
            <w:pPr>
              <w:pStyle w:val="IAS"/>
              <w:rPr>
                <w:lang w:val="it-IT"/>
              </w:rPr>
            </w:pPr>
          </w:p>
        </w:tc>
        <w:tc>
          <w:tcPr>
            <w:tcW w:w="7079" w:type="dxa"/>
          </w:tcPr>
          <w:p w:rsidR="00E84B58" w:rsidRPr="00447BAF" w:rsidRDefault="00E84B58" w:rsidP="004300E2">
            <w:pPr>
              <w:pStyle w:val="Paragrafoelenco"/>
              <w:numPr>
                <w:ilvl w:val="0"/>
                <w:numId w:val="243"/>
              </w:numPr>
              <w:ind w:left="459" w:hanging="425"/>
              <w:rPr>
                <w:lang w:val="it-IT"/>
              </w:rPr>
            </w:pPr>
            <w:r w:rsidRPr="00447BAF">
              <w:rPr>
                <w:lang w:val="it-IT"/>
              </w:rPr>
              <w:t>un’analisi delle attività finanziarie che sono state svalutate singolarmente alla data di chiusura dell’esercizio di riferimento, inclusi i fattori che l’entità ha considerato per definire la svalutazione.</w:t>
            </w:r>
          </w:p>
        </w:tc>
        <w:tc>
          <w:tcPr>
            <w:tcW w:w="575" w:type="dxa"/>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85" w:type="dxa"/>
              <w:right w:w="85" w:type="dxa"/>
            </w:tcMar>
            <w:vAlign w:val="center"/>
          </w:tcPr>
          <w:p w:rsidR="00E84B58" w:rsidRPr="00725691"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IAS"/>
              <w:rPr>
                <w:lang w:val="it-IT"/>
              </w:rPr>
            </w:pPr>
          </w:p>
        </w:tc>
        <w:tc>
          <w:tcPr>
            <w:tcW w:w="851" w:type="dxa"/>
            <w:tcMar>
              <w:right w:w="0" w:type="dxa"/>
            </w:tcMar>
          </w:tcPr>
          <w:p w:rsidR="004300E2" w:rsidRPr="008A0F36" w:rsidRDefault="004300E2" w:rsidP="004300E2">
            <w:pPr>
              <w:pStyle w:val="IAS"/>
              <w:rPr>
                <w:lang w:val="it-IT"/>
              </w:rPr>
            </w:pPr>
          </w:p>
        </w:tc>
        <w:tc>
          <w:tcPr>
            <w:tcW w:w="7079" w:type="dxa"/>
          </w:tcPr>
          <w:p w:rsidR="004300E2" w:rsidRPr="008A0F36" w:rsidRDefault="004300E2" w:rsidP="004300E2">
            <w:pPr>
              <w:pStyle w:val="Titolo2"/>
              <w:rPr>
                <w:lang w:val="it-IT"/>
              </w:rPr>
            </w:pPr>
            <w:r w:rsidRPr="008A0F36">
              <w:rPr>
                <w:lang w:val="it-IT"/>
              </w:rPr>
              <w:t>Garanzie ed altri strumenti per migliorare la gestione dei crediti</w:t>
            </w:r>
          </w:p>
        </w:tc>
        <w:tc>
          <w:tcPr>
            <w:tcW w:w="575" w:type="dxa"/>
            <w:vAlign w:val="center"/>
          </w:tcPr>
          <w:p w:rsidR="004300E2" w:rsidRPr="00090BE7" w:rsidRDefault="004300E2" w:rsidP="004300E2">
            <w:pPr>
              <w:jc w:val="center"/>
              <w:rPr>
                <w:lang w:val="it-IT"/>
              </w:rPr>
            </w:pPr>
          </w:p>
        </w:tc>
        <w:tc>
          <w:tcPr>
            <w:tcW w:w="567" w:type="dxa"/>
            <w:vAlign w:val="center"/>
          </w:tcPr>
          <w:p w:rsidR="004300E2" w:rsidRPr="00090BE7" w:rsidRDefault="004300E2" w:rsidP="004300E2">
            <w:pPr>
              <w:jc w:val="center"/>
              <w:rPr>
                <w:lang w:val="it-IT"/>
              </w:rPr>
            </w:pPr>
          </w:p>
        </w:tc>
        <w:tc>
          <w:tcPr>
            <w:tcW w:w="567" w:type="dxa"/>
            <w:tcMar>
              <w:left w:w="85" w:type="dxa"/>
              <w:right w:w="85" w:type="dxa"/>
            </w:tcMar>
            <w:vAlign w:val="center"/>
          </w:tcPr>
          <w:p w:rsidR="004300E2" w:rsidRPr="00090BE7" w:rsidRDefault="004300E2" w:rsidP="004300E2">
            <w:pPr>
              <w:jc w:val="center"/>
              <w:rPr>
                <w:lang w:val="it-IT"/>
              </w:rPr>
            </w:pP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right w:w="0" w:type="dxa"/>
            </w:tcMar>
          </w:tcPr>
          <w:p w:rsidR="004300E2" w:rsidRPr="008A0F36" w:rsidRDefault="004300E2" w:rsidP="004300E2">
            <w:pPr>
              <w:pStyle w:val="IAS"/>
              <w:rPr>
                <w:lang w:val="it-IT"/>
              </w:rPr>
            </w:pPr>
            <w:r w:rsidRPr="008A0F36">
              <w:rPr>
                <w:lang w:val="it-IT"/>
              </w:rPr>
              <w:t>IFRS 7.38</w:t>
            </w:r>
          </w:p>
        </w:tc>
        <w:tc>
          <w:tcPr>
            <w:tcW w:w="7079" w:type="dxa"/>
          </w:tcPr>
          <w:p w:rsidR="004300E2" w:rsidRPr="008A0F36" w:rsidRDefault="004300E2" w:rsidP="004300E2">
            <w:pPr>
              <w:rPr>
                <w:lang w:val="it-IT"/>
              </w:rPr>
            </w:pPr>
            <w:r w:rsidRPr="008A0F36">
              <w:rPr>
                <w:lang w:val="it-IT"/>
              </w:rPr>
              <w:t>Se l’entità a fronte di garanzie detenute o di altri strumenti di miglioramento della gestione dei crediti ottiene nell’esercizio delle attività finanziarie e non finanziarie e tali attività rispettano i requisiti degli IFRS per la loro rilevazione in bilancio, l’entità deve indicare per queste attività alla data di chiusura dell’esercizio di riferimento:</w:t>
            </w:r>
          </w:p>
        </w:tc>
        <w:tc>
          <w:tcPr>
            <w:tcW w:w="575" w:type="dxa"/>
            <w:vAlign w:val="center"/>
          </w:tcPr>
          <w:p w:rsidR="004300E2" w:rsidRPr="00090BE7" w:rsidRDefault="004300E2" w:rsidP="004300E2">
            <w:pPr>
              <w:jc w:val="center"/>
              <w:rPr>
                <w:lang w:val="it-IT"/>
              </w:rPr>
            </w:pPr>
          </w:p>
        </w:tc>
        <w:tc>
          <w:tcPr>
            <w:tcW w:w="567" w:type="dxa"/>
            <w:vAlign w:val="center"/>
          </w:tcPr>
          <w:p w:rsidR="004300E2" w:rsidRPr="00090BE7" w:rsidRDefault="004300E2" w:rsidP="004300E2">
            <w:pPr>
              <w:jc w:val="center"/>
              <w:rPr>
                <w:lang w:val="it-IT"/>
              </w:rPr>
            </w:pPr>
          </w:p>
        </w:tc>
        <w:tc>
          <w:tcPr>
            <w:tcW w:w="567" w:type="dxa"/>
            <w:tcMar>
              <w:left w:w="85" w:type="dxa"/>
              <w:right w:w="85" w:type="dxa"/>
            </w:tcMar>
            <w:vAlign w:val="center"/>
          </w:tcPr>
          <w:p w:rsidR="004300E2" w:rsidRPr="00090BE7" w:rsidRDefault="004300E2" w:rsidP="004300E2">
            <w:pPr>
              <w:jc w:val="center"/>
              <w:rPr>
                <w:lang w:val="it-IT"/>
              </w:rPr>
            </w:pPr>
          </w:p>
        </w:tc>
      </w:tr>
      <w:tr w:rsidR="00E84B58" w:rsidRPr="008129DA" w:rsidTr="00940A6F">
        <w:trPr>
          <w:cantSplit/>
        </w:trPr>
        <w:tc>
          <w:tcPr>
            <w:tcW w:w="567" w:type="dxa"/>
            <w:tcMar>
              <w:left w:w="108" w:type="dxa"/>
            </w:tcMar>
          </w:tcPr>
          <w:p w:rsidR="00E84B58" w:rsidRPr="008A0F36" w:rsidRDefault="00E84B58" w:rsidP="004300E2">
            <w:pPr>
              <w:rPr>
                <w:lang w:val="it-IT"/>
              </w:rPr>
            </w:pPr>
          </w:p>
        </w:tc>
        <w:tc>
          <w:tcPr>
            <w:tcW w:w="851" w:type="dxa"/>
            <w:tcMar>
              <w:right w:w="0" w:type="dxa"/>
            </w:tcMar>
          </w:tcPr>
          <w:p w:rsidR="00E84B58" w:rsidRPr="008A0F36" w:rsidRDefault="00E84B58" w:rsidP="004300E2">
            <w:pPr>
              <w:rPr>
                <w:lang w:val="it-IT"/>
              </w:rPr>
            </w:pPr>
          </w:p>
        </w:tc>
        <w:tc>
          <w:tcPr>
            <w:tcW w:w="7079" w:type="dxa"/>
          </w:tcPr>
          <w:p w:rsidR="00E84B58" w:rsidRPr="008A0F36" w:rsidRDefault="00E84B58" w:rsidP="004300E2">
            <w:pPr>
              <w:pStyle w:val="Rientroa"/>
              <w:numPr>
                <w:ilvl w:val="0"/>
                <w:numId w:val="83"/>
              </w:numPr>
            </w:pPr>
            <w:r w:rsidRPr="008A0F36">
              <w:t>la natura ed il valore contabile delle attività</w:t>
            </w:r>
            <w:r>
              <w:t>;</w:t>
            </w:r>
          </w:p>
        </w:tc>
        <w:tc>
          <w:tcPr>
            <w:tcW w:w="575" w:type="dxa"/>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rPr>
                <w:lang w:val="it-IT"/>
              </w:rPr>
            </w:pPr>
          </w:p>
        </w:tc>
        <w:tc>
          <w:tcPr>
            <w:tcW w:w="851" w:type="dxa"/>
            <w:tcMar>
              <w:right w:w="0" w:type="dxa"/>
            </w:tcMar>
          </w:tcPr>
          <w:p w:rsidR="00E84B58" w:rsidRPr="008A0F36" w:rsidRDefault="00E84B58" w:rsidP="004300E2">
            <w:pPr>
              <w:rPr>
                <w:lang w:val="it-IT"/>
              </w:rPr>
            </w:pPr>
          </w:p>
        </w:tc>
        <w:tc>
          <w:tcPr>
            <w:tcW w:w="7079" w:type="dxa"/>
          </w:tcPr>
          <w:p w:rsidR="00E84B58" w:rsidRPr="008A0F36" w:rsidRDefault="00E84B58" w:rsidP="00FB4B6E">
            <w:pPr>
              <w:pStyle w:val="Rientroa"/>
              <w:numPr>
                <w:ilvl w:val="0"/>
                <w:numId w:val="72"/>
              </w:numPr>
            </w:pPr>
            <w:r w:rsidRPr="008A0F36">
              <w:t>se le attività non sono immediatamente convertibili in cassa, le proprie politiche per dismettere tali attività o per utilizzarle nella propria attività.</w:t>
            </w:r>
          </w:p>
        </w:tc>
        <w:tc>
          <w:tcPr>
            <w:tcW w:w="575" w:type="dxa"/>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A0F36" w:rsidTr="00940A6F">
        <w:trPr>
          <w:cantSplit/>
        </w:trPr>
        <w:tc>
          <w:tcPr>
            <w:tcW w:w="567" w:type="dxa"/>
            <w:tcMar>
              <w:left w:w="108" w:type="dxa"/>
            </w:tcMar>
          </w:tcPr>
          <w:p w:rsidR="004300E2" w:rsidRDefault="004300E2" w:rsidP="00337E8F">
            <w:pPr>
              <w:pStyle w:val="IAS"/>
              <w:rPr>
                <w:b/>
                <w:bCs/>
                <w:i/>
                <w:lang w:val="it-IT"/>
              </w:rPr>
            </w:pPr>
          </w:p>
        </w:tc>
        <w:tc>
          <w:tcPr>
            <w:tcW w:w="851" w:type="dxa"/>
            <w:tcMar>
              <w:right w:w="0" w:type="dxa"/>
            </w:tcMar>
          </w:tcPr>
          <w:p w:rsidR="004300E2" w:rsidRDefault="004300E2" w:rsidP="00337E8F">
            <w:pPr>
              <w:pStyle w:val="IAS"/>
              <w:rPr>
                <w:b/>
                <w:bCs/>
                <w:i/>
                <w:lang w:val="it-IT"/>
              </w:rPr>
            </w:pPr>
          </w:p>
        </w:tc>
        <w:tc>
          <w:tcPr>
            <w:tcW w:w="7079" w:type="dxa"/>
          </w:tcPr>
          <w:p w:rsidR="004300E2" w:rsidRDefault="004300E2" w:rsidP="00337E8F">
            <w:pPr>
              <w:pStyle w:val="Titolo2"/>
              <w:keepNext w:val="0"/>
              <w:rPr>
                <w:lang w:val="it-IT"/>
              </w:rPr>
            </w:pPr>
            <w:r w:rsidRPr="008A0F36">
              <w:rPr>
                <w:lang w:val="it-IT"/>
              </w:rPr>
              <w:t>Rischio di liquidità</w:t>
            </w:r>
          </w:p>
        </w:tc>
        <w:tc>
          <w:tcPr>
            <w:tcW w:w="575" w:type="dxa"/>
            <w:vAlign w:val="center"/>
          </w:tcPr>
          <w:p w:rsidR="004300E2" w:rsidRDefault="004300E2" w:rsidP="00337E8F">
            <w:pPr>
              <w:jc w:val="center"/>
            </w:pPr>
          </w:p>
        </w:tc>
        <w:tc>
          <w:tcPr>
            <w:tcW w:w="567" w:type="dxa"/>
            <w:vAlign w:val="center"/>
          </w:tcPr>
          <w:p w:rsidR="004300E2" w:rsidRDefault="004300E2" w:rsidP="00337E8F">
            <w:pPr>
              <w:jc w:val="center"/>
            </w:pPr>
          </w:p>
        </w:tc>
        <w:tc>
          <w:tcPr>
            <w:tcW w:w="567" w:type="dxa"/>
            <w:tcMar>
              <w:left w:w="85" w:type="dxa"/>
              <w:right w:w="85" w:type="dxa"/>
            </w:tcMar>
            <w:vAlign w:val="center"/>
          </w:tcPr>
          <w:p w:rsidR="004300E2" w:rsidRDefault="004300E2" w:rsidP="00337E8F">
            <w:pPr>
              <w:jc w:val="center"/>
            </w:pPr>
          </w:p>
        </w:tc>
      </w:tr>
      <w:tr w:rsidR="004300E2" w:rsidRPr="00A44ECD" w:rsidTr="00940A6F">
        <w:trPr>
          <w:cantSplit/>
          <w:trHeight w:val="565"/>
        </w:trPr>
        <w:tc>
          <w:tcPr>
            <w:tcW w:w="567" w:type="dxa"/>
            <w:tcMar>
              <w:left w:w="108" w:type="dxa"/>
            </w:tcMar>
          </w:tcPr>
          <w:p w:rsidR="004300E2" w:rsidRPr="008A0F36" w:rsidRDefault="004300E2" w:rsidP="004300E2">
            <w:pPr>
              <w:pStyle w:val="IAS"/>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Pr="008A0F36" w:rsidRDefault="004300E2" w:rsidP="004300E2">
            <w:pPr>
              <w:pStyle w:val="Commentiariquadro"/>
              <w:ind w:left="174" w:firstLine="0"/>
            </w:pPr>
            <w:r w:rsidRPr="008A0F36">
              <w:t xml:space="preserve">Si segnala, che con specifico riferimento al rischio di liquidità dovranno anche essere fornite nelle note al bilancio le informazioni qualitative e quantitative indicate ai </w:t>
            </w:r>
            <w:r w:rsidRPr="00062A74">
              <w:t xml:space="preserve">precedenti </w:t>
            </w:r>
            <w:r w:rsidRPr="007A6524">
              <w:t>punti 26</w:t>
            </w:r>
            <w:r w:rsidR="00D20202">
              <w:t>3</w:t>
            </w:r>
            <w:r w:rsidRPr="007A6524">
              <w:t>-26</w:t>
            </w:r>
            <w:r w:rsidR="00D20202">
              <w:t>6</w:t>
            </w:r>
            <w:r w:rsidRPr="007A6524">
              <w:t>.</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right w:w="0" w:type="dxa"/>
            </w:tcMar>
          </w:tcPr>
          <w:p w:rsidR="004300E2" w:rsidRPr="008A0F36" w:rsidRDefault="004300E2" w:rsidP="004300E2">
            <w:pPr>
              <w:pStyle w:val="IAS"/>
              <w:rPr>
                <w:lang w:val="it-IT"/>
              </w:rPr>
            </w:pPr>
            <w:r w:rsidRPr="008A0F36">
              <w:rPr>
                <w:lang w:val="it-IT"/>
              </w:rPr>
              <w:t>IFRS 7.39</w:t>
            </w:r>
          </w:p>
        </w:tc>
        <w:tc>
          <w:tcPr>
            <w:tcW w:w="7079" w:type="dxa"/>
          </w:tcPr>
          <w:p w:rsidR="004300E2" w:rsidRPr="008A0F36" w:rsidRDefault="004300E2" w:rsidP="004300E2">
            <w:pPr>
              <w:rPr>
                <w:lang w:val="it-IT"/>
              </w:rPr>
            </w:pPr>
            <w:r w:rsidRPr="008A0F36">
              <w:rPr>
                <w:lang w:val="it-IT"/>
              </w:rPr>
              <w:t>L’entità ha fornito la seguente informativa:</w:t>
            </w:r>
          </w:p>
        </w:tc>
        <w:tc>
          <w:tcPr>
            <w:tcW w:w="575" w:type="dxa"/>
            <w:vAlign w:val="center"/>
          </w:tcPr>
          <w:p w:rsidR="004300E2" w:rsidRPr="00090BE7" w:rsidRDefault="004300E2" w:rsidP="004300E2">
            <w:pPr>
              <w:jc w:val="center"/>
              <w:rPr>
                <w:lang w:val="it-IT"/>
              </w:rPr>
            </w:pPr>
          </w:p>
        </w:tc>
        <w:tc>
          <w:tcPr>
            <w:tcW w:w="567" w:type="dxa"/>
            <w:vAlign w:val="center"/>
          </w:tcPr>
          <w:p w:rsidR="004300E2" w:rsidRPr="00090BE7" w:rsidRDefault="004300E2" w:rsidP="004300E2">
            <w:pPr>
              <w:jc w:val="center"/>
              <w:rPr>
                <w:lang w:val="it-IT"/>
              </w:rPr>
            </w:pPr>
          </w:p>
        </w:tc>
        <w:tc>
          <w:tcPr>
            <w:tcW w:w="567" w:type="dxa"/>
            <w:tcMar>
              <w:left w:w="85" w:type="dxa"/>
              <w:right w:w="85" w:type="dxa"/>
            </w:tcMar>
            <w:vAlign w:val="center"/>
          </w:tcPr>
          <w:p w:rsidR="004300E2" w:rsidRPr="00090BE7" w:rsidRDefault="004300E2" w:rsidP="004300E2">
            <w:pPr>
              <w:jc w:val="center"/>
              <w:rPr>
                <w:lang w:val="it-IT"/>
              </w:rPr>
            </w:pP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right w:w="0" w:type="dxa"/>
            </w:tcMar>
          </w:tcPr>
          <w:p w:rsidR="00E84B58" w:rsidRPr="008A0F36" w:rsidRDefault="00E84B58" w:rsidP="004300E2">
            <w:pPr>
              <w:pStyle w:val="IAS"/>
              <w:rPr>
                <w:lang w:val="it-IT"/>
              </w:rPr>
            </w:pPr>
          </w:p>
        </w:tc>
        <w:tc>
          <w:tcPr>
            <w:tcW w:w="7079" w:type="dxa"/>
          </w:tcPr>
          <w:p w:rsidR="00E84B58" w:rsidRPr="008A0F36" w:rsidRDefault="00E84B58" w:rsidP="004300E2">
            <w:pPr>
              <w:pStyle w:val="Rientroa"/>
              <w:numPr>
                <w:ilvl w:val="0"/>
                <w:numId w:val="77"/>
              </w:numPr>
            </w:pPr>
            <w:r w:rsidRPr="008A0F36">
              <w:t>un’analisi delle scadenze per le passività finanziarie diverse dai derivati (inclusi i contratti di garanzia finanziaria) che illustri le scadenze contrattuali residue</w:t>
            </w:r>
          </w:p>
        </w:tc>
        <w:tc>
          <w:tcPr>
            <w:tcW w:w="575" w:type="dxa"/>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right w:w="0" w:type="dxa"/>
            </w:tcMar>
          </w:tcPr>
          <w:p w:rsidR="00E84B58" w:rsidRPr="008A0F36" w:rsidRDefault="00E84B58" w:rsidP="004300E2">
            <w:pPr>
              <w:pStyle w:val="IAS"/>
              <w:rPr>
                <w:lang w:val="it-IT"/>
              </w:rPr>
            </w:pPr>
          </w:p>
        </w:tc>
        <w:tc>
          <w:tcPr>
            <w:tcW w:w="7079" w:type="dxa"/>
          </w:tcPr>
          <w:p w:rsidR="00E84B58" w:rsidRPr="008A0F36" w:rsidRDefault="00E84B58" w:rsidP="00FB4B6E">
            <w:pPr>
              <w:pStyle w:val="Rientroa"/>
              <w:numPr>
                <w:ilvl w:val="0"/>
                <w:numId w:val="72"/>
              </w:numPr>
            </w:pPr>
            <w:r w:rsidRPr="008A0F36">
              <w:t>un’analisi delle scadenze per le passività finanziarie derivate.</w:t>
            </w:r>
          </w:p>
        </w:tc>
        <w:tc>
          <w:tcPr>
            <w:tcW w:w="575" w:type="dxa"/>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IAS"/>
              <w:rPr>
                <w:lang w:val="it-IT"/>
              </w:rPr>
            </w:pPr>
          </w:p>
        </w:tc>
        <w:tc>
          <w:tcPr>
            <w:tcW w:w="851" w:type="dxa"/>
            <w:tcMar>
              <w:right w:w="0" w:type="dxa"/>
            </w:tcMar>
          </w:tcPr>
          <w:p w:rsidR="004300E2" w:rsidRPr="008A0F36" w:rsidRDefault="004300E2" w:rsidP="004300E2">
            <w:pPr>
              <w:pStyle w:val="IAS"/>
              <w:rPr>
                <w:lang w:val="it-IT"/>
              </w:rPr>
            </w:pPr>
          </w:p>
        </w:tc>
        <w:tc>
          <w:tcPr>
            <w:tcW w:w="7079" w:type="dxa"/>
          </w:tcPr>
          <w:p w:rsidR="004300E2" w:rsidRPr="008A0F36" w:rsidRDefault="004300E2" w:rsidP="004300E2">
            <w:pPr>
              <w:pStyle w:val="Commentiriquadro"/>
              <w:rPr>
                <w:lang w:val="it-IT"/>
              </w:rPr>
            </w:pPr>
            <w:r w:rsidRPr="008A0F36">
              <w:rPr>
                <w:lang w:val="it-IT"/>
              </w:rPr>
              <w:t>L’analisi delle scadenze deve comprendere le scadenze contrattuali residue di quelle passività finanziarie derivate per le quali le scadenze contrattuali sono essenziali per comprendere la tempistica dei flussi finanziari (si rimanda al paragrafo B11B del medesimo principio contabile).</w:t>
            </w:r>
          </w:p>
        </w:tc>
        <w:tc>
          <w:tcPr>
            <w:tcW w:w="575" w:type="dxa"/>
            <w:vAlign w:val="center"/>
          </w:tcPr>
          <w:p w:rsidR="004300E2" w:rsidRPr="00090BE7" w:rsidRDefault="004300E2" w:rsidP="004300E2">
            <w:pPr>
              <w:jc w:val="center"/>
              <w:rPr>
                <w:lang w:val="it-IT"/>
              </w:rPr>
            </w:pPr>
          </w:p>
        </w:tc>
        <w:tc>
          <w:tcPr>
            <w:tcW w:w="567" w:type="dxa"/>
            <w:vAlign w:val="center"/>
          </w:tcPr>
          <w:p w:rsidR="004300E2" w:rsidRPr="00090BE7" w:rsidRDefault="004300E2" w:rsidP="004300E2">
            <w:pPr>
              <w:jc w:val="center"/>
              <w:rPr>
                <w:lang w:val="it-IT"/>
              </w:rPr>
            </w:pPr>
          </w:p>
        </w:tc>
        <w:tc>
          <w:tcPr>
            <w:tcW w:w="567" w:type="dxa"/>
            <w:tcMar>
              <w:left w:w="85" w:type="dxa"/>
              <w:right w:w="85" w:type="dxa"/>
            </w:tcMar>
            <w:vAlign w:val="center"/>
          </w:tcPr>
          <w:p w:rsidR="004300E2" w:rsidRPr="00090BE7" w:rsidRDefault="004300E2" w:rsidP="004300E2">
            <w:pPr>
              <w:jc w:val="center"/>
              <w:rPr>
                <w:lang w:val="it-IT"/>
              </w:rPr>
            </w:pPr>
          </w:p>
        </w:tc>
      </w:tr>
      <w:tr w:rsidR="00E84B58" w:rsidRPr="008129DA" w:rsidTr="00940A6F">
        <w:trPr>
          <w:cantSplit/>
        </w:trPr>
        <w:tc>
          <w:tcPr>
            <w:tcW w:w="567" w:type="dxa"/>
            <w:tcMar>
              <w:left w:w="108" w:type="dxa"/>
            </w:tcMar>
          </w:tcPr>
          <w:p w:rsidR="00E84B58" w:rsidRPr="008A0F36" w:rsidRDefault="00E84B58" w:rsidP="004300E2">
            <w:pPr>
              <w:pStyle w:val="IAS"/>
              <w:rPr>
                <w:lang w:val="it-IT"/>
              </w:rPr>
            </w:pPr>
          </w:p>
        </w:tc>
        <w:tc>
          <w:tcPr>
            <w:tcW w:w="851" w:type="dxa"/>
            <w:tcMar>
              <w:right w:w="0" w:type="dxa"/>
            </w:tcMar>
          </w:tcPr>
          <w:p w:rsidR="00E84B58" w:rsidRPr="008A0F36" w:rsidRDefault="00E84B58" w:rsidP="004300E2">
            <w:pPr>
              <w:pStyle w:val="IAS"/>
              <w:rPr>
                <w:lang w:val="it-IT"/>
              </w:rPr>
            </w:pPr>
          </w:p>
        </w:tc>
        <w:tc>
          <w:tcPr>
            <w:tcW w:w="7079" w:type="dxa"/>
          </w:tcPr>
          <w:p w:rsidR="00E84B58" w:rsidRPr="008A0F36" w:rsidRDefault="00E84B58" w:rsidP="00FB4B6E">
            <w:pPr>
              <w:pStyle w:val="Rientroa"/>
              <w:numPr>
                <w:ilvl w:val="0"/>
                <w:numId w:val="72"/>
              </w:numPr>
            </w:pPr>
            <w:r w:rsidRPr="008A0F36">
              <w:t>una descrizione di come gestisce il rischio di liquidità inerente ad a) e b).</w:t>
            </w:r>
          </w:p>
        </w:tc>
        <w:tc>
          <w:tcPr>
            <w:tcW w:w="575" w:type="dxa"/>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A0F36" w:rsidTr="00940A6F">
        <w:trPr>
          <w:cantSplit/>
        </w:trPr>
        <w:tc>
          <w:tcPr>
            <w:tcW w:w="567" w:type="dxa"/>
            <w:tcMar>
              <w:left w:w="108" w:type="dxa"/>
            </w:tcMar>
          </w:tcPr>
          <w:p w:rsidR="004300E2" w:rsidRPr="008A0F36" w:rsidRDefault="004300E2" w:rsidP="004300E2">
            <w:pPr>
              <w:pStyle w:val="IAS"/>
              <w:rPr>
                <w:lang w:val="it-IT"/>
              </w:rPr>
            </w:pPr>
          </w:p>
        </w:tc>
        <w:tc>
          <w:tcPr>
            <w:tcW w:w="851" w:type="dxa"/>
            <w:tcMar>
              <w:right w:w="0" w:type="dxa"/>
            </w:tcMar>
          </w:tcPr>
          <w:p w:rsidR="004300E2" w:rsidRPr="008A0F36" w:rsidRDefault="004300E2" w:rsidP="004300E2">
            <w:pPr>
              <w:pStyle w:val="IAS"/>
              <w:rPr>
                <w:lang w:val="it-IT"/>
              </w:rPr>
            </w:pPr>
            <w:r w:rsidRPr="008A0F36">
              <w:rPr>
                <w:lang w:val="it-IT"/>
              </w:rPr>
              <w:t>IFRS 7.B10A</w:t>
            </w:r>
          </w:p>
        </w:tc>
        <w:tc>
          <w:tcPr>
            <w:tcW w:w="7079" w:type="dxa"/>
          </w:tcPr>
          <w:p w:rsidR="004300E2" w:rsidRPr="008A0F36" w:rsidRDefault="004300E2" w:rsidP="004300E2">
            <w:pPr>
              <w:pStyle w:val="Commentiriquadro"/>
              <w:rPr>
                <w:lang w:val="it-IT"/>
              </w:rPr>
            </w:pPr>
            <w:r w:rsidRPr="008A0F36">
              <w:rPr>
                <w:lang w:val="it-IT"/>
              </w:rPr>
              <w:t xml:space="preserve">L’entità deve presentare un riepilogo di dati quantitativi relativi all’esposizione al rischio di liquidità basato sulle informazioni fornite internamente alla direzione. L’entità deve spiegare come tali dati sono determinati. </w:t>
            </w:r>
          </w:p>
        </w:tc>
        <w:tc>
          <w:tcPr>
            <w:tcW w:w="575" w:type="dxa"/>
            <w:vAlign w:val="center"/>
          </w:tcPr>
          <w:p w:rsidR="004300E2" w:rsidRDefault="004300E2" w:rsidP="004300E2">
            <w:pPr>
              <w:jc w:val="center"/>
            </w:pPr>
          </w:p>
        </w:tc>
        <w:tc>
          <w:tcPr>
            <w:tcW w:w="567" w:type="dxa"/>
            <w:vAlign w:val="center"/>
          </w:tcPr>
          <w:p w:rsidR="004300E2" w:rsidRDefault="004300E2" w:rsidP="004300E2">
            <w:pPr>
              <w:jc w:val="center"/>
            </w:pPr>
          </w:p>
        </w:tc>
        <w:tc>
          <w:tcPr>
            <w:tcW w:w="567" w:type="dxa"/>
            <w:tcMar>
              <w:left w:w="85" w:type="dxa"/>
              <w:right w:w="85" w:type="dxa"/>
            </w:tcMar>
            <w:vAlign w:val="center"/>
          </w:tcPr>
          <w:p w:rsidR="004300E2" w:rsidRDefault="004300E2" w:rsidP="004300E2">
            <w:pPr>
              <w:jc w:val="center"/>
            </w:pPr>
          </w:p>
        </w:tc>
      </w:tr>
      <w:tr w:rsidR="00E84B58" w:rsidRPr="008129DA" w:rsidTr="00940A6F">
        <w:trPr>
          <w:cantSplit/>
        </w:trPr>
        <w:tc>
          <w:tcPr>
            <w:tcW w:w="567" w:type="dxa"/>
            <w:tcMar>
              <w:left w:w="108" w:type="dxa"/>
            </w:tcMar>
          </w:tcPr>
          <w:p w:rsidR="00E84B58" w:rsidRPr="008A0F36" w:rsidRDefault="00E84B58" w:rsidP="004300E2">
            <w:pPr>
              <w:pStyle w:val="Numeroelenco"/>
              <w:ind w:left="0" w:firstLine="57"/>
              <w:rPr>
                <w:lang w:val="it-IT"/>
              </w:rPr>
            </w:pPr>
          </w:p>
        </w:tc>
        <w:tc>
          <w:tcPr>
            <w:tcW w:w="851" w:type="dxa"/>
            <w:tcMar>
              <w:right w:w="0" w:type="dxa"/>
            </w:tcMar>
          </w:tcPr>
          <w:p w:rsidR="00E84B58" w:rsidRPr="008A0F36" w:rsidRDefault="00E84B58" w:rsidP="004300E2">
            <w:pPr>
              <w:pStyle w:val="IAS"/>
              <w:rPr>
                <w:lang w:val="it-IT"/>
              </w:rPr>
            </w:pPr>
            <w:r w:rsidRPr="008A0F36">
              <w:rPr>
                <w:lang w:val="it-IT"/>
              </w:rPr>
              <w:t>IFRS 7 B11</w:t>
            </w:r>
          </w:p>
        </w:tc>
        <w:tc>
          <w:tcPr>
            <w:tcW w:w="7079" w:type="dxa"/>
          </w:tcPr>
          <w:p w:rsidR="00E84B58" w:rsidRPr="008A0F36" w:rsidRDefault="00E84B58" w:rsidP="004300E2">
            <w:pPr>
              <w:rPr>
                <w:lang w:val="it-IT"/>
              </w:rPr>
            </w:pPr>
            <w:r w:rsidRPr="008A0F36">
              <w:rPr>
                <w:lang w:val="it-IT"/>
              </w:rPr>
              <w:t>L’entità si basa sul proprio giudizio per determinare il numero adeguato di fasce temporali (ad esempio fino a un mese, oltre uno e fino a tre mesi, oltre tre mesi e fino ad un anno e oltre un anno e fino a cinque anni).</w:t>
            </w:r>
          </w:p>
        </w:tc>
        <w:tc>
          <w:tcPr>
            <w:tcW w:w="575" w:type="dxa"/>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A0F36" w:rsidTr="00940A6F">
        <w:trPr>
          <w:cantSplit/>
        </w:trPr>
        <w:tc>
          <w:tcPr>
            <w:tcW w:w="567" w:type="dxa"/>
            <w:tcMar>
              <w:left w:w="108" w:type="dxa"/>
            </w:tcMar>
          </w:tcPr>
          <w:p w:rsidR="00E84B58" w:rsidRPr="008A0F36" w:rsidRDefault="00E84B58" w:rsidP="004300E2">
            <w:pPr>
              <w:pStyle w:val="Numeroelenco"/>
              <w:ind w:left="0" w:firstLine="57"/>
              <w:rPr>
                <w:lang w:val="it-IT"/>
              </w:rPr>
            </w:pPr>
          </w:p>
        </w:tc>
        <w:tc>
          <w:tcPr>
            <w:tcW w:w="851" w:type="dxa"/>
            <w:tcMar>
              <w:right w:w="0" w:type="dxa"/>
            </w:tcMar>
          </w:tcPr>
          <w:p w:rsidR="00E84B58" w:rsidRPr="008A0F36" w:rsidRDefault="00E84B58" w:rsidP="004300E2">
            <w:pPr>
              <w:pStyle w:val="IAS"/>
              <w:rPr>
                <w:lang w:val="it-IT"/>
              </w:rPr>
            </w:pPr>
            <w:r w:rsidRPr="008A0F36">
              <w:rPr>
                <w:lang w:val="it-IT"/>
              </w:rPr>
              <w:t>IFRS 7.B11A</w:t>
            </w:r>
          </w:p>
        </w:tc>
        <w:tc>
          <w:tcPr>
            <w:tcW w:w="7079" w:type="dxa"/>
          </w:tcPr>
          <w:p w:rsidR="00E84B58" w:rsidRPr="008A0F36" w:rsidRDefault="00E84B58" w:rsidP="004943F6">
            <w:pPr>
              <w:spacing w:line="210" w:lineRule="exact"/>
              <w:rPr>
                <w:lang w:val="it-IT"/>
              </w:rPr>
            </w:pPr>
            <w:r w:rsidRPr="008A0F36">
              <w:rPr>
                <w:lang w:val="it-IT"/>
              </w:rPr>
              <w:t>Al fine di uniformarsi al paragrafo 39 (a) e (b), l’entità non separa un derivato incorporato da uno strumento finanziario ibrido. Per tale strumento finanziario l’entità applica il paragrafo 39 (a).</w:t>
            </w:r>
          </w:p>
        </w:tc>
        <w:tc>
          <w:tcPr>
            <w:tcW w:w="575" w:type="dxa"/>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E84B58" w:rsidRPr="008129DA" w:rsidTr="00940A6F">
        <w:trPr>
          <w:cantSplit/>
        </w:trPr>
        <w:tc>
          <w:tcPr>
            <w:tcW w:w="567" w:type="dxa"/>
            <w:tcMar>
              <w:left w:w="108" w:type="dxa"/>
            </w:tcMar>
          </w:tcPr>
          <w:p w:rsidR="00E84B58" w:rsidRPr="008A0F36" w:rsidRDefault="00E84B58" w:rsidP="004300E2">
            <w:pPr>
              <w:pStyle w:val="Numeroelenco"/>
              <w:ind w:left="0" w:firstLine="57"/>
              <w:rPr>
                <w:lang w:val="it-IT"/>
              </w:rPr>
            </w:pPr>
          </w:p>
        </w:tc>
        <w:tc>
          <w:tcPr>
            <w:tcW w:w="851" w:type="dxa"/>
            <w:tcMar>
              <w:right w:w="0" w:type="dxa"/>
            </w:tcMar>
          </w:tcPr>
          <w:p w:rsidR="00E84B58" w:rsidRPr="008A0F36" w:rsidRDefault="00E84B58" w:rsidP="004300E2">
            <w:pPr>
              <w:pStyle w:val="IAS"/>
              <w:rPr>
                <w:lang w:val="it-IT"/>
              </w:rPr>
            </w:pPr>
            <w:r w:rsidRPr="008A0F36">
              <w:rPr>
                <w:lang w:val="it-IT"/>
              </w:rPr>
              <w:t>IFRS 7.B11B</w:t>
            </w:r>
          </w:p>
        </w:tc>
        <w:tc>
          <w:tcPr>
            <w:tcW w:w="7079" w:type="dxa"/>
          </w:tcPr>
          <w:p w:rsidR="00E84B58" w:rsidRPr="008A0F36" w:rsidRDefault="00E84B58" w:rsidP="004943F6">
            <w:pPr>
              <w:spacing w:line="210" w:lineRule="exact"/>
              <w:rPr>
                <w:lang w:val="it-IT"/>
              </w:rPr>
            </w:pPr>
            <w:r w:rsidRPr="008A0F36">
              <w:rPr>
                <w:lang w:val="it-IT"/>
              </w:rPr>
              <w:t>L’entità fornisce un’analisi quantitativa delle scadenze per le passività finanziarie derivate che illustri le scadenze contrattuali residue, se le scadenze contrattuali sono essenziali per una comprensione della tempistica dei flussi finanziari (ad esempio uno swap su tassi di interesse con vita residua a 5 anni in una copertura di flussi di cassa di una passività a tasso variabile e tutti gli impegni all’erogazione di finanziamenti).</w:t>
            </w:r>
          </w:p>
        </w:tc>
        <w:tc>
          <w:tcPr>
            <w:tcW w:w="575" w:type="dxa"/>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85" w:type="dxa"/>
              <w:right w:w="85" w:type="dxa"/>
            </w:tcMar>
            <w:vAlign w:val="center"/>
          </w:tcPr>
          <w:p w:rsidR="00E84B58" w:rsidRPr="00A32A16" w:rsidRDefault="00E84B58"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A0F36"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right w:w="0" w:type="dxa"/>
            </w:tcMar>
          </w:tcPr>
          <w:p w:rsidR="004300E2" w:rsidRPr="008A0F36" w:rsidRDefault="004300E2" w:rsidP="004300E2">
            <w:pPr>
              <w:pStyle w:val="IAS"/>
              <w:rPr>
                <w:lang w:val="it-IT"/>
              </w:rPr>
            </w:pPr>
            <w:r w:rsidRPr="008A0F36">
              <w:rPr>
                <w:lang w:val="it-IT"/>
              </w:rPr>
              <w:t>IFRS 7.B11C</w:t>
            </w:r>
          </w:p>
        </w:tc>
        <w:tc>
          <w:tcPr>
            <w:tcW w:w="7079" w:type="dxa"/>
          </w:tcPr>
          <w:p w:rsidR="004300E2" w:rsidRPr="008A0F36" w:rsidRDefault="004300E2" w:rsidP="004943F6">
            <w:pPr>
              <w:spacing w:line="210" w:lineRule="exact"/>
              <w:rPr>
                <w:lang w:val="it-IT"/>
              </w:rPr>
            </w:pPr>
            <w:r w:rsidRPr="008A0F36">
              <w:rPr>
                <w:lang w:val="it-IT"/>
              </w:rPr>
              <w:t>L’entità presenta un’analisi delle scadenze delle passività finanziarie che illustri le scadenze contrattuali residue per alcune passività finanziarie. In tale informativa:</w:t>
            </w:r>
          </w:p>
        </w:tc>
        <w:tc>
          <w:tcPr>
            <w:tcW w:w="575" w:type="dxa"/>
            <w:vAlign w:val="center"/>
          </w:tcPr>
          <w:p w:rsidR="004300E2" w:rsidRDefault="004300E2" w:rsidP="004300E2">
            <w:pPr>
              <w:jc w:val="center"/>
            </w:pPr>
          </w:p>
        </w:tc>
        <w:tc>
          <w:tcPr>
            <w:tcW w:w="567" w:type="dxa"/>
            <w:vAlign w:val="center"/>
          </w:tcPr>
          <w:p w:rsidR="004300E2" w:rsidRDefault="004300E2" w:rsidP="004300E2">
            <w:pPr>
              <w:jc w:val="center"/>
            </w:pPr>
          </w:p>
        </w:tc>
        <w:tc>
          <w:tcPr>
            <w:tcW w:w="567" w:type="dxa"/>
            <w:tcMar>
              <w:left w:w="85" w:type="dxa"/>
              <w:right w:w="85" w:type="dxa"/>
            </w:tcMar>
            <w:vAlign w:val="center"/>
          </w:tcPr>
          <w:p w:rsidR="004300E2" w:rsidRDefault="004300E2" w:rsidP="004300E2">
            <w:pPr>
              <w:jc w:val="center"/>
            </w:pPr>
          </w:p>
        </w:tc>
      </w:tr>
      <w:tr w:rsidR="004E201D" w:rsidRPr="008129DA" w:rsidTr="00940A6F">
        <w:trPr>
          <w:cantSplit/>
        </w:trPr>
        <w:tc>
          <w:tcPr>
            <w:tcW w:w="567" w:type="dxa"/>
            <w:tcMar>
              <w:left w:w="108" w:type="dxa"/>
            </w:tcMar>
          </w:tcPr>
          <w:p w:rsidR="004E201D" w:rsidRPr="008A0F36" w:rsidRDefault="004E201D" w:rsidP="004300E2">
            <w:pPr>
              <w:pStyle w:val="IAS"/>
              <w:rPr>
                <w:lang w:val="it-IT"/>
              </w:rPr>
            </w:pPr>
          </w:p>
        </w:tc>
        <w:tc>
          <w:tcPr>
            <w:tcW w:w="851" w:type="dxa"/>
            <w:tcMar>
              <w:right w:w="0" w:type="dxa"/>
            </w:tcMar>
          </w:tcPr>
          <w:p w:rsidR="004E201D" w:rsidRPr="008A0F36" w:rsidRDefault="004E201D" w:rsidP="004300E2">
            <w:pPr>
              <w:pStyle w:val="IAS"/>
              <w:rPr>
                <w:lang w:val="it-IT"/>
              </w:rPr>
            </w:pPr>
          </w:p>
        </w:tc>
        <w:tc>
          <w:tcPr>
            <w:tcW w:w="7079" w:type="dxa"/>
          </w:tcPr>
          <w:p w:rsidR="004E201D" w:rsidRPr="008A0F36" w:rsidRDefault="004E201D" w:rsidP="004943F6">
            <w:pPr>
              <w:pStyle w:val="Rientroa"/>
              <w:numPr>
                <w:ilvl w:val="0"/>
                <w:numId w:val="84"/>
              </w:numPr>
              <w:spacing w:line="210" w:lineRule="exact"/>
            </w:pPr>
            <w:r w:rsidRPr="008A0F36">
              <w:t>quando la controparte ha la possibilità di decidere quando un determinato importo deve essere pagato, la passività viene attribuita al primo periodo utile in cui all’entità può essere richiesto di pagare</w:t>
            </w:r>
          </w:p>
        </w:tc>
        <w:tc>
          <w:tcPr>
            <w:tcW w:w="575"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tcMar>
          </w:tcPr>
          <w:p w:rsidR="004E201D" w:rsidRPr="008A0F36" w:rsidRDefault="004E201D" w:rsidP="004300E2">
            <w:pPr>
              <w:pStyle w:val="IAS"/>
              <w:rPr>
                <w:lang w:val="it-IT"/>
              </w:rPr>
            </w:pPr>
          </w:p>
        </w:tc>
        <w:tc>
          <w:tcPr>
            <w:tcW w:w="851" w:type="dxa"/>
            <w:tcMar>
              <w:right w:w="0" w:type="dxa"/>
            </w:tcMar>
          </w:tcPr>
          <w:p w:rsidR="004E201D" w:rsidRPr="008A0F36" w:rsidRDefault="004E201D" w:rsidP="004300E2">
            <w:pPr>
              <w:pStyle w:val="IAS"/>
              <w:rPr>
                <w:lang w:val="it-IT"/>
              </w:rPr>
            </w:pPr>
          </w:p>
        </w:tc>
        <w:tc>
          <w:tcPr>
            <w:tcW w:w="7079" w:type="dxa"/>
          </w:tcPr>
          <w:p w:rsidR="004E201D" w:rsidRPr="008A0F36" w:rsidRDefault="004E201D" w:rsidP="004943F6">
            <w:pPr>
              <w:pStyle w:val="Rientroa"/>
              <w:numPr>
                <w:ilvl w:val="0"/>
                <w:numId w:val="72"/>
              </w:numPr>
              <w:spacing w:line="210" w:lineRule="exact"/>
            </w:pPr>
            <w:r w:rsidRPr="008A0F36">
              <w:t>quando l’entità si è impegnata a rendere disponibili importi a rate, ogni rata viene imputata al primo periodo in cui l’entità può essere chiamata a pagare</w:t>
            </w:r>
          </w:p>
        </w:tc>
        <w:tc>
          <w:tcPr>
            <w:tcW w:w="575"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tcMar>
          </w:tcPr>
          <w:p w:rsidR="004E201D" w:rsidRPr="008A0F36" w:rsidRDefault="004E201D" w:rsidP="004300E2">
            <w:pPr>
              <w:pStyle w:val="IAS"/>
              <w:rPr>
                <w:lang w:val="it-IT"/>
              </w:rPr>
            </w:pPr>
          </w:p>
        </w:tc>
        <w:tc>
          <w:tcPr>
            <w:tcW w:w="851" w:type="dxa"/>
            <w:tcMar>
              <w:right w:w="0" w:type="dxa"/>
            </w:tcMar>
          </w:tcPr>
          <w:p w:rsidR="004E201D" w:rsidRPr="008A0F36" w:rsidRDefault="004E201D" w:rsidP="004300E2">
            <w:pPr>
              <w:pStyle w:val="IAS"/>
              <w:rPr>
                <w:lang w:val="it-IT"/>
              </w:rPr>
            </w:pPr>
          </w:p>
        </w:tc>
        <w:tc>
          <w:tcPr>
            <w:tcW w:w="7079" w:type="dxa"/>
          </w:tcPr>
          <w:p w:rsidR="004E201D" w:rsidRPr="008A0F36" w:rsidRDefault="004E201D" w:rsidP="004943F6">
            <w:pPr>
              <w:pStyle w:val="Rientroa"/>
              <w:numPr>
                <w:ilvl w:val="0"/>
                <w:numId w:val="72"/>
              </w:numPr>
              <w:spacing w:line="210" w:lineRule="exact"/>
            </w:pPr>
            <w:r w:rsidRPr="008A0F36">
              <w:t>relativamente ai contratti di garanzia finanziaria emessi, l’ammontare massimo della garanzia viene allocato al primo periodo utile in cui la garanzia potrebbe essere escussa.</w:t>
            </w:r>
          </w:p>
        </w:tc>
        <w:tc>
          <w:tcPr>
            <w:tcW w:w="575"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tcMar>
          </w:tcPr>
          <w:p w:rsidR="004E201D" w:rsidRPr="008A0F36" w:rsidRDefault="004E201D" w:rsidP="004300E2">
            <w:pPr>
              <w:pStyle w:val="Numeroelenco"/>
              <w:ind w:left="0" w:firstLine="57"/>
              <w:rPr>
                <w:lang w:val="it-IT"/>
              </w:rPr>
            </w:pPr>
          </w:p>
        </w:tc>
        <w:tc>
          <w:tcPr>
            <w:tcW w:w="851" w:type="dxa"/>
            <w:tcMar>
              <w:right w:w="0" w:type="dxa"/>
            </w:tcMar>
          </w:tcPr>
          <w:p w:rsidR="004E201D" w:rsidRPr="008A0F36" w:rsidRDefault="004E201D" w:rsidP="004300E2">
            <w:pPr>
              <w:pStyle w:val="IAS"/>
              <w:rPr>
                <w:lang w:val="it-IT"/>
              </w:rPr>
            </w:pPr>
            <w:r w:rsidRPr="008A0F36">
              <w:rPr>
                <w:lang w:val="it-IT"/>
              </w:rPr>
              <w:t>IFRS 7.B11D</w:t>
            </w:r>
          </w:p>
        </w:tc>
        <w:tc>
          <w:tcPr>
            <w:tcW w:w="7079" w:type="dxa"/>
          </w:tcPr>
          <w:p w:rsidR="004E201D" w:rsidRPr="008A0F36" w:rsidRDefault="004E201D" w:rsidP="004943F6">
            <w:pPr>
              <w:spacing w:line="210" w:lineRule="exact"/>
              <w:rPr>
                <w:lang w:val="it-IT"/>
              </w:rPr>
            </w:pPr>
            <w:r w:rsidRPr="008A0F36">
              <w:rPr>
                <w:lang w:val="it-IT"/>
              </w:rPr>
              <w:t>Gli importi contrattuali illustrati nelle scadenze, come richiesto dal paragrafo 39 (a) e (b), rappresentano i flussi finanziari non attualizzati.</w:t>
            </w:r>
          </w:p>
        </w:tc>
        <w:tc>
          <w:tcPr>
            <w:tcW w:w="575"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IAS"/>
              <w:rPr>
                <w:lang w:val="it-IT"/>
              </w:rPr>
            </w:pPr>
          </w:p>
        </w:tc>
        <w:tc>
          <w:tcPr>
            <w:tcW w:w="851" w:type="dxa"/>
            <w:tcMar>
              <w:right w:w="0" w:type="dxa"/>
            </w:tcMar>
          </w:tcPr>
          <w:p w:rsidR="004300E2" w:rsidRPr="008A0F36" w:rsidRDefault="004300E2" w:rsidP="004300E2">
            <w:pPr>
              <w:pStyle w:val="IAS"/>
              <w:rPr>
                <w:lang w:val="it-IT"/>
              </w:rPr>
            </w:pPr>
          </w:p>
        </w:tc>
        <w:tc>
          <w:tcPr>
            <w:tcW w:w="7079" w:type="dxa"/>
          </w:tcPr>
          <w:p w:rsidR="004300E2" w:rsidRPr="008A0F36" w:rsidRDefault="004300E2" w:rsidP="00771DEA">
            <w:pPr>
              <w:pStyle w:val="Paragarfobordato"/>
            </w:pPr>
            <w:r w:rsidRPr="008A0F36">
              <w:t>Tali flussi finanziari differiscono dall’importo incluso nel prospetto della situazione patrimoniale-finanziaria, dato che quest’ultimo è basato sui flussi finanziari attualizzati.</w:t>
            </w:r>
          </w:p>
        </w:tc>
        <w:tc>
          <w:tcPr>
            <w:tcW w:w="575" w:type="dxa"/>
            <w:vAlign w:val="center"/>
          </w:tcPr>
          <w:p w:rsidR="004300E2" w:rsidRPr="00090BE7" w:rsidRDefault="004300E2" w:rsidP="004300E2">
            <w:pPr>
              <w:jc w:val="center"/>
              <w:rPr>
                <w:lang w:val="it-IT"/>
              </w:rPr>
            </w:pPr>
          </w:p>
        </w:tc>
        <w:tc>
          <w:tcPr>
            <w:tcW w:w="567" w:type="dxa"/>
            <w:vAlign w:val="center"/>
          </w:tcPr>
          <w:p w:rsidR="004300E2" w:rsidRPr="00090BE7" w:rsidRDefault="004300E2" w:rsidP="004300E2">
            <w:pPr>
              <w:jc w:val="center"/>
              <w:rPr>
                <w:lang w:val="it-IT"/>
              </w:rPr>
            </w:pPr>
          </w:p>
        </w:tc>
        <w:tc>
          <w:tcPr>
            <w:tcW w:w="567" w:type="dxa"/>
            <w:tcMar>
              <w:left w:w="85" w:type="dxa"/>
              <w:right w:w="85" w:type="dxa"/>
            </w:tcMar>
            <w:vAlign w:val="center"/>
          </w:tcPr>
          <w:p w:rsidR="004300E2" w:rsidRPr="00090BE7" w:rsidRDefault="004300E2" w:rsidP="004300E2">
            <w:pPr>
              <w:jc w:val="center"/>
              <w:rPr>
                <w:lang w:val="it-IT"/>
              </w:rPr>
            </w:pPr>
          </w:p>
        </w:tc>
      </w:tr>
      <w:tr w:rsidR="004E201D" w:rsidRPr="008129DA" w:rsidTr="00940A6F">
        <w:trPr>
          <w:cantSplit/>
        </w:trPr>
        <w:tc>
          <w:tcPr>
            <w:tcW w:w="567" w:type="dxa"/>
            <w:tcMar>
              <w:left w:w="108" w:type="dxa"/>
            </w:tcMar>
          </w:tcPr>
          <w:p w:rsidR="004E201D" w:rsidRPr="008A0F36" w:rsidRDefault="004E201D" w:rsidP="004300E2">
            <w:pPr>
              <w:pStyle w:val="Numeroelenco"/>
              <w:ind w:left="0" w:firstLine="57"/>
              <w:rPr>
                <w:lang w:val="it-IT"/>
              </w:rPr>
            </w:pPr>
          </w:p>
        </w:tc>
        <w:tc>
          <w:tcPr>
            <w:tcW w:w="851" w:type="dxa"/>
            <w:tcMar>
              <w:right w:w="0" w:type="dxa"/>
            </w:tcMar>
          </w:tcPr>
          <w:p w:rsidR="004E201D" w:rsidRPr="008A0F36" w:rsidRDefault="004E201D" w:rsidP="004300E2">
            <w:pPr>
              <w:pStyle w:val="IAS"/>
              <w:rPr>
                <w:lang w:val="it-IT"/>
              </w:rPr>
            </w:pPr>
            <w:r w:rsidRPr="008A0F36">
              <w:rPr>
                <w:lang w:val="it-IT"/>
              </w:rPr>
              <w:t>IFRS 7.B11D</w:t>
            </w:r>
          </w:p>
        </w:tc>
        <w:tc>
          <w:tcPr>
            <w:tcW w:w="7079" w:type="dxa"/>
          </w:tcPr>
          <w:p w:rsidR="004E201D" w:rsidRPr="008A0F36" w:rsidRDefault="004E201D" w:rsidP="004943F6">
            <w:pPr>
              <w:spacing w:line="210" w:lineRule="exact"/>
              <w:rPr>
                <w:lang w:val="it-IT"/>
              </w:rPr>
            </w:pPr>
            <w:r w:rsidRPr="008A0F36">
              <w:rPr>
                <w:lang w:val="it-IT"/>
              </w:rPr>
              <w:t>Se l’ammontare dovuto non è fisso, il valore indicato viene determinato con riferimento alle condizioni esistenti alla data di chiusura dell’esercizio.</w:t>
            </w:r>
          </w:p>
        </w:tc>
        <w:tc>
          <w:tcPr>
            <w:tcW w:w="575"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tcMar>
          </w:tcPr>
          <w:p w:rsidR="004E201D" w:rsidRPr="008A0F36" w:rsidRDefault="004E201D" w:rsidP="004300E2">
            <w:pPr>
              <w:pStyle w:val="Numeroelenco"/>
              <w:ind w:left="0" w:firstLine="57"/>
              <w:rPr>
                <w:lang w:val="it-IT"/>
              </w:rPr>
            </w:pPr>
          </w:p>
        </w:tc>
        <w:tc>
          <w:tcPr>
            <w:tcW w:w="851" w:type="dxa"/>
            <w:tcMar>
              <w:right w:w="0" w:type="dxa"/>
            </w:tcMar>
          </w:tcPr>
          <w:p w:rsidR="004E201D" w:rsidRPr="008A0F36" w:rsidRDefault="004E201D" w:rsidP="004300E2">
            <w:pPr>
              <w:pStyle w:val="IAS"/>
              <w:pageBreakBefore/>
              <w:rPr>
                <w:lang w:val="it-IT"/>
              </w:rPr>
            </w:pPr>
          </w:p>
        </w:tc>
        <w:tc>
          <w:tcPr>
            <w:tcW w:w="7079" w:type="dxa"/>
          </w:tcPr>
          <w:p w:rsidR="004E201D" w:rsidRPr="008A0F36" w:rsidRDefault="004E201D" w:rsidP="004943F6">
            <w:pPr>
              <w:pageBreakBefore/>
              <w:spacing w:line="210" w:lineRule="exact"/>
              <w:rPr>
                <w:lang w:val="it-IT"/>
              </w:rPr>
            </w:pPr>
            <w:r w:rsidRPr="008A0F36">
              <w:rPr>
                <w:lang w:val="it-IT"/>
              </w:rPr>
              <w:t>L’entità descrive come gestisce il rischio di liquidità inerente agli elementi presentati nell’informativa quantitativa richiesta nel paragrafo 39 (a) e (b).</w:t>
            </w:r>
          </w:p>
        </w:tc>
        <w:tc>
          <w:tcPr>
            <w:tcW w:w="575"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tcMar>
          </w:tcPr>
          <w:p w:rsidR="004E201D" w:rsidRPr="008A0F36" w:rsidRDefault="004E201D" w:rsidP="004300E2">
            <w:pPr>
              <w:pStyle w:val="Numeroelenco"/>
              <w:ind w:left="0" w:firstLine="57"/>
              <w:rPr>
                <w:lang w:val="it-IT"/>
              </w:rPr>
            </w:pPr>
          </w:p>
        </w:tc>
        <w:tc>
          <w:tcPr>
            <w:tcW w:w="851" w:type="dxa"/>
            <w:tcMar>
              <w:right w:w="0" w:type="dxa"/>
            </w:tcMar>
          </w:tcPr>
          <w:p w:rsidR="004E201D" w:rsidRPr="008A0F36" w:rsidRDefault="004E201D" w:rsidP="004300E2">
            <w:pPr>
              <w:pStyle w:val="IAS"/>
              <w:rPr>
                <w:highlight w:val="cyan"/>
                <w:lang w:val="it-IT"/>
              </w:rPr>
            </w:pPr>
            <w:r w:rsidRPr="008A0F36">
              <w:rPr>
                <w:lang w:val="it-IT"/>
              </w:rPr>
              <w:t>IFRS 7.B11E</w:t>
            </w:r>
          </w:p>
        </w:tc>
        <w:tc>
          <w:tcPr>
            <w:tcW w:w="7079" w:type="dxa"/>
          </w:tcPr>
          <w:p w:rsidR="004E201D" w:rsidRPr="00AA561A" w:rsidRDefault="004E201D" w:rsidP="004943F6">
            <w:pPr>
              <w:spacing w:line="210" w:lineRule="exact"/>
              <w:rPr>
                <w:lang w:val="it-IT"/>
              </w:rPr>
            </w:pPr>
            <w:r w:rsidRPr="00AA561A">
              <w:rPr>
                <w:lang w:val="it-IT"/>
              </w:rPr>
              <w:t xml:space="preserve">L’entità espone in bilancio un’analisi delle scadenze delle attività finanziarie detenute per la gestione del rischio di liquidità (es. </w:t>
            </w:r>
            <w:r w:rsidRPr="00AA561A">
              <w:rPr>
                <w:sz w:val="18"/>
                <w:szCs w:val="18"/>
                <w:lang w:val="it-IT"/>
              </w:rPr>
              <w:t>attività finanziarie che sono prontamente vendibili o da cui ci si attendono flussi di cassa in entrata pari ai flussi di cassa in uscita dalle passività finanziarie)</w:t>
            </w:r>
            <w:r w:rsidRPr="00AA561A">
              <w:rPr>
                <w:lang w:val="it-IT"/>
              </w:rPr>
              <w:t>, se tale informativa è necessaria per consentire agli utilizzatori del bilancio di valutare la natura e la portata del rischio di liquidità.</w:t>
            </w:r>
          </w:p>
        </w:tc>
        <w:tc>
          <w:tcPr>
            <w:tcW w:w="575"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IAS"/>
              <w:rPr>
                <w:lang w:val="it-IT"/>
              </w:rPr>
            </w:pPr>
          </w:p>
        </w:tc>
        <w:tc>
          <w:tcPr>
            <w:tcW w:w="851" w:type="dxa"/>
            <w:tcMar>
              <w:right w:w="0" w:type="dxa"/>
            </w:tcMar>
          </w:tcPr>
          <w:p w:rsidR="004300E2" w:rsidRPr="008A0F36" w:rsidRDefault="004300E2" w:rsidP="004300E2">
            <w:pPr>
              <w:pStyle w:val="IAS"/>
              <w:rPr>
                <w:lang w:val="it-IT"/>
              </w:rPr>
            </w:pPr>
            <w:r w:rsidRPr="008A0F36">
              <w:rPr>
                <w:lang w:val="it-IT"/>
              </w:rPr>
              <w:t>IFRS 7.B11F</w:t>
            </w:r>
          </w:p>
          <w:p w:rsidR="004300E2" w:rsidRPr="008A0F36" w:rsidRDefault="004300E2" w:rsidP="004300E2">
            <w:pPr>
              <w:pStyle w:val="IAS"/>
              <w:rPr>
                <w:lang w:val="it-IT"/>
              </w:rPr>
            </w:pPr>
          </w:p>
        </w:tc>
        <w:tc>
          <w:tcPr>
            <w:tcW w:w="7079" w:type="dxa"/>
          </w:tcPr>
          <w:p w:rsidR="004300E2" w:rsidRPr="00AA561A" w:rsidRDefault="004300E2" w:rsidP="00771DEA">
            <w:pPr>
              <w:pStyle w:val="Paragarfobordato"/>
            </w:pPr>
            <w:r w:rsidRPr="00AA561A">
              <w:t xml:space="preserve">Altri fattori che l’entità potrebbe considerare al fine di fornire l’informativa richiesta al punto </w:t>
            </w:r>
            <w:r>
              <w:t>27</w:t>
            </w:r>
            <w:r w:rsidR="00D20202">
              <w:t>0</w:t>
            </w:r>
            <w:r w:rsidRPr="00AA561A">
              <w:t xml:space="preserve"> (c) riguardano, tra l’altro, il fatto che un’entità: </w:t>
            </w:r>
          </w:p>
          <w:p w:rsidR="004300E2" w:rsidRPr="00AA561A" w:rsidRDefault="004300E2" w:rsidP="00771DEA">
            <w:pPr>
              <w:pStyle w:val="Paragarfobordato"/>
              <w:ind w:left="205" w:hanging="205"/>
            </w:pPr>
            <w:r w:rsidRPr="00AA561A">
              <w:t>a)</w:t>
            </w:r>
            <w:r w:rsidRPr="00AA561A">
              <w:tab/>
              <w:t>abbia sottoscritto accordi di finanziamento (per esempio su carta commerciale) o altre linee di credito (per esempio, linee di credito stand-by) cui poter accedere per soddisfare esigenze di liquidità</w:t>
            </w:r>
          </w:p>
          <w:p w:rsidR="004300E2" w:rsidRPr="00AA561A" w:rsidRDefault="004300E2" w:rsidP="00771DEA">
            <w:pPr>
              <w:pStyle w:val="Paragarfobordato"/>
              <w:ind w:left="205" w:hanging="205"/>
            </w:pPr>
            <w:r w:rsidRPr="00AA561A">
              <w:t>b)</w:t>
            </w:r>
            <w:r w:rsidRPr="00AA561A">
              <w:tab/>
              <w:t>detenga depositi presso banche centrali per soddisfare esigenze di liquidità</w:t>
            </w:r>
          </w:p>
          <w:p w:rsidR="004300E2" w:rsidRPr="00AA561A" w:rsidRDefault="004300E2" w:rsidP="00771DEA">
            <w:pPr>
              <w:pStyle w:val="Paragarfobordato"/>
              <w:ind w:left="205" w:hanging="205"/>
            </w:pPr>
            <w:r w:rsidRPr="00AA561A">
              <w:t>c)</w:t>
            </w:r>
            <w:r w:rsidRPr="00AA561A">
              <w:tab/>
              <w:t>abbia fonti di finanziamento molto differenziate</w:t>
            </w:r>
          </w:p>
          <w:p w:rsidR="004300E2" w:rsidRPr="00AA561A" w:rsidRDefault="004300E2" w:rsidP="00771DEA">
            <w:pPr>
              <w:pStyle w:val="Paragarfobordato"/>
              <w:ind w:left="205" w:hanging="205"/>
            </w:pPr>
            <w:r w:rsidRPr="00AA561A">
              <w:t>d)</w:t>
            </w:r>
            <w:r w:rsidRPr="00AA561A">
              <w:tab/>
              <w:t>abbia concentrazioni significative di rischio di liquidità nelle proprie attività o nelle fonti di finanziamento</w:t>
            </w:r>
          </w:p>
          <w:p w:rsidR="004300E2" w:rsidRPr="00AA561A" w:rsidRDefault="004300E2" w:rsidP="00771DEA">
            <w:pPr>
              <w:pStyle w:val="Paragarfobordato"/>
              <w:ind w:left="205" w:hanging="205"/>
            </w:pPr>
            <w:r w:rsidRPr="00AA561A">
              <w:t>e)</w:t>
            </w:r>
            <w:r w:rsidRPr="00AA561A">
              <w:tab/>
              <w:t>abbia processi di controllo interno e piani di emergenza per la gestione del rischio di liquidità</w:t>
            </w:r>
          </w:p>
          <w:p w:rsidR="004300E2" w:rsidRPr="00AA561A" w:rsidRDefault="004300E2" w:rsidP="00771DEA">
            <w:pPr>
              <w:pStyle w:val="Paragarfobordato"/>
              <w:ind w:left="205" w:hanging="205"/>
            </w:pPr>
            <w:r w:rsidRPr="00AA561A">
              <w:t>f)</w:t>
            </w:r>
            <w:r w:rsidRPr="00AA561A">
              <w:tab/>
              <w:t>abbia strumenti che includono termini di rimborso accelerati (per esempio a seguito di un ribasso del merito creditizio dell’entità)</w:t>
            </w:r>
          </w:p>
          <w:p w:rsidR="004300E2" w:rsidRPr="00AA561A" w:rsidRDefault="004300E2" w:rsidP="00771DEA">
            <w:pPr>
              <w:pStyle w:val="Paragarfobordato"/>
              <w:ind w:left="205" w:hanging="205"/>
            </w:pPr>
            <w:r w:rsidRPr="00AA561A">
              <w:t>g)</w:t>
            </w:r>
            <w:r w:rsidRPr="00AA561A">
              <w:tab/>
              <w:t>abbia strumenti che potrebbero richiedere la prestazione di garanzie finanziarie (per esempio le chiamate di margine per i derivati)</w:t>
            </w:r>
          </w:p>
          <w:p w:rsidR="004300E2" w:rsidRPr="00AA561A" w:rsidRDefault="004300E2" w:rsidP="00771DEA">
            <w:pPr>
              <w:pStyle w:val="Paragarfobordato"/>
              <w:ind w:left="205" w:hanging="205"/>
            </w:pPr>
            <w:r w:rsidRPr="00AA561A">
              <w:t>h)</w:t>
            </w:r>
            <w:r w:rsidRPr="00AA561A">
              <w:tab/>
              <w:t>abbia strumenti che consentono a un’entità di decidere se regolare le passività finanziarie consegnando contanti (o altra attività finanziaria) oppure consegnando azioni proprie; o</w:t>
            </w:r>
          </w:p>
          <w:p w:rsidR="004300E2" w:rsidRPr="00AA561A" w:rsidRDefault="004300E2" w:rsidP="00771DEA">
            <w:pPr>
              <w:pStyle w:val="Paragarfobordato"/>
              <w:ind w:left="205" w:hanging="205"/>
            </w:pPr>
            <w:r w:rsidRPr="00AA561A">
              <w:t>i)</w:t>
            </w:r>
            <w:r w:rsidRPr="00AA561A">
              <w:tab/>
              <w:t>abbia strumenti soggetti ad accordi quadro di compensazione.</w:t>
            </w:r>
          </w:p>
        </w:tc>
        <w:tc>
          <w:tcPr>
            <w:tcW w:w="575" w:type="dxa"/>
            <w:vAlign w:val="center"/>
          </w:tcPr>
          <w:p w:rsidR="004300E2" w:rsidRPr="00090BE7" w:rsidRDefault="004300E2" w:rsidP="004300E2">
            <w:pPr>
              <w:jc w:val="center"/>
              <w:rPr>
                <w:lang w:val="it-IT"/>
              </w:rPr>
            </w:pPr>
          </w:p>
        </w:tc>
        <w:tc>
          <w:tcPr>
            <w:tcW w:w="567" w:type="dxa"/>
            <w:vAlign w:val="center"/>
          </w:tcPr>
          <w:p w:rsidR="004300E2" w:rsidRPr="00090BE7" w:rsidRDefault="004300E2" w:rsidP="004300E2">
            <w:pPr>
              <w:jc w:val="center"/>
              <w:rPr>
                <w:lang w:val="it-IT"/>
              </w:rPr>
            </w:pPr>
          </w:p>
        </w:tc>
        <w:tc>
          <w:tcPr>
            <w:tcW w:w="567" w:type="dxa"/>
            <w:tcMar>
              <w:left w:w="85" w:type="dxa"/>
              <w:right w:w="85" w:type="dxa"/>
            </w:tcMar>
            <w:vAlign w:val="center"/>
          </w:tcPr>
          <w:p w:rsidR="004300E2" w:rsidRPr="00090BE7" w:rsidRDefault="004300E2" w:rsidP="004300E2">
            <w:pPr>
              <w:jc w:val="center"/>
              <w:rPr>
                <w:lang w:val="it-IT"/>
              </w:rPr>
            </w:pPr>
          </w:p>
        </w:tc>
      </w:tr>
      <w:tr w:rsidR="004E201D" w:rsidRPr="008129DA" w:rsidTr="00940A6F">
        <w:trPr>
          <w:cantSplit/>
        </w:trPr>
        <w:tc>
          <w:tcPr>
            <w:tcW w:w="567" w:type="dxa"/>
            <w:tcMar>
              <w:left w:w="108" w:type="dxa"/>
            </w:tcMar>
          </w:tcPr>
          <w:p w:rsidR="004E201D" w:rsidRPr="008A0F36" w:rsidRDefault="004E201D" w:rsidP="004300E2">
            <w:pPr>
              <w:pStyle w:val="Numeroelenco"/>
              <w:ind w:left="0" w:firstLine="57"/>
              <w:rPr>
                <w:lang w:val="it-IT"/>
              </w:rPr>
            </w:pPr>
          </w:p>
        </w:tc>
        <w:tc>
          <w:tcPr>
            <w:tcW w:w="851" w:type="dxa"/>
            <w:tcMar>
              <w:right w:w="0" w:type="dxa"/>
            </w:tcMar>
          </w:tcPr>
          <w:p w:rsidR="004E201D" w:rsidRPr="008A0F36" w:rsidRDefault="004E201D" w:rsidP="004300E2">
            <w:pPr>
              <w:pStyle w:val="IAS"/>
              <w:rPr>
                <w:highlight w:val="red"/>
                <w:lang w:val="it-IT"/>
              </w:rPr>
            </w:pPr>
          </w:p>
        </w:tc>
        <w:tc>
          <w:tcPr>
            <w:tcW w:w="7079" w:type="dxa"/>
          </w:tcPr>
          <w:p w:rsidR="004E201D" w:rsidRPr="008A0F36" w:rsidRDefault="004E201D" w:rsidP="004300E2">
            <w:pPr>
              <w:rPr>
                <w:lang w:val="it-IT"/>
              </w:rPr>
            </w:pPr>
            <w:r w:rsidRPr="008A0F36">
              <w:rPr>
                <w:lang w:val="it-IT"/>
              </w:rPr>
              <w:t>L’entità ha fornito l’informativa necessaria per rispettare la richiesta dell’IFRS 7.B11F.</w:t>
            </w:r>
          </w:p>
        </w:tc>
        <w:tc>
          <w:tcPr>
            <w:tcW w:w="575"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right w:w="0" w:type="dxa"/>
            </w:tcMar>
          </w:tcPr>
          <w:p w:rsidR="004300E2" w:rsidRPr="008A0F36" w:rsidRDefault="004300E2" w:rsidP="004300E2">
            <w:pPr>
              <w:pStyle w:val="IAS"/>
              <w:rPr>
                <w:lang w:val="it-IT"/>
              </w:rPr>
            </w:pPr>
            <w:r w:rsidRPr="008A0F36">
              <w:rPr>
                <w:lang w:val="it-IT"/>
              </w:rPr>
              <w:t>IFR</w:t>
            </w:r>
            <w:r>
              <w:rPr>
                <w:lang w:val="it-IT"/>
              </w:rPr>
              <w:t xml:space="preserve">S </w:t>
            </w:r>
            <w:r w:rsidRPr="008A0F36">
              <w:rPr>
                <w:lang w:val="it-IT"/>
              </w:rPr>
              <w:t>7</w:t>
            </w:r>
            <w:r>
              <w:rPr>
                <w:lang w:val="it-IT"/>
              </w:rPr>
              <w:t>.</w:t>
            </w:r>
            <w:r w:rsidRPr="008A0F36">
              <w:rPr>
                <w:lang w:val="it-IT"/>
              </w:rPr>
              <w:t>B10A</w:t>
            </w:r>
          </w:p>
        </w:tc>
        <w:tc>
          <w:tcPr>
            <w:tcW w:w="7079" w:type="dxa"/>
          </w:tcPr>
          <w:p w:rsidR="004300E2" w:rsidRPr="00AA561A" w:rsidRDefault="004300E2" w:rsidP="004300E2">
            <w:pPr>
              <w:rPr>
                <w:lang w:val="it-IT"/>
              </w:rPr>
            </w:pPr>
            <w:r w:rsidRPr="00AA561A">
              <w:rPr>
                <w:lang w:val="it-IT"/>
              </w:rPr>
              <w:t xml:space="preserve">A meno che le informazioni non siano incluse nell’analisi per scadenze richieste al punto </w:t>
            </w:r>
            <w:r>
              <w:rPr>
                <w:lang w:val="it-IT"/>
              </w:rPr>
              <w:t>27</w:t>
            </w:r>
            <w:r w:rsidR="00D20202">
              <w:rPr>
                <w:lang w:val="it-IT"/>
              </w:rPr>
              <w:t>0</w:t>
            </w:r>
            <w:r w:rsidRPr="00AA561A">
              <w:rPr>
                <w:lang w:val="it-IT"/>
              </w:rPr>
              <w:t xml:space="preserve"> a) o b), l’entità deve indicare il fatto e fornire informazioni che consentono agli utilizzatori del bilancio di valutare la misura in cui tale rischio sui flussi di cassa (o di altre attività finanziarie) in uscita può:</w:t>
            </w:r>
          </w:p>
        </w:tc>
        <w:tc>
          <w:tcPr>
            <w:tcW w:w="575" w:type="dxa"/>
            <w:vAlign w:val="center"/>
          </w:tcPr>
          <w:p w:rsidR="004300E2" w:rsidRPr="00090BE7" w:rsidRDefault="004300E2" w:rsidP="004300E2">
            <w:pPr>
              <w:jc w:val="center"/>
              <w:rPr>
                <w:lang w:val="it-IT"/>
              </w:rPr>
            </w:pPr>
          </w:p>
        </w:tc>
        <w:tc>
          <w:tcPr>
            <w:tcW w:w="567" w:type="dxa"/>
            <w:vAlign w:val="center"/>
          </w:tcPr>
          <w:p w:rsidR="004300E2" w:rsidRPr="00090BE7" w:rsidRDefault="004300E2" w:rsidP="004300E2">
            <w:pPr>
              <w:jc w:val="center"/>
              <w:rPr>
                <w:lang w:val="it-IT"/>
              </w:rPr>
            </w:pPr>
          </w:p>
        </w:tc>
        <w:tc>
          <w:tcPr>
            <w:tcW w:w="567" w:type="dxa"/>
            <w:tcMar>
              <w:left w:w="85" w:type="dxa"/>
              <w:right w:w="85" w:type="dxa"/>
            </w:tcMar>
            <w:vAlign w:val="center"/>
          </w:tcPr>
          <w:p w:rsidR="004300E2" w:rsidRPr="00090BE7" w:rsidRDefault="004300E2" w:rsidP="004300E2">
            <w:pPr>
              <w:jc w:val="center"/>
              <w:rPr>
                <w:lang w:val="it-IT"/>
              </w:rPr>
            </w:pPr>
          </w:p>
        </w:tc>
      </w:tr>
      <w:tr w:rsidR="004E201D" w:rsidRPr="008129DA" w:rsidTr="00940A6F">
        <w:trPr>
          <w:cantSplit/>
        </w:trPr>
        <w:tc>
          <w:tcPr>
            <w:tcW w:w="567" w:type="dxa"/>
            <w:tcMar>
              <w:left w:w="108" w:type="dxa"/>
            </w:tcMar>
          </w:tcPr>
          <w:p w:rsidR="004E201D" w:rsidRPr="008A0F36" w:rsidRDefault="004E201D" w:rsidP="004300E2">
            <w:pPr>
              <w:pStyle w:val="IAS"/>
              <w:rPr>
                <w:lang w:val="it-IT"/>
              </w:rPr>
            </w:pPr>
          </w:p>
        </w:tc>
        <w:tc>
          <w:tcPr>
            <w:tcW w:w="851" w:type="dxa"/>
            <w:tcMar>
              <w:right w:w="0" w:type="dxa"/>
            </w:tcMar>
          </w:tcPr>
          <w:p w:rsidR="004E201D" w:rsidRPr="008A0F36" w:rsidRDefault="004E201D" w:rsidP="004300E2">
            <w:pPr>
              <w:pStyle w:val="IAS"/>
              <w:rPr>
                <w:lang w:val="it-IT"/>
              </w:rPr>
            </w:pPr>
          </w:p>
        </w:tc>
        <w:tc>
          <w:tcPr>
            <w:tcW w:w="7079" w:type="dxa"/>
          </w:tcPr>
          <w:p w:rsidR="004E201D" w:rsidRPr="00AA561A" w:rsidRDefault="004E201D" w:rsidP="004300E2">
            <w:pPr>
              <w:pStyle w:val="Rientroa"/>
              <w:numPr>
                <w:ilvl w:val="0"/>
                <w:numId w:val="180"/>
              </w:numPr>
            </w:pPr>
            <w:r w:rsidRPr="00AA561A">
              <w:t>verificarsi significativamente prima delle scadenze indicate in tali date; o</w:t>
            </w:r>
          </w:p>
        </w:tc>
        <w:tc>
          <w:tcPr>
            <w:tcW w:w="575"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tcMar>
          </w:tcPr>
          <w:p w:rsidR="004E201D" w:rsidRPr="008A0F36" w:rsidRDefault="004E201D" w:rsidP="004300E2">
            <w:pPr>
              <w:pStyle w:val="IAS"/>
              <w:rPr>
                <w:lang w:val="it-IT"/>
              </w:rPr>
            </w:pPr>
          </w:p>
        </w:tc>
        <w:tc>
          <w:tcPr>
            <w:tcW w:w="851" w:type="dxa"/>
            <w:tcMar>
              <w:right w:w="0" w:type="dxa"/>
            </w:tcMar>
          </w:tcPr>
          <w:p w:rsidR="004E201D" w:rsidRPr="008A0F36" w:rsidRDefault="004E201D" w:rsidP="004300E2">
            <w:pPr>
              <w:pStyle w:val="IAS"/>
              <w:rPr>
                <w:lang w:val="it-IT"/>
              </w:rPr>
            </w:pPr>
          </w:p>
        </w:tc>
        <w:tc>
          <w:tcPr>
            <w:tcW w:w="7079" w:type="dxa"/>
          </w:tcPr>
          <w:p w:rsidR="004E201D" w:rsidRPr="00AA561A" w:rsidRDefault="004E201D" w:rsidP="00FB4B6E">
            <w:pPr>
              <w:pStyle w:val="Rientroa"/>
              <w:numPr>
                <w:ilvl w:val="0"/>
                <w:numId w:val="72"/>
              </w:numPr>
            </w:pPr>
            <w:r w:rsidRPr="00AA561A">
              <w:t>essere di importo significativamente diverso da quelli indicati in tali dati.</w:t>
            </w:r>
          </w:p>
        </w:tc>
        <w:tc>
          <w:tcPr>
            <w:tcW w:w="575"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A0F36" w:rsidTr="00940A6F">
        <w:trPr>
          <w:cantSplit/>
        </w:trPr>
        <w:tc>
          <w:tcPr>
            <w:tcW w:w="567" w:type="dxa"/>
            <w:tcMar>
              <w:left w:w="108" w:type="dxa"/>
            </w:tcMar>
          </w:tcPr>
          <w:p w:rsidR="004300E2" w:rsidRPr="008A0F36" w:rsidRDefault="004300E2" w:rsidP="004300E2">
            <w:pPr>
              <w:pStyle w:val="IAS"/>
              <w:rPr>
                <w:lang w:val="it-IT"/>
              </w:rPr>
            </w:pPr>
          </w:p>
        </w:tc>
        <w:tc>
          <w:tcPr>
            <w:tcW w:w="851" w:type="dxa"/>
            <w:tcMar>
              <w:right w:w="0" w:type="dxa"/>
            </w:tcMar>
          </w:tcPr>
          <w:p w:rsidR="004300E2" w:rsidRPr="008A0F36" w:rsidRDefault="004300E2" w:rsidP="004300E2">
            <w:pPr>
              <w:pStyle w:val="IAS"/>
              <w:rPr>
                <w:lang w:val="it-IT"/>
              </w:rPr>
            </w:pPr>
          </w:p>
        </w:tc>
        <w:tc>
          <w:tcPr>
            <w:tcW w:w="7079" w:type="dxa"/>
          </w:tcPr>
          <w:p w:rsidR="004300E2" w:rsidRPr="00AA561A" w:rsidRDefault="004300E2" w:rsidP="004300E2">
            <w:pPr>
              <w:pStyle w:val="Titolo2"/>
              <w:rPr>
                <w:lang w:val="it-IT"/>
              </w:rPr>
            </w:pPr>
            <w:r w:rsidRPr="00AA561A">
              <w:rPr>
                <w:lang w:val="it-IT"/>
              </w:rPr>
              <w:t>Rischio di mercato</w:t>
            </w:r>
          </w:p>
        </w:tc>
        <w:tc>
          <w:tcPr>
            <w:tcW w:w="575" w:type="dxa"/>
            <w:vAlign w:val="center"/>
          </w:tcPr>
          <w:p w:rsidR="004300E2" w:rsidRDefault="004300E2" w:rsidP="004300E2">
            <w:pPr>
              <w:jc w:val="center"/>
            </w:pPr>
          </w:p>
        </w:tc>
        <w:tc>
          <w:tcPr>
            <w:tcW w:w="567" w:type="dxa"/>
            <w:vAlign w:val="center"/>
          </w:tcPr>
          <w:p w:rsidR="004300E2" w:rsidRDefault="004300E2" w:rsidP="004300E2">
            <w:pPr>
              <w:jc w:val="center"/>
            </w:pPr>
          </w:p>
        </w:tc>
        <w:tc>
          <w:tcPr>
            <w:tcW w:w="567" w:type="dxa"/>
            <w:tcMar>
              <w:left w:w="85" w:type="dxa"/>
              <w:right w:w="85" w:type="dxa"/>
            </w:tcMar>
            <w:vAlign w:val="center"/>
          </w:tcPr>
          <w:p w:rsidR="004300E2" w:rsidRDefault="004300E2" w:rsidP="004300E2">
            <w:pPr>
              <w:jc w:val="center"/>
            </w:pPr>
          </w:p>
        </w:tc>
      </w:tr>
      <w:tr w:rsidR="004300E2" w:rsidRPr="00A44ECD" w:rsidTr="00B102C3">
        <w:trPr>
          <w:cantSplit/>
          <w:trHeight w:val="409"/>
        </w:trPr>
        <w:tc>
          <w:tcPr>
            <w:tcW w:w="567" w:type="dxa"/>
            <w:tcMar>
              <w:left w:w="108" w:type="dxa"/>
            </w:tcMar>
          </w:tcPr>
          <w:p w:rsidR="004300E2" w:rsidRPr="008A0F36" w:rsidRDefault="004300E2" w:rsidP="004300E2">
            <w:pPr>
              <w:pStyle w:val="IAS"/>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Pr="00AA561A" w:rsidRDefault="004300E2" w:rsidP="00BF6520">
            <w:pPr>
              <w:pStyle w:val="Paragarfobordato"/>
            </w:pPr>
            <w:r w:rsidRPr="00AA561A">
              <w:t xml:space="preserve">Si segnala, che con specifico riferimento al rischio di liquidità dovranno anche essere fornite nelle note al bilancio le informazioni qualitative e quantitative indicate ai precedenti punti </w:t>
            </w:r>
            <w:r>
              <w:t>22</w:t>
            </w:r>
            <w:r w:rsidR="00D20202">
              <w:t>3</w:t>
            </w:r>
            <w:r>
              <w:t>-22</w:t>
            </w:r>
            <w:r w:rsidR="00D20202">
              <w:t>6</w:t>
            </w:r>
            <w:r w:rsidRPr="00AA561A">
              <w:t>.</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4300E2" w:rsidRPr="008A0F36" w:rsidTr="00940A6F">
        <w:trPr>
          <w:cantSplit/>
        </w:trPr>
        <w:tc>
          <w:tcPr>
            <w:tcW w:w="567" w:type="dxa"/>
            <w:tcMar>
              <w:left w:w="108" w:type="dxa"/>
            </w:tcMar>
          </w:tcPr>
          <w:p w:rsidR="004300E2" w:rsidRPr="008A0F36" w:rsidRDefault="004300E2" w:rsidP="004300E2">
            <w:pPr>
              <w:pStyle w:val="IAS"/>
              <w:rPr>
                <w:lang w:val="it-IT"/>
              </w:rPr>
            </w:pPr>
          </w:p>
        </w:tc>
        <w:tc>
          <w:tcPr>
            <w:tcW w:w="851" w:type="dxa"/>
            <w:tcMar>
              <w:right w:w="0" w:type="dxa"/>
            </w:tcMar>
          </w:tcPr>
          <w:p w:rsidR="004300E2" w:rsidRPr="008A0F36" w:rsidRDefault="004300E2" w:rsidP="004300E2">
            <w:pPr>
              <w:pStyle w:val="IAS"/>
              <w:rPr>
                <w:lang w:val="it-IT"/>
              </w:rPr>
            </w:pPr>
          </w:p>
        </w:tc>
        <w:tc>
          <w:tcPr>
            <w:tcW w:w="7079" w:type="dxa"/>
          </w:tcPr>
          <w:p w:rsidR="004300E2" w:rsidRPr="00AA561A" w:rsidRDefault="004300E2" w:rsidP="004300E2">
            <w:pPr>
              <w:pStyle w:val="Titolo3"/>
              <w:rPr>
                <w:lang w:val="it-IT"/>
              </w:rPr>
            </w:pPr>
            <w:r w:rsidRPr="00AA561A">
              <w:rPr>
                <w:lang w:val="it-IT"/>
              </w:rPr>
              <w:t>Analisi di sensitività</w:t>
            </w:r>
          </w:p>
        </w:tc>
        <w:tc>
          <w:tcPr>
            <w:tcW w:w="575" w:type="dxa"/>
            <w:vAlign w:val="center"/>
          </w:tcPr>
          <w:p w:rsidR="004300E2" w:rsidRDefault="004300E2" w:rsidP="004300E2">
            <w:pPr>
              <w:jc w:val="center"/>
            </w:pPr>
          </w:p>
        </w:tc>
        <w:tc>
          <w:tcPr>
            <w:tcW w:w="567" w:type="dxa"/>
            <w:vAlign w:val="center"/>
          </w:tcPr>
          <w:p w:rsidR="004300E2" w:rsidRDefault="004300E2" w:rsidP="004300E2">
            <w:pPr>
              <w:jc w:val="center"/>
            </w:pPr>
          </w:p>
        </w:tc>
        <w:tc>
          <w:tcPr>
            <w:tcW w:w="567" w:type="dxa"/>
            <w:tcMar>
              <w:left w:w="85" w:type="dxa"/>
              <w:right w:w="85" w:type="dxa"/>
            </w:tcMar>
            <w:vAlign w:val="center"/>
          </w:tcPr>
          <w:p w:rsidR="004300E2" w:rsidRDefault="004300E2" w:rsidP="004300E2">
            <w:pPr>
              <w:jc w:val="center"/>
            </w:pP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right w:w="0" w:type="dxa"/>
            </w:tcMar>
          </w:tcPr>
          <w:p w:rsidR="004300E2" w:rsidRPr="008A0F36" w:rsidRDefault="004300E2" w:rsidP="00A921F0">
            <w:pPr>
              <w:pStyle w:val="IAS"/>
              <w:rPr>
                <w:lang w:val="it-IT"/>
              </w:rPr>
            </w:pPr>
            <w:r w:rsidRPr="008A0F36">
              <w:rPr>
                <w:lang w:val="it-IT"/>
              </w:rPr>
              <w:t>IFRS 7.40, IFRS 7.41</w:t>
            </w:r>
          </w:p>
        </w:tc>
        <w:tc>
          <w:tcPr>
            <w:tcW w:w="7079" w:type="dxa"/>
          </w:tcPr>
          <w:p w:rsidR="004300E2" w:rsidRPr="00AA561A" w:rsidRDefault="004300E2" w:rsidP="004300E2">
            <w:pPr>
              <w:keepNext/>
              <w:rPr>
                <w:lang w:val="it-IT"/>
              </w:rPr>
            </w:pPr>
            <w:r w:rsidRPr="00AA561A">
              <w:rPr>
                <w:lang w:val="it-IT"/>
              </w:rPr>
              <w:t xml:space="preserve">A meno che l’entità soddisfi l’IFRS 7.41 (vedi punto successivo </w:t>
            </w:r>
            <w:r>
              <w:rPr>
                <w:lang w:val="it-IT"/>
              </w:rPr>
              <w:t>28</w:t>
            </w:r>
            <w:r w:rsidR="00D20202">
              <w:rPr>
                <w:lang w:val="it-IT"/>
              </w:rPr>
              <w:t>2</w:t>
            </w:r>
            <w:r w:rsidRPr="00AA561A">
              <w:rPr>
                <w:lang w:val="it-IT"/>
              </w:rPr>
              <w:t>), l’entità fornisce la seguente informativa:</w:t>
            </w:r>
          </w:p>
        </w:tc>
        <w:tc>
          <w:tcPr>
            <w:tcW w:w="575" w:type="dxa"/>
            <w:vAlign w:val="center"/>
          </w:tcPr>
          <w:p w:rsidR="004300E2" w:rsidRPr="00090BE7" w:rsidRDefault="004300E2" w:rsidP="004300E2">
            <w:pPr>
              <w:jc w:val="center"/>
              <w:rPr>
                <w:lang w:val="it-IT"/>
              </w:rPr>
            </w:pPr>
          </w:p>
        </w:tc>
        <w:tc>
          <w:tcPr>
            <w:tcW w:w="567" w:type="dxa"/>
            <w:vAlign w:val="center"/>
          </w:tcPr>
          <w:p w:rsidR="004300E2" w:rsidRPr="00090BE7" w:rsidRDefault="004300E2" w:rsidP="004300E2">
            <w:pPr>
              <w:jc w:val="center"/>
              <w:rPr>
                <w:lang w:val="it-IT"/>
              </w:rPr>
            </w:pPr>
          </w:p>
        </w:tc>
        <w:tc>
          <w:tcPr>
            <w:tcW w:w="567" w:type="dxa"/>
            <w:tcMar>
              <w:left w:w="85" w:type="dxa"/>
              <w:right w:w="85" w:type="dxa"/>
            </w:tcMar>
            <w:vAlign w:val="center"/>
          </w:tcPr>
          <w:p w:rsidR="004300E2" w:rsidRPr="00090BE7" w:rsidRDefault="004300E2" w:rsidP="004300E2">
            <w:pPr>
              <w:jc w:val="center"/>
              <w:rPr>
                <w:lang w:val="it-IT"/>
              </w:rPr>
            </w:pPr>
          </w:p>
        </w:tc>
      </w:tr>
      <w:tr w:rsidR="004E201D" w:rsidRPr="008129DA" w:rsidTr="00940A6F">
        <w:trPr>
          <w:cantSplit/>
        </w:trPr>
        <w:tc>
          <w:tcPr>
            <w:tcW w:w="567" w:type="dxa"/>
            <w:tcMar>
              <w:left w:w="108" w:type="dxa"/>
            </w:tcMar>
          </w:tcPr>
          <w:p w:rsidR="004E201D" w:rsidRPr="008A0F36" w:rsidRDefault="004E201D" w:rsidP="004300E2">
            <w:pPr>
              <w:pStyle w:val="IAS"/>
              <w:rPr>
                <w:lang w:val="it-IT"/>
              </w:rPr>
            </w:pPr>
          </w:p>
        </w:tc>
        <w:tc>
          <w:tcPr>
            <w:tcW w:w="851" w:type="dxa"/>
            <w:tcMar>
              <w:right w:w="0" w:type="dxa"/>
            </w:tcMar>
          </w:tcPr>
          <w:p w:rsidR="004E201D" w:rsidRPr="008A0F36" w:rsidRDefault="004E201D" w:rsidP="004300E2">
            <w:pPr>
              <w:pStyle w:val="IAS"/>
              <w:rPr>
                <w:lang w:val="it-IT"/>
              </w:rPr>
            </w:pPr>
          </w:p>
        </w:tc>
        <w:tc>
          <w:tcPr>
            <w:tcW w:w="7079" w:type="dxa"/>
          </w:tcPr>
          <w:p w:rsidR="004E201D" w:rsidRPr="008A0F36" w:rsidRDefault="004E201D" w:rsidP="004300E2">
            <w:pPr>
              <w:pStyle w:val="Rientroa"/>
              <w:numPr>
                <w:ilvl w:val="0"/>
                <w:numId w:val="85"/>
              </w:numPr>
            </w:pPr>
            <w:r w:rsidRPr="008A0F36">
              <w:t>un’analisi di sensitività per ogni tipo di rischio di mercato cui l’entità è esposta alla data di chiusura dell’esercizio, con l’evidenza di come l’utile o la perdita ed il patrimonio netto sarebbero stati impattati da variazioni ragionevolmente possibili del relativo rischio alla data di chiusura dell’esercizio</w:t>
            </w:r>
          </w:p>
        </w:tc>
        <w:tc>
          <w:tcPr>
            <w:tcW w:w="575"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tcMar>
          </w:tcPr>
          <w:p w:rsidR="004E201D" w:rsidRPr="008A0F36" w:rsidRDefault="004E201D" w:rsidP="004300E2">
            <w:pPr>
              <w:pStyle w:val="IAS"/>
              <w:rPr>
                <w:lang w:val="it-IT"/>
              </w:rPr>
            </w:pPr>
          </w:p>
        </w:tc>
        <w:tc>
          <w:tcPr>
            <w:tcW w:w="851" w:type="dxa"/>
            <w:tcMar>
              <w:right w:w="0" w:type="dxa"/>
            </w:tcMar>
          </w:tcPr>
          <w:p w:rsidR="004E201D" w:rsidRPr="008A0F36" w:rsidRDefault="004E201D" w:rsidP="004300E2">
            <w:pPr>
              <w:pStyle w:val="IAS"/>
              <w:rPr>
                <w:lang w:val="it-IT"/>
              </w:rPr>
            </w:pPr>
          </w:p>
        </w:tc>
        <w:tc>
          <w:tcPr>
            <w:tcW w:w="7079" w:type="dxa"/>
          </w:tcPr>
          <w:p w:rsidR="004E201D" w:rsidRPr="008A0F36" w:rsidRDefault="004E201D" w:rsidP="00FB4B6E">
            <w:pPr>
              <w:pStyle w:val="Rientroa"/>
              <w:numPr>
                <w:ilvl w:val="0"/>
                <w:numId w:val="72"/>
              </w:numPr>
            </w:pPr>
            <w:r w:rsidRPr="008A0F36">
              <w:t>i metodi e le ipotesi di base usate nel preparare l’analisi di sensitività; e</w:t>
            </w:r>
          </w:p>
        </w:tc>
        <w:tc>
          <w:tcPr>
            <w:tcW w:w="575"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tcMar>
          </w:tcPr>
          <w:p w:rsidR="004E201D" w:rsidRPr="008A0F36" w:rsidRDefault="004E201D" w:rsidP="004300E2">
            <w:pPr>
              <w:pStyle w:val="IAS"/>
              <w:rPr>
                <w:lang w:val="it-IT"/>
              </w:rPr>
            </w:pPr>
          </w:p>
        </w:tc>
        <w:tc>
          <w:tcPr>
            <w:tcW w:w="851" w:type="dxa"/>
            <w:tcMar>
              <w:right w:w="0" w:type="dxa"/>
            </w:tcMar>
          </w:tcPr>
          <w:p w:rsidR="004E201D" w:rsidRPr="008A0F36" w:rsidRDefault="004E201D" w:rsidP="004300E2">
            <w:pPr>
              <w:pStyle w:val="IAS"/>
              <w:rPr>
                <w:lang w:val="it-IT"/>
              </w:rPr>
            </w:pPr>
          </w:p>
        </w:tc>
        <w:tc>
          <w:tcPr>
            <w:tcW w:w="7079" w:type="dxa"/>
          </w:tcPr>
          <w:p w:rsidR="004E201D" w:rsidRPr="008A0F36" w:rsidRDefault="004E201D" w:rsidP="00FB4B6E">
            <w:pPr>
              <w:pStyle w:val="Rientroa"/>
              <w:numPr>
                <w:ilvl w:val="0"/>
                <w:numId w:val="72"/>
              </w:numPr>
            </w:pPr>
            <w:r w:rsidRPr="008A0F36">
              <w:t>i cambiamenti rispetto al periodo precedente nei metodi e nelle ipotesi di base utilizzati, e le ragioni di tali cambiamenti.</w:t>
            </w:r>
          </w:p>
        </w:tc>
        <w:tc>
          <w:tcPr>
            <w:tcW w:w="575"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IAS"/>
              <w:rPr>
                <w:lang w:val="it-IT"/>
              </w:rPr>
            </w:pPr>
          </w:p>
        </w:tc>
        <w:tc>
          <w:tcPr>
            <w:tcW w:w="851" w:type="dxa"/>
            <w:tcMar>
              <w:right w:w="0" w:type="dxa"/>
            </w:tcMar>
          </w:tcPr>
          <w:p w:rsidR="004300E2" w:rsidRPr="008A0F36" w:rsidRDefault="004300E2" w:rsidP="004300E2">
            <w:pPr>
              <w:pStyle w:val="IAS"/>
              <w:rPr>
                <w:lang w:val="it-IT"/>
              </w:rPr>
            </w:pPr>
            <w:r w:rsidRPr="008A0F36">
              <w:rPr>
                <w:lang w:val="it-IT"/>
              </w:rPr>
              <w:t>IFRS 7.B17-21</w:t>
            </w:r>
          </w:p>
        </w:tc>
        <w:tc>
          <w:tcPr>
            <w:tcW w:w="7079" w:type="dxa"/>
          </w:tcPr>
          <w:p w:rsidR="004300E2" w:rsidRPr="008A0F36" w:rsidRDefault="004300E2" w:rsidP="003A5BB7">
            <w:pPr>
              <w:pStyle w:val="Commentiriquadro"/>
              <w:spacing w:before="40" w:line="204" w:lineRule="exact"/>
              <w:rPr>
                <w:b/>
                <w:lang w:val="it-IT"/>
              </w:rPr>
            </w:pPr>
            <w:r w:rsidRPr="008A0F36">
              <w:rPr>
                <w:b/>
                <w:lang w:val="it-IT"/>
              </w:rPr>
              <w:t xml:space="preserve">Rischio di mercato-analisi di sensitività </w:t>
            </w:r>
          </w:p>
          <w:p w:rsidR="004300E2" w:rsidRPr="008A0F36" w:rsidRDefault="004300E2" w:rsidP="003A5BB7">
            <w:pPr>
              <w:pStyle w:val="Commentiriquadro"/>
              <w:spacing w:line="204" w:lineRule="exact"/>
              <w:rPr>
                <w:lang w:val="it-IT"/>
              </w:rPr>
            </w:pPr>
            <w:r w:rsidRPr="008A0F36">
              <w:rPr>
                <w:lang w:val="it-IT"/>
              </w:rPr>
              <w:t>In accordo con IFRS 7.B3, un’entità decide come aggregare le informazioni per presentare una visione di insieme senza combinare informazioni con caratteristiche diverse circa l’esposizione ai rischi derivanti da contesti significativamente diversi.</w:t>
            </w:r>
          </w:p>
          <w:p w:rsidR="004300E2" w:rsidRPr="008A0F36" w:rsidRDefault="004300E2" w:rsidP="003A5BB7">
            <w:pPr>
              <w:pStyle w:val="Commentiriquadro"/>
              <w:spacing w:line="204" w:lineRule="exact"/>
              <w:rPr>
                <w:lang w:val="it-IT"/>
              </w:rPr>
            </w:pPr>
            <w:r w:rsidRPr="008A0F36">
              <w:rPr>
                <w:lang w:val="it-IT"/>
              </w:rPr>
              <w:t>Se un’entità è esposta ad un solo tipo di rischio di mercato in un solo contesto economico, l’entità non deve fornire informazioni disaggregate.</w:t>
            </w:r>
          </w:p>
          <w:p w:rsidR="004300E2" w:rsidRPr="008A0F36" w:rsidRDefault="004300E2" w:rsidP="003A5BB7">
            <w:pPr>
              <w:pStyle w:val="Commentiariquadro"/>
              <w:spacing w:line="204" w:lineRule="exact"/>
            </w:pPr>
            <w:r w:rsidRPr="008A0F36">
              <w:t>a)</w:t>
            </w:r>
            <w:r w:rsidRPr="008A0F36">
              <w:tab/>
              <w:t xml:space="preserve">L’entità deve presentare l’informativa dell’effetto sul risultato e sul patrimonio netto alla data di chiusura dell’esercizio assumendo che un possibile cambiamento delle variabili si sia verificato alla data di chiusura dell’esercizio e che sia stato applicato all’esposizione ai rischi esistenti a quella data. Per esempio, se l’entità ha una passività a tasso variabile alla fine dell’esercizio, l’entità dovrebbe dare l’informativa dell’effetto sull’utile o sulla perdita (ad esempio oneri finanziari) del corrente esercizio se il tasso di interesse fosse variato all’interno di un </w:t>
            </w:r>
            <w:r w:rsidRPr="008A0F36">
              <w:rPr>
                <w:i/>
              </w:rPr>
              <w:t>range</w:t>
            </w:r>
            <w:r w:rsidRPr="008A0F36">
              <w:t xml:space="preserve"> possibile.</w:t>
            </w:r>
          </w:p>
          <w:p w:rsidR="004300E2" w:rsidRPr="008A0F36" w:rsidRDefault="004300E2" w:rsidP="003A5BB7">
            <w:pPr>
              <w:pStyle w:val="Commentiariquadro"/>
              <w:spacing w:after="40" w:line="204" w:lineRule="exact"/>
            </w:pPr>
            <w:r w:rsidRPr="008A0F36">
              <w:t>b)</w:t>
            </w:r>
            <w:r w:rsidRPr="008A0F36">
              <w:tab/>
              <w:t xml:space="preserve">L’entità non è obbligata a fornire l’informativa dell’effetto sull’utile o sulla perdita e sul patrimonio netto per ogni variazione entro un intervallo di possibili variazioni delle relative variabili di rischio. E’ sufficiente dare informativa degli effetti delle variazioni al limite dell’intervallo ragionevolmente possibile. </w:t>
            </w:r>
          </w:p>
        </w:tc>
        <w:tc>
          <w:tcPr>
            <w:tcW w:w="575" w:type="dxa"/>
            <w:vAlign w:val="center"/>
          </w:tcPr>
          <w:p w:rsidR="004300E2" w:rsidRPr="00090BE7" w:rsidRDefault="004300E2" w:rsidP="004300E2">
            <w:pPr>
              <w:jc w:val="center"/>
              <w:rPr>
                <w:lang w:val="it-IT"/>
              </w:rPr>
            </w:pPr>
          </w:p>
        </w:tc>
        <w:tc>
          <w:tcPr>
            <w:tcW w:w="567" w:type="dxa"/>
            <w:vAlign w:val="center"/>
          </w:tcPr>
          <w:p w:rsidR="004300E2" w:rsidRPr="00090BE7" w:rsidRDefault="004300E2" w:rsidP="004300E2">
            <w:pPr>
              <w:jc w:val="center"/>
              <w:rPr>
                <w:lang w:val="it-IT"/>
              </w:rPr>
            </w:pPr>
          </w:p>
        </w:tc>
        <w:tc>
          <w:tcPr>
            <w:tcW w:w="567" w:type="dxa"/>
            <w:tcMar>
              <w:left w:w="85" w:type="dxa"/>
              <w:right w:w="85" w:type="dxa"/>
            </w:tcMar>
            <w:vAlign w:val="center"/>
          </w:tcPr>
          <w:p w:rsidR="004300E2" w:rsidRPr="00090BE7" w:rsidRDefault="004300E2" w:rsidP="004300E2">
            <w:pPr>
              <w:jc w:val="center"/>
              <w:rPr>
                <w:lang w:val="it-IT"/>
              </w:rPr>
            </w:pPr>
          </w:p>
        </w:tc>
      </w:tr>
      <w:tr w:rsidR="004300E2" w:rsidRPr="00A44ECD" w:rsidTr="00940A6F">
        <w:trPr>
          <w:cantSplit/>
        </w:trPr>
        <w:tc>
          <w:tcPr>
            <w:tcW w:w="567" w:type="dxa"/>
            <w:tcMar>
              <w:left w:w="108" w:type="dxa"/>
            </w:tcMar>
          </w:tcPr>
          <w:p w:rsidR="004300E2" w:rsidRPr="008A0F36" w:rsidRDefault="004300E2" w:rsidP="004300E2">
            <w:pPr>
              <w:pStyle w:val="IAS"/>
              <w:rPr>
                <w:lang w:val="it-IT"/>
              </w:rPr>
            </w:pPr>
          </w:p>
        </w:tc>
        <w:tc>
          <w:tcPr>
            <w:tcW w:w="851" w:type="dxa"/>
            <w:tcMar>
              <w:right w:w="0" w:type="dxa"/>
            </w:tcMar>
          </w:tcPr>
          <w:p w:rsidR="004300E2" w:rsidRPr="008A0F36" w:rsidRDefault="004300E2" w:rsidP="004300E2">
            <w:pPr>
              <w:pStyle w:val="IAS"/>
              <w:rPr>
                <w:lang w:val="it-IT"/>
              </w:rPr>
            </w:pPr>
          </w:p>
        </w:tc>
        <w:tc>
          <w:tcPr>
            <w:tcW w:w="7079" w:type="dxa"/>
          </w:tcPr>
          <w:p w:rsidR="004300E2" w:rsidRPr="008A0F36" w:rsidRDefault="004300E2" w:rsidP="003A5BB7">
            <w:pPr>
              <w:pStyle w:val="Commentiriquadro"/>
              <w:spacing w:before="40" w:line="204" w:lineRule="exact"/>
              <w:rPr>
                <w:lang w:val="it-IT"/>
              </w:rPr>
            </w:pPr>
            <w:r w:rsidRPr="008A0F36">
              <w:rPr>
                <w:lang w:val="it-IT"/>
              </w:rPr>
              <w:t>Nel determinare cosa sia una variazione possibile e ragionevole nei relativi rischi variabili, un’entità dovrebbe considerare:</w:t>
            </w:r>
          </w:p>
          <w:p w:rsidR="004300E2" w:rsidRPr="008A0F36" w:rsidRDefault="004300E2" w:rsidP="003A5BB7">
            <w:pPr>
              <w:pStyle w:val="Commentiariquadro"/>
              <w:spacing w:line="204" w:lineRule="exact"/>
            </w:pPr>
            <w:r w:rsidRPr="008A0F36">
              <w:t>a)</w:t>
            </w:r>
            <w:r w:rsidRPr="008A0F36">
              <w:tab/>
              <w:t>il contesto economico in cui l’entità opera. Una variazione possibile ragionevole non include scenari remoti né “</w:t>
            </w:r>
            <w:r w:rsidRPr="008A0F36">
              <w:rPr>
                <w:i/>
              </w:rPr>
              <w:t>worst case</w:t>
            </w:r>
            <w:r w:rsidRPr="008A0F36">
              <w:t>” o “</w:t>
            </w:r>
            <w:r w:rsidRPr="008A0F36">
              <w:rPr>
                <w:i/>
              </w:rPr>
              <w:t>stress test</w:t>
            </w:r>
            <w:r w:rsidRPr="008A0F36">
              <w:t>”. Comunque, se il tasso di variazione di un sottostante rischio variabile è stabile, l’entità non deve alterare la scelta della variazione possibile nel rischio variabile. Per esempio, assumendo che il tasso di interesse sia al 5% e l’entità stabilisce che una fluttuazione nel tasso di interesse del +/- 50 punti base è ragionevole. L’entità dovrebbe dare l’informativa dell’effetto sull’utile o sulla perdita e sul patrimonio netto se il tasso di interesse cambiasse dal 4,5% al 5,5%. Nel periodo successivo, il tasso di interesse ha raggiunto il 5,5%. L’entità continua a ritenere che il tasso di interesse possa fluttuare di +/- 50 punti base (poiché il tasso di variazione dei tassi di interesse è stabile). L’entità dovrebbe dare l’informativa dell’effetto sull’utile e sulla perdita o sul patrimonio netto se il tasso di interesse variasse al 5 o al 6%. L’entità non deve necessariamente</w:t>
            </w:r>
            <w:r w:rsidRPr="008A0F36">
              <w:rPr>
                <w:b/>
              </w:rPr>
              <w:t xml:space="preserve"> </w:t>
            </w:r>
            <w:r w:rsidRPr="008A0F36">
              <w:t>rivedere la sua valutazione che il tasso di interesse è divenuto significativamente più volatile</w:t>
            </w:r>
          </w:p>
          <w:p w:rsidR="004300E2" w:rsidRPr="008A0F36" w:rsidRDefault="004300E2" w:rsidP="003A5BB7">
            <w:pPr>
              <w:pStyle w:val="Commentiariquadro"/>
              <w:spacing w:after="40" w:line="204" w:lineRule="exact"/>
            </w:pPr>
            <w:r w:rsidRPr="008A0F36">
              <w:t>b)</w:t>
            </w:r>
            <w:r w:rsidRPr="008A0F36">
              <w:tab/>
            </w:r>
            <w:r w:rsidR="00A31E7B">
              <w:t>i</w:t>
            </w:r>
            <w:r w:rsidRPr="008A0F36">
              <w:t>l quadro temporale di riferimento cui si riferisce la stima. L’analisi di sensitività deve mostrare gli effetti delle variazioni che possono essere considerate ragionevolmente possibili per il periodo fino alla successiva presentazione dell’informativa da parte dell’entità, che è usualmente l’esercizio annuale successivo.</w:t>
            </w:r>
          </w:p>
        </w:tc>
        <w:tc>
          <w:tcPr>
            <w:tcW w:w="575" w:type="dxa"/>
            <w:vAlign w:val="center"/>
          </w:tcPr>
          <w:p w:rsidR="004300E2" w:rsidRPr="00090BE7" w:rsidRDefault="004300E2" w:rsidP="004300E2">
            <w:pPr>
              <w:jc w:val="center"/>
              <w:rPr>
                <w:lang w:val="it-IT"/>
              </w:rPr>
            </w:pPr>
          </w:p>
        </w:tc>
        <w:tc>
          <w:tcPr>
            <w:tcW w:w="567" w:type="dxa"/>
            <w:vAlign w:val="center"/>
          </w:tcPr>
          <w:p w:rsidR="004300E2" w:rsidRPr="00090BE7" w:rsidRDefault="004300E2" w:rsidP="004300E2">
            <w:pPr>
              <w:jc w:val="center"/>
              <w:rPr>
                <w:lang w:val="it-IT"/>
              </w:rPr>
            </w:pPr>
          </w:p>
        </w:tc>
        <w:tc>
          <w:tcPr>
            <w:tcW w:w="567" w:type="dxa"/>
            <w:tcMar>
              <w:left w:w="85" w:type="dxa"/>
              <w:right w:w="85" w:type="dxa"/>
            </w:tcMar>
            <w:vAlign w:val="center"/>
          </w:tcPr>
          <w:p w:rsidR="004300E2" w:rsidRPr="00090BE7" w:rsidRDefault="004300E2" w:rsidP="004300E2">
            <w:pPr>
              <w:jc w:val="center"/>
              <w:rPr>
                <w:lang w:val="it-IT"/>
              </w:rPr>
            </w:pPr>
          </w:p>
        </w:tc>
      </w:tr>
      <w:tr w:rsidR="004300E2" w:rsidRPr="00A44ECD" w:rsidTr="00940A6F">
        <w:trPr>
          <w:cantSplit/>
        </w:trPr>
        <w:tc>
          <w:tcPr>
            <w:tcW w:w="567" w:type="dxa"/>
            <w:tcMar>
              <w:left w:w="108" w:type="dxa"/>
            </w:tcMar>
          </w:tcPr>
          <w:p w:rsidR="004300E2" w:rsidRPr="008A0F36" w:rsidRDefault="004300E2" w:rsidP="004300E2">
            <w:pPr>
              <w:pStyle w:val="IAS"/>
              <w:rPr>
                <w:lang w:val="it-IT"/>
              </w:rPr>
            </w:pPr>
          </w:p>
        </w:tc>
        <w:tc>
          <w:tcPr>
            <w:tcW w:w="851" w:type="dxa"/>
            <w:tcMar>
              <w:right w:w="0" w:type="dxa"/>
            </w:tcMar>
          </w:tcPr>
          <w:p w:rsidR="004300E2" w:rsidRPr="008A0F36" w:rsidRDefault="004300E2" w:rsidP="004300E2">
            <w:pPr>
              <w:pStyle w:val="IAS"/>
              <w:rPr>
                <w:lang w:val="it-IT"/>
              </w:rPr>
            </w:pPr>
            <w:r w:rsidRPr="008A0F36">
              <w:rPr>
                <w:lang w:val="it-IT"/>
              </w:rPr>
              <w:t>IFRS 7.41</w:t>
            </w:r>
          </w:p>
        </w:tc>
        <w:tc>
          <w:tcPr>
            <w:tcW w:w="7079" w:type="dxa"/>
          </w:tcPr>
          <w:p w:rsidR="004300E2" w:rsidRPr="008A0F36" w:rsidRDefault="004300E2" w:rsidP="003A5BB7">
            <w:pPr>
              <w:pStyle w:val="Commentiriquadro"/>
              <w:spacing w:before="40" w:line="204" w:lineRule="exact"/>
              <w:rPr>
                <w:lang w:val="it-IT"/>
              </w:rPr>
            </w:pPr>
            <w:r w:rsidRPr="008A0F36">
              <w:rPr>
                <w:lang w:val="it-IT"/>
              </w:rPr>
              <w:t>L’IFRS 7.41 consente all’entità di usare un’analisi di sensitività che riflette l’interdipendenza tra variabili di rischio, come il VAR (</w:t>
            </w:r>
            <w:r w:rsidRPr="008A0F36">
              <w:rPr>
                <w:i/>
                <w:lang w:val="it-IT"/>
              </w:rPr>
              <w:t>value at risk</w:t>
            </w:r>
            <w:r w:rsidRPr="008A0F36">
              <w:rPr>
                <w:lang w:val="it-IT"/>
              </w:rPr>
              <w:t xml:space="preserve">), se utilizza questa analisi per gestire la sua esposizione ai rischi finanziari. Ciò si applica anche se tale metodologia </w:t>
            </w:r>
            <w:r>
              <w:rPr>
                <w:lang w:val="it-IT"/>
              </w:rPr>
              <w:t xml:space="preserve">valuta </w:t>
            </w:r>
            <w:r w:rsidRPr="008A0F36">
              <w:rPr>
                <w:lang w:val="it-IT"/>
              </w:rPr>
              <w:t>solo il potenziale rischio di perdita e non il potenziale utile. L’entità per soddisfare i requisiti dell’IFRS 7.41 (a) deve dare l’informativa sul tipo di modello di VAR usato (ad esempio se il modello si basa sulla simulazione con metodo Monte Carlo), una spiegazione sulle modalità di funzionamento del modello e sulle principali ipotesi di base (ad esempio periodo e livello di confidenza). L’entità deve fornire anche l’informativa sui periodi osservati e sulle ponderazioni applicate alle osservazioni entro quel periodo, una spiegazione di come le opzioni concordano con i calcoli, e quali volatilità e correlazioni (o in alternativa simulazione di probabilità con metodo Monte Carlo) sono usate.</w:t>
            </w:r>
          </w:p>
          <w:p w:rsidR="004300E2" w:rsidRPr="008A0F36" w:rsidRDefault="004300E2" w:rsidP="003A5BB7">
            <w:pPr>
              <w:pStyle w:val="Commentiriquadro"/>
              <w:spacing w:after="40" w:line="204" w:lineRule="exact"/>
              <w:rPr>
                <w:b/>
                <w:lang w:val="it-IT"/>
              </w:rPr>
            </w:pPr>
            <w:r w:rsidRPr="008A0F36">
              <w:rPr>
                <w:lang w:val="it-IT"/>
              </w:rPr>
              <w:t>Un’entità deve fornire l’analisi di sensitività per l’intero business, ma può fornire l’informativa sull’analisi di sensitività per differenti classi di strumenti finanziari.</w:t>
            </w:r>
          </w:p>
        </w:tc>
        <w:tc>
          <w:tcPr>
            <w:tcW w:w="575" w:type="dxa"/>
            <w:vAlign w:val="center"/>
          </w:tcPr>
          <w:p w:rsidR="004300E2" w:rsidRPr="00090BE7" w:rsidRDefault="004300E2" w:rsidP="004300E2">
            <w:pPr>
              <w:jc w:val="center"/>
              <w:rPr>
                <w:lang w:val="it-IT"/>
              </w:rPr>
            </w:pPr>
          </w:p>
        </w:tc>
        <w:tc>
          <w:tcPr>
            <w:tcW w:w="567" w:type="dxa"/>
            <w:vAlign w:val="center"/>
          </w:tcPr>
          <w:p w:rsidR="004300E2" w:rsidRPr="00090BE7" w:rsidRDefault="004300E2" w:rsidP="004300E2">
            <w:pPr>
              <w:jc w:val="center"/>
              <w:rPr>
                <w:lang w:val="it-IT"/>
              </w:rPr>
            </w:pPr>
          </w:p>
        </w:tc>
        <w:tc>
          <w:tcPr>
            <w:tcW w:w="567" w:type="dxa"/>
            <w:tcMar>
              <w:left w:w="85" w:type="dxa"/>
              <w:right w:w="85" w:type="dxa"/>
            </w:tcMar>
            <w:vAlign w:val="center"/>
          </w:tcPr>
          <w:p w:rsidR="004300E2" w:rsidRPr="00090BE7" w:rsidRDefault="004300E2" w:rsidP="004300E2">
            <w:pPr>
              <w:jc w:val="center"/>
              <w:rPr>
                <w:lang w:val="it-IT"/>
              </w:rPr>
            </w:pP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IFRS 7.41</w:t>
            </w:r>
          </w:p>
        </w:tc>
        <w:tc>
          <w:tcPr>
            <w:tcW w:w="7079" w:type="dxa"/>
            <w:tcMar>
              <w:left w:w="108" w:type="dxa"/>
            </w:tcMar>
          </w:tcPr>
          <w:p w:rsidR="004300E2" w:rsidRPr="008A0F36" w:rsidRDefault="004300E2" w:rsidP="00B102C3">
            <w:pPr>
              <w:spacing w:line="226" w:lineRule="exact"/>
              <w:rPr>
                <w:lang w:val="it-IT"/>
              </w:rPr>
            </w:pPr>
            <w:r w:rsidRPr="008A0F36">
              <w:rPr>
                <w:lang w:val="it-IT"/>
              </w:rPr>
              <w:t>Se l’entità prepara l’analisi di sensitività, come ad esempio il VAR (</w:t>
            </w:r>
            <w:r w:rsidRPr="008A0F36">
              <w:rPr>
                <w:i/>
                <w:lang w:val="it-IT"/>
              </w:rPr>
              <w:t>Value-at-risk</w:t>
            </w:r>
            <w:r w:rsidRPr="008A0F36">
              <w:rPr>
                <w:lang w:val="it-IT"/>
              </w:rPr>
              <w:t xml:space="preserve">), che riflette l’interdipendenza tra variabili di rischio (ad esempio tasso di interesse e tasso di cambio) e usa tale metodo per gestire i rischi finanziari, l’entità può usare l’analisi di sensitività al posto dell’analisi di cui all’IFRS 7.40 (vedi punto </w:t>
            </w:r>
            <w:r w:rsidRPr="00AA561A">
              <w:rPr>
                <w:lang w:val="it-IT"/>
              </w:rPr>
              <w:t xml:space="preserve">precedente </w:t>
            </w:r>
            <w:r w:rsidRPr="007A6524">
              <w:rPr>
                <w:lang w:val="it-IT"/>
              </w:rPr>
              <w:t>28</w:t>
            </w:r>
            <w:r w:rsidR="00D20202">
              <w:rPr>
                <w:lang w:val="it-IT"/>
              </w:rPr>
              <w:t>1</w:t>
            </w:r>
            <w:r w:rsidRPr="00AA561A">
              <w:rPr>
                <w:lang w:val="it-IT"/>
              </w:rPr>
              <w:t>). L’entità</w:t>
            </w:r>
            <w:r w:rsidRPr="008A0F36">
              <w:rPr>
                <w:lang w:val="it-IT"/>
              </w:rPr>
              <w:t xml:space="preserve"> in questo caso ha fornito anche la seguente informativa:</w:t>
            </w:r>
          </w:p>
        </w:tc>
        <w:tc>
          <w:tcPr>
            <w:tcW w:w="575" w:type="dxa"/>
            <w:tcMar>
              <w:left w:w="85" w:type="dxa"/>
              <w:right w:w="85" w:type="dxa"/>
            </w:tcMar>
            <w:vAlign w:val="center"/>
          </w:tcPr>
          <w:p w:rsidR="004300E2" w:rsidRPr="003E3E83" w:rsidRDefault="004300E2" w:rsidP="004300E2">
            <w:pPr>
              <w:jc w:val="center"/>
              <w:rPr>
                <w:lang w:val="it-IT"/>
              </w:rPr>
            </w:pPr>
          </w:p>
        </w:tc>
        <w:tc>
          <w:tcPr>
            <w:tcW w:w="567" w:type="dxa"/>
            <w:tcMar>
              <w:left w:w="108" w:type="dxa"/>
            </w:tcMar>
            <w:vAlign w:val="center"/>
          </w:tcPr>
          <w:p w:rsidR="004300E2" w:rsidRPr="003E3E83" w:rsidRDefault="004300E2" w:rsidP="004300E2">
            <w:pPr>
              <w:jc w:val="center"/>
              <w:rPr>
                <w:lang w:val="it-IT"/>
              </w:rPr>
            </w:pPr>
          </w:p>
        </w:tc>
        <w:tc>
          <w:tcPr>
            <w:tcW w:w="567" w:type="dxa"/>
            <w:tcMar>
              <w:left w:w="108" w:type="dxa"/>
            </w:tcMar>
            <w:vAlign w:val="center"/>
          </w:tcPr>
          <w:p w:rsidR="004300E2" w:rsidRPr="003E3E83" w:rsidRDefault="004300E2" w:rsidP="004300E2">
            <w:pPr>
              <w:jc w:val="center"/>
              <w:rPr>
                <w:lang w:val="it-IT"/>
              </w:rPr>
            </w:pPr>
          </w:p>
        </w:tc>
      </w:tr>
      <w:tr w:rsidR="004E201D" w:rsidRPr="008129DA" w:rsidTr="00940A6F">
        <w:trPr>
          <w:cantSplit/>
        </w:trPr>
        <w:tc>
          <w:tcPr>
            <w:tcW w:w="567" w:type="dxa"/>
            <w:tcMar>
              <w:left w:w="108"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B102C3">
            <w:pPr>
              <w:pStyle w:val="Rientroa"/>
              <w:numPr>
                <w:ilvl w:val="0"/>
                <w:numId w:val="80"/>
              </w:numPr>
              <w:spacing w:line="226" w:lineRule="exact"/>
            </w:pPr>
            <w:r w:rsidRPr="008A0F36">
              <w:t>una spiegazione del metodo usato nel preparare l’analisi di sensitività, e una spiegazione dei principali parametri ed ipotesi sottostanti i dati forniti; e</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FB4B6E">
        <w:trPr>
          <w:cantSplit/>
          <w:trHeight w:val="516"/>
        </w:trPr>
        <w:tc>
          <w:tcPr>
            <w:tcW w:w="567" w:type="dxa"/>
            <w:tcMar>
              <w:left w:w="108"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B102C3">
            <w:pPr>
              <w:pStyle w:val="Rientroa"/>
              <w:numPr>
                <w:ilvl w:val="0"/>
                <w:numId w:val="72"/>
              </w:numPr>
              <w:spacing w:line="226" w:lineRule="exact"/>
              <w:rPr>
                <w:sz w:val="18"/>
                <w:szCs w:val="18"/>
              </w:rPr>
            </w:pPr>
            <w:r w:rsidRPr="008A0F36">
              <w:t xml:space="preserve">una spiegazione dell’obiettivo del metodo usato e dei limiti che ne potrebbero derivare per le informazioni che non riflettono pienamente il </w:t>
            </w:r>
            <w:r w:rsidRPr="008A0F36">
              <w:rPr>
                <w:i/>
              </w:rPr>
              <w:t>fair value</w:t>
            </w:r>
            <w:r w:rsidRPr="008A0F36">
              <w:t xml:space="preserve"> delle attività e delle passività.</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A0F36" w:rsidTr="00940A6F">
        <w:trPr>
          <w:cantSplit/>
        </w:trPr>
        <w:tc>
          <w:tcPr>
            <w:tcW w:w="567" w:type="dxa"/>
            <w:tcMar>
              <w:left w:w="108" w:type="dxa"/>
            </w:tcMar>
          </w:tcPr>
          <w:p w:rsidR="004300E2" w:rsidRPr="008A0F36" w:rsidRDefault="004300E2" w:rsidP="004300E2">
            <w:pPr>
              <w:pStyle w:val="IAS"/>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Pr="008A0F36" w:rsidRDefault="004300E2" w:rsidP="004300E2">
            <w:pPr>
              <w:pStyle w:val="Titolo2"/>
              <w:rPr>
                <w:lang w:val="it-IT"/>
              </w:rPr>
            </w:pPr>
            <w:r w:rsidRPr="008A0F36">
              <w:rPr>
                <w:lang w:val="it-IT"/>
              </w:rPr>
              <w:t>Rischio di cambio</w:t>
            </w:r>
          </w:p>
        </w:tc>
        <w:tc>
          <w:tcPr>
            <w:tcW w:w="575" w:type="dxa"/>
            <w:tcMar>
              <w:left w:w="85" w:type="dxa"/>
              <w:right w:w="85" w:type="dxa"/>
            </w:tcMar>
            <w:vAlign w:val="center"/>
          </w:tcPr>
          <w:p w:rsidR="004300E2" w:rsidRDefault="004300E2" w:rsidP="004300E2">
            <w:pPr>
              <w:jc w:val="center"/>
            </w:pPr>
          </w:p>
        </w:tc>
        <w:tc>
          <w:tcPr>
            <w:tcW w:w="567" w:type="dxa"/>
            <w:tcMar>
              <w:left w:w="108" w:type="dxa"/>
            </w:tcMar>
            <w:vAlign w:val="center"/>
          </w:tcPr>
          <w:p w:rsidR="004300E2" w:rsidRDefault="004300E2" w:rsidP="004300E2">
            <w:pPr>
              <w:jc w:val="center"/>
            </w:pPr>
          </w:p>
        </w:tc>
        <w:tc>
          <w:tcPr>
            <w:tcW w:w="567" w:type="dxa"/>
            <w:tcMar>
              <w:left w:w="108" w:type="dxa"/>
            </w:tcMar>
            <w:vAlign w:val="center"/>
          </w:tcPr>
          <w:p w:rsidR="004300E2" w:rsidRDefault="004300E2" w:rsidP="004300E2">
            <w:pPr>
              <w:jc w:val="center"/>
            </w:pPr>
          </w:p>
        </w:tc>
      </w:tr>
      <w:tr w:rsidR="004300E2" w:rsidRPr="00A44ECD" w:rsidTr="00940A6F">
        <w:trPr>
          <w:cantSplit/>
          <w:trHeight w:val="283"/>
        </w:trPr>
        <w:tc>
          <w:tcPr>
            <w:tcW w:w="567" w:type="dxa"/>
            <w:tcMar>
              <w:left w:w="108" w:type="dxa"/>
            </w:tcMar>
          </w:tcPr>
          <w:p w:rsidR="004300E2" w:rsidRPr="008A0F36" w:rsidRDefault="004300E2" w:rsidP="004300E2">
            <w:pPr>
              <w:pStyle w:val="IAS"/>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IFRS 7.B23</w:t>
            </w:r>
          </w:p>
        </w:tc>
        <w:tc>
          <w:tcPr>
            <w:tcW w:w="7079" w:type="dxa"/>
            <w:tcMar>
              <w:left w:w="108" w:type="dxa"/>
            </w:tcMar>
          </w:tcPr>
          <w:p w:rsidR="004300E2" w:rsidRPr="008A0F36" w:rsidRDefault="004300E2" w:rsidP="00B102C3">
            <w:pPr>
              <w:pStyle w:val="Paragarfobordato"/>
            </w:pPr>
            <w:r w:rsidRPr="008A0F36">
              <w:t>Per le finalità dell’IFRS 7, i rischi di cambio non derivano da strumenti finanziari di tipo non monetario o da strumenti finanziari denominati nella valuta funzionale.</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4E201D" w:rsidRPr="008129DA" w:rsidTr="00940A6F">
        <w:trPr>
          <w:cantSplit/>
        </w:trPr>
        <w:tc>
          <w:tcPr>
            <w:tcW w:w="567" w:type="dxa"/>
            <w:tcMar>
              <w:left w:w="108" w:type="dxa"/>
            </w:tcMar>
          </w:tcPr>
          <w:p w:rsidR="004E201D" w:rsidRPr="008A0F36" w:rsidRDefault="004E201D" w:rsidP="004300E2">
            <w:pPr>
              <w:pStyle w:val="Numeroelenco"/>
              <w:ind w:left="0" w:firstLine="57"/>
              <w:rPr>
                <w:lang w:val="it-IT"/>
              </w:rPr>
            </w:pPr>
          </w:p>
        </w:tc>
        <w:tc>
          <w:tcPr>
            <w:tcW w:w="851" w:type="dxa"/>
            <w:tcMar>
              <w:left w:w="108" w:type="dxa"/>
              <w:right w:w="0" w:type="dxa"/>
            </w:tcMar>
          </w:tcPr>
          <w:p w:rsidR="004E201D" w:rsidRPr="008A0F36" w:rsidRDefault="004E201D" w:rsidP="004300E2">
            <w:pPr>
              <w:pStyle w:val="IAS"/>
              <w:rPr>
                <w:lang w:val="it-IT"/>
              </w:rPr>
            </w:pPr>
            <w:r w:rsidRPr="008A0F36">
              <w:rPr>
                <w:lang w:val="it-IT"/>
              </w:rPr>
              <w:t>IFRS 7.B24</w:t>
            </w:r>
          </w:p>
        </w:tc>
        <w:tc>
          <w:tcPr>
            <w:tcW w:w="7079" w:type="dxa"/>
            <w:tcMar>
              <w:left w:w="108" w:type="dxa"/>
            </w:tcMar>
          </w:tcPr>
          <w:p w:rsidR="004E201D" w:rsidRPr="008A0F36" w:rsidRDefault="004E201D" w:rsidP="00B102C3">
            <w:pPr>
              <w:spacing w:line="226" w:lineRule="exact"/>
              <w:rPr>
                <w:b/>
                <w:lang w:val="it-IT"/>
              </w:rPr>
            </w:pPr>
            <w:r w:rsidRPr="008A0F36">
              <w:rPr>
                <w:lang w:val="it-IT"/>
              </w:rPr>
              <w:t>Un’analisi di sensitività è fornita per ogni valuta a cui l’entità è esposta per un rischio significativo.</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A0F36" w:rsidTr="00940A6F">
        <w:trPr>
          <w:cantSplit/>
        </w:trPr>
        <w:tc>
          <w:tcPr>
            <w:tcW w:w="567" w:type="dxa"/>
            <w:tcMar>
              <w:left w:w="108" w:type="dxa"/>
            </w:tcMar>
          </w:tcPr>
          <w:p w:rsidR="004300E2" w:rsidRPr="008A0F36" w:rsidRDefault="004300E2" w:rsidP="004943F6">
            <w:pPr>
              <w:pStyle w:val="IAS"/>
              <w:pageBreakBefore/>
              <w:rPr>
                <w:lang w:val="it-IT"/>
              </w:rPr>
            </w:pPr>
          </w:p>
        </w:tc>
        <w:tc>
          <w:tcPr>
            <w:tcW w:w="851" w:type="dxa"/>
            <w:tcMar>
              <w:left w:w="108" w:type="dxa"/>
              <w:right w:w="0" w:type="dxa"/>
            </w:tcMar>
          </w:tcPr>
          <w:p w:rsidR="004300E2" w:rsidRPr="008A0F36" w:rsidRDefault="004300E2" w:rsidP="004943F6">
            <w:pPr>
              <w:pStyle w:val="IAS"/>
              <w:pageBreakBefore/>
              <w:rPr>
                <w:lang w:val="it-IT"/>
              </w:rPr>
            </w:pPr>
          </w:p>
        </w:tc>
        <w:tc>
          <w:tcPr>
            <w:tcW w:w="7079" w:type="dxa"/>
            <w:tcMar>
              <w:left w:w="108" w:type="dxa"/>
            </w:tcMar>
          </w:tcPr>
          <w:p w:rsidR="004300E2" w:rsidRPr="008A0F36" w:rsidRDefault="004300E2" w:rsidP="004943F6">
            <w:pPr>
              <w:pStyle w:val="Titolo2"/>
              <w:keepNext w:val="0"/>
              <w:pageBreakBefore/>
              <w:rPr>
                <w:lang w:val="it-IT"/>
              </w:rPr>
            </w:pPr>
            <w:r w:rsidRPr="008A0F36">
              <w:rPr>
                <w:lang w:val="it-IT"/>
              </w:rPr>
              <w:t>Altri rischi di prezzo</w:t>
            </w:r>
          </w:p>
        </w:tc>
        <w:tc>
          <w:tcPr>
            <w:tcW w:w="575" w:type="dxa"/>
            <w:tcMar>
              <w:left w:w="85" w:type="dxa"/>
              <w:right w:w="85" w:type="dxa"/>
            </w:tcMar>
            <w:vAlign w:val="center"/>
          </w:tcPr>
          <w:p w:rsidR="004300E2" w:rsidRDefault="004300E2" w:rsidP="004943F6">
            <w:pPr>
              <w:pageBreakBefore/>
              <w:jc w:val="center"/>
            </w:pPr>
          </w:p>
        </w:tc>
        <w:tc>
          <w:tcPr>
            <w:tcW w:w="567" w:type="dxa"/>
            <w:tcMar>
              <w:left w:w="108" w:type="dxa"/>
            </w:tcMar>
            <w:vAlign w:val="center"/>
          </w:tcPr>
          <w:p w:rsidR="004300E2" w:rsidRDefault="004300E2" w:rsidP="004943F6">
            <w:pPr>
              <w:pageBreakBefore/>
              <w:jc w:val="center"/>
            </w:pPr>
          </w:p>
        </w:tc>
        <w:tc>
          <w:tcPr>
            <w:tcW w:w="567" w:type="dxa"/>
            <w:tcMar>
              <w:left w:w="108" w:type="dxa"/>
            </w:tcMar>
            <w:vAlign w:val="center"/>
          </w:tcPr>
          <w:p w:rsidR="004300E2" w:rsidRDefault="004300E2" w:rsidP="004943F6">
            <w:pPr>
              <w:pageBreakBefore/>
              <w:jc w:val="center"/>
            </w:pPr>
          </w:p>
        </w:tc>
      </w:tr>
      <w:tr w:rsidR="004300E2" w:rsidRPr="008A0F36" w:rsidTr="00940A6F">
        <w:trPr>
          <w:cantSplit/>
        </w:trPr>
        <w:tc>
          <w:tcPr>
            <w:tcW w:w="567" w:type="dxa"/>
            <w:tcMar>
              <w:left w:w="108" w:type="dxa"/>
            </w:tcMar>
          </w:tcPr>
          <w:p w:rsidR="004300E2" w:rsidRPr="008A0F36" w:rsidRDefault="004300E2" w:rsidP="004300E2">
            <w:pPr>
              <w:pStyle w:val="IAS"/>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IFRS 7.B25-28</w:t>
            </w:r>
          </w:p>
        </w:tc>
        <w:tc>
          <w:tcPr>
            <w:tcW w:w="7079" w:type="dxa"/>
            <w:tcMar>
              <w:left w:w="108" w:type="dxa"/>
            </w:tcMar>
          </w:tcPr>
          <w:p w:rsidR="004300E2" w:rsidRPr="008A0F36" w:rsidRDefault="004300E2" w:rsidP="004300E2">
            <w:pPr>
              <w:pStyle w:val="Commentiriquadro"/>
              <w:spacing w:before="40"/>
              <w:rPr>
                <w:lang w:val="it-IT"/>
              </w:rPr>
            </w:pPr>
            <w:r w:rsidRPr="008A0F36">
              <w:rPr>
                <w:lang w:val="it-IT"/>
              </w:rPr>
              <w:t>Altri rischi di prezzo derivano da strumenti finanziari a causa di variazioni, ad esempio, nel prezzo delle materie prime o delle quotazioni azionarie. Per soddisfare i requisiti dell’IFRS 7.40, un’entità deve dare l’informativa dell’effetto di una discesa in uno specifico indice azionario, indice dei prezzi delle materie prime, o altro rischio variabile. Per esempio, se un’entità fornisce garanzie sul valore residuo e tali garanzie sono strumenti finanziari, l’entità fornisce l’informativa sull’incremento o decremento del valore delle attività cui queste garanzie si riferiscono.</w:t>
            </w:r>
          </w:p>
          <w:p w:rsidR="004300E2" w:rsidRPr="008A0F36" w:rsidRDefault="004300E2" w:rsidP="004300E2">
            <w:pPr>
              <w:pStyle w:val="Commentiriquadro"/>
              <w:rPr>
                <w:lang w:val="it-IT"/>
              </w:rPr>
            </w:pPr>
            <w:r w:rsidRPr="008A0F36">
              <w:rPr>
                <w:lang w:val="it-IT"/>
              </w:rPr>
              <w:t>Due esempi di strumenti finanziari che originano rischio di prezzo sulle azioni sono costituiti dal possesso di strumenti rappresentativi di capitale di un’altra entità, e un investimento in un trust che detiene investimenti in strumenti di capitale. Altri esempi includono contratti a termine e opzioni per comprare o vendere determinate quantità di strumenti di capitale e swaps che sono indicizzati a prezzi azionari.</w:t>
            </w:r>
          </w:p>
          <w:p w:rsidR="004300E2" w:rsidRPr="008A0F36" w:rsidRDefault="004300E2" w:rsidP="004300E2">
            <w:pPr>
              <w:pStyle w:val="Commentiriquadro"/>
              <w:rPr>
                <w:lang w:val="it-IT"/>
              </w:rPr>
            </w:pPr>
            <w:r w:rsidRPr="008A0F36">
              <w:rPr>
                <w:lang w:val="it-IT"/>
              </w:rPr>
              <w:t xml:space="preserve">Il </w:t>
            </w:r>
            <w:r w:rsidRPr="008A0F36">
              <w:rPr>
                <w:i/>
                <w:lang w:val="it-IT"/>
              </w:rPr>
              <w:t>fair value</w:t>
            </w:r>
            <w:r w:rsidRPr="008A0F36">
              <w:rPr>
                <w:lang w:val="it-IT"/>
              </w:rPr>
              <w:t xml:space="preserve"> di tali strumenti finanziari è impattato da variazioni nei prezzi di mercato dei sottostanti strumenti di capitale.</w:t>
            </w:r>
          </w:p>
          <w:p w:rsidR="004300E2" w:rsidRPr="008A0F36" w:rsidRDefault="004300E2" w:rsidP="004300E2">
            <w:pPr>
              <w:pStyle w:val="Commentiriquadro"/>
              <w:rPr>
                <w:lang w:val="it-IT"/>
              </w:rPr>
            </w:pPr>
            <w:r w:rsidRPr="008A0F36">
              <w:rPr>
                <w:lang w:val="it-IT"/>
              </w:rPr>
              <w:t xml:space="preserve">In accordo con l’IFRS 7.40 (a), la sensitività dell’utile o della perdita (che deriva, ad esempio, da strumenti classificati al </w:t>
            </w:r>
            <w:r w:rsidRPr="008A0F36">
              <w:rPr>
                <w:i/>
                <w:lang w:val="it-IT"/>
              </w:rPr>
              <w:t>fair value</w:t>
            </w:r>
            <w:r w:rsidRPr="008A0F36">
              <w:rPr>
                <w:lang w:val="it-IT"/>
              </w:rPr>
              <w:t xml:space="preserve"> rilevato </w:t>
            </w:r>
            <w:r w:rsidRPr="00251283">
              <w:rPr>
                <w:lang w:val="it-IT"/>
              </w:rPr>
              <w:t>nell’utile/(perdita)</w:t>
            </w:r>
            <w:r w:rsidRPr="008A0F36">
              <w:rPr>
                <w:lang w:val="it-IT"/>
              </w:rPr>
              <w:t xml:space="preserve"> o da svalutazioni di attività finanziarie classificate come disponibili per la vendita) è indicata nell’informativa separatamente dalla sensitività del patrimonio netto (che deriva, per esempio da strumenti classificati come disponibili per la vendita).</w:t>
            </w:r>
          </w:p>
          <w:p w:rsidR="004300E2" w:rsidRPr="008A0F36" w:rsidRDefault="004300E2" w:rsidP="004300E2">
            <w:pPr>
              <w:pStyle w:val="Commentiriquadro"/>
              <w:spacing w:after="40"/>
              <w:rPr>
                <w:lang w:val="it-IT"/>
              </w:rPr>
            </w:pPr>
            <w:r w:rsidRPr="008A0F36">
              <w:rPr>
                <w:lang w:val="it-IT"/>
              </w:rPr>
              <w:t xml:space="preserve">Gli strumenti finanziari che un’entità classifica come strumenti di patrimonio netto non vengono </w:t>
            </w:r>
            <w:r>
              <w:rPr>
                <w:lang w:val="it-IT"/>
              </w:rPr>
              <w:t>rivalutati successivamente</w:t>
            </w:r>
            <w:r w:rsidRPr="008A0F36">
              <w:rPr>
                <w:lang w:val="it-IT"/>
              </w:rPr>
              <w:t>. Né l’utile o la perdita né il patrimonio netto saranno impattati dalla variazione dei prezzi di tali strumenti di capitale. Pertanto non è richiesta alcuna analisi di sensitività.</w:t>
            </w:r>
            <w:r>
              <w:rPr>
                <w:lang w:val="it-IT"/>
              </w:rPr>
              <w:t xml:space="preserve"> </w:t>
            </w:r>
          </w:p>
        </w:tc>
        <w:tc>
          <w:tcPr>
            <w:tcW w:w="575" w:type="dxa"/>
            <w:tcMar>
              <w:left w:w="85" w:type="dxa"/>
              <w:right w:w="85" w:type="dxa"/>
            </w:tcMar>
            <w:vAlign w:val="center"/>
          </w:tcPr>
          <w:p w:rsidR="004300E2" w:rsidRDefault="004300E2" w:rsidP="004300E2">
            <w:pPr>
              <w:jc w:val="center"/>
            </w:pPr>
          </w:p>
        </w:tc>
        <w:tc>
          <w:tcPr>
            <w:tcW w:w="567" w:type="dxa"/>
            <w:tcMar>
              <w:left w:w="108" w:type="dxa"/>
            </w:tcMar>
            <w:vAlign w:val="center"/>
          </w:tcPr>
          <w:p w:rsidR="004300E2" w:rsidRDefault="004300E2" w:rsidP="004300E2">
            <w:pPr>
              <w:jc w:val="center"/>
            </w:pPr>
          </w:p>
        </w:tc>
        <w:tc>
          <w:tcPr>
            <w:tcW w:w="567" w:type="dxa"/>
            <w:tcMar>
              <w:left w:w="108" w:type="dxa"/>
            </w:tcMar>
            <w:vAlign w:val="center"/>
          </w:tcPr>
          <w:p w:rsidR="004300E2" w:rsidRDefault="004300E2" w:rsidP="004300E2">
            <w:pPr>
              <w:jc w:val="center"/>
            </w:pP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Pr="008A0F36" w:rsidRDefault="004300E2" w:rsidP="004300E2">
            <w:pPr>
              <w:pStyle w:val="Titolo2"/>
              <w:rPr>
                <w:lang w:val="it-IT"/>
              </w:rPr>
            </w:pPr>
            <w:r w:rsidRPr="008A0F36">
              <w:rPr>
                <w:lang w:val="it-IT"/>
              </w:rPr>
              <w:t>Informativa su altri rischi di mercato</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4E201D" w:rsidRPr="008129DA" w:rsidTr="00940A6F">
        <w:trPr>
          <w:cantSplit/>
        </w:trPr>
        <w:tc>
          <w:tcPr>
            <w:tcW w:w="567" w:type="dxa"/>
            <w:tcMar>
              <w:left w:w="108"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r w:rsidRPr="008A0F36">
              <w:rPr>
                <w:lang w:val="it-IT"/>
              </w:rPr>
              <w:t>IFRS 7.42</w:t>
            </w:r>
          </w:p>
        </w:tc>
        <w:tc>
          <w:tcPr>
            <w:tcW w:w="7079" w:type="dxa"/>
            <w:tcMar>
              <w:left w:w="108" w:type="dxa"/>
            </w:tcMar>
            <w:vAlign w:val="bottom"/>
          </w:tcPr>
          <w:p w:rsidR="004E201D" w:rsidRPr="008A0F36" w:rsidRDefault="004E201D" w:rsidP="00B102C3">
            <w:pPr>
              <w:rPr>
                <w:lang w:val="it-IT"/>
              </w:rPr>
            </w:pPr>
            <w:r w:rsidRPr="008A0F36">
              <w:rPr>
                <w:lang w:val="it-IT"/>
              </w:rPr>
              <w:t xml:space="preserve">Quando l’analisi di sensitività fornita in accordo con l’IFRS 7.40-41 </w:t>
            </w:r>
            <w:r w:rsidRPr="00AA561A">
              <w:rPr>
                <w:lang w:val="it-IT"/>
              </w:rPr>
              <w:t xml:space="preserve">(vedi </w:t>
            </w:r>
            <w:r w:rsidRPr="0011168C">
              <w:rPr>
                <w:lang w:val="it-IT"/>
              </w:rPr>
              <w:t>punti 28</w:t>
            </w:r>
            <w:r>
              <w:rPr>
                <w:lang w:val="it-IT"/>
              </w:rPr>
              <w:t>1</w:t>
            </w:r>
            <w:r w:rsidRPr="0011168C">
              <w:rPr>
                <w:lang w:val="it-IT"/>
              </w:rPr>
              <w:t>-28</w:t>
            </w:r>
            <w:r>
              <w:rPr>
                <w:lang w:val="it-IT"/>
              </w:rPr>
              <w:t>4</w:t>
            </w:r>
            <w:r w:rsidRPr="00AA561A">
              <w:rPr>
                <w:lang w:val="it-IT"/>
              </w:rPr>
              <w:t>)</w:t>
            </w:r>
            <w:r w:rsidRPr="008A0F36">
              <w:rPr>
                <w:lang w:val="it-IT"/>
              </w:rPr>
              <w:t xml:space="preserve"> non rispecchia il rischio inerente uno strumento finanziario (perché, per esempio, l’esposizione alla fine dell’esercizio non riflette l’esposizione durante l’esercizio) l’entità da’ l’informativa di tale fatto e delle ragioni in base alle quali l’entità ritiene che l’analisi di sensitività non sia rappresentativa.</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IAS"/>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Pr="008A0F36" w:rsidRDefault="004300E2" w:rsidP="004300E2">
            <w:pPr>
              <w:pStyle w:val="Titolo2"/>
              <w:jc w:val="both"/>
              <w:rPr>
                <w:caps/>
                <w:lang w:val="it-IT"/>
              </w:rPr>
            </w:pPr>
            <w:r w:rsidRPr="008A0F36">
              <w:rPr>
                <w:lang w:val="it-IT"/>
              </w:rPr>
              <w:t>Strumenti con opzioni a vendere ed altri strumenti simili classificati come patrimonio</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4300E2" w:rsidRPr="008A0F36" w:rsidTr="00940A6F">
        <w:trPr>
          <w:cantSplit/>
        </w:trPr>
        <w:tc>
          <w:tcPr>
            <w:tcW w:w="567" w:type="dxa"/>
            <w:tcMar>
              <w:left w:w="108" w:type="dxa"/>
              <w:right w:w="0" w:type="dxa"/>
            </w:tcMar>
          </w:tcPr>
          <w:p w:rsidR="004300E2" w:rsidRPr="008A0F36" w:rsidRDefault="004300E2" w:rsidP="004300E2">
            <w:pPr>
              <w:pStyle w:val="Numeroelenco"/>
              <w:ind w:left="0" w:firstLine="57"/>
              <w:rPr>
                <w:lang w:val="it-IT"/>
              </w:rPr>
            </w:pPr>
          </w:p>
        </w:tc>
        <w:tc>
          <w:tcPr>
            <w:tcW w:w="851" w:type="dxa"/>
            <w:tcMar>
              <w:right w:w="0" w:type="dxa"/>
            </w:tcMar>
          </w:tcPr>
          <w:p w:rsidR="004300E2" w:rsidRPr="008A0F36" w:rsidRDefault="004300E2" w:rsidP="004300E2">
            <w:pPr>
              <w:pStyle w:val="IAS"/>
              <w:rPr>
                <w:lang w:val="it-IT"/>
              </w:rPr>
            </w:pPr>
            <w:r w:rsidRPr="008A0F36">
              <w:rPr>
                <w:lang w:val="it-IT"/>
              </w:rPr>
              <w:t>IAS 1.80A</w:t>
            </w:r>
          </w:p>
        </w:tc>
        <w:tc>
          <w:tcPr>
            <w:tcW w:w="7079" w:type="dxa"/>
            <w:vAlign w:val="bottom"/>
          </w:tcPr>
          <w:p w:rsidR="004300E2" w:rsidRPr="008A0F36" w:rsidRDefault="004300E2" w:rsidP="004300E2">
            <w:pPr>
              <w:rPr>
                <w:lang w:val="it-IT"/>
              </w:rPr>
            </w:pPr>
            <w:r w:rsidRPr="008A0F36">
              <w:rPr>
                <w:lang w:val="it-IT"/>
              </w:rPr>
              <w:t>Se un’entità ha riclassificato:</w:t>
            </w:r>
          </w:p>
        </w:tc>
        <w:tc>
          <w:tcPr>
            <w:tcW w:w="575" w:type="dxa"/>
            <w:tcMar>
              <w:left w:w="85" w:type="dxa"/>
              <w:right w:w="85" w:type="dxa"/>
            </w:tcMar>
            <w:vAlign w:val="center"/>
          </w:tcPr>
          <w:p w:rsidR="004300E2" w:rsidRDefault="004300E2" w:rsidP="004300E2">
            <w:pPr>
              <w:jc w:val="center"/>
            </w:pPr>
          </w:p>
        </w:tc>
        <w:tc>
          <w:tcPr>
            <w:tcW w:w="567" w:type="dxa"/>
            <w:vAlign w:val="center"/>
          </w:tcPr>
          <w:p w:rsidR="004300E2" w:rsidRDefault="004300E2" w:rsidP="004300E2">
            <w:pPr>
              <w:jc w:val="center"/>
            </w:pPr>
          </w:p>
        </w:tc>
        <w:tc>
          <w:tcPr>
            <w:tcW w:w="567" w:type="dxa"/>
            <w:vAlign w:val="center"/>
          </w:tcPr>
          <w:p w:rsidR="004300E2" w:rsidRDefault="004300E2" w:rsidP="004300E2">
            <w:pPr>
              <w:jc w:val="center"/>
            </w:pP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right w:w="0" w:type="dxa"/>
            </w:tcMar>
          </w:tcPr>
          <w:p w:rsidR="004E201D" w:rsidRPr="008A0F36" w:rsidRDefault="004E201D" w:rsidP="004300E2">
            <w:pPr>
              <w:pStyle w:val="IAS"/>
              <w:rPr>
                <w:lang w:val="it-IT"/>
              </w:rPr>
            </w:pPr>
          </w:p>
        </w:tc>
        <w:tc>
          <w:tcPr>
            <w:tcW w:w="7079" w:type="dxa"/>
            <w:vAlign w:val="bottom"/>
          </w:tcPr>
          <w:p w:rsidR="004E201D" w:rsidRPr="008A0F36" w:rsidRDefault="004E201D" w:rsidP="004300E2">
            <w:pPr>
              <w:pStyle w:val="Rientroa"/>
              <w:numPr>
                <w:ilvl w:val="0"/>
                <w:numId w:val="81"/>
              </w:numPr>
            </w:pPr>
            <w:r w:rsidRPr="008A0F36">
              <w:t xml:space="preserve">uno strumento finanziario con opzione a vendere classificato come strumento di capitale, o </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right w:w="0" w:type="dxa"/>
            </w:tcMar>
          </w:tcPr>
          <w:p w:rsidR="004E201D" w:rsidRPr="008A0F36" w:rsidRDefault="004E201D" w:rsidP="004300E2">
            <w:pPr>
              <w:pStyle w:val="IAS"/>
              <w:rPr>
                <w:lang w:val="it-IT"/>
              </w:rPr>
            </w:pPr>
          </w:p>
        </w:tc>
        <w:tc>
          <w:tcPr>
            <w:tcW w:w="7079" w:type="dxa"/>
            <w:vAlign w:val="bottom"/>
          </w:tcPr>
          <w:p w:rsidR="004E201D" w:rsidRPr="008A0F36" w:rsidRDefault="004E201D" w:rsidP="00FB4B6E">
            <w:pPr>
              <w:pStyle w:val="Rientroa"/>
              <w:numPr>
                <w:ilvl w:val="0"/>
                <w:numId w:val="72"/>
              </w:numPr>
            </w:pPr>
            <w:r w:rsidRPr="008A0F36">
              <w:t xml:space="preserve">uno strumento che impone all’entità l’obbligo di consegnare ad una terza parte una quota pro-rata delle proprie attività nette solo al momento della liquidazione e lo ha classificato come strumento di capitale tra passività finanziarie e strumenti di capitale, ha indicato: </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right w:w="0" w:type="dxa"/>
            </w:tcMar>
          </w:tcPr>
          <w:p w:rsidR="004E201D" w:rsidRPr="008A0F36" w:rsidRDefault="004E201D" w:rsidP="004300E2">
            <w:pPr>
              <w:pStyle w:val="IAS"/>
              <w:rPr>
                <w:lang w:val="it-IT"/>
              </w:rPr>
            </w:pPr>
          </w:p>
        </w:tc>
        <w:tc>
          <w:tcPr>
            <w:tcW w:w="7079" w:type="dxa"/>
            <w:vAlign w:val="bottom"/>
          </w:tcPr>
          <w:p w:rsidR="004E201D" w:rsidRPr="008A0F36" w:rsidRDefault="004E201D" w:rsidP="004300E2">
            <w:pPr>
              <w:pStyle w:val="Rientroisottoa"/>
            </w:pPr>
            <w:r w:rsidRPr="008A0F36">
              <w:t>i)</w:t>
            </w:r>
            <w:r w:rsidRPr="008A0F36">
              <w:tab/>
              <w:t>l’importo riclassificato da ed in ogni categoria (passività finanziaria o patrimonio netto)</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right w:w="0" w:type="dxa"/>
            </w:tcMar>
          </w:tcPr>
          <w:p w:rsidR="004E201D" w:rsidRPr="008A0F36" w:rsidRDefault="004E201D" w:rsidP="004300E2">
            <w:pPr>
              <w:pStyle w:val="IAS"/>
              <w:rPr>
                <w:lang w:val="it-IT"/>
              </w:rPr>
            </w:pPr>
          </w:p>
        </w:tc>
        <w:tc>
          <w:tcPr>
            <w:tcW w:w="7079" w:type="dxa"/>
            <w:vAlign w:val="bottom"/>
          </w:tcPr>
          <w:p w:rsidR="004E201D" w:rsidRPr="008A0F36" w:rsidRDefault="004E201D" w:rsidP="004300E2">
            <w:pPr>
              <w:pStyle w:val="Rientroisottoa"/>
            </w:pPr>
            <w:r w:rsidRPr="008A0F36">
              <w:t>ii)</w:t>
            </w:r>
            <w:r w:rsidRPr="008A0F36">
              <w:tab/>
              <w:t>i tempi della riclassificazione</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right w:w="0" w:type="dxa"/>
            </w:tcMar>
          </w:tcPr>
          <w:p w:rsidR="004E201D" w:rsidRPr="008A0F36" w:rsidRDefault="004E201D" w:rsidP="004300E2">
            <w:pPr>
              <w:pStyle w:val="IAS"/>
              <w:rPr>
                <w:lang w:val="it-IT"/>
              </w:rPr>
            </w:pPr>
          </w:p>
        </w:tc>
        <w:tc>
          <w:tcPr>
            <w:tcW w:w="7079" w:type="dxa"/>
            <w:vAlign w:val="bottom"/>
          </w:tcPr>
          <w:p w:rsidR="004E201D" w:rsidRPr="008A0F36" w:rsidRDefault="004E201D" w:rsidP="004300E2">
            <w:pPr>
              <w:pStyle w:val="Rientroisottoa"/>
            </w:pPr>
            <w:r w:rsidRPr="008A0F36">
              <w:t>iii)</w:t>
            </w:r>
            <w:r w:rsidRPr="008A0F36">
              <w:tab/>
              <w:t>la ragione della riclassificazione.</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right w:w="0" w:type="dxa"/>
            </w:tcMar>
          </w:tcPr>
          <w:p w:rsidR="004300E2" w:rsidRPr="008A0F36" w:rsidRDefault="004300E2" w:rsidP="004300E2">
            <w:pPr>
              <w:pStyle w:val="Numeroelenco"/>
              <w:ind w:left="0" w:firstLine="57"/>
              <w:rPr>
                <w:lang w:val="it-IT"/>
              </w:rPr>
            </w:pPr>
          </w:p>
        </w:tc>
        <w:tc>
          <w:tcPr>
            <w:tcW w:w="851" w:type="dxa"/>
            <w:tcMar>
              <w:right w:w="0" w:type="dxa"/>
            </w:tcMar>
          </w:tcPr>
          <w:p w:rsidR="004300E2" w:rsidRPr="008A0F36" w:rsidRDefault="004300E2" w:rsidP="004300E2">
            <w:pPr>
              <w:pStyle w:val="IAS"/>
              <w:rPr>
                <w:lang w:val="it-IT"/>
              </w:rPr>
            </w:pPr>
            <w:r w:rsidRPr="008A0F36">
              <w:rPr>
                <w:lang w:val="it-IT"/>
              </w:rPr>
              <w:t>IAS 1.136A</w:t>
            </w:r>
          </w:p>
        </w:tc>
        <w:tc>
          <w:tcPr>
            <w:tcW w:w="7079" w:type="dxa"/>
            <w:vAlign w:val="bottom"/>
          </w:tcPr>
          <w:p w:rsidR="004300E2" w:rsidRPr="008A0F36" w:rsidRDefault="004300E2" w:rsidP="004300E2">
            <w:pPr>
              <w:rPr>
                <w:lang w:val="it-IT"/>
              </w:rPr>
            </w:pPr>
            <w:r w:rsidRPr="008A0F36">
              <w:rPr>
                <w:lang w:val="it-IT"/>
              </w:rPr>
              <w:t xml:space="preserve">Per strumenti con opzione a vendere classificati come strumenti di capitale, l’entità ha indicato: </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vAlign w:val="center"/>
          </w:tcPr>
          <w:p w:rsidR="004300E2" w:rsidRPr="00090BE7" w:rsidRDefault="004300E2" w:rsidP="004300E2">
            <w:pPr>
              <w:jc w:val="center"/>
              <w:rPr>
                <w:lang w:val="it-IT"/>
              </w:rPr>
            </w:pPr>
          </w:p>
        </w:tc>
        <w:tc>
          <w:tcPr>
            <w:tcW w:w="567" w:type="dxa"/>
            <w:vAlign w:val="center"/>
          </w:tcPr>
          <w:p w:rsidR="004300E2" w:rsidRPr="00090BE7" w:rsidRDefault="004300E2" w:rsidP="004300E2">
            <w:pPr>
              <w:jc w:val="center"/>
              <w:rPr>
                <w:lang w:val="it-IT"/>
              </w:rPr>
            </w:pP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right w:w="0" w:type="dxa"/>
            </w:tcMar>
          </w:tcPr>
          <w:p w:rsidR="004E201D" w:rsidRPr="008A0F36" w:rsidRDefault="004E201D" w:rsidP="004300E2">
            <w:pPr>
              <w:pStyle w:val="IAS"/>
              <w:rPr>
                <w:lang w:val="it-IT"/>
              </w:rPr>
            </w:pPr>
          </w:p>
        </w:tc>
        <w:tc>
          <w:tcPr>
            <w:tcW w:w="7079" w:type="dxa"/>
            <w:vAlign w:val="bottom"/>
          </w:tcPr>
          <w:p w:rsidR="004E201D" w:rsidRPr="008A0F36" w:rsidRDefault="004E201D" w:rsidP="004300E2">
            <w:pPr>
              <w:pStyle w:val="Rientroa"/>
              <w:numPr>
                <w:ilvl w:val="0"/>
                <w:numId w:val="82"/>
              </w:numPr>
            </w:pPr>
            <w:r w:rsidRPr="008A0F36">
              <w:t>dati riepilogativi quantitativi circa l’importo riclassificato a patrimonio netto</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right w:w="0" w:type="dxa"/>
            </w:tcMar>
          </w:tcPr>
          <w:p w:rsidR="004E201D" w:rsidRPr="008A0F36" w:rsidRDefault="004E201D" w:rsidP="004300E2">
            <w:pPr>
              <w:pStyle w:val="IAS"/>
              <w:rPr>
                <w:lang w:val="it-IT"/>
              </w:rPr>
            </w:pPr>
          </w:p>
        </w:tc>
        <w:tc>
          <w:tcPr>
            <w:tcW w:w="7079" w:type="dxa"/>
            <w:vAlign w:val="bottom"/>
          </w:tcPr>
          <w:p w:rsidR="004E201D" w:rsidRPr="008A0F36" w:rsidRDefault="004E201D" w:rsidP="00FB4B6E">
            <w:pPr>
              <w:pStyle w:val="Rientroa"/>
              <w:numPr>
                <w:ilvl w:val="0"/>
                <w:numId w:val="72"/>
              </w:numPr>
            </w:pPr>
            <w:r w:rsidRPr="008A0F36">
              <w:t>gli obiettivi, le politiche ed i processi per la gestione del proprio obbligo di riacquisto o riscatto degli strumenti su richiesta dei beneficiari, includendo eventuali variazioni rispetto all’esercizio precedente</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right w:w="0" w:type="dxa"/>
            </w:tcMar>
          </w:tcPr>
          <w:p w:rsidR="004E201D" w:rsidRPr="008A0F36" w:rsidRDefault="004E201D" w:rsidP="004300E2">
            <w:pPr>
              <w:pStyle w:val="IAS"/>
              <w:rPr>
                <w:lang w:val="it-IT"/>
              </w:rPr>
            </w:pPr>
          </w:p>
        </w:tc>
        <w:tc>
          <w:tcPr>
            <w:tcW w:w="7079" w:type="dxa"/>
            <w:vAlign w:val="bottom"/>
          </w:tcPr>
          <w:p w:rsidR="004E201D" w:rsidRPr="008A0F36" w:rsidRDefault="004E201D" w:rsidP="00FB4B6E">
            <w:pPr>
              <w:pStyle w:val="Rientroa"/>
              <w:numPr>
                <w:ilvl w:val="0"/>
                <w:numId w:val="72"/>
              </w:numPr>
            </w:pPr>
            <w:r w:rsidRPr="008A0F36">
              <w:t xml:space="preserve">l’uscita di cassa attesa al riscatto o riacquisto di tale classe di strumenti finanziari; e </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right w:w="0" w:type="dxa"/>
            </w:tcMar>
          </w:tcPr>
          <w:p w:rsidR="004E201D" w:rsidRPr="008A0F36" w:rsidRDefault="004E201D" w:rsidP="004300E2">
            <w:pPr>
              <w:pStyle w:val="IAS"/>
              <w:rPr>
                <w:lang w:val="it-IT"/>
              </w:rPr>
            </w:pPr>
          </w:p>
        </w:tc>
        <w:tc>
          <w:tcPr>
            <w:tcW w:w="7079" w:type="dxa"/>
            <w:vAlign w:val="bottom"/>
          </w:tcPr>
          <w:p w:rsidR="004E201D" w:rsidRPr="008A0F36" w:rsidRDefault="004E201D" w:rsidP="00FB4B6E">
            <w:pPr>
              <w:pStyle w:val="Rientroa"/>
              <w:numPr>
                <w:ilvl w:val="0"/>
                <w:numId w:val="72"/>
              </w:numPr>
            </w:pPr>
            <w:r w:rsidRPr="008A0F36">
              <w:t xml:space="preserve">informazioni circa come l’uscita di cassa attesa al riscatto o riacquisto è stata determinata. </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Numeroelenco"/>
              <w:ind w:left="0" w:firstLine="57"/>
              <w:rPr>
                <w:lang w:val="it-IT"/>
              </w:rPr>
            </w:pPr>
          </w:p>
        </w:tc>
        <w:tc>
          <w:tcPr>
            <w:tcW w:w="851" w:type="dxa"/>
            <w:tcMar>
              <w:right w:w="0" w:type="dxa"/>
            </w:tcMar>
          </w:tcPr>
          <w:p w:rsidR="004E201D" w:rsidRPr="008A0F36" w:rsidRDefault="004E201D" w:rsidP="004300E2">
            <w:pPr>
              <w:pStyle w:val="IAS"/>
              <w:rPr>
                <w:lang w:val="it-IT"/>
              </w:rPr>
            </w:pPr>
            <w:r w:rsidRPr="008A0F36">
              <w:rPr>
                <w:lang w:val="it-IT"/>
              </w:rPr>
              <w:t>IAS 1.138(d)</w:t>
            </w:r>
          </w:p>
        </w:tc>
        <w:tc>
          <w:tcPr>
            <w:tcW w:w="7079" w:type="dxa"/>
            <w:vAlign w:val="bottom"/>
          </w:tcPr>
          <w:p w:rsidR="004E201D" w:rsidRPr="008A0F36" w:rsidRDefault="004E201D" w:rsidP="004300E2">
            <w:pPr>
              <w:rPr>
                <w:lang w:val="it-IT"/>
              </w:rPr>
            </w:pPr>
            <w:r w:rsidRPr="008A0F36">
              <w:rPr>
                <w:lang w:val="it-IT"/>
              </w:rPr>
              <w:t xml:space="preserve">Se l’entità è un’entità a vita definita, presenterà informazioni relative alla durata della propria vita. </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right w:w="0" w:type="dxa"/>
            </w:tcMar>
          </w:tcPr>
          <w:p w:rsidR="004300E2" w:rsidRDefault="004300E2" w:rsidP="004300E2">
            <w:pPr>
              <w:pStyle w:val="Numeroelenco"/>
              <w:numPr>
                <w:ilvl w:val="0"/>
                <w:numId w:val="0"/>
              </w:numPr>
              <w:ind w:left="644" w:hanging="360"/>
              <w:rPr>
                <w:lang w:val="it-IT"/>
              </w:rPr>
            </w:pPr>
          </w:p>
        </w:tc>
        <w:tc>
          <w:tcPr>
            <w:tcW w:w="851" w:type="dxa"/>
            <w:tcMar>
              <w:right w:w="0" w:type="dxa"/>
            </w:tcMar>
          </w:tcPr>
          <w:p w:rsidR="004300E2" w:rsidRPr="008A0F36" w:rsidRDefault="004300E2" w:rsidP="004300E2">
            <w:pPr>
              <w:pStyle w:val="IAS"/>
              <w:rPr>
                <w:lang w:val="it-IT"/>
              </w:rPr>
            </w:pPr>
          </w:p>
        </w:tc>
        <w:tc>
          <w:tcPr>
            <w:tcW w:w="7079" w:type="dxa"/>
            <w:vAlign w:val="bottom"/>
          </w:tcPr>
          <w:p w:rsidR="004300E2" w:rsidRPr="00E144E6" w:rsidRDefault="004300E2" w:rsidP="004300E2">
            <w:pPr>
              <w:rPr>
                <w:b/>
                <w:lang w:val="it-IT"/>
              </w:rPr>
            </w:pPr>
            <w:r w:rsidRPr="00AB2C1C">
              <w:rPr>
                <w:b/>
                <w:lang w:val="it-IT"/>
              </w:rPr>
              <w:t>Compensazione di attività e passività finanziarie</w:t>
            </w:r>
          </w:p>
        </w:tc>
        <w:tc>
          <w:tcPr>
            <w:tcW w:w="575" w:type="dxa"/>
            <w:tcMar>
              <w:left w:w="85" w:type="dxa"/>
              <w:right w:w="85" w:type="dxa"/>
            </w:tcMar>
            <w:vAlign w:val="center"/>
          </w:tcPr>
          <w:p w:rsidR="004300E2" w:rsidRPr="003E3E83" w:rsidRDefault="004300E2" w:rsidP="004300E2">
            <w:pPr>
              <w:jc w:val="center"/>
              <w:rPr>
                <w:lang w:val="it-IT"/>
              </w:rPr>
            </w:pPr>
          </w:p>
        </w:tc>
        <w:tc>
          <w:tcPr>
            <w:tcW w:w="567" w:type="dxa"/>
            <w:vAlign w:val="center"/>
          </w:tcPr>
          <w:p w:rsidR="004300E2" w:rsidRPr="003E3E83" w:rsidRDefault="004300E2" w:rsidP="004300E2">
            <w:pPr>
              <w:jc w:val="center"/>
              <w:rPr>
                <w:lang w:val="it-IT"/>
              </w:rPr>
            </w:pPr>
          </w:p>
        </w:tc>
        <w:tc>
          <w:tcPr>
            <w:tcW w:w="567" w:type="dxa"/>
            <w:vAlign w:val="center"/>
          </w:tcPr>
          <w:p w:rsidR="004300E2" w:rsidRPr="003E3E83" w:rsidRDefault="004300E2" w:rsidP="004300E2">
            <w:pPr>
              <w:jc w:val="center"/>
              <w:rPr>
                <w:lang w:val="it-IT"/>
              </w:rPr>
            </w:pPr>
          </w:p>
        </w:tc>
      </w:tr>
      <w:tr w:rsidR="004300E2" w:rsidRPr="00A44ECD" w:rsidTr="00940A6F">
        <w:trPr>
          <w:cantSplit/>
        </w:trPr>
        <w:tc>
          <w:tcPr>
            <w:tcW w:w="567" w:type="dxa"/>
            <w:tcMar>
              <w:left w:w="108" w:type="dxa"/>
              <w:right w:w="0" w:type="dxa"/>
            </w:tcMar>
          </w:tcPr>
          <w:p w:rsidR="004300E2" w:rsidRPr="008A0F36" w:rsidRDefault="004300E2" w:rsidP="004300E2">
            <w:pPr>
              <w:pStyle w:val="Numeroelenco"/>
              <w:numPr>
                <w:ilvl w:val="0"/>
                <w:numId w:val="0"/>
              </w:numPr>
              <w:ind w:left="57"/>
              <w:rPr>
                <w:lang w:val="it-IT"/>
              </w:rPr>
            </w:pPr>
          </w:p>
        </w:tc>
        <w:tc>
          <w:tcPr>
            <w:tcW w:w="851" w:type="dxa"/>
            <w:tcMar>
              <w:right w:w="0" w:type="dxa"/>
            </w:tcMar>
          </w:tcPr>
          <w:p w:rsidR="004300E2" w:rsidRPr="008A0F36" w:rsidRDefault="004300E2" w:rsidP="004300E2">
            <w:pPr>
              <w:pStyle w:val="IAS"/>
              <w:rPr>
                <w:lang w:val="it-IT"/>
              </w:rPr>
            </w:pPr>
            <w:r>
              <w:rPr>
                <w:lang w:val="it-IT"/>
              </w:rPr>
              <w:t>IFRS 7.13A</w:t>
            </w:r>
          </w:p>
        </w:tc>
        <w:tc>
          <w:tcPr>
            <w:tcW w:w="7079" w:type="dxa"/>
            <w:vAlign w:val="bottom"/>
          </w:tcPr>
          <w:p w:rsidR="004300E2" w:rsidRPr="00AB2C1C" w:rsidRDefault="004300E2" w:rsidP="004300E2">
            <w:pPr>
              <w:pStyle w:val="Commentiriquadro"/>
              <w:rPr>
                <w:lang w:val="it-IT"/>
              </w:rPr>
            </w:pPr>
            <w:r w:rsidRPr="005302D9">
              <w:rPr>
                <w:lang w:val="it-IT"/>
              </w:rPr>
              <w:t>Le informazioni integrative indicate nei successivi punti devono essere fornite n</w:t>
            </w:r>
            <w:r w:rsidRPr="00AB2C1C">
              <w:rPr>
                <w:lang w:val="it-IT"/>
              </w:rPr>
              <w:t>el caso in cui l’entità abbia rilevato strumenti finanziari che:</w:t>
            </w:r>
          </w:p>
          <w:p w:rsidR="004300E2" w:rsidRPr="00AB2C1C" w:rsidRDefault="004300E2" w:rsidP="004300E2">
            <w:pPr>
              <w:pStyle w:val="Commentiriquadro"/>
              <w:ind w:left="316" w:hanging="140"/>
              <w:rPr>
                <w:lang w:val="it-IT"/>
              </w:rPr>
            </w:pPr>
            <w:r w:rsidRPr="00AB2C1C">
              <w:rPr>
                <w:lang w:val="it-IT"/>
              </w:rPr>
              <w:t xml:space="preserve">- </w:t>
            </w:r>
            <w:r>
              <w:rPr>
                <w:lang w:val="it-IT"/>
              </w:rPr>
              <w:tab/>
            </w:r>
            <w:r w:rsidRPr="00AB2C1C">
              <w:rPr>
                <w:lang w:val="it-IT"/>
              </w:rPr>
              <w:t>sono compensati in conformità al paragrafo 42 dello IAS 32</w:t>
            </w:r>
            <w:r w:rsidR="00A31E7B">
              <w:rPr>
                <w:lang w:val="it-IT"/>
              </w:rPr>
              <w:t>;</w:t>
            </w:r>
          </w:p>
          <w:p w:rsidR="004300E2" w:rsidRPr="00AB2C1C" w:rsidRDefault="004300E2" w:rsidP="004300E2">
            <w:pPr>
              <w:pStyle w:val="Commentiriquadro"/>
              <w:ind w:left="316" w:hanging="140"/>
              <w:rPr>
                <w:rFonts w:cs="EUAlbertina"/>
                <w:color w:val="19161B"/>
                <w:lang w:val="it-IT"/>
              </w:rPr>
            </w:pPr>
            <w:r>
              <w:rPr>
                <w:lang w:val="it-IT"/>
              </w:rPr>
              <w:t>-</w:t>
            </w:r>
            <w:r>
              <w:rPr>
                <w:lang w:val="it-IT"/>
              </w:rPr>
              <w:tab/>
            </w:r>
            <w:r w:rsidRPr="00AB2C1C">
              <w:rPr>
                <w:lang w:val="it-IT"/>
              </w:rPr>
              <w:t>oppure sono soggetti ad accordi-quadro di compensazione esecutivi (”master netting arrangement”) ovvero ad accordi similari, indipendentemente dal fatto che essi siano o meno compensati in conformità al paragrafo 42 dello IAS 32.</w:t>
            </w:r>
          </w:p>
        </w:tc>
        <w:tc>
          <w:tcPr>
            <w:tcW w:w="575" w:type="dxa"/>
            <w:tcMar>
              <w:left w:w="85" w:type="dxa"/>
              <w:right w:w="85" w:type="dxa"/>
            </w:tcMar>
            <w:vAlign w:val="center"/>
          </w:tcPr>
          <w:p w:rsidR="004300E2" w:rsidRPr="003E3E83" w:rsidRDefault="004300E2" w:rsidP="004300E2">
            <w:pPr>
              <w:jc w:val="center"/>
              <w:rPr>
                <w:lang w:val="it-IT"/>
              </w:rPr>
            </w:pPr>
          </w:p>
        </w:tc>
        <w:tc>
          <w:tcPr>
            <w:tcW w:w="567" w:type="dxa"/>
            <w:vAlign w:val="center"/>
          </w:tcPr>
          <w:p w:rsidR="004300E2" w:rsidRPr="003E3E83" w:rsidRDefault="004300E2" w:rsidP="004300E2">
            <w:pPr>
              <w:jc w:val="center"/>
              <w:rPr>
                <w:lang w:val="it-IT"/>
              </w:rPr>
            </w:pPr>
          </w:p>
        </w:tc>
        <w:tc>
          <w:tcPr>
            <w:tcW w:w="567" w:type="dxa"/>
            <w:vAlign w:val="center"/>
          </w:tcPr>
          <w:p w:rsidR="004300E2" w:rsidRPr="003E3E83" w:rsidRDefault="004300E2" w:rsidP="004300E2">
            <w:pPr>
              <w:jc w:val="center"/>
              <w:rPr>
                <w:lang w:val="it-IT"/>
              </w:rPr>
            </w:pPr>
          </w:p>
        </w:tc>
      </w:tr>
      <w:tr w:rsidR="004300E2" w:rsidRPr="00A44ECD" w:rsidTr="00940A6F">
        <w:trPr>
          <w:cantSplit/>
        </w:trPr>
        <w:tc>
          <w:tcPr>
            <w:tcW w:w="567" w:type="dxa"/>
            <w:tcMar>
              <w:left w:w="108" w:type="dxa"/>
              <w:right w:w="0" w:type="dxa"/>
            </w:tcMar>
          </w:tcPr>
          <w:p w:rsidR="004300E2" w:rsidRPr="008A0F36" w:rsidRDefault="004300E2" w:rsidP="004300E2">
            <w:pPr>
              <w:pStyle w:val="Numeroelenco"/>
              <w:numPr>
                <w:ilvl w:val="0"/>
                <w:numId w:val="0"/>
              </w:numPr>
              <w:ind w:left="57"/>
              <w:rPr>
                <w:lang w:val="it-IT"/>
              </w:rPr>
            </w:pPr>
          </w:p>
        </w:tc>
        <w:tc>
          <w:tcPr>
            <w:tcW w:w="851" w:type="dxa"/>
            <w:tcMar>
              <w:right w:w="0" w:type="dxa"/>
            </w:tcMar>
          </w:tcPr>
          <w:p w:rsidR="004300E2" w:rsidRDefault="004300E2" w:rsidP="004300E2">
            <w:pPr>
              <w:pStyle w:val="IAS"/>
              <w:rPr>
                <w:lang w:val="it-IT"/>
              </w:rPr>
            </w:pPr>
            <w:r>
              <w:rPr>
                <w:lang w:val="it-IT"/>
              </w:rPr>
              <w:t>IFRS 7.13B</w:t>
            </w:r>
          </w:p>
        </w:tc>
        <w:tc>
          <w:tcPr>
            <w:tcW w:w="7079" w:type="dxa"/>
            <w:vAlign w:val="bottom"/>
          </w:tcPr>
          <w:p w:rsidR="004300E2" w:rsidRPr="005302D9" w:rsidRDefault="004300E2" w:rsidP="00A31E7B">
            <w:pPr>
              <w:pStyle w:val="Commentiriquadro"/>
              <w:rPr>
                <w:lang w:val="it-IT"/>
              </w:rPr>
            </w:pPr>
            <w:r>
              <w:rPr>
                <w:rFonts w:cs="EUAlbertina"/>
                <w:color w:val="19161B"/>
                <w:lang w:val="it-IT"/>
              </w:rPr>
              <w:t>Un’</w:t>
            </w:r>
            <w:r w:rsidRPr="005B14F4">
              <w:rPr>
                <w:rFonts w:cs="EUAlbertina"/>
                <w:color w:val="19161B"/>
                <w:lang w:val="it-IT"/>
              </w:rPr>
              <w:t xml:space="preserve">entità deve fornire un’informativa tale da consentire agli utilizzatori del proprio bilancio di valutare gli effetti reali o potenziali </w:t>
            </w:r>
            <w:r>
              <w:rPr>
                <w:rFonts w:cs="EUAlbertina"/>
                <w:color w:val="19161B"/>
                <w:lang w:val="it-IT"/>
              </w:rPr>
              <w:t xml:space="preserve">sulla situazione patrimoniale-finanziaria </w:t>
            </w:r>
            <w:r w:rsidRPr="005B14F4">
              <w:rPr>
                <w:rFonts w:cs="EUAlbertina"/>
                <w:color w:val="19161B"/>
                <w:lang w:val="it-IT"/>
              </w:rPr>
              <w:t xml:space="preserve">di accordi di compensazione </w:t>
            </w:r>
            <w:r>
              <w:rPr>
                <w:rFonts w:cs="EUAlbertina"/>
                <w:color w:val="19161B"/>
                <w:lang w:val="it-IT"/>
              </w:rPr>
              <w:t xml:space="preserve">o di </w:t>
            </w:r>
            <w:r w:rsidRPr="005B14F4">
              <w:rPr>
                <w:rFonts w:cs="EUAlbertina"/>
                <w:color w:val="19161B"/>
                <w:lang w:val="it-IT"/>
              </w:rPr>
              <w:t>diritti di compensazione associati alle attività e passività finanziarie rilevate che rientrano nell’ambito di applicazione del paragrafo 13</w:t>
            </w:r>
            <w:r>
              <w:rPr>
                <w:rFonts w:cs="EUAlbertina"/>
                <w:color w:val="19161B"/>
                <w:lang w:val="it-IT"/>
              </w:rPr>
              <w:t>A.</w:t>
            </w:r>
          </w:p>
        </w:tc>
        <w:tc>
          <w:tcPr>
            <w:tcW w:w="575" w:type="dxa"/>
            <w:tcMar>
              <w:left w:w="85" w:type="dxa"/>
              <w:right w:w="85" w:type="dxa"/>
            </w:tcMar>
            <w:vAlign w:val="center"/>
          </w:tcPr>
          <w:p w:rsidR="004300E2" w:rsidRPr="003E3E83" w:rsidRDefault="004300E2" w:rsidP="004300E2">
            <w:pPr>
              <w:jc w:val="center"/>
              <w:rPr>
                <w:lang w:val="it-IT"/>
              </w:rPr>
            </w:pPr>
          </w:p>
        </w:tc>
        <w:tc>
          <w:tcPr>
            <w:tcW w:w="567" w:type="dxa"/>
            <w:vAlign w:val="center"/>
          </w:tcPr>
          <w:p w:rsidR="004300E2" w:rsidRPr="003E3E83" w:rsidRDefault="004300E2" w:rsidP="004300E2">
            <w:pPr>
              <w:jc w:val="center"/>
              <w:rPr>
                <w:lang w:val="it-IT"/>
              </w:rPr>
            </w:pPr>
          </w:p>
        </w:tc>
        <w:tc>
          <w:tcPr>
            <w:tcW w:w="567" w:type="dxa"/>
            <w:vAlign w:val="center"/>
          </w:tcPr>
          <w:p w:rsidR="004300E2" w:rsidRPr="003E3E83" w:rsidRDefault="004300E2" w:rsidP="004300E2">
            <w:pPr>
              <w:jc w:val="center"/>
              <w:rPr>
                <w:lang w:val="it-IT"/>
              </w:rPr>
            </w:pPr>
          </w:p>
        </w:tc>
      </w:tr>
      <w:tr w:rsidR="004300E2" w:rsidRPr="00A44ECD" w:rsidTr="00940A6F">
        <w:trPr>
          <w:cantSplit/>
        </w:trPr>
        <w:tc>
          <w:tcPr>
            <w:tcW w:w="567" w:type="dxa"/>
            <w:tcMar>
              <w:left w:w="108" w:type="dxa"/>
              <w:right w:w="0" w:type="dxa"/>
            </w:tcMar>
          </w:tcPr>
          <w:p w:rsidR="004300E2" w:rsidRDefault="004300E2" w:rsidP="004300E2">
            <w:pPr>
              <w:pStyle w:val="Numeroelenco"/>
              <w:ind w:left="0" w:firstLine="57"/>
              <w:rPr>
                <w:lang w:val="it-IT"/>
              </w:rPr>
            </w:pPr>
          </w:p>
        </w:tc>
        <w:tc>
          <w:tcPr>
            <w:tcW w:w="851" w:type="dxa"/>
            <w:tcMar>
              <w:right w:w="0" w:type="dxa"/>
            </w:tcMar>
          </w:tcPr>
          <w:p w:rsidR="004300E2" w:rsidRDefault="004300E2" w:rsidP="004300E2">
            <w:pPr>
              <w:pStyle w:val="IAS"/>
              <w:rPr>
                <w:lang w:val="it-IT"/>
              </w:rPr>
            </w:pPr>
            <w:r>
              <w:rPr>
                <w:lang w:val="it-IT"/>
              </w:rPr>
              <w:t>IFRS 7.13C</w:t>
            </w:r>
          </w:p>
        </w:tc>
        <w:tc>
          <w:tcPr>
            <w:tcW w:w="7079" w:type="dxa"/>
            <w:vAlign w:val="bottom"/>
          </w:tcPr>
          <w:p w:rsidR="004300E2" w:rsidRDefault="004300E2" w:rsidP="004300E2">
            <w:pPr>
              <w:rPr>
                <w:lang w:val="it-IT"/>
              </w:rPr>
            </w:pPr>
            <w:r w:rsidRPr="00AB2C1C">
              <w:rPr>
                <w:lang w:val="it-IT"/>
              </w:rPr>
              <w:t>Per soddisfare le finalità di cui al paragrafo 13B, una entità deve indicare (in formato tabellare o in formato diverso se ritenuto più idoneo), le seguenti informazioni quantitative separatamente per le attività e le passività finanziarie rilevate che rientrano nell'ambito di applicazione del paragrafo 13A:</w:t>
            </w:r>
          </w:p>
        </w:tc>
        <w:tc>
          <w:tcPr>
            <w:tcW w:w="575" w:type="dxa"/>
            <w:tcMar>
              <w:left w:w="85" w:type="dxa"/>
              <w:right w:w="85" w:type="dxa"/>
            </w:tcMar>
            <w:vAlign w:val="center"/>
          </w:tcPr>
          <w:p w:rsidR="004300E2" w:rsidRPr="003E3E83" w:rsidRDefault="004300E2" w:rsidP="004300E2">
            <w:pPr>
              <w:jc w:val="center"/>
              <w:rPr>
                <w:lang w:val="it-IT"/>
              </w:rPr>
            </w:pPr>
          </w:p>
        </w:tc>
        <w:tc>
          <w:tcPr>
            <w:tcW w:w="567" w:type="dxa"/>
            <w:vAlign w:val="center"/>
          </w:tcPr>
          <w:p w:rsidR="004300E2" w:rsidRPr="003E3E83" w:rsidRDefault="004300E2" w:rsidP="004300E2">
            <w:pPr>
              <w:jc w:val="center"/>
              <w:rPr>
                <w:lang w:val="it-IT"/>
              </w:rPr>
            </w:pPr>
          </w:p>
        </w:tc>
        <w:tc>
          <w:tcPr>
            <w:tcW w:w="567" w:type="dxa"/>
            <w:vAlign w:val="center"/>
          </w:tcPr>
          <w:p w:rsidR="004300E2" w:rsidRPr="003E3E83" w:rsidRDefault="004300E2" w:rsidP="004300E2">
            <w:pPr>
              <w:jc w:val="center"/>
              <w:rPr>
                <w:lang w:val="it-IT"/>
              </w:rPr>
            </w:pPr>
          </w:p>
        </w:tc>
      </w:tr>
      <w:tr w:rsidR="004E201D" w:rsidRPr="008129DA" w:rsidTr="00940A6F">
        <w:trPr>
          <w:cantSplit/>
        </w:trPr>
        <w:tc>
          <w:tcPr>
            <w:tcW w:w="567" w:type="dxa"/>
            <w:tcMar>
              <w:left w:w="108" w:type="dxa"/>
              <w:right w:w="0" w:type="dxa"/>
            </w:tcMar>
          </w:tcPr>
          <w:p w:rsidR="004E201D" w:rsidRDefault="004E201D" w:rsidP="004300E2">
            <w:pPr>
              <w:pStyle w:val="Numeroelenco"/>
              <w:numPr>
                <w:ilvl w:val="0"/>
                <w:numId w:val="0"/>
              </w:numPr>
              <w:ind w:left="57"/>
              <w:rPr>
                <w:lang w:val="it-IT"/>
              </w:rPr>
            </w:pPr>
          </w:p>
        </w:tc>
        <w:tc>
          <w:tcPr>
            <w:tcW w:w="851" w:type="dxa"/>
            <w:tcMar>
              <w:right w:w="0" w:type="dxa"/>
            </w:tcMar>
          </w:tcPr>
          <w:p w:rsidR="004E201D" w:rsidRDefault="004E201D" w:rsidP="004300E2">
            <w:pPr>
              <w:pStyle w:val="IAS"/>
              <w:rPr>
                <w:lang w:val="it-IT"/>
              </w:rPr>
            </w:pPr>
          </w:p>
        </w:tc>
        <w:tc>
          <w:tcPr>
            <w:tcW w:w="7079" w:type="dxa"/>
            <w:vAlign w:val="bottom"/>
          </w:tcPr>
          <w:p w:rsidR="004E201D" w:rsidRDefault="004E201D" w:rsidP="004300E2">
            <w:pPr>
              <w:ind w:left="316" w:hanging="316"/>
              <w:rPr>
                <w:lang w:val="it-IT"/>
              </w:rPr>
            </w:pPr>
            <w:r w:rsidRPr="004C74F0">
              <w:rPr>
                <w:rFonts w:cs="EUAlbertina"/>
                <w:color w:val="19161B"/>
                <w:lang w:val="it-IT" w:eastAsia="it-IT"/>
              </w:rPr>
              <w:t xml:space="preserve">(a) </w:t>
            </w:r>
            <w:r>
              <w:rPr>
                <w:rFonts w:cs="EUAlbertina"/>
                <w:color w:val="19161B"/>
                <w:lang w:val="it-IT" w:eastAsia="it-IT"/>
              </w:rPr>
              <w:tab/>
            </w:r>
            <w:r w:rsidRPr="004C74F0">
              <w:rPr>
                <w:rFonts w:cs="EUAlbertina"/>
                <w:color w:val="19161B"/>
                <w:lang w:val="it-IT" w:eastAsia="it-IT"/>
              </w:rPr>
              <w:t>gli importi lordi di tali attività e passività finanziarie rilevate;</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Numeroelenco"/>
              <w:numPr>
                <w:ilvl w:val="0"/>
                <w:numId w:val="0"/>
              </w:numPr>
              <w:ind w:left="57"/>
              <w:rPr>
                <w:lang w:val="it-IT"/>
              </w:rPr>
            </w:pPr>
          </w:p>
        </w:tc>
        <w:tc>
          <w:tcPr>
            <w:tcW w:w="851" w:type="dxa"/>
            <w:tcMar>
              <w:right w:w="0" w:type="dxa"/>
            </w:tcMar>
          </w:tcPr>
          <w:p w:rsidR="004E201D" w:rsidRDefault="004E201D" w:rsidP="004300E2">
            <w:pPr>
              <w:pStyle w:val="IAS"/>
              <w:rPr>
                <w:lang w:val="it-IT"/>
              </w:rPr>
            </w:pPr>
          </w:p>
        </w:tc>
        <w:tc>
          <w:tcPr>
            <w:tcW w:w="7079" w:type="dxa"/>
            <w:vAlign w:val="bottom"/>
          </w:tcPr>
          <w:p w:rsidR="004E201D" w:rsidRDefault="004E201D" w:rsidP="004300E2">
            <w:pPr>
              <w:ind w:left="316" w:hanging="316"/>
              <w:rPr>
                <w:rFonts w:cs="EUAlbertina"/>
                <w:color w:val="19161B"/>
                <w:lang w:val="it-IT" w:eastAsia="it-IT"/>
              </w:rPr>
            </w:pPr>
            <w:r w:rsidRPr="004C74F0">
              <w:rPr>
                <w:rFonts w:cs="EUAlbertina"/>
                <w:color w:val="19161B"/>
                <w:lang w:val="it-IT" w:eastAsia="it-IT"/>
              </w:rPr>
              <w:t xml:space="preserve">(b) </w:t>
            </w:r>
            <w:r>
              <w:rPr>
                <w:rFonts w:cs="EUAlbertina"/>
                <w:color w:val="19161B"/>
                <w:lang w:val="it-IT" w:eastAsia="it-IT"/>
              </w:rPr>
              <w:tab/>
            </w:r>
            <w:r w:rsidRPr="004C74F0">
              <w:rPr>
                <w:rFonts w:cs="EUAlbertina"/>
                <w:color w:val="19161B"/>
                <w:lang w:val="it-IT" w:eastAsia="it-IT"/>
              </w:rPr>
              <w:t>gli importi che sono stati compensati in conformità ai criteri esposti nel paragrafo 42 dello IAS 32</w:t>
            </w:r>
            <w:r>
              <w:rPr>
                <w:rFonts w:cs="EUAlbertina"/>
                <w:color w:val="19161B"/>
                <w:lang w:val="it-IT" w:eastAsia="it-IT"/>
              </w:rPr>
              <w:t xml:space="preserve"> nel determinare </w:t>
            </w:r>
            <w:r w:rsidRPr="004C74F0">
              <w:rPr>
                <w:rFonts w:cs="EUAlbertina"/>
                <w:color w:val="19161B"/>
                <w:lang w:val="it-IT" w:eastAsia="it-IT"/>
              </w:rPr>
              <w:t>i saldi netti esposti nel prospetto della situazione patrimoniale e finanziaria;</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Numeroelenco"/>
              <w:numPr>
                <w:ilvl w:val="0"/>
                <w:numId w:val="0"/>
              </w:numPr>
              <w:ind w:left="57"/>
              <w:rPr>
                <w:lang w:val="it-IT"/>
              </w:rPr>
            </w:pPr>
          </w:p>
        </w:tc>
        <w:tc>
          <w:tcPr>
            <w:tcW w:w="851" w:type="dxa"/>
            <w:tcMar>
              <w:right w:w="0" w:type="dxa"/>
            </w:tcMar>
          </w:tcPr>
          <w:p w:rsidR="004E201D" w:rsidRDefault="004E201D" w:rsidP="004300E2">
            <w:pPr>
              <w:pStyle w:val="IAS"/>
              <w:rPr>
                <w:lang w:val="it-IT"/>
              </w:rPr>
            </w:pPr>
          </w:p>
        </w:tc>
        <w:tc>
          <w:tcPr>
            <w:tcW w:w="7079" w:type="dxa"/>
            <w:vAlign w:val="bottom"/>
          </w:tcPr>
          <w:p w:rsidR="004E201D" w:rsidRDefault="004E201D" w:rsidP="004300E2">
            <w:pPr>
              <w:ind w:left="316" w:hanging="316"/>
              <w:rPr>
                <w:rFonts w:cs="EUAlbertina"/>
                <w:color w:val="19161B"/>
                <w:lang w:val="it-IT" w:eastAsia="it-IT"/>
              </w:rPr>
            </w:pPr>
            <w:r w:rsidRPr="004C74F0">
              <w:rPr>
                <w:rFonts w:cs="EUAlbertina"/>
                <w:color w:val="19161B"/>
                <w:lang w:val="it-IT" w:eastAsia="it-IT"/>
              </w:rPr>
              <w:t xml:space="preserve">(c) </w:t>
            </w:r>
            <w:r>
              <w:rPr>
                <w:rFonts w:cs="EUAlbertina"/>
                <w:color w:val="19161B"/>
                <w:lang w:val="it-IT" w:eastAsia="it-IT"/>
              </w:rPr>
              <w:tab/>
            </w:r>
            <w:r w:rsidRPr="004C74F0">
              <w:rPr>
                <w:rFonts w:cs="EUAlbertina"/>
                <w:color w:val="19161B"/>
                <w:lang w:val="it-IT" w:eastAsia="it-IT"/>
              </w:rPr>
              <w:t>i saldi netti rilevati nel prospetto della situazione patrimoniale-finanziaria</w:t>
            </w:r>
            <w:r>
              <w:rPr>
                <w:rFonts w:cs="EUAlbertina"/>
                <w:color w:val="19161B"/>
                <w:lang w:val="it-IT" w:eastAsia="it-IT"/>
              </w:rPr>
              <w:t>;</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Numeroelenco"/>
              <w:numPr>
                <w:ilvl w:val="0"/>
                <w:numId w:val="0"/>
              </w:numPr>
              <w:ind w:left="57"/>
              <w:rPr>
                <w:lang w:val="it-IT"/>
              </w:rPr>
            </w:pPr>
          </w:p>
        </w:tc>
        <w:tc>
          <w:tcPr>
            <w:tcW w:w="851" w:type="dxa"/>
            <w:tcMar>
              <w:right w:w="0" w:type="dxa"/>
            </w:tcMar>
          </w:tcPr>
          <w:p w:rsidR="004E201D" w:rsidRDefault="004E201D" w:rsidP="004300E2">
            <w:pPr>
              <w:pStyle w:val="IAS"/>
              <w:rPr>
                <w:lang w:val="it-IT"/>
              </w:rPr>
            </w:pPr>
          </w:p>
        </w:tc>
        <w:tc>
          <w:tcPr>
            <w:tcW w:w="7079" w:type="dxa"/>
            <w:vAlign w:val="bottom"/>
          </w:tcPr>
          <w:p w:rsidR="004E201D" w:rsidRDefault="004E201D" w:rsidP="004300E2">
            <w:pPr>
              <w:overflowPunct/>
              <w:spacing w:before="60" w:after="60" w:line="240" w:lineRule="auto"/>
              <w:ind w:left="315" w:hanging="315"/>
              <w:textAlignment w:val="auto"/>
              <w:rPr>
                <w:rFonts w:cs="EUAlbertina"/>
                <w:color w:val="19161B"/>
                <w:lang w:val="it-IT" w:eastAsia="it-IT"/>
              </w:rPr>
            </w:pPr>
            <w:r w:rsidRPr="004C74F0">
              <w:rPr>
                <w:rFonts w:cs="EUAlbertina"/>
                <w:color w:val="19161B"/>
                <w:lang w:val="it-IT" w:eastAsia="it-IT"/>
              </w:rPr>
              <w:t xml:space="preserve">(d) </w:t>
            </w:r>
            <w:r>
              <w:rPr>
                <w:rFonts w:cs="EUAlbertina"/>
                <w:color w:val="19161B"/>
                <w:lang w:val="it-IT" w:eastAsia="it-IT"/>
              </w:rPr>
              <w:tab/>
            </w:r>
            <w:r w:rsidRPr="004C74F0">
              <w:rPr>
                <w:rFonts w:cs="EUAlbertina"/>
                <w:color w:val="19161B"/>
                <w:lang w:val="it-IT" w:eastAsia="it-IT"/>
              </w:rPr>
              <w:t xml:space="preserve">gli importi soggetti ad accordi-quadro di compensazione esecutivi o ad accordi similari che non sono stati altrimenti contemplati nel paragrafo 13C(b), inclusi: </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Numeroelenco"/>
              <w:numPr>
                <w:ilvl w:val="0"/>
                <w:numId w:val="0"/>
              </w:numPr>
              <w:ind w:left="57"/>
              <w:rPr>
                <w:lang w:val="it-IT"/>
              </w:rPr>
            </w:pPr>
          </w:p>
        </w:tc>
        <w:tc>
          <w:tcPr>
            <w:tcW w:w="851" w:type="dxa"/>
            <w:tcMar>
              <w:right w:w="0" w:type="dxa"/>
            </w:tcMar>
          </w:tcPr>
          <w:p w:rsidR="004E201D" w:rsidRDefault="004E201D" w:rsidP="004300E2">
            <w:pPr>
              <w:pStyle w:val="IAS"/>
              <w:rPr>
                <w:lang w:val="it-IT"/>
              </w:rPr>
            </w:pPr>
          </w:p>
        </w:tc>
        <w:tc>
          <w:tcPr>
            <w:tcW w:w="7079" w:type="dxa"/>
            <w:vAlign w:val="bottom"/>
          </w:tcPr>
          <w:p w:rsidR="004E201D" w:rsidRPr="004C74F0" w:rsidRDefault="004E201D" w:rsidP="004300E2">
            <w:pPr>
              <w:overflowPunct/>
              <w:spacing w:before="60" w:after="60" w:line="240" w:lineRule="auto"/>
              <w:ind w:left="599" w:hanging="284"/>
              <w:textAlignment w:val="auto"/>
              <w:rPr>
                <w:rFonts w:cs="EUAlbertina"/>
                <w:color w:val="19161B"/>
                <w:lang w:val="it-IT" w:eastAsia="it-IT"/>
              </w:rPr>
            </w:pPr>
            <w:r w:rsidRPr="004C74F0">
              <w:rPr>
                <w:rFonts w:cs="EUAlbertina"/>
                <w:color w:val="19161B"/>
                <w:lang w:val="it-IT" w:eastAsia="it-IT"/>
              </w:rPr>
              <w:t xml:space="preserve">(i) </w:t>
            </w:r>
            <w:r>
              <w:rPr>
                <w:rFonts w:cs="EUAlbertina"/>
                <w:color w:val="19161B"/>
                <w:lang w:val="it-IT" w:eastAsia="it-IT"/>
              </w:rPr>
              <w:tab/>
            </w:r>
            <w:r w:rsidRPr="004C74F0">
              <w:rPr>
                <w:rFonts w:cs="EUAlbertina"/>
                <w:color w:val="19161B"/>
                <w:lang w:val="it-IT" w:eastAsia="it-IT"/>
              </w:rPr>
              <w:t>gli importi relativi a strumenti finanziari rilevati che non soddisfano alcuni o tutti i criteri per la compensazione ai sensi del paragrafo 42 dello IAS 32; e</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Numeroelenco"/>
              <w:numPr>
                <w:ilvl w:val="0"/>
                <w:numId w:val="0"/>
              </w:numPr>
              <w:ind w:left="57"/>
              <w:rPr>
                <w:lang w:val="it-IT"/>
              </w:rPr>
            </w:pPr>
          </w:p>
        </w:tc>
        <w:tc>
          <w:tcPr>
            <w:tcW w:w="851" w:type="dxa"/>
            <w:tcMar>
              <w:right w:w="0" w:type="dxa"/>
            </w:tcMar>
          </w:tcPr>
          <w:p w:rsidR="004E201D" w:rsidRDefault="004E201D" w:rsidP="004300E2">
            <w:pPr>
              <w:pStyle w:val="IAS"/>
              <w:rPr>
                <w:lang w:val="it-IT"/>
              </w:rPr>
            </w:pPr>
          </w:p>
        </w:tc>
        <w:tc>
          <w:tcPr>
            <w:tcW w:w="7079" w:type="dxa"/>
            <w:vAlign w:val="bottom"/>
          </w:tcPr>
          <w:p w:rsidR="004E201D" w:rsidRPr="004C74F0" w:rsidRDefault="004E201D" w:rsidP="004300E2">
            <w:pPr>
              <w:overflowPunct/>
              <w:spacing w:before="60" w:after="60" w:line="240" w:lineRule="auto"/>
              <w:ind w:left="599" w:hanging="284"/>
              <w:textAlignment w:val="auto"/>
              <w:rPr>
                <w:rFonts w:cs="EUAlbertina"/>
                <w:color w:val="19161B"/>
                <w:lang w:val="it-IT" w:eastAsia="it-IT"/>
              </w:rPr>
            </w:pPr>
            <w:r w:rsidRPr="004C74F0">
              <w:rPr>
                <w:rFonts w:cs="EUAlbertina"/>
                <w:color w:val="19161B"/>
                <w:lang w:val="it-IT" w:eastAsia="it-IT"/>
              </w:rPr>
              <w:t xml:space="preserve">(ii) </w:t>
            </w:r>
            <w:r>
              <w:rPr>
                <w:rFonts w:cs="EUAlbertina"/>
                <w:color w:val="19161B"/>
                <w:lang w:val="it-IT" w:eastAsia="it-IT"/>
              </w:rPr>
              <w:tab/>
            </w:r>
            <w:r w:rsidRPr="004C74F0">
              <w:rPr>
                <w:rFonts w:cs="EUAlbertina"/>
                <w:color w:val="19161B"/>
                <w:lang w:val="it-IT" w:eastAsia="it-IT"/>
              </w:rPr>
              <w:t>gli importi relativi a garanzie reali finanziarie (incluse le garanzie in disponibilità liquide);</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Numeroelenco"/>
              <w:numPr>
                <w:ilvl w:val="0"/>
                <w:numId w:val="0"/>
              </w:numPr>
              <w:ind w:left="57"/>
              <w:rPr>
                <w:lang w:val="it-IT"/>
              </w:rPr>
            </w:pPr>
          </w:p>
        </w:tc>
        <w:tc>
          <w:tcPr>
            <w:tcW w:w="851" w:type="dxa"/>
            <w:tcMar>
              <w:right w:w="0" w:type="dxa"/>
            </w:tcMar>
          </w:tcPr>
          <w:p w:rsidR="004E201D" w:rsidRDefault="004E201D" w:rsidP="004300E2">
            <w:pPr>
              <w:pStyle w:val="IAS"/>
              <w:rPr>
                <w:lang w:val="it-IT"/>
              </w:rPr>
            </w:pPr>
          </w:p>
        </w:tc>
        <w:tc>
          <w:tcPr>
            <w:tcW w:w="7079" w:type="dxa"/>
            <w:vAlign w:val="bottom"/>
          </w:tcPr>
          <w:p w:rsidR="004E201D" w:rsidRPr="004C74F0" w:rsidRDefault="004E201D" w:rsidP="004300E2">
            <w:pPr>
              <w:overflowPunct/>
              <w:spacing w:before="60" w:after="60" w:line="240" w:lineRule="auto"/>
              <w:ind w:left="315" w:hanging="315"/>
              <w:textAlignment w:val="auto"/>
              <w:rPr>
                <w:rFonts w:cs="EUAlbertina"/>
                <w:color w:val="19161B"/>
                <w:lang w:val="it-IT" w:eastAsia="it-IT"/>
              </w:rPr>
            </w:pPr>
            <w:r w:rsidRPr="004C74F0">
              <w:rPr>
                <w:rFonts w:cs="EUAlbertina"/>
                <w:color w:val="19161B"/>
                <w:lang w:val="it-IT" w:eastAsia="it-IT"/>
              </w:rPr>
              <w:t xml:space="preserve">(e) </w:t>
            </w:r>
            <w:r>
              <w:rPr>
                <w:rFonts w:cs="EUAlbertina"/>
                <w:color w:val="19161B"/>
                <w:lang w:val="it-IT" w:eastAsia="it-IT"/>
              </w:rPr>
              <w:tab/>
            </w:r>
            <w:r w:rsidRPr="004C74F0">
              <w:rPr>
                <w:rFonts w:cs="EUAlbertina"/>
                <w:color w:val="19161B"/>
                <w:lang w:val="it-IT" w:eastAsia="it-IT"/>
              </w:rPr>
              <w:t>il saldo netto risultante dopo aver dedotto gli importi di cui al punto (d) dagli importi di cui al punto (c) riportati in precedenza.</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Default="004E201D" w:rsidP="004300E2">
            <w:pPr>
              <w:pStyle w:val="Numeroelenco"/>
              <w:ind w:left="0" w:firstLine="57"/>
              <w:rPr>
                <w:lang w:val="it-IT"/>
              </w:rPr>
            </w:pPr>
          </w:p>
        </w:tc>
        <w:tc>
          <w:tcPr>
            <w:tcW w:w="851" w:type="dxa"/>
            <w:tcMar>
              <w:right w:w="0" w:type="dxa"/>
            </w:tcMar>
          </w:tcPr>
          <w:p w:rsidR="004E201D" w:rsidRDefault="004E201D" w:rsidP="004300E2">
            <w:pPr>
              <w:pStyle w:val="IAS"/>
              <w:pageBreakBefore/>
              <w:rPr>
                <w:lang w:val="it-IT"/>
              </w:rPr>
            </w:pPr>
            <w:r>
              <w:rPr>
                <w:lang w:val="it-IT"/>
              </w:rPr>
              <w:t>IFRS 7.13D</w:t>
            </w:r>
          </w:p>
        </w:tc>
        <w:tc>
          <w:tcPr>
            <w:tcW w:w="7079" w:type="dxa"/>
            <w:vAlign w:val="bottom"/>
          </w:tcPr>
          <w:p w:rsidR="004E201D" w:rsidRPr="00AB2C1C" w:rsidRDefault="004E201D" w:rsidP="004300E2">
            <w:pPr>
              <w:pageBreakBefore/>
              <w:rPr>
                <w:lang w:val="it-IT"/>
              </w:rPr>
            </w:pPr>
            <w:r w:rsidRPr="00AB2C1C">
              <w:rPr>
                <w:lang w:val="it-IT"/>
              </w:rPr>
              <w:t>L’importo totale indicato per uno strumento in conformità al paragrafo 13C(d) deve essere limitato all’importo di cui al paragrafo 13C(c) per quello stesso strumento.</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Default="004E201D" w:rsidP="004300E2">
            <w:pPr>
              <w:pStyle w:val="Numeroelenco"/>
              <w:ind w:left="0" w:firstLine="57"/>
              <w:rPr>
                <w:lang w:val="it-IT"/>
              </w:rPr>
            </w:pPr>
          </w:p>
        </w:tc>
        <w:tc>
          <w:tcPr>
            <w:tcW w:w="851" w:type="dxa"/>
            <w:tcMar>
              <w:right w:w="0" w:type="dxa"/>
            </w:tcMar>
          </w:tcPr>
          <w:p w:rsidR="004E201D" w:rsidRDefault="004E201D" w:rsidP="004300E2">
            <w:pPr>
              <w:pStyle w:val="IAS"/>
              <w:rPr>
                <w:lang w:val="it-IT"/>
              </w:rPr>
            </w:pPr>
            <w:r>
              <w:rPr>
                <w:lang w:val="it-IT"/>
              </w:rPr>
              <w:t>IFRS 7.13E</w:t>
            </w:r>
          </w:p>
        </w:tc>
        <w:tc>
          <w:tcPr>
            <w:tcW w:w="7079" w:type="dxa"/>
            <w:vAlign w:val="bottom"/>
          </w:tcPr>
          <w:p w:rsidR="004E201D" w:rsidRPr="00AB2C1C" w:rsidRDefault="004E201D" w:rsidP="004300E2">
            <w:pPr>
              <w:rPr>
                <w:lang w:val="it-IT"/>
              </w:rPr>
            </w:pPr>
            <w:r w:rsidRPr="005B14F4">
              <w:rPr>
                <w:lang w:val="it-IT"/>
              </w:rPr>
              <w:t>Una entità deve fornire una descrizione dei diritti di compensazione associati alle attività e alle passività finanziarie rilevate dall’entità e soggette ad accordi-quadro di compensazione esecutivi e ad accordi similari che sono indicati in conformità al paragrafo 13C(d), inclusa la natura di tali diritti.</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Default="004E201D" w:rsidP="004300E2">
            <w:pPr>
              <w:pStyle w:val="Numeroelenco"/>
              <w:ind w:left="0" w:firstLine="57"/>
              <w:rPr>
                <w:lang w:val="it-IT"/>
              </w:rPr>
            </w:pPr>
          </w:p>
        </w:tc>
        <w:tc>
          <w:tcPr>
            <w:tcW w:w="851" w:type="dxa"/>
            <w:tcMar>
              <w:right w:w="0" w:type="dxa"/>
            </w:tcMar>
          </w:tcPr>
          <w:p w:rsidR="004E201D" w:rsidRDefault="004E201D" w:rsidP="004300E2">
            <w:pPr>
              <w:pStyle w:val="IAS"/>
              <w:rPr>
                <w:lang w:val="it-IT"/>
              </w:rPr>
            </w:pPr>
            <w:r>
              <w:rPr>
                <w:lang w:val="it-IT"/>
              </w:rPr>
              <w:t>IFRS 7.13F</w:t>
            </w:r>
          </w:p>
        </w:tc>
        <w:tc>
          <w:tcPr>
            <w:tcW w:w="7079" w:type="dxa"/>
          </w:tcPr>
          <w:p w:rsidR="004E201D" w:rsidRPr="00AB2C1C" w:rsidRDefault="004E201D" w:rsidP="004300E2">
            <w:pPr>
              <w:rPr>
                <w:lang w:val="it-IT"/>
              </w:rPr>
            </w:pPr>
            <w:r w:rsidRPr="00AB2C1C">
              <w:rPr>
                <w:lang w:val="it-IT"/>
              </w:rPr>
              <w:t>Se le informazioni richieste dai paragrafi 13B-13E sono riportate in più note al bilancio, ciascuna nota deve rinviare alle altre note.</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right w:w="0" w:type="dxa"/>
            </w:tcMar>
          </w:tcPr>
          <w:p w:rsidR="004300E2" w:rsidRDefault="004300E2" w:rsidP="004300E2">
            <w:pPr>
              <w:pStyle w:val="Numeroelenco"/>
              <w:numPr>
                <w:ilvl w:val="0"/>
                <w:numId w:val="0"/>
              </w:numPr>
              <w:ind w:left="57"/>
              <w:rPr>
                <w:lang w:val="it-IT"/>
              </w:rPr>
            </w:pPr>
          </w:p>
        </w:tc>
        <w:tc>
          <w:tcPr>
            <w:tcW w:w="851" w:type="dxa"/>
            <w:tcMar>
              <w:right w:w="0" w:type="dxa"/>
            </w:tcMar>
          </w:tcPr>
          <w:p w:rsidR="004300E2" w:rsidRDefault="004300E2" w:rsidP="004300E2">
            <w:pPr>
              <w:pStyle w:val="IAS"/>
              <w:rPr>
                <w:lang w:val="it-IT"/>
              </w:rPr>
            </w:pPr>
          </w:p>
        </w:tc>
        <w:tc>
          <w:tcPr>
            <w:tcW w:w="7079" w:type="dxa"/>
          </w:tcPr>
          <w:p w:rsidR="004300E2" w:rsidRPr="00E263C5" w:rsidRDefault="004300E2" w:rsidP="004300E2">
            <w:pPr>
              <w:rPr>
                <w:b/>
                <w:lang w:val="it-IT"/>
              </w:rPr>
            </w:pPr>
            <w:r w:rsidRPr="00AB2C1C">
              <w:rPr>
                <w:b/>
                <w:lang w:val="it-IT"/>
              </w:rPr>
              <w:t>Estinzione di passività finanziarie con strumenti rappresentativi di capitale</w:t>
            </w:r>
          </w:p>
        </w:tc>
        <w:tc>
          <w:tcPr>
            <w:tcW w:w="575" w:type="dxa"/>
            <w:tcMar>
              <w:left w:w="85" w:type="dxa"/>
              <w:right w:w="85" w:type="dxa"/>
            </w:tcMar>
            <w:vAlign w:val="center"/>
          </w:tcPr>
          <w:p w:rsidR="004300E2" w:rsidRPr="003E3E83" w:rsidRDefault="004300E2" w:rsidP="004300E2">
            <w:pPr>
              <w:jc w:val="center"/>
              <w:rPr>
                <w:lang w:val="it-IT"/>
              </w:rPr>
            </w:pPr>
          </w:p>
        </w:tc>
        <w:tc>
          <w:tcPr>
            <w:tcW w:w="567" w:type="dxa"/>
            <w:vAlign w:val="center"/>
          </w:tcPr>
          <w:p w:rsidR="004300E2" w:rsidRPr="003E3E83" w:rsidRDefault="004300E2" w:rsidP="004300E2">
            <w:pPr>
              <w:jc w:val="center"/>
              <w:rPr>
                <w:lang w:val="it-IT"/>
              </w:rPr>
            </w:pPr>
          </w:p>
        </w:tc>
        <w:tc>
          <w:tcPr>
            <w:tcW w:w="567" w:type="dxa"/>
            <w:vAlign w:val="center"/>
          </w:tcPr>
          <w:p w:rsidR="004300E2" w:rsidRPr="003E3E83" w:rsidRDefault="004300E2" w:rsidP="004300E2">
            <w:pPr>
              <w:jc w:val="center"/>
              <w:rPr>
                <w:lang w:val="it-IT"/>
              </w:rPr>
            </w:pPr>
          </w:p>
        </w:tc>
      </w:tr>
      <w:tr w:rsidR="004E201D" w:rsidRPr="008129DA" w:rsidTr="00940A6F">
        <w:trPr>
          <w:cantSplit/>
        </w:trPr>
        <w:tc>
          <w:tcPr>
            <w:tcW w:w="567" w:type="dxa"/>
            <w:tcMar>
              <w:left w:w="108" w:type="dxa"/>
              <w:right w:w="0" w:type="dxa"/>
            </w:tcMar>
          </w:tcPr>
          <w:p w:rsidR="004E201D" w:rsidRDefault="004E201D" w:rsidP="004300E2">
            <w:pPr>
              <w:pStyle w:val="Numeroelenco"/>
              <w:ind w:left="0" w:firstLine="57"/>
              <w:rPr>
                <w:lang w:val="it-IT"/>
              </w:rPr>
            </w:pPr>
          </w:p>
        </w:tc>
        <w:tc>
          <w:tcPr>
            <w:tcW w:w="851" w:type="dxa"/>
            <w:tcMar>
              <w:right w:w="0" w:type="dxa"/>
            </w:tcMar>
          </w:tcPr>
          <w:p w:rsidR="004E201D" w:rsidRDefault="004E201D" w:rsidP="004300E2">
            <w:pPr>
              <w:pStyle w:val="IAS"/>
              <w:rPr>
                <w:lang w:val="it-IT"/>
              </w:rPr>
            </w:pPr>
            <w:r>
              <w:rPr>
                <w:lang w:val="it-IT"/>
              </w:rPr>
              <w:t>IFRIC 19.11</w:t>
            </w:r>
          </w:p>
        </w:tc>
        <w:tc>
          <w:tcPr>
            <w:tcW w:w="7079" w:type="dxa"/>
          </w:tcPr>
          <w:p w:rsidR="004E201D" w:rsidRPr="00E263C5" w:rsidRDefault="004E201D" w:rsidP="004300E2">
            <w:pPr>
              <w:rPr>
                <w:lang w:val="it-IT"/>
              </w:rPr>
            </w:pPr>
            <w:r w:rsidRPr="00AB2C1C">
              <w:rPr>
                <w:lang w:val="it-IT"/>
              </w:rPr>
              <w:t>L’entità ha indicato l’utile o la perdita rilevati conformemente ai paragrafi 9 e 10 dell’IFRIC 19 come una voce distinta dell’</w:t>
            </w:r>
            <w:r>
              <w:rPr>
                <w:lang w:val="it-IT"/>
              </w:rPr>
              <w:t>utile/(perdita)</w:t>
            </w:r>
            <w:r w:rsidRPr="00AB2C1C">
              <w:rPr>
                <w:lang w:val="it-IT"/>
              </w:rPr>
              <w:t xml:space="preserve"> d’esercizio o delle note.</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right w:w="0" w:type="dxa"/>
            </w:tcMar>
          </w:tcPr>
          <w:p w:rsidR="004300E2" w:rsidRDefault="004300E2" w:rsidP="004300E2">
            <w:pPr>
              <w:pStyle w:val="Numeroelenco"/>
              <w:numPr>
                <w:ilvl w:val="0"/>
                <w:numId w:val="0"/>
              </w:numPr>
              <w:ind w:left="57"/>
              <w:rPr>
                <w:lang w:val="it-IT"/>
              </w:rPr>
            </w:pPr>
          </w:p>
        </w:tc>
        <w:tc>
          <w:tcPr>
            <w:tcW w:w="851" w:type="dxa"/>
            <w:tcMar>
              <w:right w:w="0" w:type="dxa"/>
            </w:tcMar>
          </w:tcPr>
          <w:p w:rsidR="004300E2" w:rsidRDefault="004300E2" w:rsidP="004300E2">
            <w:pPr>
              <w:pStyle w:val="IAS"/>
              <w:rPr>
                <w:lang w:val="it-IT"/>
              </w:rPr>
            </w:pPr>
          </w:p>
        </w:tc>
        <w:tc>
          <w:tcPr>
            <w:tcW w:w="7079" w:type="dxa"/>
          </w:tcPr>
          <w:p w:rsidR="004300E2" w:rsidRPr="00AB2C1C" w:rsidRDefault="004300E2" w:rsidP="00B102C3">
            <w:pPr>
              <w:pStyle w:val="Paragarfobordato"/>
            </w:pPr>
            <w:r w:rsidRPr="00AB2C1C">
              <w:t>L’IFRIC 19 definisce il trattamento contabile che una entità deve applicare nel caso in cui la rinegoziazione dei termini di una passività finanziaria determini l’emissione di strumenti rappresentativi di capitale in favore di un proprio creditore, al fine di estinguere interamente o parzialmente la stessa passività finanziaria. Essa non definisce il trattamento contabile che deve applicare il creditore.</w:t>
            </w:r>
          </w:p>
        </w:tc>
        <w:tc>
          <w:tcPr>
            <w:tcW w:w="575" w:type="dxa"/>
            <w:tcMar>
              <w:left w:w="85" w:type="dxa"/>
              <w:right w:w="85" w:type="dxa"/>
            </w:tcMar>
            <w:vAlign w:val="center"/>
          </w:tcPr>
          <w:p w:rsidR="004300E2" w:rsidRPr="003E3E83" w:rsidRDefault="004300E2" w:rsidP="004300E2">
            <w:pPr>
              <w:jc w:val="center"/>
              <w:rPr>
                <w:lang w:val="it-IT"/>
              </w:rPr>
            </w:pPr>
          </w:p>
        </w:tc>
        <w:tc>
          <w:tcPr>
            <w:tcW w:w="567" w:type="dxa"/>
            <w:vAlign w:val="center"/>
          </w:tcPr>
          <w:p w:rsidR="004300E2" w:rsidRPr="003E3E83" w:rsidRDefault="004300E2" w:rsidP="004300E2">
            <w:pPr>
              <w:jc w:val="center"/>
              <w:rPr>
                <w:lang w:val="it-IT"/>
              </w:rPr>
            </w:pPr>
          </w:p>
        </w:tc>
        <w:tc>
          <w:tcPr>
            <w:tcW w:w="567" w:type="dxa"/>
            <w:vAlign w:val="center"/>
          </w:tcPr>
          <w:p w:rsidR="004300E2" w:rsidRPr="003E3E83" w:rsidRDefault="004300E2" w:rsidP="004300E2">
            <w:pPr>
              <w:jc w:val="center"/>
              <w:rPr>
                <w:lang w:val="it-IT"/>
              </w:rPr>
            </w:pPr>
          </w:p>
        </w:tc>
      </w:tr>
      <w:tr w:rsidR="004300E2" w:rsidRPr="008A0F36" w:rsidTr="00940A6F">
        <w:trPr>
          <w:cantSplit/>
        </w:trPr>
        <w:tc>
          <w:tcPr>
            <w:tcW w:w="567" w:type="dxa"/>
            <w:tcMar>
              <w:left w:w="108" w:type="dxa"/>
              <w:right w:w="0" w:type="dxa"/>
            </w:tcMar>
            <w:vAlign w:val="center"/>
          </w:tcPr>
          <w:p w:rsidR="004300E2" w:rsidRPr="008A0F36" w:rsidRDefault="004300E2" w:rsidP="004300E2">
            <w:pPr>
              <w:pStyle w:val="IAS"/>
              <w:jc w:val="left"/>
              <w:rPr>
                <w:lang w:val="it-IT"/>
              </w:rPr>
            </w:pPr>
          </w:p>
        </w:tc>
        <w:tc>
          <w:tcPr>
            <w:tcW w:w="851" w:type="dxa"/>
            <w:tcMar>
              <w:right w:w="0" w:type="dxa"/>
            </w:tcMar>
            <w:vAlign w:val="center"/>
          </w:tcPr>
          <w:p w:rsidR="004300E2" w:rsidRPr="008A0F36" w:rsidRDefault="004300E2" w:rsidP="004300E2">
            <w:pPr>
              <w:pStyle w:val="IAS"/>
              <w:jc w:val="left"/>
              <w:rPr>
                <w:lang w:val="it-IT"/>
              </w:rPr>
            </w:pPr>
          </w:p>
        </w:tc>
        <w:tc>
          <w:tcPr>
            <w:tcW w:w="7079" w:type="dxa"/>
            <w:vAlign w:val="center"/>
          </w:tcPr>
          <w:p w:rsidR="004300E2" w:rsidRPr="008A0F36" w:rsidRDefault="004300E2" w:rsidP="004300E2">
            <w:pPr>
              <w:pStyle w:val="Titolo1"/>
            </w:pPr>
            <w:r w:rsidRPr="008A0F36">
              <w:t>operazioni in valuta</w:t>
            </w:r>
          </w:p>
        </w:tc>
        <w:tc>
          <w:tcPr>
            <w:tcW w:w="575" w:type="dxa"/>
            <w:tcMar>
              <w:left w:w="85" w:type="dxa"/>
              <w:right w:w="85" w:type="dxa"/>
            </w:tcMar>
            <w:vAlign w:val="center"/>
          </w:tcPr>
          <w:p w:rsidR="004300E2" w:rsidRDefault="004300E2" w:rsidP="004300E2">
            <w:pPr>
              <w:jc w:val="left"/>
            </w:pPr>
          </w:p>
        </w:tc>
        <w:tc>
          <w:tcPr>
            <w:tcW w:w="567" w:type="dxa"/>
            <w:vAlign w:val="center"/>
          </w:tcPr>
          <w:p w:rsidR="004300E2" w:rsidRDefault="004300E2" w:rsidP="004300E2">
            <w:pPr>
              <w:jc w:val="left"/>
            </w:pPr>
          </w:p>
        </w:tc>
        <w:tc>
          <w:tcPr>
            <w:tcW w:w="567" w:type="dxa"/>
            <w:vAlign w:val="center"/>
          </w:tcPr>
          <w:p w:rsidR="004300E2" w:rsidRDefault="004300E2" w:rsidP="004300E2">
            <w:pPr>
              <w:jc w:val="left"/>
            </w:pPr>
          </w:p>
        </w:tc>
      </w:tr>
      <w:tr w:rsidR="004300E2" w:rsidRPr="00A44ECD" w:rsidTr="00940A6F">
        <w:trPr>
          <w:cantSplit/>
        </w:trPr>
        <w:tc>
          <w:tcPr>
            <w:tcW w:w="567" w:type="dxa"/>
            <w:tcMar>
              <w:left w:w="108" w:type="dxa"/>
            </w:tcMar>
          </w:tcPr>
          <w:p w:rsidR="004300E2" w:rsidRPr="008A0F36" w:rsidRDefault="004300E2" w:rsidP="004300E2">
            <w:pPr>
              <w:pStyle w:val="IAS"/>
              <w:rPr>
                <w:lang w:val="it-IT"/>
              </w:rPr>
            </w:pPr>
          </w:p>
        </w:tc>
        <w:tc>
          <w:tcPr>
            <w:tcW w:w="851" w:type="dxa"/>
            <w:tcMar>
              <w:right w:w="0" w:type="dxa"/>
            </w:tcMar>
          </w:tcPr>
          <w:p w:rsidR="004300E2" w:rsidRPr="008A0F36" w:rsidRDefault="004300E2" w:rsidP="004300E2">
            <w:pPr>
              <w:pStyle w:val="IAS"/>
              <w:rPr>
                <w:lang w:val="it-IT"/>
              </w:rPr>
            </w:pPr>
            <w:r w:rsidRPr="008A0F36">
              <w:rPr>
                <w:lang w:val="it-IT"/>
              </w:rPr>
              <w:t>IAS 21.51</w:t>
            </w:r>
          </w:p>
        </w:tc>
        <w:tc>
          <w:tcPr>
            <w:tcW w:w="7079" w:type="dxa"/>
          </w:tcPr>
          <w:p w:rsidR="004300E2" w:rsidRPr="008A0F36" w:rsidRDefault="004300E2" w:rsidP="00B102C3">
            <w:pPr>
              <w:pStyle w:val="Paragarfobordato"/>
            </w:pPr>
            <w:r w:rsidRPr="008A0F36">
              <w:t>I riferimenti alla “valuta funzionale” saranno presi con riferimento alla valuta funzionale della controllante.</w:t>
            </w:r>
          </w:p>
        </w:tc>
        <w:tc>
          <w:tcPr>
            <w:tcW w:w="575" w:type="dxa"/>
            <w:vAlign w:val="center"/>
          </w:tcPr>
          <w:p w:rsidR="004300E2" w:rsidRPr="00090BE7" w:rsidRDefault="004300E2" w:rsidP="004300E2">
            <w:pPr>
              <w:jc w:val="center"/>
              <w:rPr>
                <w:lang w:val="it-IT"/>
              </w:rPr>
            </w:pPr>
          </w:p>
        </w:tc>
        <w:tc>
          <w:tcPr>
            <w:tcW w:w="567" w:type="dxa"/>
            <w:vAlign w:val="center"/>
          </w:tcPr>
          <w:p w:rsidR="004300E2" w:rsidRPr="00090BE7" w:rsidRDefault="004300E2" w:rsidP="004300E2">
            <w:pPr>
              <w:jc w:val="center"/>
              <w:rPr>
                <w:lang w:val="it-IT"/>
              </w:rPr>
            </w:pPr>
          </w:p>
        </w:tc>
        <w:tc>
          <w:tcPr>
            <w:tcW w:w="567" w:type="dxa"/>
            <w:tcMar>
              <w:left w:w="85" w:type="dxa"/>
              <w:right w:w="85" w:type="dxa"/>
            </w:tcMar>
            <w:vAlign w:val="center"/>
          </w:tcPr>
          <w:p w:rsidR="004300E2" w:rsidRPr="00090BE7" w:rsidRDefault="004300E2" w:rsidP="004300E2">
            <w:pPr>
              <w:jc w:val="center"/>
              <w:rPr>
                <w:lang w:val="it-IT"/>
              </w:rPr>
            </w:pP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right w:w="0" w:type="dxa"/>
            </w:tcMar>
          </w:tcPr>
          <w:p w:rsidR="004300E2" w:rsidRPr="008A0F36" w:rsidRDefault="004300E2" w:rsidP="004300E2">
            <w:pPr>
              <w:pStyle w:val="IAS"/>
              <w:rPr>
                <w:lang w:val="it-IT"/>
              </w:rPr>
            </w:pPr>
            <w:r w:rsidRPr="008A0F36">
              <w:rPr>
                <w:lang w:val="it-IT"/>
              </w:rPr>
              <w:t>IAS 21.52</w:t>
            </w:r>
          </w:p>
          <w:p w:rsidR="004300E2" w:rsidRPr="008A0F36" w:rsidRDefault="004300E2" w:rsidP="004300E2">
            <w:pPr>
              <w:pStyle w:val="IAS"/>
              <w:rPr>
                <w:lang w:val="it-IT"/>
              </w:rPr>
            </w:pPr>
            <w:r w:rsidRPr="008A0F36">
              <w:rPr>
                <w:lang w:val="it-IT"/>
              </w:rPr>
              <w:t xml:space="preserve"> IAS 39.9</w:t>
            </w:r>
          </w:p>
        </w:tc>
        <w:tc>
          <w:tcPr>
            <w:tcW w:w="7079" w:type="dxa"/>
          </w:tcPr>
          <w:p w:rsidR="004300E2" w:rsidRPr="008A0F36" w:rsidRDefault="004300E2" w:rsidP="004300E2">
            <w:pPr>
              <w:rPr>
                <w:lang w:val="it-IT"/>
              </w:rPr>
            </w:pPr>
            <w:r w:rsidRPr="008A0F36">
              <w:rPr>
                <w:lang w:val="it-IT"/>
              </w:rPr>
              <w:t>L’entità ha fornito le seguenti informazioni:</w:t>
            </w:r>
          </w:p>
        </w:tc>
        <w:tc>
          <w:tcPr>
            <w:tcW w:w="575" w:type="dxa"/>
            <w:vAlign w:val="center"/>
          </w:tcPr>
          <w:p w:rsidR="004300E2" w:rsidRPr="003E3E83" w:rsidRDefault="004300E2" w:rsidP="004300E2">
            <w:pPr>
              <w:jc w:val="center"/>
              <w:rPr>
                <w:lang w:val="it-IT"/>
              </w:rPr>
            </w:pPr>
          </w:p>
        </w:tc>
        <w:tc>
          <w:tcPr>
            <w:tcW w:w="567" w:type="dxa"/>
            <w:vAlign w:val="center"/>
          </w:tcPr>
          <w:p w:rsidR="004300E2" w:rsidRPr="003E3E83" w:rsidRDefault="004300E2" w:rsidP="004300E2">
            <w:pPr>
              <w:jc w:val="center"/>
              <w:rPr>
                <w:lang w:val="it-IT"/>
              </w:rPr>
            </w:pPr>
          </w:p>
        </w:tc>
        <w:tc>
          <w:tcPr>
            <w:tcW w:w="567" w:type="dxa"/>
            <w:tcMar>
              <w:left w:w="85" w:type="dxa"/>
              <w:right w:w="85" w:type="dxa"/>
            </w:tcMar>
            <w:vAlign w:val="center"/>
          </w:tcPr>
          <w:p w:rsidR="004300E2" w:rsidRPr="003E3E83" w:rsidRDefault="004300E2" w:rsidP="004300E2">
            <w:pPr>
              <w:jc w:val="center"/>
              <w:rPr>
                <w:lang w:val="it-IT"/>
              </w:rPr>
            </w:pPr>
          </w:p>
        </w:tc>
      </w:tr>
      <w:tr w:rsidR="004E201D" w:rsidRPr="008129DA" w:rsidTr="00940A6F">
        <w:trPr>
          <w:cantSplit/>
        </w:trPr>
        <w:tc>
          <w:tcPr>
            <w:tcW w:w="567" w:type="dxa"/>
            <w:tcMar>
              <w:left w:w="108" w:type="dxa"/>
            </w:tcMar>
          </w:tcPr>
          <w:p w:rsidR="004E201D" w:rsidRPr="008A0F36" w:rsidRDefault="004E201D" w:rsidP="004300E2">
            <w:pPr>
              <w:pStyle w:val="IAS"/>
              <w:rPr>
                <w:lang w:val="it-IT"/>
              </w:rPr>
            </w:pPr>
          </w:p>
        </w:tc>
        <w:tc>
          <w:tcPr>
            <w:tcW w:w="851" w:type="dxa"/>
            <w:tcMar>
              <w:right w:w="0" w:type="dxa"/>
            </w:tcMar>
          </w:tcPr>
          <w:p w:rsidR="004E201D" w:rsidRPr="008A0F36" w:rsidRDefault="004E201D" w:rsidP="004300E2">
            <w:pPr>
              <w:pStyle w:val="IAS"/>
              <w:rPr>
                <w:lang w:val="it-IT"/>
              </w:rPr>
            </w:pPr>
          </w:p>
        </w:tc>
        <w:tc>
          <w:tcPr>
            <w:tcW w:w="7079" w:type="dxa"/>
          </w:tcPr>
          <w:p w:rsidR="004E201D" w:rsidRPr="008A0F36" w:rsidRDefault="004E201D" w:rsidP="004300E2">
            <w:pPr>
              <w:pStyle w:val="Rientroa"/>
              <w:numPr>
                <w:ilvl w:val="0"/>
                <w:numId w:val="86"/>
              </w:numPr>
            </w:pPr>
            <w:r w:rsidRPr="008A0F36">
              <w:t xml:space="preserve">l’importo delle differenze di cambio rilevate </w:t>
            </w:r>
            <w:r>
              <w:t>nell’utile/(perdita) d’esercizio</w:t>
            </w:r>
            <w:r w:rsidRPr="008A0F36">
              <w:t xml:space="preserve"> eccetto quelle derivanti dagli strumenti finanziari valutati al </w:t>
            </w:r>
            <w:r w:rsidRPr="008A0F36">
              <w:rPr>
                <w:i/>
              </w:rPr>
              <w:t>fair value</w:t>
            </w:r>
            <w:r w:rsidRPr="008A0F36">
              <w:t xml:space="preserve"> rilevato </w:t>
            </w:r>
            <w:r>
              <w:t>nell’utile/(perdita)</w:t>
            </w:r>
            <w:r w:rsidRPr="008A0F36">
              <w:t xml:space="preserve"> in conformità allo IAS 39; e</w:t>
            </w:r>
          </w:p>
        </w:tc>
        <w:tc>
          <w:tcPr>
            <w:tcW w:w="575"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tcMar>
          </w:tcPr>
          <w:p w:rsidR="004E201D" w:rsidRPr="008A0F36" w:rsidRDefault="004E201D" w:rsidP="004300E2">
            <w:pPr>
              <w:pStyle w:val="IAS"/>
              <w:rPr>
                <w:lang w:val="it-IT"/>
              </w:rPr>
            </w:pPr>
          </w:p>
        </w:tc>
        <w:tc>
          <w:tcPr>
            <w:tcW w:w="851" w:type="dxa"/>
            <w:tcMar>
              <w:right w:w="0" w:type="dxa"/>
            </w:tcMar>
          </w:tcPr>
          <w:p w:rsidR="004E201D" w:rsidRPr="008A0F36" w:rsidRDefault="004E201D" w:rsidP="004300E2">
            <w:pPr>
              <w:pStyle w:val="IAS"/>
              <w:rPr>
                <w:lang w:val="it-IT"/>
              </w:rPr>
            </w:pPr>
          </w:p>
        </w:tc>
        <w:tc>
          <w:tcPr>
            <w:tcW w:w="7079" w:type="dxa"/>
          </w:tcPr>
          <w:p w:rsidR="004E201D" w:rsidRPr="008A0F36" w:rsidRDefault="004E201D" w:rsidP="00FB4B6E">
            <w:pPr>
              <w:pStyle w:val="Rientroa"/>
              <w:numPr>
                <w:ilvl w:val="0"/>
                <w:numId w:val="72"/>
              </w:numPr>
            </w:pPr>
            <w:r w:rsidRPr="008A0F36">
              <w:rPr>
                <w:rFonts w:eastAsia="Arial Unicode MS"/>
              </w:rPr>
              <w:t>le differenze di cambio nette rilevate nel prospetto delle altre componenti di conto economico complessivo accumulati in una componente separata di patrimonio netto e una riconciliazione dell’importo di tali differenze di cambio tra l’inizio e la fine dell’esercizio.</w:t>
            </w:r>
          </w:p>
        </w:tc>
        <w:tc>
          <w:tcPr>
            <w:tcW w:w="575"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right w:w="0" w:type="dxa"/>
            </w:tcMar>
          </w:tcPr>
          <w:p w:rsidR="004300E2" w:rsidRPr="008A0F36" w:rsidRDefault="004300E2" w:rsidP="004300E2">
            <w:pPr>
              <w:pStyle w:val="IAS"/>
              <w:rPr>
                <w:lang w:val="it-IT"/>
              </w:rPr>
            </w:pPr>
            <w:r w:rsidRPr="008A0F36">
              <w:rPr>
                <w:lang w:val="it-IT"/>
              </w:rPr>
              <w:t>IAS 21.53</w:t>
            </w:r>
          </w:p>
        </w:tc>
        <w:tc>
          <w:tcPr>
            <w:tcW w:w="7079" w:type="dxa"/>
          </w:tcPr>
          <w:p w:rsidR="004300E2" w:rsidRPr="008A0F36" w:rsidRDefault="004300E2" w:rsidP="004300E2">
            <w:pPr>
              <w:rPr>
                <w:lang w:val="it-IT"/>
              </w:rPr>
            </w:pPr>
            <w:r w:rsidRPr="008A0F36">
              <w:rPr>
                <w:lang w:val="it-IT"/>
              </w:rPr>
              <w:t>Quando la moneta di presentazione è diversa dalla valuta funzionale, l’entità ha fornito le seguenti informazioni:</w:t>
            </w:r>
          </w:p>
        </w:tc>
        <w:tc>
          <w:tcPr>
            <w:tcW w:w="575" w:type="dxa"/>
            <w:vAlign w:val="center"/>
          </w:tcPr>
          <w:p w:rsidR="004300E2" w:rsidRPr="00090BE7" w:rsidRDefault="004300E2" w:rsidP="004300E2">
            <w:pPr>
              <w:jc w:val="center"/>
              <w:rPr>
                <w:lang w:val="it-IT"/>
              </w:rPr>
            </w:pPr>
          </w:p>
        </w:tc>
        <w:tc>
          <w:tcPr>
            <w:tcW w:w="567" w:type="dxa"/>
            <w:vAlign w:val="center"/>
          </w:tcPr>
          <w:p w:rsidR="004300E2" w:rsidRPr="00090BE7" w:rsidRDefault="004300E2" w:rsidP="004300E2">
            <w:pPr>
              <w:jc w:val="center"/>
              <w:rPr>
                <w:lang w:val="it-IT"/>
              </w:rPr>
            </w:pPr>
          </w:p>
        </w:tc>
        <w:tc>
          <w:tcPr>
            <w:tcW w:w="567" w:type="dxa"/>
            <w:tcMar>
              <w:left w:w="85" w:type="dxa"/>
              <w:right w:w="85" w:type="dxa"/>
            </w:tcMar>
            <w:vAlign w:val="center"/>
          </w:tcPr>
          <w:p w:rsidR="004300E2" w:rsidRPr="00090BE7" w:rsidRDefault="004300E2" w:rsidP="004300E2">
            <w:pPr>
              <w:jc w:val="center"/>
              <w:rPr>
                <w:lang w:val="it-IT"/>
              </w:rPr>
            </w:pPr>
          </w:p>
        </w:tc>
      </w:tr>
      <w:tr w:rsidR="004E201D" w:rsidRPr="008A0F36" w:rsidTr="00940A6F">
        <w:trPr>
          <w:cantSplit/>
        </w:trPr>
        <w:tc>
          <w:tcPr>
            <w:tcW w:w="567" w:type="dxa"/>
            <w:tcMar>
              <w:left w:w="108" w:type="dxa"/>
            </w:tcMar>
          </w:tcPr>
          <w:p w:rsidR="004E201D" w:rsidRPr="008A0F36" w:rsidRDefault="004E201D" w:rsidP="004300E2">
            <w:pPr>
              <w:pStyle w:val="IAS"/>
              <w:rPr>
                <w:lang w:val="it-IT"/>
              </w:rPr>
            </w:pPr>
          </w:p>
        </w:tc>
        <w:tc>
          <w:tcPr>
            <w:tcW w:w="851" w:type="dxa"/>
            <w:tcMar>
              <w:right w:w="0" w:type="dxa"/>
            </w:tcMar>
          </w:tcPr>
          <w:p w:rsidR="004E201D" w:rsidRPr="008A0F36" w:rsidRDefault="004E201D" w:rsidP="004300E2">
            <w:pPr>
              <w:pStyle w:val="IAS"/>
              <w:rPr>
                <w:lang w:val="it-IT"/>
              </w:rPr>
            </w:pPr>
          </w:p>
        </w:tc>
        <w:tc>
          <w:tcPr>
            <w:tcW w:w="7079" w:type="dxa"/>
          </w:tcPr>
          <w:p w:rsidR="004E201D" w:rsidRPr="008A0F36" w:rsidRDefault="004E201D" w:rsidP="004300E2">
            <w:pPr>
              <w:pStyle w:val="Rientroa"/>
              <w:numPr>
                <w:ilvl w:val="0"/>
                <w:numId w:val="87"/>
              </w:numPr>
            </w:pPr>
            <w:r w:rsidRPr="008A0F36">
              <w:t>tale fatto</w:t>
            </w:r>
          </w:p>
        </w:tc>
        <w:tc>
          <w:tcPr>
            <w:tcW w:w="575"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A0F36" w:rsidTr="00940A6F">
        <w:trPr>
          <w:cantSplit/>
        </w:trPr>
        <w:tc>
          <w:tcPr>
            <w:tcW w:w="567" w:type="dxa"/>
            <w:tcMar>
              <w:left w:w="108" w:type="dxa"/>
            </w:tcMar>
          </w:tcPr>
          <w:p w:rsidR="004E201D" w:rsidRPr="008A0F36" w:rsidRDefault="004E201D" w:rsidP="004300E2">
            <w:pPr>
              <w:pStyle w:val="IAS"/>
              <w:rPr>
                <w:lang w:val="it-IT"/>
              </w:rPr>
            </w:pPr>
          </w:p>
        </w:tc>
        <w:tc>
          <w:tcPr>
            <w:tcW w:w="851" w:type="dxa"/>
            <w:tcMar>
              <w:right w:w="0" w:type="dxa"/>
            </w:tcMar>
          </w:tcPr>
          <w:p w:rsidR="004E201D" w:rsidRPr="008A0F36" w:rsidRDefault="004E201D" w:rsidP="004300E2">
            <w:pPr>
              <w:pStyle w:val="IAS"/>
              <w:rPr>
                <w:lang w:val="it-IT"/>
              </w:rPr>
            </w:pPr>
          </w:p>
        </w:tc>
        <w:tc>
          <w:tcPr>
            <w:tcW w:w="7079" w:type="dxa"/>
          </w:tcPr>
          <w:p w:rsidR="004E201D" w:rsidRPr="008A0F36" w:rsidRDefault="004E201D" w:rsidP="00FB4B6E">
            <w:pPr>
              <w:pStyle w:val="Rientroa"/>
              <w:numPr>
                <w:ilvl w:val="0"/>
                <w:numId w:val="72"/>
              </w:numPr>
            </w:pPr>
            <w:r w:rsidRPr="008A0F36">
              <w:t>la valuta funzionale e</w:t>
            </w:r>
          </w:p>
        </w:tc>
        <w:tc>
          <w:tcPr>
            <w:tcW w:w="575"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tcMar>
          </w:tcPr>
          <w:p w:rsidR="004E201D" w:rsidRPr="008A0F36" w:rsidRDefault="004E201D" w:rsidP="004300E2">
            <w:pPr>
              <w:pStyle w:val="IAS"/>
              <w:rPr>
                <w:lang w:val="it-IT"/>
              </w:rPr>
            </w:pPr>
          </w:p>
        </w:tc>
        <w:tc>
          <w:tcPr>
            <w:tcW w:w="851" w:type="dxa"/>
            <w:tcMar>
              <w:right w:w="0" w:type="dxa"/>
            </w:tcMar>
          </w:tcPr>
          <w:p w:rsidR="004E201D" w:rsidRPr="008A0F36" w:rsidRDefault="004E201D" w:rsidP="004300E2">
            <w:pPr>
              <w:pStyle w:val="IAS"/>
              <w:rPr>
                <w:lang w:val="it-IT"/>
              </w:rPr>
            </w:pPr>
          </w:p>
        </w:tc>
        <w:tc>
          <w:tcPr>
            <w:tcW w:w="7079" w:type="dxa"/>
          </w:tcPr>
          <w:p w:rsidR="004E201D" w:rsidRPr="008A0F36" w:rsidRDefault="004E201D" w:rsidP="00FB4B6E">
            <w:pPr>
              <w:pStyle w:val="Rientroa"/>
              <w:numPr>
                <w:ilvl w:val="0"/>
                <w:numId w:val="72"/>
              </w:numPr>
            </w:pPr>
            <w:r w:rsidRPr="008A0F36">
              <w:t>la ragione per cui usa una diversa moneta di presentazione.</w:t>
            </w:r>
          </w:p>
        </w:tc>
        <w:tc>
          <w:tcPr>
            <w:tcW w:w="575"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right w:w="0" w:type="dxa"/>
            </w:tcMar>
          </w:tcPr>
          <w:p w:rsidR="004300E2" w:rsidRPr="008A0F36" w:rsidRDefault="004300E2" w:rsidP="004300E2">
            <w:pPr>
              <w:pStyle w:val="IAS"/>
              <w:rPr>
                <w:lang w:val="it-IT"/>
              </w:rPr>
            </w:pPr>
            <w:r w:rsidRPr="008A0F36">
              <w:rPr>
                <w:lang w:val="it-IT"/>
              </w:rPr>
              <w:t>IAS 21.54</w:t>
            </w:r>
          </w:p>
        </w:tc>
        <w:tc>
          <w:tcPr>
            <w:tcW w:w="7079" w:type="dxa"/>
          </w:tcPr>
          <w:p w:rsidR="004300E2" w:rsidRPr="008A0F36" w:rsidRDefault="004300E2" w:rsidP="004300E2">
            <w:pPr>
              <w:rPr>
                <w:lang w:val="it-IT"/>
              </w:rPr>
            </w:pPr>
            <w:r w:rsidRPr="008A0F36">
              <w:rPr>
                <w:lang w:val="it-IT"/>
              </w:rPr>
              <w:t>Quando c’è un cambiamento nella valuta funzionale dell’entità che redige il bilancio o di una gestione estera significativa, l’entità deve fornire le seguenti informazioni</w:t>
            </w:r>
            <w:r w:rsidRPr="008A0F36">
              <w:rPr>
                <w:spacing w:val="-2"/>
                <w:lang w:val="it-IT"/>
              </w:rPr>
              <w:t>:</w:t>
            </w:r>
          </w:p>
        </w:tc>
        <w:tc>
          <w:tcPr>
            <w:tcW w:w="575" w:type="dxa"/>
            <w:vAlign w:val="center"/>
          </w:tcPr>
          <w:p w:rsidR="004300E2" w:rsidRPr="00090BE7" w:rsidRDefault="004300E2" w:rsidP="004300E2">
            <w:pPr>
              <w:jc w:val="center"/>
              <w:rPr>
                <w:lang w:val="it-IT"/>
              </w:rPr>
            </w:pPr>
          </w:p>
        </w:tc>
        <w:tc>
          <w:tcPr>
            <w:tcW w:w="567" w:type="dxa"/>
            <w:vAlign w:val="center"/>
          </w:tcPr>
          <w:p w:rsidR="004300E2" w:rsidRPr="00090BE7" w:rsidRDefault="004300E2" w:rsidP="004300E2">
            <w:pPr>
              <w:jc w:val="center"/>
              <w:rPr>
                <w:lang w:val="it-IT"/>
              </w:rPr>
            </w:pPr>
          </w:p>
        </w:tc>
        <w:tc>
          <w:tcPr>
            <w:tcW w:w="567" w:type="dxa"/>
            <w:tcMar>
              <w:left w:w="85" w:type="dxa"/>
              <w:right w:w="85" w:type="dxa"/>
            </w:tcMar>
            <w:vAlign w:val="center"/>
          </w:tcPr>
          <w:p w:rsidR="004300E2" w:rsidRPr="00090BE7" w:rsidRDefault="004300E2" w:rsidP="004300E2">
            <w:pPr>
              <w:jc w:val="center"/>
              <w:rPr>
                <w:lang w:val="it-IT"/>
              </w:rPr>
            </w:pPr>
          </w:p>
        </w:tc>
      </w:tr>
      <w:tr w:rsidR="004E201D" w:rsidRPr="008A0F36" w:rsidTr="00940A6F">
        <w:trPr>
          <w:cantSplit/>
        </w:trPr>
        <w:tc>
          <w:tcPr>
            <w:tcW w:w="567" w:type="dxa"/>
            <w:tcMar>
              <w:left w:w="108" w:type="dxa"/>
            </w:tcMar>
          </w:tcPr>
          <w:p w:rsidR="004E201D" w:rsidRPr="008A0F36" w:rsidRDefault="004E201D" w:rsidP="004300E2">
            <w:pPr>
              <w:pStyle w:val="IAS"/>
              <w:rPr>
                <w:lang w:val="it-IT"/>
              </w:rPr>
            </w:pPr>
          </w:p>
        </w:tc>
        <w:tc>
          <w:tcPr>
            <w:tcW w:w="851" w:type="dxa"/>
            <w:tcMar>
              <w:right w:w="0" w:type="dxa"/>
            </w:tcMar>
          </w:tcPr>
          <w:p w:rsidR="004E201D" w:rsidRPr="008A0F36" w:rsidRDefault="004E201D" w:rsidP="004300E2">
            <w:pPr>
              <w:pStyle w:val="IAS"/>
              <w:rPr>
                <w:lang w:val="it-IT"/>
              </w:rPr>
            </w:pPr>
          </w:p>
        </w:tc>
        <w:tc>
          <w:tcPr>
            <w:tcW w:w="7079" w:type="dxa"/>
          </w:tcPr>
          <w:p w:rsidR="004E201D" w:rsidRPr="008A0F36" w:rsidRDefault="004E201D" w:rsidP="004300E2">
            <w:pPr>
              <w:pStyle w:val="Rientroa"/>
              <w:numPr>
                <w:ilvl w:val="0"/>
                <w:numId w:val="88"/>
              </w:numPr>
            </w:pPr>
            <w:r w:rsidRPr="008A0F36">
              <w:t>il fatto; e</w:t>
            </w:r>
          </w:p>
        </w:tc>
        <w:tc>
          <w:tcPr>
            <w:tcW w:w="575"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tcMar>
          </w:tcPr>
          <w:p w:rsidR="004E201D" w:rsidRPr="008A0F36" w:rsidRDefault="004E201D" w:rsidP="004300E2">
            <w:pPr>
              <w:pStyle w:val="IAS"/>
              <w:rPr>
                <w:lang w:val="it-IT"/>
              </w:rPr>
            </w:pPr>
          </w:p>
        </w:tc>
        <w:tc>
          <w:tcPr>
            <w:tcW w:w="851" w:type="dxa"/>
            <w:tcMar>
              <w:right w:w="0" w:type="dxa"/>
            </w:tcMar>
          </w:tcPr>
          <w:p w:rsidR="004E201D" w:rsidRPr="008A0F36" w:rsidRDefault="004E201D" w:rsidP="004300E2">
            <w:pPr>
              <w:pStyle w:val="IAS"/>
              <w:rPr>
                <w:lang w:val="it-IT"/>
              </w:rPr>
            </w:pPr>
          </w:p>
        </w:tc>
        <w:tc>
          <w:tcPr>
            <w:tcW w:w="7079" w:type="dxa"/>
          </w:tcPr>
          <w:p w:rsidR="004E201D" w:rsidRPr="008A0F36" w:rsidRDefault="004E201D" w:rsidP="00FB4B6E">
            <w:pPr>
              <w:pStyle w:val="Rientroa"/>
              <w:numPr>
                <w:ilvl w:val="0"/>
                <w:numId w:val="72"/>
              </w:numPr>
            </w:pPr>
            <w:r w:rsidRPr="008A0F36">
              <w:t>la ragione del cambiamento della valuta funzionale.</w:t>
            </w:r>
          </w:p>
        </w:tc>
        <w:tc>
          <w:tcPr>
            <w:tcW w:w="575"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tcMar>
          </w:tcPr>
          <w:p w:rsidR="004E201D" w:rsidRPr="008A0F36" w:rsidRDefault="004E201D" w:rsidP="004300E2">
            <w:pPr>
              <w:pStyle w:val="Numeroelenco"/>
              <w:ind w:left="0" w:firstLine="57"/>
              <w:rPr>
                <w:lang w:val="it-IT"/>
              </w:rPr>
            </w:pPr>
          </w:p>
        </w:tc>
        <w:tc>
          <w:tcPr>
            <w:tcW w:w="851" w:type="dxa"/>
            <w:tcMar>
              <w:right w:w="0" w:type="dxa"/>
            </w:tcMar>
          </w:tcPr>
          <w:p w:rsidR="004E201D" w:rsidRPr="008A0F36" w:rsidRDefault="004E201D" w:rsidP="004300E2">
            <w:pPr>
              <w:pStyle w:val="IAS"/>
              <w:rPr>
                <w:lang w:val="it-IT"/>
              </w:rPr>
            </w:pPr>
            <w:r w:rsidRPr="008A0F36">
              <w:rPr>
                <w:lang w:val="it-IT"/>
              </w:rPr>
              <w:t>IAS 21.55</w:t>
            </w:r>
          </w:p>
        </w:tc>
        <w:tc>
          <w:tcPr>
            <w:tcW w:w="7079" w:type="dxa"/>
          </w:tcPr>
          <w:p w:rsidR="004E201D" w:rsidRPr="008A0F36" w:rsidRDefault="004E201D" w:rsidP="004300E2">
            <w:pPr>
              <w:rPr>
                <w:lang w:val="it-IT"/>
              </w:rPr>
            </w:pPr>
            <w:r w:rsidRPr="008A0F36">
              <w:rPr>
                <w:lang w:val="it-IT"/>
              </w:rPr>
              <w:t xml:space="preserve">Quando l’entità presenta il suo bilancio in una valuta diversa dalla valuta funzionale, lo ha indicato come conforme agli IFRS solo se rispetta tutte le disposizioni </w:t>
            </w:r>
            <w:r>
              <w:rPr>
                <w:lang w:val="it-IT"/>
              </w:rPr>
              <w:t xml:space="preserve">degli IFRS </w:t>
            </w:r>
            <w:r w:rsidRPr="008A0F36">
              <w:rPr>
                <w:lang w:val="it-IT"/>
              </w:rPr>
              <w:t xml:space="preserve">incluso il metodo di traduzione definito </w:t>
            </w:r>
            <w:r>
              <w:rPr>
                <w:lang w:val="it-IT"/>
              </w:rPr>
              <w:t xml:space="preserve">dai paragrafi 39 e 42 dello IAS </w:t>
            </w:r>
            <w:r w:rsidRPr="008A0F36">
              <w:rPr>
                <w:lang w:val="it-IT"/>
              </w:rPr>
              <w:t>21</w:t>
            </w:r>
            <w:r>
              <w:rPr>
                <w:lang w:val="it-IT"/>
              </w:rPr>
              <w:t>,</w:t>
            </w:r>
          </w:p>
        </w:tc>
        <w:tc>
          <w:tcPr>
            <w:tcW w:w="575"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right w:w="0" w:type="dxa"/>
            </w:tcMar>
          </w:tcPr>
          <w:p w:rsidR="004300E2" w:rsidRPr="008A0F36" w:rsidRDefault="004300E2" w:rsidP="004300E2">
            <w:pPr>
              <w:pStyle w:val="IAS"/>
              <w:rPr>
                <w:lang w:val="it-IT"/>
              </w:rPr>
            </w:pPr>
            <w:r w:rsidRPr="008A0F36">
              <w:rPr>
                <w:lang w:val="it-IT"/>
              </w:rPr>
              <w:t>IAS 21.57</w:t>
            </w:r>
          </w:p>
        </w:tc>
        <w:tc>
          <w:tcPr>
            <w:tcW w:w="7079" w:type="dxa"/>
          </w:tcPr>
          <w:p w:rsidR="004300E2" w:rsidRPr="008A0F36" w:rsidRDefault="004300E2" w:rsidP="004300E2">
            <w:pPr>
              <w:rPr>
                <w:lang w:val="it-IT"/>
              </w:rPr>
            </w:pPr>
            <w:r w:rsidRPr="008A0F36">
              <w:rPr>
                <w:lang w:val="it-IT"/>
              </w:rPr>
              <w:t xml:space="preserve">Quando l’entità illustra il suo bilancio o altre informazioni finanziarie in una valuta diversa dalla sua valuta funzionale o dalla moneta di presentazione e non sono rispettate le disposizioni dello IAS 21.55, l’entità: </w:t>
            </w:r>
          </w:p>
        </w:tc>
        <w:tc>
          <w:tcPr>
            <w:tcW w:w="575" w:type="dxa"/>
            <w:vAlign w:val="center"/>
          </w:tcPr>
          <w:p w:rsidR="004300E2" w:rsidRPr="00090BE7" w:rsidRDefault="004300E2" w:rsidP="004300E2">
            <w:pPr>
              <w:jc w:val="center"/>
              <w:rPr>
                <w:lang w:val="it-IT"/>
              </w:rPr>
            </w:pPr>
          </w:p>
        </w:tc>
        <w:tc>
          <w:tcPr>
            <w:tcW w:w="567" w:type="dxa"/>
            <w:vAlign w:val="center"/>
          </w:tcPr>
          <w:p w:rsidR="004300E2" w:rsidRPr="00090BE7" w:rsidRDefault="004300E2" w:rsidP="004300E2">
            <w:pPr>
              <w:jc w:val="center"/>
              <w:rPr>
                <w:lang w:val="it-IT"/>
              </w:rPr>
            </w:pPr>
          </w:p>
        </w:tc>
        <w:tc>
          <w:tcPr>
            <w:tcW w:w="567" w:type="dxa"/>
            <w:tcMar>
              <w:left w:w="85" w:type="dxa"/>
              <w:right w:w="85" w:type="dxa"/>
            </w:tcMar>
            <w:vAlign w:val="center"/>
          </w:tcPr>
          <w:p w:rsidR="004300E2" w:rsidRPr="00090BE7" w:rsidRDefault="004300E2" w:rsidP="004300E2">
            <w:pPr>
              <w:jc w:val="center"/>
              <w:rPr>
                <w:lang w:val="it-IT"/>
              </w:rPr>
            </w:pPr>
          </w:p>
        </w:tc>
      </w:tr>
      <w:tr w:rsidR="004E201D" w:rsidRPr="008129DA" w:rsidTr="00940A6F">
        <w:trPr>
          <w:cantSplit/>
        </w:trPr>
        <w:tc>
          <w:tcPr>
            <w:tcW w:w="567" w:type="dxa"/>
            <w:tcMar>
              <w:left w:w="108" w:type="dxa"/>
            </w:tcMar>
          </w:tcPr>
          <w:p w:rsidR="004E201D" w:rsidRPr="008A0F36" w:rsidRDefault="004E201D" w:rsidP="004300E2">
            <w:pPr>
              <w:pStyle w:val="IAS"/>
              <w:rPr>
                <w:lang w:val="it-IT"/>
              </w:rPr>
            </w:pPr>
          </w:p>
        </w:tc>
        <w:tc>
          <w:tcPr>
            <w:tcW w:w="851" w:type="dxa"/>
            <w:tcMar>
              <w:right w:w="0" w:type="dxa"/>
            </w:tcMar>
          </w:tcPr>
          <w:p w:rsidR="004E201D" w:rsidRPr="008A0F36" w:rsidRDefault="004E201D" w:rsidP="004300E2">
            <w:pPr>
              <w:pStyle w:val="IAS"/>
              <w:rPr>
                <w:lang w:val="it-IT"/>
              </w:rPr>
            </w:pPr>
          </w:p>
        </w:tc>
        <w:tc>
          <w:tcPr>
            <w:tcW w:w="7079" w:type="dxa"/>
          </w:tcPr>
          <w:p w:rsidR="004E201D" w:rsidRPr="008A0F36" w:rsidRDefault="004E201D" w:rsidP="004300E2">
            <w:pPr>
              <w:pStyle w:val="Rientroa"/>
              <w:numPr>
                <w:ilvl w:val="0"/>
                <w:numId w:val="89"/>
              </w:numPr>
            </w:pPr>
            <w:r w:rsidRPr="008A0F36">
              <w:t>identifica chiaramente tali informazioni come supplementari per distinguerle da quelle conformi agli IFRS</w:t>
            </w:r>
          </w:p>
        </w:tc>
        <w:tc>
          <w:tcPr>
            <w:tcW w:w="575"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tcMar>
          </w:tcPr>
          <w:p w:rsidR="004E201D" w:rsidRPr="008A0F36" w:rsidRDefault="004E201D" w:rsidP="004300E2">
            <w:pPr>
              <w:pStyle w:val="IAS"/>
              <w:rPr>
                <w:lang w:val="it-IT"/>
              </w:rPr>
            </w:pPr>
          </w:p>
        </w:tc>
        <w:tc>
          <w:tcPr>
            <w:tcW w:w="851" w:type="dxa"/>
            <w:tcMar>
              <w:right w:w="0" w:type="dxa"/>
            </w:tcMar>
          </w:tcPr>
          <w:p w:rsidR="004E201D" w:rsidRPr="008A0F36" w:rsidRDefault="004E201D" w:rsidP="004300E2">
            <w:pPr>
              <w:pStyle w:val="IAS"/>
              <w:rPr>
                <w:lang w:val="it-IT"/>
              </w:rPr>
            </w:pPr>
          </w:p>
        </w:tc>
        <w:tc>
          <w:tcPr>
            <w:tcW w:w="7079" w:type="dxa"/>
          </w:tcPr>
          <w:p w:rsidR="004E201D" w:rsidRPr="008A0F36" w:rsidRDefault="004E201D" w:rsidP="00FB4B6E">
            <w:pPr>
              <w:pStyle w:val="Rientroa"/>
              <w:numPr>
                <w:ilvl w:val="0"/>
                <w:numId w:val="72"/>
              </w:numPr>
            </w:pPr>
            <w:r w:rsidRPr="008A0F36">
              <w:t>indica la valuta nella quale sono date le informazioni supplementari</w:t>
            </w:r>
          </w:p>
        </w:tc>
        <w:tc>
          <w:tcPr>
            <w:tcW w:w="575"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tcMar>
          </w:tcPr>
          <w:p w:rsidR="004E201D" w:rsidRPr="008A0F36" w:rsidRDefault="004E201D" w:rsidP="004300E2">
            <w:pPr>
              <w:pStyle w:val="IAS"/>
              <w:rPr>
                <w:lang w:val="it-IT"/>
              </w:rPr>
            </w:pPr>
          </w:p>
        </w:tc>
        <w:tc>
          <w:tcPr>
            <w:tcW w:w="851" w:type="dxa"/>
            <w:tcMar>
              <w:right w:w="0" w:type="dxa"/>
            </w:tcMar>
          </w:tcPr>
          <w:p w:rsidR="004E201D" w:rsidRPr="008A0F36" w:rsidRDefault="004E201D" w:rsidP="004300E2">
            <w:pPr>
              <w:pStyle w:val="IAS"/>
              <w:rPr>
                <w:lang w:val="it-IT"/>
              </w:rPr>
            </w:pPr>
          </w:p>
        </w:tc>
        <w:tc>
          <w:tcPr>
            <w:tcW w:w="7079" w:type="dxa"/>
          </w:tcPr>
          <w:p w:rsidR="004E201D" w:rsidRPr="008A0F36" w:rsidRDefault="004E201D" w:rsidP="00FB4B6E">
            <w:pPr>
              <w:pStyle w:val="Rientroa"/>
              <w:numPr>
                <w:ilvl w:val="0"/>
                <w:numId w:val="72"/>
              </w:numPr>
            </w:pPr>
            <w:r w:rsidRPr="008A0F36">
              <w:t>indica la sua valuta funzionale e il metodo di traduzione usato per determinare le informazioni supplementari.</w:t>
            </w:r>
          </w:p>
        </w:tc>
        <w:tc>
          <w:tcPr>
            <w:tcW w:w="575"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A0F36" w:rsidTr="00940A6F">
        <w:trPr>
          <w:cantSplit/>
        </w:trPr>
        <w:tc>
          <w:tcPr>
            <w:tcW w:w="567" w:type="dxa"/>
            <w:tcMar>
              <w:left w:w="108" w:type="dxa"/>
            </w:tcMar>
          </w:tcPr>
          <w:p w:rsidR="004300E2" w:rsidRPr="008A0F36" w:rsidRDefault="004300E2" w:rsidP="004300E2">
            <w:pPr>
              <w:pStyle w:val="IAS"/>
              <w:rPr>
                <w:lang w:val="it-IT"/>
              </w:rPr>
            </w:pPr>
          </w:p>
        </w:tc>
        <w:tc>
          <w:tcPr>
            <w:tcW w:w="851" w:type="dxa"/>
            <w:tcMar>
              <w:right w:w="0" w:type="dxa"/>
            </w:tcMar>
          </w:tcPr>
          <w:p w:rsidR="004300E2" w:rsidRPr="008A0F36" w:rsidRDefault="004300E2" w:rsidP="004300E2">
            <w:pPr>
              <w:pStyle w:val="IAS"/>
              <w:rPr>
                <w:lang w:val="it-IT"/>
              </w:rPr>
            </w:pPr>
          </w:p>
        </w:tc>
        <w:tc>
          <w:tcPr>
            <w:tcW w:w="7079" w:type="dxa"/>
          </w:tcPr>
          <w:p w:rsidR="004300E2" w:rsidRPr="008A0F36" w:rsidRDefault="004300E2" w:rsidP="004300E2">
            <w:pPr>
              <w:pStyle w:val="Titolo1"/>
            </w:pPr>
            <w:r w:rsidRPr="008A0F36">
              <w:t>INFORMATIVA SULL</w:t>
            </w:r>
            <w:r w:rsidRPr="008A0F36">
              <w:rPr>
                <w:b w:val="0"/>
              </w:rPr>
              <w:t>’</w:t>
            </w:r>
            <w:r w:rsidRPr="008A0F36">
              <w:t>ULTIMO TRIMESTRE</w:t>
            </w:r>
          </w:p>
        </w:tc>
        <w:tc>
          <w:tcPr>
            <w:tcW w:w="575" w:type="dxa"/>
            <w:vAlign w:val="center"/>
          </w:tcPr>
          <w:p w:rsidR="004300E2" w:rsidRDefault="004300E2" w:rsidP="004300E2">
            <w:pPr>
              <w:jc w:val="center"/>
            </w:pPr>
          </w:p>
        </w:tc>
        <w:tc>
          <w:tcPr>
            <w:tcW w:w="567" w:type="dxa"/>
            <w:vAlign w:val="center"/>
          </w:tcPr>
          <w:p w:rsidR="004300E2" w:rsidRDefault="004300E2" w:rsidP="004300E2">
            <w:pPr>
              <w:jc w:val="center"/>
            </w:pPr>
          </w:p>
        </w:tc>
        <w:tc>
          <w:tcPr>
            <w:tcW w:w="567" w:type="dxa"/>
            <w:tcMar>
              <w:left w:w="85" w:type="dxa"/>
              <w:right w:w="85" w:type="dxa"/>
            </w:tcMar>
            <w:vAlign w:val="center"/>
          </w:tcPr>
          <w:p w:rsidR="004300E2" w:rsidRDefault="004300E2" w:rsidP="004300E2">
            <w:pPr>
              <w:jc w:val="center"/>
            </w:pPr>
          </w:p>
        </w:tc>
      </w:tr>
      <w:tr w:rsidR="004300E2" w:rsidRPr="00A44ECD" w:rsidTr="00940A6F">
        <w:trPr>
          <w:cantSplit/>
        </w:trPr>
        <w:tc>
          <w:tcPr>
            <w:tcW w:w="567" w:type="dxa"/>
            <w:tcMar>
              <w:left w:w="108"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34.26</w:t>
            </w:r>
          </w:p>
        </w:tc>
        <w:tc>
          <w:tcPr>
            <w:tcW w:w="7079" w:type="dxa"/>
            <w:tcMar>
              <w:left w:w="108" w:type="dxa"/>
            </w:tcMar>
          </w:tcPr>
          <w:p w:rsidR="004300E2" w:rsidRPr="008A0F36" w:rsidRDefault="004300E2" w:rsidP="004300E2">
            <w:pPr>
              <w:rPr>
                <w:lang w:val="it-IT"/>
              </w:rPr>
            </w:pPr>
            <w:r w:rsidRPr="008A0F36">
              <w:rPr>
                <w:lang w:val="it-IT"/>
              </w:rPr>
              <w:t>Se la stima di un valore esposto in un periodo intermedio viene modificata in misura rilevante nell’ultimo periodo intermedio dell’esercizio, ma non è pubblicata una separata informativa finanziaria per l’ultimo periodo intermedio, devono essere illustrate le seguenti informazioni in una nota al bilancio annuale di quell’esercizio:</w:t>
            </w:r>
          </w:p>
        </w:tc>
        <w:tc>
          <w:tcPr>
            <w:tcW w:w="575" w:type="dxa"/>
            <w:tcMar>
              <w:left w:w="85" w:type="dxa"/>
              <w:right w:w="85" w:type="dxa"/>
            </w:tcMar>
            <w:vAlign w:val="center"/>
          </w:tcPr>
          <w:p w:rsidR="004300E2" w:rsidRPr="003E3E83" w:rsidRDefault="004300E2" w:rsidP="004300E2">
            <w:pPr>
              <w:jc w:val="center"/>
              <w:rPr>
                <w:lang w:val="it-IT"/>
              </w:rPr>
            </w:pPr>
          </w:p>
        </w:tc>
        <w:tc>
          <w:tcPr>
            <w:tcW w:w="567" w:type="dxa"/>
            <w:tcMar>
              <w:left w:w="108" w:type="dxa"/>
            </w:tcMar>
            <w:vAlign w:val="center"/>
          </w:tcPr>
          <w:p w:rsidR="004300E2" w:rsidRPr="003E3E83" w:rsidRDefault="004300E2" w:rsidP="004300E2">
            <w:pPr>
              <w:jc w:val="center"/>
              <w:rPr>
                <w:lang w:val="it-IT"/>
              </w:rPr>
            </w:pPr>
          </w:p>
        </w:tc>
        <w:tc>
          <w:tcPr>
            <w:tcW w:w="567" w:type="dxa"/>
            <w:tcMar>
              <w:left w:w="108" w:type="dxa"/>
            </w:tcMar>
            <w:vAlign w:val="center"/>
          </w:tcPr>
          <w:p w:rsidR="004300E2" w:rsidRPr="003E3E83" w:rsidRDefault="004300E2" w:rsidP="004300E2">
            <w:pPr>
              <w:jc w:val="center"/>
              <w:rPr>
                <w:lang w:val="it-IT"/>
              </w:rPr>
            </w:pPr>
          </w:p>
        </w:tc>
      </w:tr>
      <w:tr w:rsidR="004E201D" w:rsidRPr="008129DA" w:rsidTr="00940A6F">
        <w:trPr>
          <w:cantSplit/>
        </w:trPr>
        <w:tc>
          <w:tcPr>
            <w:tcW w:w="567" w:type="dxa"/>
            <w:tcMar>
              <w:left w:w="108"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4300E2">
            <w:pPr>
              <w:pStyle w:val="Rientroa"/>
              <w:numPr>
                <w:ilvl w:val="0"/>
                <w:numId w:val="90"/>
              </w:numPr>
            </w:pPr>
            <w:r w:rsidRPr="008A0F36">
              <w:t>la natura di tale modifica; e</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FB4B6E">
            <w:pPr>
              <w:pStyle w:val="Rientroa"/>
              <w:numPr>
                <w:ilvl w:val="0"/>
                <w:numId w:val="72"/>
              </w:numPr>
            </w:pPr>
            <w:r w:rsidRPr="008A0F36">
              <w:t>il valore di tale modifica.</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A0F36" w:rsidTr="00940A6F">
        <w:trPr>
          <w:cantSplit/>
        </w:trPr>
        <w:tc>
          <w:tcPr>
            <w:tcW w:w="567" w:type="dxa"/>
            <w:tcMar>
              <w:left w:w="108" w:type="dxa"/>
            </w:tcMar>
            <w:vAlign w:val="center"/>
          </w:tcPr>
          <w:p w:rsidR="004300E2" w:rsidRPr="008A0F36" w:rsidRDefault="004300E2" w:rsidP="004300E2">
            <w:pPr>
              <w:pStyle w:val="IAS"/>
              <w:jc w:val="left"/>
              <w:rPr>
                <w:lang w:val="it-IT"/>
              </w:rPr>
            </w:pPr>
          </w:p>
        </w:tc>
        <w:tc>
          <w:tcPr>
            <w:tcW w:w="851" w:type="dxa"/>
            <w:tcMar>
              <w:left w:w="108" w:type="dxa"/>
              <w:right w:w="0" w:type="dxa"/>
            </w:tcMar>
            <w:vAlign w:val="center"/>
          </w:tcPr>
          <w:p w:rsidR="004300E2" w:rsidRPr="008A0F36" w:rsidRDefault="004300E2" w:rsidP="004300E2">
            <w:pPr>
              <w:pStyle w:val="IAS"/>
              <w:jc w:val="left"/>
              <w:rPr>
                <w:lang w:val="it-IT"/>
              </w:rPr>
            </w:pPr>
          </w:p>
        </w:tc>
        <w:tc>
          <w:tcPr>
            <w:tcW w:w="7079" w:type="dxa"/>
            <w:tcMar>
              <w:left w:w="108" w:type="dxa"/>
            </w:tcMar>
            <w:vAlign w:val="center"/>
          </w:tcPr>
          <w:p w:rsidR="004300E2" w:rsidRPr="008A0F36" w:rsidRDefault="004300E2" w:rsidP="004300E2">
            <w:pPr>
              <w:pStyle w:val="Titolo1"/>
            </w:pPr>
            <w:r w:rsidRPr="008A0F36">
              <w:t>CONTRIBUTI GOVERNATIVI</w:t>
            </w:r>
          </w:p>
        </w:tc>
        <w:tc>
          <w:tcPr>
            <w:tcW w:w="575" w:type="dxa"/>
            <w:tcMar>
              <w:left w:w="85" w:type="dxa"/>
              <w:right w:w="85" w:type="dxa"/>
            </w:tcMar>
            <w:vAlign w:val="center"/>
          </w:tcPr>
          <w:p w:rsidR="004300E2" w:rsidRDefault="004300E2" w:rsidP="004300E2">
            <w:pPr>
              <w:jc w:val="left"/>
            </w:pPr>
          </w:p>
        </w:tc>
        <w:tc>
          <w:tcPr>
            <w:tcW w:w="567" w:type="dxa"/>
            <w:tcMar>
              <w:left w:w="108" w:type="dxa"/>
            </w:tcMar>
            <w:vAlign w:val="center"/>
          </w:tcPr>
          <w:p w:rsidR="004300E2" w:rsidRDefault="004300E2" w:rsidP="004300E2">
            <w:pPr>
              <w:jc w:val="left"/>
            </w:pPr>
          </w:p>
        </w:tc>
        <w:tc>
          <w:tcPr>
            <w:tcW w:w="567" w:type="dxa"/>
            <w:tcMar>
              <w:left w:w="108" w:type="dxa"/>
            </w:tcMar>
            <w:vAlign w:val="center"/>
          </w:tcPr>
          <w:p w:rsidR="004300E2" w:rsidRDefault="004300E2" w:rsidP="004300E2">
            <w:pPr>
              <w:jc w:val="left"/>
            </w:pPr>
          </w:p>
        </w:tc>
      </w:tr>
      <w:tr w:rsidR="004300E2" w:rsidRPr="00A44ECD" w:rsidDel="00E85710" w:rsidTr="00940A6F">
        <w:trPr>
          <w:cantSplit/>
        </w:trPr>
        <w:tc>
          <w:tcPr>
            <w:tcW w:w="567" w:type="dxa"/>
            <w:tcMar>
              <w:left w:w="108" w:type="dxa"/>
              <w:right w:w="0"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Pr="008A0F36" w:rsidRDefault="004300E2" w:rsidP="004300E2">
            <w:pPr>
              <w:rPr>
                <w:lang w:val="it-IT"/>
              </w:rPr>
            </w:pPr>
            <w:r w:rsidRPr="008A0F36">
              <w:rPr>
                <w:lang w:val="it-IT"/>
              </w:rPr>
              <w:t>L’entità deve presentare le seguenti informazioni con riferimento ai contributi pubblici e agli altri tipi di assistenza pubblica:</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4E201D" w:rsidRPr="008129DA" w:rsidDel="00E85710" w:rsidTr="00940A6F">
        <w:trPr>
          <w:cantSplit/>
        </w:trPr>
        <w:tc>
          <w:tcPr>
            <w:tcW w:w="567" w:type="dxa"/>
            <w:tcMar>
              <w:left w:w="108" w:type="dxa"/>
              <w:right w:w="0" w:type="dxa"/>
            </w:tcMar>
          </w:tcPr>
          <w:p w:rsidR="004E201D" w:rsidRPr="008A0F36" w:rsidDel="00E85710" w:rsidRDefault="004E201D" w:rsidP="004300E2">
            <w:pPr>
              <w:pStyle w:val="IAS"/>
              <w:rPr>
                <w:lang w:val="it-IT"/>
              </w:rPr>
            </w:pPr>
          </w:p>
        </w:tc>
        <w:tc>
          <w:tcPr>
            <w:tcW w:w="851" w:type="dxa"/>
            <w:tcMar>
              <w:left w:w="108" w:type="dxa"/>
              <w:right w:w="0" w:type="dxa"/>
            </w:tcMar>
          </w:tcPr>
          <w:p w:rsidR="004E201D" w:rsidRPr="008A0F36" w:rsidDel="00E85710" w:rsidRDefault="004E201D" w:rsidP="004300E2">
            <w:pPr>
              <w:pStyle w:val="IAS"/>
              <w:rPr>
                <w:lang w:val="it-IT"/>
              </w:rPr>
            </w:pPr>
            <w:r w:rsidRPr="008A0F36">
              <w:rPr>
                <w:lang w:val="it-IT"/>
              </w:rPr>
              <w:t>IAS 20.39</w:t>
            </w:r>
          </w:p>
        </w:tc>
        <w:tc>
          <w:tcPr>
            <w:tcW w:w="7079" w:type="dxa"/>
            <w:tcMar>
              <w:left w:w="108" w:type="dxa"/>
            </w:tcMar>
          </w:tcPr>
          <w:p w:rsidR="004E201D" w:rsidRPr="008A0F36" w:rsidRDefault="004E201D" w:rsidP="004300E2">
            <w:pPr>
              <w:pStyle w:val="Rientroa"/>
              <w:numPr>
                <w:ilvl w:val="0"/>
                <w:numId w:val="91"/>
              </w:numPr>
            </w:pPr>
            <w:r w:rsidRPr="008A0F36">
              <w:t>il principio contabile adottato per i contributi pubblici</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Del="00E85710" w:rsidTr="00940A6F">
        <w:trPr>
          <w:cantSplit/>
        </w:trPr>
        <w:tc>
          <w:tcPr>
            <w:tcW w:w="567" w:type="dxa"/>
            <w:tcMar>
              <w:left w:w="108" w:type="dxa"/>
              <w:right w:w="0" w:type="dxa"/>
            </w:tcMar>
          </w:tcPr>
          <w:p w:rsidR="004E201D" w:rsidRPr="008A0F36" w:rsidDel="00E85710" w:rsidRDefault="004E201D" w:rsidP="004300E2">
            <w:pPr>
              <w:pStyle w:val="IAS"/>
              <w:rPr>
                <w:lang w:val="it-IT"/>
              </w:rPr>
            </w:pPr>
          </w:p>
        </w:tc>
        <w:tc>
          <w:tcPr>
            <w:tcW w:w="851" w:type="dxa"/>
            <w:tcMar>
              <w:left w:w="108" w:type="dxa"/>
              <w:right w:w="0" w:type="dxa"/>
            </w:tcMar>
          </w:tcPr>
          <w:p w:rsidR="004E201D" w:rsidRPr="008A0F36" w:rsidDel="00E85710" w:rsidRDefault="004E201D" w:rsidP="004300E2">
            <w:pPr>
              <w:pStyle w:val="IAS"/>
              <w:rPr>
                <w:lang w:val="it-IT"/>
              </w:rPr>
            </w:pPr>
          </w:p>
        </w:tc>
        <w:tc>
          <w:tcPr>
            <w:tcW w:w="7079" w:type="dxa"/>
            <w:tcMar>
              <w:left w:w="108" w:type="dxa"/>
            </w:tcMar>
          </w:tcPr>
          <w:p w:rsidR="004E201D" w:rsidRPr="008A0F36" w:rsidRDefault="004E201D" w:rsidP="00FB4B6E">
            <w:pPr>
              <w:pStyle w:val="Rientroa"/>
              <w:numPr>
                <w:ilvl w:val="0"/>
                <w:numId w:val="72"/>
              </w:numPr>
            </w:pPr>
            <w:r w:rsidRPr="008A0F36">
              <w:t>i metodi di presentazione utilizzati nel bilancio</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Del="00E85710" w:rsidTr="00940A6F">
        <w:trPr>
          <w:cantSplit/>
        </w:trPr>
        <w:tc>
          <w:tcPr>
            <w:tcW w:w="567" w:type="dxa"/>
            <w:tcMar>
              <w:left w:w="108" w:type="dxa"/>
              <w:right w:w="0" w:type="dxa"/>
            </w:tcMar>
          </w:tcPr>
          <w:p w:rsidR="004E201D" w:rsidRPr="008A0F36" w:rsidDel="00E85710" w:rsidRDefault="004E201D" w:rsidP="004300E2">
            <w:pPr>
              <w:pStyle w:val="IAS"/>
              <w:rPr>
                <w:lang w:val="it-IT"/>
              </w:rPr>
            </w:pPr>
          </w:p>
        </w:tc>
        <w:tc>
          <w:tcPr>
            <w:tcW w:w="851" w:type="dxa"/>
            <w:tcMar>
              <w:left w:w="108" w:type="dxa"/>
              <w:right w:w="0" w:type="dxa"/>
            </w:tcMar>
          </w:tcPr>
          <w:p w:rsidR="004E201D" w:rsidRPr="008A0F36" w:rsidDel="00E85710" w:rsidRDefault="004E201D" w:rsidP="004300E2">
            <w:pPr>
              <w:pStyle w:val="IAS"/>
              <w:rPr>
                <w:lang w:val="it-IT"/>
              </w:rPr>
            </w:pPr>
          </w:p>
        </w:tc>
        <w:tc>
          <w:tcPr>
            <w:tcW w:w="7079" w:type="dxa"/>
            <w:tcMar>
              <w:left w:w="108" w:type="dxa"/>
            </w:tcMar>
          </w:tcPr>
          <w:p w:rsidR="004E201D" w:rsidRPr="008A0F36" w:rsidRDefault="004E201D" w:rsidP="00FB4B6E">
            <w:pPr>
              <w:pStyle w:val="Rientroa"/>
              <w:numPr>
                <w:ilvl w:val="0"/>
                <w:numId w:val="72"/>
              </w:numPr>
            </w:pPr>
            <w:r w:rsidRPr="008A0F36">
              <w:t>la natura e l’ammontare dei contributi pubblici rilevati nel bilancio</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Del="00E85710" w:rsidTr="00940A6F">
        <w:trPr>
          <w:cantSplit/>
        </w:trPr>
        <w:tc>
          <w:tcPr>
            <w:tcW w:w="567" w:type="dxa"/>
            <w:tcMar>
              <w:left w:w="108" w:type="dxa"/>
              <w:right w:w="0" w:type="dxa"/>
            </w:tcMar>
          </w:tcPr>
          <w:p w:rsidR="004E201D" w:rsidRPr="008A0F36" w:rsidDel="00E85710" w:rsidRDefault="004E201D" w:rsidP="004300E2">
            <w:pPr>
              <w:pStyle w:val="IAS"/>
              <w:rPr>
                <w:lang w:val="it-IT"/>
              </w:rPr>
            </w:pPr>
          </w:p>
        </w:tc>
        <w:tc>
          <w:tcPr>
            <w:tcW w:w="851" w:type="dxa"/>
            <w:tcMar>
              <w:left w:w="108" w:type="dxa"/>
              <w:right w:w="0" w:type="dxa"/>
            </w:tcMar>
          </w:tcPr>
          <w:p w:rsidR="004E201D" w:rsidRPr="008A0F36" w:rsidDel="00E85710" w:rsidRDefault="004E201D" w:rsidP="004300E2">
            <w:pPr>
              <w:pStyle w:val="IAS"/>
              <w:rPr>
                <w:lang w:val="it-IT"/>
              </w:rPr>
            </w:pPr>
          </w:p>
        </w:tc>
        <w:tc>
          <w:tcPr>
            <w:tcW w:w="7079" w:type="dxa"/>
            <w:tcMar>
              <w:left w:w="108" w:type="dxa"/>
            </w:tcMar>
          </w:tcPr>
          <w:p w:rsidR="004E201D" w:rsidRPr="008A0F36" w:rsidRDefault="004E201D" w:rsidP="00FB4B6E">
            <w:pPr>
              <w:pStyle w:val="Rientroa"/>
              <w:numPr>
                <w:ilvl w:val="0"/>
                <w:numId w:val="72"/>
              </w:numPr>
            </w:pPr>
            <w:r w:rsidRPr="008A0F36">
              <w:t>l’indicazione delle altre forme di assistenza pubblica delle quali l’entità ha beneficiato direttamente; e</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Del="00E85710" w:rsidTr="00940A6F">
        <w:trPr>
          <w:cantSplit/>
        </w:trPr>
        <w:tc>
          <w:tcPr>
            <w:tcW w:w="567" w:type="dxa"/>
            <w:tcMar>
              <w:left w:w="108" w:type="dxa"/>
              <w:right w:w="0" w:type="dxa"/>
            </w:tcMar>
          </w:tcPr>
          <w:p w:rsidR="004E201D" w:rsidRPr="008A0F36" w:rsidDel="00E85710" w:rsidRDefault="004E201D" w:rsidP="004300E2">
            <w:pPr>
              <w:pStyle w:val="IAS"/>
              <w:rPr>
                <w:lang w:val="it-IT"/>
              </w:rPr>
            </w:pPr>
          </w:p>
        </w:tc>
        <w:tc>
          <w:tcPr>
            <w:tcW w:w="851" w:type="dxa"/>
            <w:tcMar>
              <w:left w:w="108" w:type="dxa"/>
              <w:right w:w="0" w:type="dxa"/>
            </w:tcMar>
          </w:tcPr>
          <w:p w:rsidR="004E201D" w:rsidRPr="008A0F36" w:rsidDel="00E85710" w:rsidRDefault="004E201D" w:rsidP="004300E2">
            <w:pPr>
              <w:pStyle w:val="IAS"/>
              <w:rPr>
                <w:lang w:val="it-IT"/>
              </w:rPr>
            </w:pPr>
          </w:p>
        </w:tc>
        <w:tc>
          <w:tcPr>
            <w:tcW w:w="7079" w:type="dxa"/>
            <w:tcMar>
              <w:left w:w="108" w:type="dxa"/>
            </w:tcMar>
          </w:tcPr>
          <w:p w:rsidR="004E201D" w:rsidRPr="008A0F36" w:rsidRDefault="004E201D" w:rsidP="00FB4B6E">
            <w:pPr>
              <w:pStyle w:val="Rientroa"/>
              <w:numPr>
                <w:ilvl w:val="0"/>
                <w:numId w:val="72"/>
              </w:numPr>
            </w:pPr>
            <w:r w:rsidRPr="008A0F36">
              <w:t>le condizioni non rispettate e altre situazioni di incertezza relative all’assistenza pubblica che siano state contabilizzate.</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A0F36" w:rsidDel="00E85710" w:rsidTr="00940A6F">
        <w:trPr>
          <w:cantSplit/>
        </w:trPr>
        <w:tc>
          <w:tcPr>
            <w:tcW w:w="567" w:type="dxa"/>
            <w:tcMar>
              <w:left w:w="108" w:type="dxa"/>
              <w:right w:w="0" w:type="dxa"/>
            </w:tcMar>
            <w:vAlign w:val="center"/>
          </w:tcPr>
          <w:p w:rsidR="004300E2" w:rsidRPr="008A0F36" w:rsidRDefault="004300E2" w:rsidP="004300E2">
            <w:pPr>
              <w:pStyle w:val="IAS"/>
              <w:jc w:val="left"/>
              <w:rPr>
                <w:lang w:val="it-IT"/>
              </w:rPr>
            </w:pPr>
          </w:p>
        </w:tc>
        <w:tc>
          <w:tcPr>
            <w:tcW w:w="851" w:type="dxa"/>
            <w:tcMar>
              <w:left w:w="108" w:type="dxa"/>
              <w:right w:w="0" w:type="dxa"/>
            </w:tcMar>
            <w:vAlign w:val="center"/>
          </w:tcPr>
          <w:p w:rsidR="004300E2" w:rsidRPr="008A0F36" w:rsidRDefault="004300E2" w:rsidP="004300E2">
            <w:pPr>
              <w:pStyle w:val="IAS"/>
              <w:jc w:val="left"/>
              <w:rPr>
                <w:lang w:val="it-IT"/>
              </w:rPr>
            </w:pPr>
          </w:p>
        </w:tc>
        <w:tc>
          <w:tcPr>
            <w:tcW w:w="7079" w:type="dxa"/>
            <w:tcMar>
              <w:left w:w="108" w:type="dxa"/>
            </w:tcMar>
            <w:vAlign w:val="center"/>
          </w:tcPr>
          <w:p w:rsidR="004300E2" w:rsidRPr="008A0F36" w:rsidRDefault="004300E2" w:rsidP="004300E2">
            <w:pPr>
              <w:pStyle w:val="Titolo1"/>
            </w:pPr>
            <w:r w:rsidRPr="008A0F36">
              <w:t>IPERINFLAZIONE</w:t>
            </w:r>
          </w:p>
        </w:tc>
        <w:tc>
          <w:tcPr>
            <w:tcW w:w="575" w:type="dxa"/>
            <w:tcMar>
              <w:left w:w="85" w:type="dxa"/>
              <w:right w:w="85" w:type="dxa"/>
            </w:tcMar>
            <w:vAlign w:val="center"/>
          </w:tcPr>
          <w:p w:rsidR="004300E2" w:rsidRDefault="004300E2" w:rsidP="004300E2">
            <w:pPr>
              <w:jc w:val="left"/>
            </w:pPr>
          </w:p>
        </w:tc>
        <w:tc>
          <w:tcPr>
            <w:tcW w:w="567" w:type="dxa"/>
            <w:tcMar>
              <w:left w:w="108" w:type="dxa"/>
            </w:tcMar>
            <w:vAlign w:val="center"/>
          </w:tcPr>
          <w:p w:rsidR="004300E2" w:rsidRDefault="004300E2" w:rsidP="004300E2">
            <w:pPr>
              <w:jc w:val="left"/>
            </w:pPr>
          </w:p>
        </w:tc>
        <w:tc>
          <w:tcPr>
            <w:tcW w:w="567" w:type="dxa"/>
            <w:tcMar>
              <w:left w:w="108" w:type="dxa"/>
            </w:tcMar>
            <w:vAlign w:val="center"/>
          </w:tcPr>
          <w:p w:rsidR="004300E2" w:rsidRDefault="004300E2" w:rsidP="004300E2">
            <w:pPr>
              <w:jc w:val="left"/>
            </w:pPr>
          </w:p>
        </w:tc>
      </w:tr>
      <w:tr w:rsidR="004300E2" w:rsidRPr="00A44ECD" w:rsidTr="00940A6F">
        <w:trPr>
          <w:cantSplit/>
        </w:trPr>
        <w:tc>
          <w:tcPr>
            <w:tcW w:w="567" w:type="dxa"/>
            <w:tcMar>
              <w:left w:w="108" w:type="dxa"/>
              <w:right w:w="0"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29.39</w:t>
            </w:r>
          </w:p>
        </w:tc>
        <w:tc>
          <w:tcPr>
            <w:tcW w:w="7079" w:type="dxa"/>
            <w:tcMar>
              <w:left w:w="108" w:type="dxa"/>
            </w:tcMar>
          </w:tcPr>
          <w:p w:rsidR="004300E2" w:rsidRPr="008A0F36" w:rsidRDefault="004300E2" w:rsidP="004300E2">
            <w:pPr>
              <w:rPr>
                <w:lang w:val="it-IT"/>
              </w:rPr>
            </w:pPr>
            <w:r w:rsidRPr="008A0F36">
              <w:rPr>
                <w:lang w:val="it-IT"/>
              </w:rPr>
              <w:t>Nei bilanci di entità la cui valuta funzionale sia la valuta di un’economica iperinflazionata devono essere indicate le seguenti informazioni:</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bookmarkStart w:id="5" w:name="_Hyperinflation"/>
            <w:bookmarkEnd w:id="5"/>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4300E2">
            <w:pPr>
              <w:pStyle w:val="Rientroa"/>
              <w:numPr>
                <w:ilvl w:val="0"/>
                <w:numId w:val="92"/>
              </w:numPr>
            </w:pPr>
            <w:r w:rsidRPr="008A0F36">
              <w:t>il fatto che il bilancio e i corrispondenti dati comparativi per gli esercizi precedenti sono stati rideterminati a fronte dei cambiamenti nel potere di acquisto della valuta funzionale e pertanto sono stati definiti nell’unità di misura corrente alla data di chiusura dell’esercizio</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Height w:val="268"/>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FB4B6E">
            <w:pPr>
              <w:pStyle w:val="Rientroa"/>
              <w:numPr>
                <w:ilvl w:val="0"/>
                <w:numId w:val="72"/>
              </w:numPr>
            </w:pPr>
            <w:r w:rsidRPr="008A0F36">
              <w:t>se il bilancio è redatto in base al criterio dei costi storici o quello dei costi correnti</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FB4B6E">
            <w:pPr>
              <w:pStyle w:val="Rientroa"/>
              <w:numPr>
                <w:ilvl w:val="0"/>
                <w:numId w:val="72"/>
              </w:numPr>
            </w:pPr>
            <w:r w:rsidRPr="008A0F36">
              <w:t xml:space="preserve">l’identificazione e il livello dell’indice dei prezzi alla data di chiusura dell’esercizio e i movimenti dell’indice durante l’esercizio corrente ed il precedente. </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Numeroelenco"/>
              <w:ind w:left="0" w:firstLine="57"/>
              <w:rPr>
                <w:lang w:val="it-IT"/>
              </w:rPr>
            </w:pPr>
          </w:p>
        </w:tc>
        <w:tc>
          <w:tcPr>
            <w:tcW w:w="851" w:type="dxa"/>
            <w:tcMar>
              <w:left w:w="108" w:type="dxa"/>
              <w:right w:w="0" w:type="dxa"/>
            </w:tcMar>
          </w:tcPr>
          <w:p w:rsidR="004E201D" w:rsidRPr="008A0F36" w:rsidRDefault="004E201D" w:rsidP="004300E2">
            <w:pPr>
              <w:pStyle w:val="IAS"/>
              <w:rPr>
                <w:lang w:val="it-IT"/>
              </w:rPr>
            </w:pPr>
            <w:r w:rsidRPr="008A0F36">
              <w:rPr>
                <w:lang w:val="it-IT"/>
              </w:rPr>
              <w:t>IAS 29.9</w:t>
            </w:r>
          </w:p>
          <w:p w:rsidR="004E201D" w:rsidRPr="008A0F36" w:rsidRDefault="004E201D" w:rsidP="004300E2">
            <w:pPr>
              <w:pStyle w:val="IAS"/>
              <w:rPr>
                <w:lang w:val="it-IT"/>
              </w:rPr>
            </w:pPr>
            <w:r w:rsidRPr="008A0F36">
              <w:rPr>
                <w:lang w:val="it-IT"/>
              </w:rPr>
              <w:t xml:space="preserve"> IAS 29.27</w:t>
            </w:r>
          </w:p>
          <w:p w:rsidR="004E201D" w:rsidRPr="008A0F36" w:rsidRDefault="004E201D" w:rsidP="004300E2">
            <w:pPr>
              <w:pStyle w:val="IAS"/>
              <w:rPr>
                <w:lang w:val="it-IT"/>
              </w:rPr>
            </w:pPr>
            <w:r w:rsidRPr="008A0F36">
              <w:rPr>
                <w:lang w:val="it-IT"/>
              </w:rPr>
              <w:t xml:space="preserve"> IAS 29.28</w:t>
            </w:r>
          </w:p>
        </w:tc>
        <w:tc>
          <w:tcPr>
            <w:tcW w:w="7079" w:type="dxa"/>
            <w:tcMar>
              <w:left w:w="108" w:type="dxa"/>
            </w:tcMar>
          </w:tcPr>
          <w:p w:rsidR="004E201D" w:rsidRPr="008A0F36" w:rsidRDefault="004E201D" w:rsidP="004300E2">
            <w:pPr>
              <w:rPr>
                <w:lang w:val="it-IT"/>
              </w:rPr>
            </w:pPr>
            <w:r w:rsidRPr="008A0F36">
              <w:rPr>
                <w:lang w:val="it-IT"/>
              </w:rPr>
              <w:t xml:space="preserve">L’utile o la perdita sulla posizione monetaria netta (quale risultato dell’applicazione dello IAS 29.27-28) è stato imputato </w:t>
            </w:r>
            <w:r w:rsidRPr="00251283">
              <w:rPr>
                <w:lang w:val="it-IT"/>
              </w:rPr>
              <w:t>nell’utile/(perdita)</w:t>
            </w:r>
            <w:r>
              <w:rPr>
                <w:lang w:val="it-IT"/>
              </w:rPr>
              <w:t xml:space="preserve"> d’esercizio</w:t>
            </w:r>
            <w:r w:rsidRPr="008A0F36">
              <w:rPr>
                <w:lang w:val="it-IT"/>
              </w:rPr>
              <w:t xml:space="preserve"> ed illustrato distintamente.</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right w:w="0" w:type="dxa"/>
            </w:tcMar>
          </w:tcPr>
          <w:p w:rsidR="004E201D" w:rsidRPr="008A0F36" w:rsidRDefault="004E201D" w:rsidP="004300E2">
            <w:pPr>
              <w:pStyle w:val="Numeroelenco"/>
              <w:ind w:left="0" w:firstLine="57"/>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r w:rsidRPr="008A0F36">
              <w:rPr>
                <w:lang w:val="it-IT"/>
              </w:rPr>
              <w:t>IAS 1.117</w:t>
            </w:r>
          </w:p>
          <w:p w:rsidR="004E201D" w:rsidRPr="008A0F36" w:rsidRDefault="004E201D" w:rsidP="004300E2">
            <w:pPr>
              <w:pStyle w:val="IAS"/>
              <w:rPr>
                <w:lang w:val="it-IT"/>
              </w:rPr>
            </w:pPr>
          </w:p>
        </w:tc>
        <w:tc>
          <w:tcPr>
            <w:tcW w:w="7079" w:type="dxa"/>
            <w:tcMar>
              <w:left w:w="108" w:type="dxa"/>
            </w:tcMar>
          </w:tcPr>
          <w:p w:rsidR="004E201D" w:rsidRPr="008A0F36" w:rsidRDefault="004E201D" w:rsidP="004300E2">
            <w:pPr>
              <w:rPr>
                <w:lang w:val="it-IT"/>
              </w:rPr>
            </w:pPr>
            <w:r w:rsidRPr="008A0F36">
              <w:rPr>
                <w:lang w:val="it-IT"/>
              </w:rPr>
              <w:t>L’entità fornisce informativa circa i criteri base di valutazione adottati nella preparazione del bilancio (ad esempio applicazione del criterio di riesposizione).</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shd w:val="clear" w:color="auto" w:fill="auto"/>
            <w:tcMar>
              <w:right w:w="0" w:type="dxa"/>
            </w:tcMar>
            <w:vAlign w:val="center"/>
          </w:tcPr>
          <w:p w:rsidR="004300E2" w:rsidRDefault="004300E2" w:rsidP="004300E2">
            <w:pPr>
              <w:pStyle w:val="IAS"/>
              <w:jc w:val="left"/>
              <w:rPr>
                <w:b/>
                <w:bCs/>
                <w:i/>
                <w:lang w:val="it-IT"/>
              </w:rPr>
            </w:pPr>
          </w:p>
        </w:tc>
        <w:tc>
          <w:tcPr>
            <w:tcW w:w="851" w:type="dxa"/>
            <w:shd w:val="clear" w:color="auto" w:fill="auto"/>
            <w:tcMar>
              <w:right w:w="0" w:type="dxa"/>
            </w:tcMar>
            <w:vAlign w:val="center"/>
          </w:tcPr>
          <w:p w:rsidR="004300E2" w:rsidRDefault="004300E2" w:rsidP="004300E2">
            <w:pPr>
              <w:pStyle w:val="IAS"/>
              <w:jc w:val="left"/>
              <w:rPr>
                <w:b/>
                <w:bCs/>
                <w:i/>
                <w:lang w:val="it-IT"/>
              </w:rPr>
            </w:pPr>
          </w:p>
        </w:tc>
        <w:tc>
          <w:tcPr>
            <w:tcW w:w="7079" w:type="dxa"/>
            <w:tcMar>
              <w:right w:w="0" w:type="dxa"/>
            </w:tcMar>
            <w:vAlign w:val="center"/>
          </w:tcPr>
          <w:p w:rsidR="004300E2" w:rsidRDefault="004300E2" w:rsidP="004300E2">
            <w:pPr>
              <w:pStyle w:val="Titolo1"/>
              <w:keepNext w:val="0"/>
            </w:pPr>
            <w:r w:rsidRPr="008A0F36">
              <w:t>PERDITA PER RIDUZIONE DI VALORE DELLE ATTIVITà</w:t>
            </w:r>
          </w:p>
        </w:tc>
        <w:tc>
          <w:tcPr>
            <w:tcW w:w="575" w:type="dxa"/>
            <w:tcMar>
              <w:left w:w="85" w:type="dxa"/>
              <w:right w:w="85" w:type="dxa"/>
            </w:tcMar>
            <w:vAlign w:val="center"/>
          </w:tcPr>
          <w:p w:rsidR="004300E2" w:rsidRPr="00090BE7" w:rsidRDefault="004300E2" w:rsidP="004300E2">
            <w:pPr>
              <w:jc w:val="left"/>
              <w:rPr>
                <w:lang w:val="it-IT"/>
              </w:rPr>
            </w:pPr>
          </w:p>
        </w:tc>
        <w:tc>
          <w:tcPr>
            <w:tcW w:w="567" w:type="dxa"/>
            <w:tcMar>
              <w:right w:w="0" w:type="dxa"/>
            </w:tcMar>
            <w:vAlign w:val="center"/>
          </w:tcPr>
          <w:p w:rsidR="004300E2" w:rsidRPr="00090BE7" w:rsidRDefault="004300E2" w:rsidP="004300E2">
            <w:pPr>
              <w:jc w:val="left"/>
              <w:rPr>
                <w:lang w:val="it-IT"/>
              </w:rPr>
            </w:pPr>
          </w:p>
        </w:tc>
        <w:tc>
          <w:tcPr>
            <w:tcW w:w="567" w:type="dxa"/>
            <w:tcMar>
              <w:right w:w="0" w:type="dxa"/>
            </w:tcMar>
            <w:vAlign w:val="center"/>
          </w:tcPr>
          <w:p w:rsidR="004300E2" w:rsidRPr="00090BE7" w:rsidRDefault="004300E2" w:rsidP="004300E2">
            <w:pPr>
              <w:jc w:val="left"/>
              <w:rPr>
                <w:lang w:val="it-IT"/>
              </w:rPr>
            </w:pPr>
          </w:p>
        </w:tc>
      </w:tr>
      <w:tr w:rsidR="004300E2" w:rsidRPr="00A44ECD" w:rsidTr="00940A6F">
        <w:trPr>
          <w:cantSplit/>
        </w:trPr>
        <w:tc>
          <w:tcPr>
            <w:tcW w:w="567" w:type="dxa"/>
            <w:tcMar>
              <w:left w:w="108" w:type="dxa"/>
              <w:right w:w="0"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36.126</w:t>
            </w:r>
          </w:p>
        </w:tc>
        <w:tc>
          <w:tcPr>
            <w:tcW w:w="7079" w:type="dxa"/>
            <w:tcMar>
              <w:left w:w="108" w:type="dxa"/>
            </w:tcMar>
          </w:tcPr>
          <w:p w:rsidR="004300E2" w:rsidRPr="008A0F36" w:rsidRDefault="004300E2" w:rsidP="004300E2">
            <w:pPr>
              <w:rPr>
                <w:lang w:val="it-IT"/>
              </w:rPr>
            </w:pPr>
            <w:r w:rsidRPr="008A0F36">
              <w:rPr>
                <w:lang w:val="it-IT"/>
              </w:rPr>
              <w:t>Sono state fornite le seguenti informazioni per ogni classe di attività:</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bookmarkStart w:id="6" w:name="_Impairment_of_assets"/>
            <w:bookmarkEnd w:id="6"/>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4300E2">
            <w:pPr>
              <w:pStyle w:val="Rientroa"/>
              <w:numPr>
                <w:ilvl w:val="0"/>
                <w:numId w:val="93"/>
              </w:numPr>
            </w:pPr>
            <w:r w:rsidRPr="008A0F36">
              <w:t xml:space="preserve">l’ammontare delle perdite per riduzione di valore rilevate nell’utile/(perdita) d’esercizio e la voce </w:t>
            </w:r>
            <w:r>
              <w:t xml:space="preserve">di bilancio </w:t>
            </w:r>
            <w:r w:rsidRPr="008A0F36">
              <w:t>nel quale sono state incluse</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FB4B6E">
            <w:pPr>
              <w:pStyle w:val="Rientroa"/>
              <w:numPr>
                <w:ilvl w:val="0"/>
                <w:numId w:val="72"/>
              </w:numPr>
            </w:pPr>
            <w:r w:rsidRPr="008A0F36">
              <w:t xml:space="preserve">l’ammontare dei ripristini di valore rilevati nell’utile/(perdita) d’esercizio e la voce di </w:t>
            </w:r>
            <w:r>
              <w:t xml:space="preserve">bilancio </w:t>
            </w:r>
            <w:r w:rsidRPr="008A0F36">
              <w:t>nel quale sono state incluse</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FB4B6E">
            <w:pPr>
              <w:pStyle w:val="Rientroa"/>
              <w:numPr>
                <w:ilvl w:val="0"/>
                <w:numId w:val="72"/>
              </w:numPr>
            </w:pPr>
            <w:r w:rsidRPr="008A0F36">
              <w:t xml:space="preserve">l’ammontare delle perdite per riduzione di valore su attività rivalutate rilevato </w:t>
            </w:r>
            <w:r>
              <w:t xml:space="preserve">tra le </w:t>
            </w:r>
            <w:r w:rsidRPr="008A0F36">
              <w:t>altre componenti di conto economico complessivo nel corso d</w:t>
            </w:r>
            <w:r>
              <w:t>ell’</w:t>
            </w:r>
            <w:r w:rsidRPr="008A0F36">
              <w:t>esercizio</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FB4B6E">
            <w:pPr>
              <w:pStyle w:val="Rientroa"/>
              <w:numPr>
                <w:ilvl w:val="0"/>
                <w:numId w:val="72"/>
              </w:numPr>
            </w:pPr>
            <w:r w:rsidRPr="008A0F36">
              <w:t xml:space="preserve">l’ammontare del ripristino di valore su attività rivalutate rilevato </w:t>
            </w:r>
            <w:r>
              <w:t xml:space="preserve">tra le </w:t>
            </w:r>
            <w:r w:rsidRPr="008A0F36">
              <w:t>altre componenti di conto economico complessivo nel corso dell’esercizio.</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right w:w="0"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36.129, IFRS 8.11</w:t>
            </w:r>
          </w:p>
        </w:tc>
        <w:tc>
          <w:tcPr>
            <w:tcW w:w="7079" w:type="dxa"/>
            <w:tcMar>
              <w:left w:w="108" w:type="dxa"/>
            </w:tcMar>
          </w:tcPr>
          <w:p w:rsidR="004300E2" w:rsidRPr="008A0F36" w:rsidRDefault="004300E2" w:rsidP="004300E2">
            <w:pPr>
              <w:rPr>
                <w:lang w:val="it-IT"/>
              </w:rPr>
            </w:pPr>
            <w:r w:rsidRPr="008A0F36">
              <w:rPr>
                <w:lang w:val="it-IT"/>
              </w:rPr>
              <w:t xml:space="preserve">Se l’entità presenta informativa di settore in accordo con l’IFRS 8 deve fornire per ciascun settore le seguenti informazioni: </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4300E2">
            <w:pPr>
              <w:pStyle w:val="Rientroa"/>
              <w:numPr>
                <w:ilvl w:val="0"/>
                <w:numId w:val="94"/>
              </w:numPr>
            </w:pPr>
            <w:r w:rsidRPr="008A0F36">
              <w:t xml:space="preserve">l’ammontare delle perdite per riduzione di valore rilevato nell’utile/(perdita) e </w:t>
            </w:r>
            <w:r>
              <w:t xml:space="preserve">nelle </w:t>
            </w:r>
            <w:r w:rsidRPr="008A0F36">
              <w:t xml:space="preserve">altre componenti </w:t>
            </w:r>
            <w:r>
              <w:t xml:space="preserve">di </w:t>
            </w:r>
            <w:r w:rsidRPr="008A0F36">
              <w:t>conto economico complessivo nel corso dell’esercizio; e</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FB4B6E">
            <w:pPr>
              <w:pStyle w:val="Rientroa"/>
              <w:numPr>
                <w:ilvl w:val="0"/>
                <w:numId w:val="72"/>
              </w:numPr>
            </w:pPr>
            <w:r w:rsidRPr="008A0F36">
              <w:t xml:space="preserve">l’ammontare del ripristino di valore su attività rivalutate rilevato nell’utile/(perdita) </w:t>
            </w:r>
            <w:r>
              <w:t xml:space="preserve">e nelle </w:t>
            </w:r>
            <w:r w:rsidRPr="008A0F36">
              <w:t>altre componenti di conto economico complessivo nel corso dell’esercizio.</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right w:w="0"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36.130</w:t>
            </w:r>
          </w:p>
        </w:tc>
        <w:tc>
          <w:tcPr>
            <w:tcW w:w="7079" w:type="dxa"/>
            <w:tcMar>
              <w:left w:w="108" w:type="dxa"/>
            </w:tcMar>
          </w:tcPr>
          <w:p w:rsidR="004300E2" w:rsidRPr="008A0F36" w:rsidRDefault="004300E2" w:rsidP="004300E2">
            <w:pPr>
              <w:rPr>
                <w:lang w:val="it-IT"/>
              </w:rPr>
            </w:pPr>
            <w:r w:rsidRPr="00693611">
              <w:rPr>
                <w:lang w:val="it-IT"/>
              </w:rPr>
              <w:t>Un’entità deve indicare quanto segue per ciascuna attività (incluso l’avviamento) o unità generatrice di flussi finanziari, per la quale una perdita per riduzione di valore sia stata rilevata o eliminata, durante l’esercizio:</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4300E2">
            <w:pPr>
              <w:pStyle w:val="Rientroa"/>
              <w:numPr>
                <w:ilvl w:val="0"/>
                <w:numId w:val="95"/>
              </w:numPr>
            </w:pPr>
            <w:r w:rsidRPr="008A0F36">
              <w:t>i fatti o le circostanze che hanno portato alla rilevazione o al ripristino della perdita di valore</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FB4B6E">
            <w:pPr>
              <w:pStyle w:val="Rientroa"/>
              <w:numPr>
                <w:ilvl w:val="0"/>
                <w:numId w:val="72"/>
              </w:numPr>
            </w:pPr>
            <w:r w:rsidRPr="008A0F36">
              <w:t>l’ammontare della perdita di valore rilevata o ripristinata</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A0F36"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FB4B6E">
            <w:pPr>
              <w:pStyle w:val="Rientroa"/>
              <w:numPr>
                <w:ilvl w:val="0"/>
                <w:numId w:val="72"/>
              </w:numPr>
            </w:pPr>
            <w:r w:rsidRPr="008A0F36">
              <w:t>per una singola attività:</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A0F36"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4300E2">
            <w:pPr>
              <w:pStyle w:val="Puntoelenco"/>
              <w:tabs>
                <w:tab w:val="clear" w:pos="780"/>
              </w:tabs>
              <w:ind w:left="600" w:hanging="142"/>
            </w:pPr>
            <w:r w:rsidRPr="008A0F36">
              <w:t>la natura dell’attività; e</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4300E2">
            <w:pPr>
              <w:pStyle w:val="Puntoelenco"/>
              <w:tabs>
                <w:tab w:val="clear" w:pos="780"/>
              </w:tabs>
              <w:ind w:left="600" w:hanging="142"/>
            </w:pPr>
            <w:r w:rsidRPr="008A0F36">
              <w:t xml:space="preserve">il settore oggetto di informativa al quale l’attività appartiene; </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FB4B6E">
            <w:pPr>
              <w:pStyle w:val="Rientroa"/>
              <w:numPr>
                <w:ilvl w:val="0"/>
                <w:numId w:val="72"/>
              </w:numPr>
            </w:pPr>
            <w:r w:rsidRPr="008A0F36">
              <w:t>per un’unità generatrice di flussi finanziari:</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r w:rsidRPr="008A0F36">
              <w:rPr>
                <w:lang w:val="it-IT"/>
              </w:rPr>
              <w:t>IFRS 8.11</w:t>
            </w:r>
          </w:p>
          <w:p w:rsidR="004E201D" w:rsidRPr="008A0F36" w:rsidRDefault="004E201D" w:rsidP="004300E2">
            <w:pPr>
              <w:pStyle w:val="IAS"/>
              <w:rPr>
                <w:lang w:val="it-IT"/>
              </w:rPr>
            </w:pPr>
          </w:p>
        </w:tc>
        <w:tc>
          <w:tcPr>
            <w:tcW w:w="7079" w:type="dxa"/>
            <w:tcMar>
              <w:left w:w="108" w:type="dxa"/>
            </w:tcMar>
          </w:tcPr>
          <w:p w:rsidR="004E201D" w:rsidRPr="008A0F36" w:rsidRDefault="004E201D" w:rsidP="004300E2">
            <w:pPr>
              <w:pStyle w:val="Puntoelenco"/>
              <w:tabs>
                <w:tab w:val="clear" w:pos="780"/>
                <w:tab w:val="num" w:pos="600"/>
              </w:tabs>
              <w:ind w:left="600" w:hanging="142"/>
            </w:pPr>
            <w:r w:rsidRPr="008A0F36">
              <w:t>una descrizione dell’unità generatrice di flussi finanziari (come, per esempio, se sia una linea di prodotto, un impianto, un settore di attività, un settore geografico, un settore oggetto di informativa come definito nell’IFRS 8)</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4300E2">
            <w:pPr>
              <w:pStyle w:val="Puntoelenco"/>
              <w:tabs>
                <w:tab w:val="clear" w:pos="780"/>
                <w:tab w:val="num" w:pos="600"/>
              </w:tabs>
              <w:ind w:left="600" w:hanging="142"/>
            </w:pPr>
            <w:r w:rsidRPr="008A0F36">
              <w:t>l’ammontare della perdita di valore rilevata o ripristinata per classe di attività e per settore oggetto di informativa definito in base all’IFRS 8; e</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4300E2">
            <w:pPr>
              <w:pStyle w:val="Puntoelenco"/>
              <w:tabs>
                <w:tab w:val="clear" w:pos="780"/>
                <w:tab w:val="num" w:pos="600"/>
              </w:tabs>
              <w:ind w:left="600" w:hanging="142"/>
            </w:pPr>
            <w:r w:rsidRPr="008A0F36">
              <w:t>se l’aggregazione di attività utilizzate per identificare l’unità generatrice di flussi finanziari è cambiata dall’ultima stima del valore recuperabile dell’unità generatrice di flussi finanziari, l’entità deve descrivere la metodologia corrente e precedente di aggregazione delle attività e le ragioni per cui è cambiato il criterio con cui l’unità generatrice di flussi finanziari è stata identificata</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FB4B6E">
            <w:pPr>
              <w:pStyle w:val="Rientroa"/>
              <w:numPr>
                <w:ilvl w:val="0"/>
                <w:numId w:val="72"/>
              </w:numPr>
            </w:pPr>
            <w:r w:rsidRPr="00693611">
              <w:t xml:space="preserve">il valore recuperabile dell’attività (unità generatrice di flussi finanziari) e se il valore recuperabile dell’attività (unità generatrice di flussi finanziari) è il suo </w:t>
            </w:r>
            <w:r w:rsidRPr="000F56BA">
              <w:rPr>
                <w:i/>
              </w:rPr>
              <w:t>fair value</w:t>
            </w:r>
            <w:r w:rsidRPr="00693611">
              <w:t xml:space="preserve"> al netto dei costi di dismissione o il suo valore d’uso;</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693611" w:rsidRDefault="004E201D" w:rsidP="00FB4B6E">
            <w:pPr>
              <w:pStyle w:val="Rientroa"/>
              <w:numPr>
                <w:ilvl w:val="0"/>
                <w:numId w:val="72"/>
              </w:numPr>
            </w:pPr>
            <w:r w:rsidRPr="00693611">
              <w:t xml:space="preserve">se il valore recuperabile corrisponde al </w:t>
            </w:r>
            <w:r w:rsidRPr="000F56BA">
              <w:rPr>
                <w:i/>
              </w:rPr>
              <w:t>fair value</w:t>
            </w:r>
            <w:r w:rsidRPr="00693611">
              <w:t xml:space="preserve"> al netto dei costi di dismissione, l’entità deve fornire le seguenti informazioni:</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3E0B7B" w:rsidRDefault="004E201D" w:rsidP="004300E2">
            <w:pPr>
              <w:pStyle w:val="Rientroisottoa"/>
              <w:ind w:left="773" w:hanging="337"/>
            </w:pPr>
            <w:r w:rsidRPr="003E0B7B">
              <w:t xml:space="preserve">i) </w:t>
            </w:r>
            <w:r>
              <w:tab/>
            </w:r>
            <w:r w:rsidRPr="003E0B7B">
              <w:t xml:space="preserve">il livello della gerarchia del </w:t>
            </w:r>
            <w:r w:rsidRPr="000F56BA">
              <w:rPr>
                <w:i/>
              </w:rPr>
              <w:t>fair value</w:t>
            </w:r>
            <w:r w:rsidRPr="003E0B7B">
              <w:t xml:space="preserve"> (vedere IFRS 13) nel quale è classificata nella sua interezza la valutazione del </w:t>
            </w:r>
            <w:r w:rsidRPr="000F56BA">
              <w:rPr>
                <w:i/>
              </w:rPr>
              <w:t>fair value</w:t>
            </w:r>
            <w:r w:rsidRPr="003E0B7B">
              <w:t xml:space="preserve"> dell’attività (senza considerare se i «costi di dismissione» sono osservabili); </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3E0B7B" w:rsidRDefault="004E201D" w:rsidP="004300E2">
            <w:pPr>
              <w:pStyle w:val="Rientroisottoa"/>
              <w:ind w:left="773" w:hanging="337"/>
            </w:pPr>
            <w:r w:rsidRPr="003E0B7B">
              <w:t xml:space="preserve">ii) </w:t>
            </w:r>
            <w:r>
              <w:tab/>
            </w:r>
            <w:r w:rsidRPr="003E0B7B">
              <w:t xml:space="preserve">per le valutazioni del </w:t>
            </w:r>
            <w:r w:rsidRPr="000F56BA">
              <w:rPr>
                <w:i/>
              </w:rPr>
              <w:t>fair value</w:t>
            </w:r>
            <w:r w:rsidRPr="003E0B7B">
              <w:t xml:space="preserve"> classificate nei livelli 2 e 3 della gerarchia del </w:t>
            </w:r>
            <w:r w:rsidRPr="000F56BA">
              <w:rPr>
                <w:i/>
              </w:rPr>
              <w:t>fair value</w:t>
            </w:r>
            <w:r w:rsidRPr="003E0B7B">
              <w:t xml:space="preserve">, una descrizione delle tecniche di valutazione utilizzate per misurare il </w:t>
            </w:r>
            <w:r w:rsidRPr="000F56BA">
              <w:rPr>
                <w:i/>
              </w:rPr>
              <w:t>fair value</w:t>
            </w:r>
            <w:r w:rsidRPr="003E0B7B">
              <w:t xml:space="preserve"> al netto dei costi di dismissione. Se è intervenuto un cambiamento nella tecnica di valutazione, l’entità deve indicare tale cambiamento e le relative motivazioni; e </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BF03D1" w:rsidRDefault="004E201D" w:rsidP="004300E2">
            <w:pPr>
              <w:pStyle w:val="Rientroisottoa"/>
              <w:ind w:left="773" w:hanging="337"/>
            </w:pPr>
            <w:r w:rsidRPr="003E0B7B">
              <w:t xml:space="preserve">iii) </w:t>
            </w:r>
            <w:r>
              <w:tab/>
            </w:r>
            <w:r w:rsidRPr="003E0B7B">
              <w:t xml:space="preserve">per le valutazioni del </w:t>
            </w:r>
            <w:r w:rsidRPr="000F56BA">
              <w:rPr>
                <w:i/>
              </w:rPr>
              <w:t>fair value</w:t>
            </w:r>
            <w:r w:rsidRPr="003E0B7B">
              <w:t xml:space="preserve"> classificate nei livelli 2 e 3 della gerarchia del </w:t>
            </w:r>
            <w:r w:rsidRPr="000F56BA">
              <w:rPr>
                <w:i/>
              </w:rPr>
              <w:t>fair value</w:t>
            </w:r>
            <w:r w:rsidRPr="003E0B7B">
              <w:t xml:space="preserve">, ogni assunto di base su cui la direzione aziendale ha fondato la propria determinazione del </w:t>
            </w:r>
            <w:r w:rsidRPr="000F56BA">
              <w:rPr>
                <w:i/>
              </w:rPr>
              <w:t>fair value</w:t>
            </w:r>
            <w:r w:rsidRPr="003E0B7B">
              <w:t xml:space="preserve"> al netto dei costi di dismissione. Gli assunti di base sono quelli a cui il valore recuperabile dell’attività (o dell’unità generatrice di flussi finanziari) è più sensibile. L’entità deve inoltre indicare i tassi di attualizzazione utilizzati nelle valutazioni correnti e in quelle precedenti, se il </w:t>
            </w:r>
            <w:r w:rsidRPr="000F56BA">
              <w:rPr>
                <w:i/>
              </w:rPr>
              <w:t>fair value</w:t>
            </w:r>
            <w:r w:rsidRPr="003E0B7B">
              <w:t xml:space="preserve"> al netto dei costi di dismissione è misurato utilizzando una tecnica di attualizzazione.</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FB4B6E">
            <w:pPr>
              <w:pStyle w:val="Rientroa"/>
              <w:numPr>
                <w:ilvl w:val="0"/>
                <w:numId w:val="72"/>
              </w:numPr>
            </w:pPr>
            <w:r w:rsidRPr="008A0F36">
              <w:t>se il valore recuperabile è il valore d’uso, il tasso (i tassi) di attualizzazione utilizzati nella presente stima e nelle stime precedenti (qualora esistano) del valore d’uso.</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right w:w="0"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36.131</w:t>
            </w:r>
          </w:p>
        </w:tc>
        <w:tc>
          <w:tcPr>
            <w:tcW w:w="7079" w:type="dxa"/>
            <w:tcMar>
              <w:left w:w="108" w:type="dxa"/>
            </w:tcMar>
          </w:tcPr>
          <w:p w:rsidR="004300E2" w:rsidRPr="008A0F36" w:rsidRDefault="004300E2" w:rsidP="004300E2">
            <w:pPr>
              <w:rPr>
                <w:lang w:val="it-IT"/>
              </w:rPr>
            </w:pPr>
            <w:r w:rsidRPr="008A0F36">
              <w:rPr>
                <w:lang w:val="it-IT"/>
              </w:rPr>
              <w:t xml:space="preserve">L’entità ha dato le seguenti informazioni in merito alle perdite complessive per riduzione di valore e ai ripristini complessivi di perdite per riduzione di valore riconosciuti nel corso </w:t>
            </w:r>
            <w:r w:rsidRPr="00AA561A">
              <w:rPr>
                <w:lang w:val="it-IT"/>
              </w:rPr>
              <w:t xml:space="preserve">dell’esercizio per i quali non è stata data informativa in conformità allo IAS 36.130 (vedi punto </w:t>
            </w:r>
            <w:r>
              <w:rPr>
                <w:lang w:val="it-IT"/>
              </w:rPr>
              <w:t>precedente</w:t>
            </w:r>
            <w:r w:rsidRPr="00AA561A">
              <w:rPr>
                <w:lang w:val="it-IT"/>
              </w:rPr>
              <w:t>):</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4300E2">
            <w:pPr>
              <w:pStyle w:val="Rientroa"/>
              <w:numPr>
                <w:ilvl w:val="0"/>
                <w:numId w:val="96"/>
              </w:numPr>
            </w:pPr>
            <w:r w:rsidRPr="008A0F36">
              <w:t>le principali classi di attività interessate dalle perdite per riduzione di valore (ripristini di perdite per riduzione di valore) per le quali non è fornita alcuna informazione; e</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FB4B6E">
            <w:pPr>
              <w:pStyle w:val="Rientroa"/>
              <w:numPr>
                <w:ilvl w:val="0"/>
                <w:numId w:val="72"/>
              </w:numPr>
            </w:pPr>
            <w:r w:rsidRPr="008A0F36">
              <w:t>i principali fatti e circostanze che hanno portato alla rilevazione (ripristino) di tali perdite per riduzione di valore.</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Numeroelenco"/>
              <w:ind w:left="0" w:firstLine="57"/>
              <w:rPr>
                <w:lang w:val="it-IT"/>
              </w:rPr>
            </w:pPr>
          </w:p>
        </w:tc>
        <w:tc>
          <w:tcPr>
            <w:tcW w:w="851" w:type="dxa"/>
            <w:tcMar>
              <w:left w:w="108" w:type="dxa"/>
              <w:right w:w="0" w:type="dxa"/>
            </w:tcMar>
          </w:tcPr>
          <w:p w:rsidR="004E201D" w:rsidRPr="008A0F36" w:rsidRDefault="004E201D" w:rsidP="004300E2">
            <w:pPr>
              <w:pStyle w:val="IAS"/>
              <w:rPr>
                <w:lang w:val="it-IT"/>
              </w:rPr>
            </w:pPr>
            <w:r w:rsidRPr="008A0F36">
              <w:rPr>
                <w:lang w:val="it-IT"/>
              </w:rPr>
              <w:t>IAS 36.132</w:t>
            </w:r>
          </w:p>
        </w:tc>
        <w:tc>
          <w:tcPr>
            <w:tcW w:w="7079" w:type="dxa"/>
            <w:tcMar>
              <w:left w:w="108" w:type="dxa"/>
            </w:tcMar>
          </w:tcPr>
          <w:p w:rsidR="004E201D" w:rsidRPr="00BF03D1" w:rsidRDefault="004E201D" w:rsidP="004300E2">
            <w:pPr>
              <w:rPr>
                <w:lang w:val="it-IT"/>
              </w:rPr>
            </w:pPr>
            <w:r w:rsidRPr="00BF03D1">
              <w:rPr>
                <w:lang w:val="it-IT"/>
              </w:rPr>
              <w:t>L’entità è incoraggiata ad indicare i presupposti fondamentali utilizzati per valutare il valore recuperabile delle attività (unità generatrici di flussi finanziari) nel corso dell’esercizio.</w:t>
            </w:r>
          </w:p>
        </w:tc>
        <w:tc>
          <w:tcPr>
            <w:tcW w:w="575" w:type="dxa"/>
            <w:tcMar>
              <w:left w:w="85" w:type="dxa"/>
              <w:right w:w="85" w:type="dxa"/>
            </w:tcMar>
            <w:vAlign w:val="center"/>
          </w:tcPr>
          <w:p w:rsidR="004E201D" w:rsidRPr="003E3E83"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3E3E83"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3E3E83"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right w:w="0"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Pr>
                <w:lang w:val="it-IT"/>
              </w:rPr>
              <w:t>IAS 36.134</w:t>
            </w:r>
          </w:p>
          <w:p w:rsidR="004300E2" w:rsidRPr="008A0F36" w:rsidRDefault="004300E2" w:rsidP="004300E2">
            <w:pPr>
              <w:pStyle w:val="IAS"/>
              <w:rPr>
                <w:lang w:val="it-IT"/>
              </w:rPr>
            </w:pPr>
          </w:p>
        </w:tc>
        <w:tc>
          <w:tcPr>
            <w:tcW w:w="7079" w:type="dxa"/>
            <w:tcMar>
              <w:left w:w="108" w:type="dxa"/>
            </w:tcMar>
          </w:tcPr>
          <w:p w:rsidR="004300E2" w:rsidRPr="003D5D2E" w:rsidRDefault="004300E2" w:rsidP="004300E2">
            <w:pPr>
              <w:rPr>
                <w:lang w:val="it-IT"/>
              </w:rPr>
            </w:pPr>
            <w:r w:rsidRPr="003D5D2E">
              <w:rPr>
                <w:lang w:val="it-IT"/>
              </w:rPr>
              <w:t>Un’entità deve fornire le informazioni richieste da (a)-(f) per ogni unità (gruppo di unità) generatrice di flussi finanziari per la quale il valore contabile dell’avviamento o delle attività immateriali con vita utile indefinita attribuito a tale unità (gruppo di unità) è significativo rispetto al valore contabile totale dell’avviamento o delle attività immateriali con vita utile indefinita dell’entità:</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4300E2">
            <w:pPr>
              <w:pStyle w:val="Rientroa"/>
              <w:numPr>
                <w:ilvl w:val="0"/>
                <w:numId w:val="97"/>
              </w:numPr>
            </w:pPr>
            <w:r w:rsidRPr="008A0F36">
              <w:t>il valore contabile dell’avviamento allocato all’unità (o gruppo di unità)</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FB4B6E">
            <w:pPr>
              <w:pStyle w:val="Rientroa"/>
              <w:numPr>
                <w:ilvl w:val="0"/>
                <w:numId w:val="72"/>
              </w:numPr>
            </w:pPr>
            <w:r w:rsidRPr="008A0F36">
              <w:t>il valore contabile dell’attività immateriale a vita utile indefinita allocato all’unità (o gruppo di unità)</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BF03D1" w:rsidRDefault="004E201D" w:rsidP="00FB4B6E">
            <w:pPr>
              <w:pStyle w:val="Rientroa"/>
              <w:numPr>
                <w:ilvl w:val="0"/>
                <w:numId w:val="72"/>
              </w:numPr>
            </w:pPr>
            <w:r w:rsidRPr="003D5D2E">
              <w:t xml:space="preserve">il criterio utilizzato per determinare il valore recuperabile dell’unità (gruppo di unità), (ossia il valore d’uso o il </w:t>
            </w:r>
            <w:r w:rsidRPr="000F56BA">
              <w:rPr>
                <w:i/>
              </w:rPr>
              <w:t>fair value</w:t>
            </w:r>
            <w:r w:rsidRPr="003D5D2E">
              <w:t xml:space="preserve"> al netto dei costi di </w:t>
            </w:r>
            <w:r>
              <w:t>dismissione</w:t>
            </w:r>
            <w:r w:rsidRPr="003D5D2E">
              <w:t>);</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FB4B6E">
            <w:pPr>
              <w:pStyle w:val="Rientroa"/>
              <w:numPr>
                <w:ilvl w:val="0"/>
                <w:numId w:val="72"/>
              </w:numPr>
            </w:pPr>
            <w:r w:rsidRPr="00E6236D">
              <w:rPr>
                <w:rFonts w:cs="EUAlbertina"/>
                <w:bCs/>
                <w:color w:val="19161B"/>
                <w:lang w:eastAsia="it-IT"/>
              </w:rPr>
              <w:t>se il valore recuperabile dell’unità (gruppo di unità) si basa sul valore d’uso:</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Height w:val="693"/>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4300E2">
            <w:pPr>
              <w:pStyle w:val="Rientroisottoa"/>
            </w:pPr>
            <w:r w:rsidRPr="008A0F36">
              <w:t>i)</w:t>
            </w:r>
            <w:r w:rsidRPr="008A0F36">
              <w:tab/>
            </w:r>
            <w:r w:rsidRPr="00E6236D">
              <w:rPr>
                <w:rFonts w:cs="EUAlbertina"/>
                <w:bCs/>
                <w:color w:val="19161B"/>
                <w:lang w:eastAsia="it-IT"/>
              </w:rPr>
              <w:t>ciascun assunto di base su cui la direzione aziendale ha fondato le proiezioni dei flussi finanziari per il periodo oggetto di budget/previsioni più recenti. Gli assunti di base sono quelli a cui il valore recuperabile dell’unità (gruppo di unità) è più sensibile;</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4300E2">
            <w:pPr>
              <w:pStyle w:val="Rientroisottoa"/>
            </w:pPr>
            <w:r w:rsidRPr="008A0F36">
              <w:t>ii)</w:t>
            </w:r>
            <w:r w:rsidRPr="008A0F36">
              <w:tab/>
              <w:t>una descrizione dell’approccio del management nel determinare il valore (i) assegnato a ogni ipotesi determinante, se questo valore (i) riflette l’esperienza passata o, se appropriato, è coerente con fonti esterne di informazione e, se non lo è, come e perché differisce dalla passata esperienza o da fonti di informazioni esterne</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4300E2">
            <w:pPr>
              <w:pStyle w:val="Rientroisottoa"/>
            </w:pPr>
            <w:r w:rsidRPr="008A0F36">
              <w:t>iii)</w:t>
            </w:r>
            <w:r w:rsidRPr="008A0F36">
              <w:tab/>
              <w:t xml:space="preserve">il periodo su cui il management ha definito le proiezioni dei flussi finanziari fondate sui budget/previsioni approvati e, nel caso in cui si sia utilizzato per l’unità generatrice di flussi finanziari (o gruppi di unità) un periodo superiore ai cinque anni, una spiegazione dei motivi che giustificano l’utilizzo di tale periodo più lungo; </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4300E2">
            <w:pPr>
              <w:pStyle w:val="Rientroisottoa"/>
              <w:rPr>
                <w:rFonts w:eastAsia="Arial Unicode MS"/>
              </w:rPr>
            </w:pPr>
            <w:r w:rsidRPr="008A0F36">
              <w:rPr>
                <w:rFonts w:eastAsia="Arial Unicode MS"/>
              </w:rPr>
              <w:t>iv)</w:t>
            </w:r>
            <w:r w:rsidRPr="008A0F36">
              <w:rPr>
                <w:rFonts w:eastAsia="Arial Unicode MS"/>
              </w:rPr>
              <w:tab/>
              <w:t xml:space="preserve">il </w:t>
            </w:r>
            <w:r w:rsidRPr="008A0F36">
              <w:t>tasso</w:t>
            </w:r>
            <w:r w:rsidRPr="008A0F36">
              <w:rPr>
                <w:rFonts w:eastAsia="Arial Unicode MS"/>
              </w:rPr>
              <w:t xml:space="preserve"> di crescita utilizzato per estrapolare le proiezioni dei flussi finanziari superiori al periodo coperto dai più recenti budget/previsioni, e </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4300E2">
            <w:pPr>
              <w:pStyle w:val="Rientroisottoa"/>
            </w:pPr>
            <w:r w:rsidRPr="008A0F36">
              <w:rPr>
                <w:rFonts w:eastAsia="Arial Unicode MS"/>
              </w:rPr>
              <w:t>v)</w:t>
            </w:r>
            <w:r w:rsidRPr="008A0F36">
              <w:rPr>
                <w:rFonts w:eastAsia="Arial Unicode MS"/>
              </w:rPr>
              <w:tab/>
              <w:t xml:space="preserve">le motivazioni che giustificano l’utilizzo di un tasso di crescita superiore al tasso di </w:t>
            </w:r>
            <w:r w:rsidRPr="008A0F36">
              <w:t>crescita</w:t>
            </w:r>
            <w:r w:rsidRPr="008A0F36">
              <w:rPr>
                <w:rFonts w:eastAsia="Arial Unicode MS"/>
              </w:rPr>
              <w:t xml:space="preserve"> medio della produzione, dei settori industriali, del paese o dei paesi in cui l’entità è operativa, o del mercato a cui l’unità (o gruppi di unità) si rivolge; e </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4300E2">
            <w:pPr>
              <w:pStyle w:val="Rientroisottoa"/>
            </w:pPr>
            <w:r w:rsidRPr="008A0F36">
              <w:t>vi)</w:t>
            </w:r>
            <w:r w:rsidRPr="008A0F36">
              <w:tab/>
              <w:t>il tasso (i) di attualizzazione applicato (i) alle proiezioni dei flussi finanziari</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085C2E" w:rsidRDefault="004E201D" w:rsidP="00FB4B6E">
            <w:pPr>
              <w:pStyle w:val="Rientroa"/>
              <w:numPr>
                <w:ilvl w:val="0"/>
                <w:numId w:val="72"/>
              </w:numPr>
              <w:rPr>
                <w:rFonts w:cs="EUAlbertina"/>
                <w:color w:val="19161B"/>
                <w:lang w:eastAsia="it-IT"/>
              </w:rPr>
            </w:pPr>
            <w:r w:rsidRPr="00AB2C1C">
              <w:t xml:space="preserve">se il valore recuperabile dell’unità (gruppo di unità) si basa sul </w:t>
            </w:r>
            <w:r w:rsidRPr="00AB2C1C">
              <w:rPr>
                <w:i/>
              </w:rPr>
              <w:t>fair value</w:t>
            </w:r>
            <w:r w:rsidRPr="00AB2C1C">
              <w:t xml:space="preserve"> al netto dei costi di dismissione, la tecnica di valutazione utilizzata per </w:t>
            </w:r>
            <w:r>
              <w:t>valutare</w:t>
            </w:r>
            <w:r w:rsidRPr="00AB2C1C">
              <w:t xml:space="preserve"> il </w:t>
            </w:r>
            <w:r w:rsidRPr="00AB2C1C">
              <w:rPr>
                <w:i/>
              </w:rPr>
              <w:t>fair value</w:t>
            </w:r>
            <w:r w:rsidRPr="00AB2C1C">
              <w:t xml:space="preserve"> al netto dei costi di dismissione. Un’entità non deve fornire le informazioni integrative richieste dall’IFRS 13. Se il </w:t>
            </w:r>
            <w:r w:rsidRPr="00AB2C1C">
              <w:rPr>
                <w:i/>
              </w:rPr>
              <w:t xml:space="preserve">fair value </w:t>
            </w:r>
            <w:r w:rsidRPr="00AB2C1C">
              <w:t xml:space="preserve">al netto dei costi di dismissione non è </w:t>
            </w:r>
            <w:r>
              <w:t xml:space="preserve">valutato </w:t>
            </w:r>
            <w:r w:rsidRPr="00AB2C1C">
              <w:t xml:space="preserve">utilizzando un prezzo quotato per una unità (gruppo di unità) identica, devono inoltre essere indicate le seguenti informazioni: </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CE0185" w:rsidRDefault="004E201D" w:rsidP="004300E2">
            <w:pPr>
              <w:overflowPunct/>
              <w:spacing w:before="0" w:after="60" w:line="240" w:lineRule="auto"/>
              <w:ind w:left="743" w:hanging="284"/>
              <w:textAlignment w:val="auto"/>
              <w:rPr>
                <w:rFonts w:cs="EUAlbertina"/>
                <w:color w:val="19161B"/>
                <w:lang w:val="it-IT" w:eastAsia="it-IT"/>
              </w:rPr>
            </w:pPr>
            <w:r>
              <w:rPr>
                <w:lang w:val="it-IT"/>
              </w:rPr>
              <w:t>i)</w:t>
            </w:r>
            <w:r>
              <w:rPr>
                <w:lang w:val="it-IT"/>
              </w:rPr>
              <w:tab/>
            </w:r>
            <w:r w:rsidRPr="00E6236D">
              <w:rPr>
                <w:rFonts w:cs="EUAlbertina"/>
                <w:bCs/>
                <w:color w:val="19161B"/>
                <w:lang w:val="it-IT" w:eastAsia="it-IT"/>
              </w:rPr>
              <w:t xml:space="preserve">ogni assunto di base su cui la direzione aziendale ha fondato la sua </w:t>
            </w:r>
            <w:r>
              <w:rPr>
                <w:rFonts w:cs="EUAlbertina"/>
                <w:bCs/>
                <w:color w:val="19161B"/>
                <w:lang w:val="it-IT" w:eastAsia="it-IT"/>
              </w:rPr>
              <w:t xml:space="preserve">valutazione </w:t>
            </w:r>
            <w:r w:rsidRPr="00E6236D">
              <w:rPr>
                <w:rFonts w:cs="EUAlbertina"/>
                <w:bCs/>
                <w:color w:val="19161B"/>
                <w:lang w:val="it-IT" w:eastAsia="it-IT"/>
              </w:rPr>
              <w:t xml:space="preserve">del </w:t>
            </w:r>
            <w:r w:rsidRPr="00E6236D">
              <w:rPr>
                <w:rFonts w:cs="EUAlbertina"/>
                <w:bCs/>
                <w:i/>
                <w:iCs/>
                <w:color w:val="19161B"/>
                <w:lang w:val="it-IT" w:eastAsia="it-IT"/>
              </w:rPr>
              <w:t xml:space="preserve">fair value </w:t>
            </w:r>
            <w:r w:rsidRPr="00E6236D">
              <w:rPr>
                <w:rFonts w:cs="EUAlbertina"/>
                <w:bCs/>
                <w:color w:val="19161B"/>
                <w:lang w:val="it-IT" w:eastAsia="it-IT"/>
              </w:rPr>
              <w:t xml:space="preserve">al netto dei costi di dismissione. Gli assunti di base sono quelli a cui il valore recuperabile dell’unità (gruppo di unità) è più sensibile; </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4300E2">
            <w:pPr>
              <w:pStyle w:val="Rientroisottoa"/>
              <w:ind w:left="741" w:hanging="283"/>
            </w:pPr>
            <w:r>
              <w:t>ii)</w:t>
            </w:r>
            <w:r w:rsidRPr="008A0F36">
              <w:tab/>
              <w:t xml:space="preserve">una descrizione dell’approccio del management nel determinare il valore (i) assegnato a ogni ipotesi determinante, se questo valore (i) riflette l’esperienza passata o, se appropriato, è coerente con fonti esterne di informazione e, se non lo è, come e perché differisce dalla passata esperienza o da fonti esterne di informazioni; </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CE0185" w:rsidRDefault="004E201D" w:rsidP="004300E2">
            <w:pPr>
              <w:overflowPunct/>
              <w:spacing w:before="60" w:after="60" w:line="240" w:lineRule="auto"/>
              <w:ind w:left="883" w:hanging="425"/>
              <w:textAlignment w:val="auto"/>
              <w:rPr>
                <w:rFonts w:cs="EUAlbertina"/>
                <w:color w:val="19161B"/>
                <w:lang w:val="it-IT" w:eastAsia="it-IT"/>
              </w:rPr>
            </w:pPr>
            <w:r w:rsidRPr="00E6236D">
              <w:rPr>
                <w:rFonts w:cs="EUAlbertina"/>
                <w:bCs/>
                <w:color w:val="19161B"/>
                <w:lang w:val="it-IT" w:eastAsia="it-IT"/>
              </w:rPr>
              <w:t>(iiA)</w:t>
            </w:r>
            <w:r>
              <w:rPr>
                <w:rFonts w:cs="EUAlbertina"/>
                <w:bCs/>
                <w:color w:val="19161B"/>
                <w:lang w:val="it-IT" w:eastAsia="it-IT"/>
              </w:rPr>
              <w:tab/>
            </w:r>
            <w:r w:rsidRPr="00E6236D">
              <w:rPr>
                <w:rFonts w:cs="EUAlbertina"/>
                <w:bCs/>
                <w:color w:val="19161B"/>
                <w:lang w:val="it-IT" w:eastAsia="it-IT"/>
              </w:rPr>
              <w:t xml:space="preserve">il livello della gerarchia del </w:t>
            </w:r>
            <w:r w:rsidRPr="00E6236D">
              <w:rPr>
                <w:rFonts w:cs="EUAlbertina"/>
                <w:bCs/>
                <w:i/>
                <w:iCs/>
                <w:color w:val="19161B"/>
                <w:lang w:val="it-IT" w:eastAsia="it-IT"/>
              </w:rPr>
              <w:t xml:space="preserve">fair value </w:t>
            </w:r>
            <w:r w:rsidRPr="00E6236D">
              <w:rPr>
                <w:rFonts w:cs="EUAlbertina"/>
                <w:bCs/>
                <w:color w:val="19161B"/>
                <w:lang w:val="it-IT" w:eastAsia="it-IT"/>
              </w:rPr>
              <w:t xml:space="preserve">(vedere IFRS 13) nel quale è classificata nella sua interezza la </w:t>
            </w:r>
            <w:r>
              <w:rPr>
                <w:rFonts w:cs="EUAlbertina"/>
                <w:bCs/>
                <w:color w:val="19161B"/>
                <w:lang w:val="it-IT" w:eastAsia="it-IT"/>
              </w:rPr>
              <w:t xml:space="preserve">valutazione </w:t>
            </w:r>
            <w:r w:rsidRPr="00E6236D">
              <w:rPr>
                <w:rFonts w:cs="EUAlbertina"/>
                <w:bCs/>
                <w:color w:val="19161B"/>
                <w:lang w:val="it-IT" w:eastAsia="it-IT"/>
              </w:rPr>
              <w:t xml:space="preserve">del </w:t>
            </w:r>
            <w:r w:rsidRPr="00E6236D">
              <w:rPr>
                <w:rFonts w:cs="EUAlbertina"/>
                <w:bCs/>
                <w:i/>
                <w:iCs/>
                <w:color w:val="19161B"/>
                <w:lang w:val="it-IT" w:eastAsia="it-IT"/>
              </w:rPr>
              <w:t xml:space="preserve">fair value </w:t>
            </w:r>
            <w:r w:rsidRPr="00E6236D">
              <w:rPr>
                <w:rFonts w:cs="EUAlbertina"/>
                <w:bCs/>
                <w:color w:val="19161B"/>
                <w:lang w:val="it-IT" w:eastAsia="it-IT"/>
              </w:rPr>
              <w:t xml:space="preserve">(senza considerare l’osservabilità dei ‘costi di dismissione’); </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CE0185" w:rsidRDefault="004E201D" w:rsidP="004300E2">
            <w:pPr>
              <w:overflowPunct/>
              <w:spacing w:before="60" w:after="60" w:line="240" w:lineRule="auto"/>
              <w:ind w:left="883" w:hanging="425"/>
              <w:jc w:val="left"/>
              <w:textAlignment w:val="auto"/>
              <w:rPr>
                <w:rFonts w:cs="EUAlbertina"/>
                <w:color w:val="19161B"/>
                <w:lang w:val="it-IT" w:eastAsia="it-IT"/>
              </w:rPr>
            </w:pPr>
            <w:r w:rsidRPr="00E6236D">
              <w:rPr>
                <w:rFonts w:cs="EUAlbertina"/>
                <w:bCs/>
                <w:color w:val="19161B"/>
                <w:lang w:val="it-IT" w:eastAsia="it-IT"/>
              </w:rPr>
              <w:t xml:space="preserve">(iiB) </w:t>
            </w:r>
            <w:r>
              <w:rPr>
                <w:rFonts w:cs="EUAlbertina"/>
                <w:bCs/>
                <w:color w:val="19161B"/>
                <w:lang w:val="it-IT" w:eastAsia="it-IT"/>
              </w:rPr>
              <w:tab/>
            </w:r>
            <w:r w:rsidRPr="00E6236D">
              <w:rPr>
                <w:rFonts w:cs="EUAlbertina"/>
                <w:bCs/>
                <w:color w:val="19161B"/>
                <w:lang w:val="it-IT" w:eastAsia="it-IT"/>
              </w:rPr>
              <w:t xml:space="preserve">se è intervenuto un cambiamento nella tecnica di valutazione, tale cambiamento e le rispettive motivazioni. </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right w:w="0" w:type="dxa"/>
            </w:tcMar>
          </w:tcPr>
          <w:p w:rsidR="004300E2" w:rsidRPr="008A0F36" w:rsidRDefault="004300E2" w:rsidP="004300E2">
            <w:pPr>
              <w:pStyle w:val="IAS"/>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36.134(e)</w:t>
            </w:r>
          </w:p>
        </w:tc>
        <w:tc>
          <w:tcPr>
            <w:tcW w:w="7079" w:type="dxa"/>
            <w:tcMar>
              <w:left w:w="108" w:type="dxa"/>
            </w:tcMar>
          </w:tcPr>
          <w:p w:rsidR="004300E2" w:rsidRPr="008A0F36" w:rsidRDefault="004300E2" w:rsidP="004300E2">
            <w:pPr>
              <w:ind w:left="348"/>
              <w:rPr>
                <w:lang w:val="it-IT"/>
              </w:rPr>
            </w:pPr>
            <w:r w:rsidRPr="008A0F36">
              <w:rPr>
                <w:lang w:val="it-IT"/>
              </w:rPr>
              <w:t xml:space="preserve">Se il </w:t>
            </w:r>
            <w:r w:rsidRPr="008A0F36">
              <w:rPr>
                <w:i/>
                <w:lang w:val="it-IT"/>
              </w:rPr>
              <w:t>fair value</w:t>
            </w:r>
            <w:r w:rsidRPr="008A0F36">
              <w:rPr>
                <w:lang w:val="it-IT"/>
              </w:rPr>
              <w:t xml:space="preserve"> al netto dei costi di </w:t>
            </w:r>
            <w:r>
              <w:rPr>
                <w:lang w:val="it-IT"/>
              </w:rPr>
              <w:t xml:space="preserve">dismissione </w:t>
            </w:r>
            <w:r w:rsidRPr="008A0F36">
              <w:rPr>
                <w:lang w:val="it-IT"/>
              </w:rPr>
              <w:t xml:space="preserve">è </w:t>
            </w:r>
            <w:r>
              <w:rPr>
                <w:lang w:val="it-IT"/>
              </w:rPr>
              <w:t xml:space="preserve">valutato </w:t>
            </w:r>
            <w:r w:rsidRPr="008A0F36">
              <w:rPr>
                <w:lang w:val="it-IT"/>
              </w:rPr>
              <w:t>utilizzando le proiezioni dei flussi di cassa attualizzati, sono state fornite anche le seguenti informazioni:</w:t>
            </w:r>
            <w:r w:rsidRPr="008A0F36">
              <w:rPr>
                <w:sz w:val="14"/>
                <w:szCs w:val="14"/>
                <w:lang w:val="it-IT"/>
              </w:rPr>
              <w:t xml:space="preserve"> </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4300E2">
            <w:pPr>
              <w:pStyle w:val="Rientroisottoa"/>
            </w:pPr>
            <w:r w:rsidRPr="008A0F36">
              <w:t>i)</w:t>
            </w:r>
            <w:r w:rsidRPr="008A0F36">
              <w:tab/>
              <w:t>il periodo di riferimento lungo il quale il management ha proiettato i flussi di cassa</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4300E2">
            <w:pPr>
              <w:pStyle w:val="Rientroisottoa"/>
            </w:pPr>
            <w:r w:rsidRPr="008A0F36">
              <w:t>ii)</w:t>
            </w:r>
            <w:r w:rsidRPr="008A0F36">
              <w:tab/>
              <w:t>il tasso di crescita utilizzato per estrapolare le proiezioni dei flussi di cassa; e</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4300E2">
            <w:pPr>
              <w:pStyle w:val="Rientroisottoa"/>
            </w:pPr>
            <w:r w:rsidRPr="008A0F36">
              <w:t>iii)</w:t>
            </w:r>
            <w:r w:rsidRPr="008A0F36">
              <w:tab/>
              <w:t>i tassi di sconto applicati alle proiezioni dei flussi di cassa.</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4300E2">
            <w:pPr>
              <w:pStyle w:val="Rientroa"/>
              <w:numPr>
                <w:ilvl w:val="0"/>
                <w:numId w:val="3"/>
              </w:numPr>
            </w:pPr>
            <w:r w:rsidRPr="008A0F36">
              <w:t xml:space="preserve">se un cambiamento, ragionevolmente possibile, delle ipotesi determinanti su cui il </w:t>
            </w:r>
            <w:r w:rsidRPr="00A921F0">
              <w:rPr>
                <w:i/>
              </w:rPr>
              <w:t>management</w:t>
            </w:r>
            <w:r w:rsidRPr="008A0F36">
              <w:t xml:space="preserve"> ha basato la determinazione del valore recuperabile dell’unità (o i gruppi di unità), può far si che il valore contabile dell’unità diventi superiore al suo valore recuperabile, sono stati indicati:</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4300E2">
            <w:pPr>
              <w:pStyle w:val="Rientroisottoa"/>
            </w:pPr>
            <w:r w:rsidRPr="008A0F36">
              <w:t>i)</w:t>
            </w:r>
            <w:r w:rsidRPr="008A0F36">
              <w:tab/>
              <w:t>l’eccedenza del valore recuperabile dell’unità (o gruppo di unità) rispetto al valore contabile</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4300E2">
            <w:pPr>
              <w:pStyle w:val="Rientroisottoa"/>
            </w:pPr>
            <w:r w:rsidRPr="008A0F36">
              <w:t>ii)</w:t>
            </w:r>
            <w:r w:rsidRPr="008A0F36">
              <w:tab/>
              <w:t>il valore assegnato alle ipotesi determinanti; e</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4300E2">
            <w:pPr>
              <w:pStyle w:val="Rientroisottoa"/>
            </w:pPr>
            <w:r w:rsidRPr="008A0F36">
              <w:t>iii)</w:t>
            </w:r>
            <w:r w:rsidRPr="008A0F36">
              <w:tab/>
              <w:t xml:space="preserve">l’importo a cui il valore assegnato alle ipotesi determinanti deve rettificarsi, dopo aver assorbito eventuali effetti conseguenti a tale cambiamento sulle altre variabili utilizzate per </w:t>
            </w:r>
            <w:r>
              <w:t xml:space="preserve">valutare </w:t>
            </w:r>
            <w:r w:rsidRPr="008A0F36">
              <w:t xml:space="preserve">il valore recuperabile dell’unità (o gruppo di unità) affinché il valore recuperabile dell’unità (o gruppo di unità) sia pari al valore contabile. </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right w:w="0"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36.135</w:t>
            </w:r>
          </w:p>
        </w:tc>
        <w:tc>
          <w:tcPr>
            <w:tcW w:w="7079" w:type="dxa"/>
            <w:tcMar>
              <w:left w:w="108" w:type="dxa"/>
            </w:tcMar>
          </w:tcPr>
          <w:p w:rsidR="004300E2" w:rsidRPr="008A0F36" w:rsidRDefault="004300E2" w:rsidP="004300E2">
            <w:pPr>
              <w:rPr>
                <w:lang w:val="it-IT"/>
              </w:rPr>
            </w:pPr>
            <w:r w:rsidRPr="008A0F36">
              <w:rPr>
                <w:lang w:val="it-IT"/>
              </w:rPr>
              <w:t>Qualora alcuni o tutti i valori contabili dell’avviamento o di attività immateriali a vita utile indefinita siano allocati su più unità generatrici di flussi finanziari (o gruppi di unità) e l’ammontare così allocato su ogni unità (o gruppi di unità) non è significativo in confronto al valore contabile complessivo dell’avviamento o di altra attività immateriale a vita utile indefinita, l’entità deve indicare:</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4E201D" w:rsidRPr="008A0F36"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4300E2">
            <w:pPr>
              <w:pStyle w:val="Rientroa"/>
              <w:numPr>
                <w:ilvl w:val="0"/>
                <w:numId w:val="98"/>
              </w:numPr>
            </w:pPr>
            <w:r w:rsidRPr="008A0F36">
              <w:t>tale fatto; e</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FB4B6E">
            <w:pPr>
              <w:pStyle w:val="Rientroa"/>
              <w:numPr>
                <w:ilvl w:val="0"/>
                <w:numId w:val="72"/>
              </w:numPr>
            </w:pPr>
            <w:r w:rsidRPr="008A0F36">
              <w:t>il valore contabile aggregato dell’avviamento o di attività immateriali a vita utile indefinita allocato a tali unità (o gruppi di unità)</w:t>
            </w:r>
            <w:r>
              <w:t>.</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right w:w="0"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36.135</w:t>
            </w:r>
          </w:p>
        </w:tc>
        <w:tc>
          <w:tcPr>
            <w:tcW w:w="7079" w:type="dxa"/>
            <w:tcMar>
              <w:left w:w="108" w:type="dxa"/>
            </w:tcMar>
          </w:tcPr>
          <w:p w:rsidR="004300E2" w:rsidRPr="008A0F36" w:rsidRDefault="004300E2" w:rsidP="008129DA">
            <w:pPr>
              <w:spacing w:line="210" w:lineRule="exact"/>
              <w:rPr>
                <w:lang w:val="it-IT"/>
              </w:rPr>
            </w:pPr>
            <w:r w:rsidRPr="008A0F36">
              <w:rPr>
                <w:lang w:val="it-IT"/>
              </w:rPr>
              <w:t>Se il valore recuperabile di ognuna di queste unità (o i gruppi di unità) è basato sulle stesse ipotesi determinanti e il valore contabile aggregato dell’avviamento o di attività immateriali a vita utile indefinita allocato su tali unità è significativo in confronto al valore contabile complessivo dell’avviamento o di altra attività immateriale a vita utile indefinita, l’entità deve indicare:</w:t>
            </w:r>
            <w:r w:rsidRPr="008A0F36">
              <w:rPr>
                <w:spacing w:val="-2"/>
                <w:lang w:val="it-IT"/>
              </w:rPr>
              <w:t xml:space="preserve"> </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4E201D" w:rsidRPr="008A0F36"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4300E2">
            <w:pPr>
              <w:pStyle w:val="Rientroa"/>
              <w:numPr>
                <w:ilvl w:val="0"/>
                <w:numId w:val="99"/>
              </w:numPr>
            </w:pPr>
            <w:r w:rsidRPr="008A0F36">
              <w:t>tale fatto</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FB4B6E">
            <w:pPr>
              <w:pStyle w:val="Rientroa"/>
              <w:numPr>
                <w:ilvl w:val="0"/>
                <w:numId w:val="72"/>
              </w:numPr>
            </w:pPr>
            <w:r w:rsidRPr="008A0F36">
              <w:t>il valore contabile aggregato dell’avviamento allocato a tali unità (o gruppi di unità)</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FB4B6E">
            <w:pPr>
              <w:pStyle w:val="Rientroa"/>
              <w:numPr>
                <w:ilvl w:val="0"/>
                <w:numId w:val="72"/>
              </w:numPr>
            </w:pPr>
            <w:r w:rsidRPr="008A0F36">
              <w:t>il valore contabile aggregato delle attività immateriali a vita utile indefinita allocato a tali unità (o gruppi di unità)</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FB4B6E">
            <w:pPr>
              <w:pStyle w:val="Rientroa"/>
              <w:numPr>
                <w:ilvl w:val="0"/>
                <w:numId w:val="72"/>
              </w:numPr>
            </w:pPr>
            <w:r w:rsidRPr="008A0F36">
              <w:t>una descrizione delle ipotesi determinanti</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FB4B6E">
            <w:pPr>
              <w:pStyle w:val="Rientroa"/>
              <w:numPr>
                <w:ilvl w:val="0"/>
                <w:numId w:val="72"/>
              </w:numPr>
            </w:pPr>
            <w:r w:rsidRPr="008A0F36">
              <w:t>una descrizione dell’approccio del management nel determinare il valore (i) assegnato a ogni ipotesi determinante, se questo valore (i) riflette l’esperienza passata o, se appropriato è coerente con fonti esterne di informazione e, se non lo è, come e perché differisce dalla passata esperienza o da fonti esterne di informazioni; e</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FB4B6E">
            <w:pPr>
              <w:pStyle w:val="Rientroa"/>
              <w:numPr>
                <w:ilvl w:val="0"/>
                <w:numId w:val="72"/>
              </w:numPr>
            </w:pPr>
            <w:r w:rsidRPr="008A0F36">
              <w:t xml:space="preserve">se un cambiamento, ragionevolmente possibile, delle ipotesi determinanti su cui il </w:t>
            </w:r>
            <w:r w:rsidRPr="00A921F0">
              <w:rPr>
                <w:i/>
              </w:rPr>
              <w:t>management</w:t>
            </w:r>
            <w:r w:rsidRPr="008A0F36">
              <w:t xml:space="preserve"> ha basato la determinazione del valore recuperabile dell’unità (o i gruppi di unità), può far si che il valore contabile aggregato delle unità diventi superiore al loro valore recuperabile aggregato:</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4300E2">
            <w:pPr>
              <w:pStyle w:val="Rientroisottoa"/>
            </w:pPr>
            <w:r w:rsidRPr="008A0F36">
              <w:t>i)</w:t>
            </w:r>
            <w:r w:rsidRPr="008A0F36">
              <w:tab/>
              <w:t>l’eccedenza del valore recuperabile aggregato delle unità (o gruppo di unità) rispetto al valore contabile aggregato</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4300E2">
            <w:pPr>
              <w:pStyle w:val="Rientroisottoa"/>
            </w:pPr>
            <w:r w:rsidRPr="008A0F36">
              <w:t>ii)</w:t>
            </w:r>
            <w:r w:rsidRPr="008A0F36">
              <w:tab/>
              <w:t>il valore assegnato alle ipotesi determinanti; e</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4300E2">
            <w:pPr>
              <w:pStyle w:val="Rientroisottoa"/>
            </w:pPr>
            <w:r w:rsidRPr="008A0F36">
              <w:t>iii)</w:t>
            </w:r>
            <w:r w:rsidRPr="008A0F36">
              <w:tab/>
              <w:t xml:space="preserve">l’importo a cui il valore assegnato alle ipotesi determinanti deve rettificarsi, dopo aver assorbito eventuali effetti conseguenti a tale cambiamento sulle altre variabili utilizzate per </w:t>
            </w:r>
            <w:r>
              <w:t xml:space="preserve">valutare </w:t>
            </w:r>
            <w:r w:rsidRPr="008A0F36">
              <w:t xml:space="preserve">il valore recuperabile aggregato dell’unità (o gruppo di unità) affinché il valore recuperabile dell’unità (o gruppo di unità) sia pari al valore contabile aggregato. </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A0F36" w:rsidTr="00940A6F">
        <w:trPr>
          <w:cantSplit/>
        </w:trPr>
        <w:tc>
          <w:tcPr>
            <w:tcW w:w="567" w:type="dxa"/>
            <w:shd w:val="clear" w:color="auto" w:fill="auto"/>
            <w:tcMar>
              <w:left w:w="108" w:type="dxa"/>
              <w:right w:w="0" w:type="dxa"/>
            </w:tcMar>
            <w:vAlign w:val="center"/>
          </w:tcPr>
          <w:p w:rsidR="004300E2" w:rsidRPr="008A0F36" w:rsidRDefault="004300E2" w:rsidP="004300E2">
            <w:pPr>
              <w:pStyle w:val="IAS"/>
              <w:jc w:val="left"/>
              <w:rPr>
                <w:lang w:val="it-IT"/>
              </w:rPr>
            </w:pPr>
          </w:p>
        </w:tc>
        <w:tc>
          <w:tcPr>
            <w:tcW w:w="851" w:type="dxa"/>
            <w:shd w:val="clear" w:color="auto" w:fill="auto"/>
            <w:tcMar>
              <w:left w:w="108" w:type="dxa"/>
              <w:right w:w="0" w:type="dxa"/>
            </w:tcMar>
            <w:vAlign w:val="center"/>
          </w:tcPr>
          <w:p w:rsidR="004300E2" w:rsidRPr="008A0F36" w:rsidRDefault="004300E2" w:rsidP="004300E2">
            <w:pPr>
              <w:pStyle w:val="IAS"/>
              <w:jc w:val="left"/>
              <w:rPr>
                <w:lang w:val="it-IT"/>
              </w:rPr>
            </w:pPr>
          </w:p>
        </w:tc>
        <w:tc>
          <w:tcPr>
            <w:tcW w:w="7079" w:type="dxa"/>
            <w:shd w:val="clear" w:color="auto" w:fill="auto"/>
            <w:tcMar>
              <w:left w:w="108" w:type="dxa"/>
            </w:tcMar>
            <w:vAlign w:val="center"/>
          </w:tcPr>
          <w:p w:rsidR="004300E2" w:rsidRPr="008A0F36" w:rsidRDefault="004300E2" w:rsidP="004300E2">
            <w:pPr>
              <w:pStyle w:val="Titolo1"/>
              <w:pageBreakBefore/>
            </w:pPr>
            <w:r w:rsidRPr="008A0F36">
              <w:t>imposte sul reddito</w:t>
            </w:r>
          </w:p>
        </w:tc>
        <w:tc>
          <w:tcPr>
            <w:tcW w:w="575" w:type="dxa"/>
            <w:shd w:val="clear" w:color="auto" w:fill="auto"/>
            <w:tcMar>
              <w:left w:w="85" w:type="dxa"/>
              <w:right w:w="85" w:type="dxa"/>
            </w:tcMar>
            <w:vAlign w:val="center"/>
          </w:tcPr>
          <w:p w:rsidR="004300E2" w:rsidRDefault="004300E2" w:rsidP="004300E2">
            <w:pPr>
              <w:pageBreakBefore/>
              <w:jc w:val="left"/>
            </w:pPr>
          </w:p>
        </w:tc>
        <w:tc>
          <w:tcPr>
            <w:tcW w:w="567" w:type="dxa"/>
            <w:shd w:val="clear" w:color="auto" w:fill="auto"/>
            <w:tcMar>
              <w:left w:w="108" w:type="dxa"/>
            </w:tcMar>
            <w:vAlign w:val="center"/>
          </w:tcPr>
          <w:p w:rsidR="004300E2" w:rsidRDefault="004300E2" w:rsidP="004300E2">
            <w:pPr>
              <w:pageBreakBefore/>
              <w:jc w:val="left"/>
            </w:pPr>
          </w:p>
        </w:tc>
        <w:tc>
          <w:tcPr>
            <w:tcW w:w="567" w:type="dxa"/>
            <w:shd w:val="clear" w:color="auto" w:fill="auto"/>
            <w:tcMar>
              <w:left w:w="108" w:type="dxa"/>
            </w:tcMar>
            <w:vAlign w:val="center"/>
          </w:tcPr>
          <w:p w:rsidR="004300E2" w:rsidRDefault="004300E2" w:rsidP="004300E2">
            <w:pPr>
              <w:pageBreakBefore/>
              <w:jc w:val="left"/>
            </w:pPr>
          </w:p>
        </w:tc>
      </w:tr>
      <w:tr w:rsidR="004300E2" w:rsidRPr="00A44ECD" w:rsidTr="00940A6F">
        <w:trPr>
          <w:cantSplit/>
        </w:trPr>
        <w:tc>
          <w:tcPr>
            <w:tcW w:w="567" w:type="dxa"/>
            <w:shd w:val="clear" w:color="auto" w:fill="auto"/>
            <w:tcMar>
              <w:left w:w="108" w:type="dxa"/>
              <w:right w:w="0" w:type="dxa"/>
            </w:tcMar>
          </w:tcPr>
          <w:p w:rsidR="004300E2" w:rsidRPr="008A0F36" w:rsidRDefault="004300E2" w:rsidP="004300E2">
            <w:pPr>
              <w:pStyle w:val="IAS"/>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r w:rsidRPr="008A0F36">
              <w:rPr>
                <w:lang w:val="it-IT"/>
              </w:rPr>
              <w:t>IAS 12.78</w:t>
            </w:r>
          </w:p>
        </w:tc>
        <w:tc>
          <w:tcPr>
            <w:tcW w:w="7079" w:type="dxa"/>
            <w:shd w:val="clear" w:color="auto" w:fill="auto"/>
            <w:tcMar>
              <w:left w:w="108" w:type="dxa"/>
            </w:tcMar>
          </w:tcPr>
          <w:p w:rsidR="004300E2" w:rsidRPr="008A0F36" w:rsidRDefault="004300E2" w:rsidP="00B102C3">
            <w:pPr>
              <w:pStyle w:val="Paragarfobordato"/>
              <w:rPr>
                <w:b/>
                <w:bCs/>
                <w:caps/>
              </w:rPr>
            </w:pPr>
            <w:r w:rsidRPr="008A0F36">
              <w:t xml:space="preserve">Quando le differenze di cambio su passività o attività fiscali estere differite sono esposte nel </w:t>
            </w:r>
            <w:r>
              <w:t xml:space="preserve">prospetto (nei prospetti) dell’utile/(perdita) e delle altre componenti di conto economico </w:t>
            </w:r>
            <w:r w:rsidRPr="008A0F36">
              <w:t>complessivo, tali differenze possono essere classificate come oneri (proventi) fiscali differiti se tale esposizione è considerata essere la migliore per gli utilizzatori del bilancio.</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r>
      <w:tr w:rsidR="004300E2" w:rsidRPr="00A44ECD" w:rsidTr="00940A6F">
        <w:trPr>
          <w:cantSplit/>
        </w:trPr>
        <w:tc>
          <w:tcPr>
            <w:tcW w:w="567" w:type="dxa"/>
            <w:shd w:val="clear" w:color="auto" w:fill="auto"/>
            <w:tcMar>
              <w:left w:w="108" w:type="dxa"/>
              <w:right w:w="0" w:type="dxa"/>
            </w:tcMar>
          </w:tcPr>
          <w:p w:rsidR="004300E2" w:rsidRPr="008A0F36" w:rsidRDefault="004300E2" w:rsidP="004300E2">
            <w:pPr>
              <w:pStyle w:val="Numeroelenco"/>
              <w:ind w:left="0" w:firstLine="57"/>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r w:rsidRPr="008A0F36">
              <w:rPr>
                <w:lang w:val="it-IT"/>
              </w:rPr>
              <w:t>IAS 12.79</w:t>
            </w:r>
            <w:r w:rsidRPr="008A0F36">
              <w:rPr>
                <w:lang w:val="it-IT"/>
              </w:rPr>
              <w:br/>
              <w:t>IAS 12.80</w:t>
            </w:r>
          </w:p>
        </w:tc>
        <w:tc>
          <w:tcPr>
            <w:tcW w:w="7079" w:type="dxa"/>
            <w:shd w:val="clear" w:color="auto" w:fill="auto"/>
            <w:tcMar>
              <w:left w:w="108" w:type="dxa"/>
            </w:tcMar>
          </w:tcPr>
          <w:p w:rsidR="004300E2" w:rsidRPr="008A0F36" w:rsidRDefault="004300E2" w:rsidP="004300E2">
            <w:pPr>
              <w:rPr>
                <w:lang w:val="it-IT"/>
              </w:rPr>
            </w:pPr>
            <w:r w:rsidRPr="008A0F36">
              <w:rPr>
                <w:lang w:val="it-IT"/>
              </w:rPr>
              <w:t>I seguenti principali componenti degli oneri (proventi) fiscali sono stati indicati separatamente:</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4300E2">
            <w:pPr>
              <w:pStyle w:val="Rientroa"/>
              <w:numPr>
                <w:ilvl w:val="0"/>
                <w:numId w:val="100"/>
              </w:numPr>
            </w:pPr>
            <w:r w:rsidRPr="008A0F36">
              <w:t>oneri (proventi) per imposte correnti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eventuali rettifiche rilevate nell’esercizio per imposte correnti relative a esercizi precedenti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l’ammontare degli oneri (proventi) fiscali differiti relativi all’emersione e all’annullamento di differenze temporanee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l’ammontare degli oneri (proventi) fiscali differiti relativi a cambiamenti nell’aliquota fiscale o all’imposizione di nuove tasse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l’ammontare del beneficio derivante da una perdita fiscale, da un credito d’imposta o da una differenza temporanea di un esercizio precedente, non rilevati in precedenza, e utilizzati per ridurre l’onere fiscale corrente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l’ammontare del beneficio derivante da una perdita fiscale, da un credito d’imposta o da una differenza temporanea di un esercizio precedente, non rilevati in precedenza, e utilizzati per ridurre l’onere fiscale differito</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r w:rsidRPr="008A0F36">
              <w:rPr>
                <w:lang w:val="it-IT"/>
              </w:rPr>
              <w:t>IAS 12.56</w:t>
            </w:r>
          </w:p>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l’onere fiscale differito derivante dalla svalutazione, o l’annullamento di una svalutazione precedente, di un’attività fiscale differita quando non sia più probabile che sia realizzabile un reddito imponibile sufficiente per consentire che sia utilizzato il beneficio di parte o di tutta quella attività fiscale differita; 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l’ammontare di oneri (proventi) fiscali relativi a quei cambiamenti di principi contabili o errori inclusi nella determinazione dell’utile</w:t>
            </w:r>
            <w:r>
              <w:t>/(</w:t>
            </w:r>
            <w:r w:rsidRPr="008A0F36">
              <w:t xml:space="preserve"> perdita</w:t>
            </w:r>
            <w:r>
              <w:t>)</w:t>
            </w:r>
            <w:r w:rsidRPr="008A0F36">
              <w:t xml:space="preserve"> d’esercizio secondo quanto previsto dallo IAS 8, poiché non possono essere contabilizzati retroattivamente.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206"/>
        </w:trPr>
        <w:tc>
          <w:tcPr>
            <w:tcW w:w="567" w:type="dxa"/>
            <w:shd w:val="clear" w:color="auto" w:fill="auto"/>
            <w:tcMar>
              <w:left w:w="108" w:type="dxa"/>
            </w:tcMar>
          </w:tcPr>
          <w:p w:rsidR="004300E2" w:rsidRPr="008A0F36" w:rsidRDefault="004300E2" w:rsidP="004300E2">
            <w:pPr>
              <w:pStyle w:val="Numeroelenco"/>
              <w:ind w:left="0" w:firstLine="57"/>
              <w:rPr>
                <w:lang w:val="it-IT"/>
              </w:rPr>
            </w:pPr>
          </w:p>
        </w:tc>
        <w:tc>
          <w:tcPr>
            <w:tcW w:w="851" w:type="dxa"/>
            <w:shd w:val="clear" w:color="auto" w:fill="auto"/>
            <w:tcMar>
              <w:right w:w="0" w:type="dxa"/>
            </w:tcMar>
          </w:tcPr>
          <w:p w:rsidR="004300E2" w:rsidRPr="008A0F36" w:rsidRDefault="004300E2" w:rsidP="004300E2">
            <w:pPr>
              <w:pStyle w:val="IAS"/>
              <w:rPr>
                <w:lang w:val="it-IT"/>
              </w:rPr>
            </w:pPr>
            <w:r w:rsidRPr="008A0F36">
              <w:rPr>
                <w:lang w:val="it-IT"/>
              </w:rPr>
              <w:t>IAS 12.81</w:t>
            </w:r>
          </w:p>
        </w:tc>
        <w:tc>
          <w:tcPr>
            <w:tcW w:w="7079" w:type="dxa"/>
            <w:shd w:val="clear" w:color="auto" w:fill="auto"/>
          </w:tcPr>
          <w:p w:rsidR="004300E2" w:rsidRPr="008A0F36" w:rsidRDefault="004300E2" w:rsidP="004300E2">
            <w:pPr>
              <w:rPr>
                <w:lang w:val="it-IT"/>
              </w:rPr>
            </w:pPr>
            <w:r w:rsidRPr="008A0F36">
              <w:rPr>
                <w:lang w:val="it-IT"/>
              </w:rPr>
              <w:t xml:space="preserve">Le seguenti informazioni sono state date separatamente: </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4300E2">
            <w:pPr>
              <w:pStyle w:val="Rientroa"/>
              <w:numPr>
                <w:ilvl w:val="0"/>
                <w:numId w:val="101"/>
              </w:numPr>
            </w:pPr>
            <w:r w:rsidRPr="008A0F36">
              <w:t xml:space="preserve">il valore complessivo delle imposte correnti e differite relative a voci </w:t>
            </w:r>
            <w:r>
              <w:t xml:space="preserve">addebitate o accreditate direttamente nel patrimonio netto, nonché le imposte sul reddito relative ad ogni voce delle altre componenti di conto economico complessivo </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 xml:space="preserve">una spiegazione del rapporto tra gli oneri (proventi) fiscali e l’utile in una o entrambe le seguenti forme: </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B102C3">
            <w:pPr>
              <w:pStyle w:val="Puntoelenco"/>
              <w:tabs>
                <w:tab w:val="clear" w:pos="780"/>
              </w:tabs>
              <w:ind w:left="565" w:hanging="205"/>
            </w:pPr>
            <w:r w:rsidRPr="008A0F36">
              <w:t xml:space="preserve">una riconciliazione numerica tra gli oneri (proventi) fiscali e il prodotto dell’utile contabile moltiplicato per l’aliquota fiscale applicabile, indicando anche il criterio con il quale è determinata l’aliquota fiscale applicabile; o </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B102C3">
            <w:pPr>
              <w:pStyle w:val="Puntoelenco"/>
              <w:tabs>
                <w:tab w:val="clear" w:pos="780"/>
              </w:tabs>
              <w:ind w:left="565" w:hanging="205"/>
            </w:pPr>
            <w:r w:rsidRPr="008A0F36">
              <w:t>una riconciliazione numerica tra l’aliquota fiscale media effettiva e l’aliquota fiscale applicabile, indicando anche il criterio con il quale è determinata l’aliquota fiscale applicabile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una spiegazione delle modifiche dell’aliquota fiscale applicabile comparata con quella dell’esercizio precedente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relativamente alle differenze temporanee deducibili delle perdite fiscali non utilizzate e dei crediti di imposta inutilizzati per i quali, nel prospetto della situazione patrimoniale-finanziaria, non è rilevata l’attività fiscale differita:</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A0F36"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B102C3">
            <w:pPr>
              <w:pStyle w:val="Puntoelenco"/>
              <w:tabs>
                <w:tab w:val="clear" w:pos="780"/>
              </w:tabs>
              <w:ind w:left="655" w:hanging="295"/>
            </w:pPr>
            <w:r w:rsidRPr="008A0F36">
              <w:t>l’ammontare; 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B102C3">
            <w:pPr>
              <w:pStyle w:val="Puntoelenco"/>
              <w:ind w:left="655" w:hanging="295"/>
            </w:pPr>
            <w:r w:rsidRPr="008A0F36">
              <w:t>la data di scadenza, qualora esista.</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r w:rsidRPr="008A0F36">
              <w:rPr>
                <w:lang w:val="it-IT"/>
              </w:rPr>
              <w:t>IAS 12.39</w:t>
            </w:r>
          </w:p>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 xml:space="preserve">l’ammontare complessivo delle differenze temporanee riferibili a investimenti finanziari in società controllate, filiali e società collegate, e a partecipazioni in </w:t>
            </w:r>
            <w:r w:rsidRPr="008A0F36">
              <w:rPr>
                <w:i/>
              </w:rPr>
              <w:t>joint venture</w:t>
            </w:r>
            <w:r w:rsidRPr="008A0F36">
              <w:t>, per le quali non è stata rilevata una passività fiscale differita</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 xml:space="preserve">con riferimento a ciascun tipo di differenza temporanea e a ciascun tipo di perdite fiscali non utilizzate e crediti di imposta inutilizzati: </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B102C3">
            <w:pPr>
              <w:pStyle w:val="Puntoelenco"/>
              <w:tabs>
                <w:tab w:val="clear" w:pos="780"/>
              </w:tabs>
              <w:ind w:left="655" w:hanging="295"/>
            </w:pPr>
            <w:r w:rsidRPr="008A0F36">
              <w:t>l’ammontare delle attività e delle passività per imposte differite rilevate nel prospetto della situazione patrimoniale-finanziaria per ciascun esercizio presentato</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B102C3">
            <w:pPr>
              <w:pStyle w:val="Puntoelenco"/>
              <w:tabs>
                <w:tab w:val="clear" w:pos="780"/>
              </w:tabs>
              <w:ind w:left="655" w:hanging="295"/>
            </w:pPr>
            <w:r w:rsidRPr="008A0F36">
              <w:t xml:space="preserve">l’ammontare dei proventi od oneri fiscali differiti rilevati </w:t>
            </w:r>
            <w:r w:rsidRPr="00A739F6">
              <w:t xml:space="preserve">nel </w:t>
            </w:r>
            <w:r>
              <w:t xml:space="preserve">prospetto (nei prospetti) dell’utile/(perdita) e delle altre componenti di </w:t>
            </w:r>
            <w:r w:rsidRPr="00A739F6">
              <w:t>conto economico complessivo, se questo non risulta evidente dalle variazioni d</w:t>
            </w:r>
            <w:r w:rsidRPr="008A0F36">
              <w:t>egli importi rilevati nel prospetto della situazione patrimoniale-finanziaria</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pageBreakBefore/>
              <w:rPr>
                <w:lang w:val="it-IT"/>
              </w:rPr>
            </w:pPr>
          </w:p>
        </w:tc>
        <w:tc>
          <w:tcPr>
            <w:tcW w:w="7079" w:type="dxa"/>
            <w:shd w:val="clear" w:color="auto" w:fill="auto"/>
            <w:tcMar>
              <w:left w:w="108" w:type="dxa"/>
            </w:tcMar>
          </w:tcPr>
          <w:p w:rsidR="004E201D" w:rsidRPr="008A0F36" w:rsidRDefault="004E201D" w:rsidP="00FB4B6E">
            <w:pPr>
              <w:pStyle w:val="Rientroa"/>
              <w:pageBreakBefore/>
              <w:numPr>
                <w:ilvl w:val="0"/>
                <w:numId w:val="72"/>
              </w:numPr>
            </w:pPr>
            <w:r w:rsidRPr="008A0F36">
              <w:t xml:space="preserve">con riferimento ad attività operative cessate, l’onere fiscale relativo a: </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B102C3">
            <w:pPr>
              <w:pStyle w:val="Puntoelenco"/>
              <w:tabs>
                <w:tab w:val="clear" w:pos="780"/>
              </w:tabs>
              <w:ind w:left="655" w:hanging="295"/>
            </w:pPr>
            <w:r w:rsidRPr="008A0F36">
              <w:t>la plusvalenza o la minusvalenza derivante dalla cessazione; 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B102C3">
            <w:pPr>
              <w:pStyle w:val="Puntoelenco"/>
              <w:tabs>
                <w:tab w:val="clear" w:pos="780"/>
              </w:tabs>
              <w:ind w:left="655" w:hanging="295"/>
            </w:pPr>
            <w:r w:rsidRPr="008A0F36">
              <w:t>l’utile o la perdita derivante dalle attività operative cessate del periodo, insieme agli importi corrispondenti per ciascun esercizio precedente presentato; 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l’ammontare degli effetti fiscali, ai fini delle imposte sul reddito, dei dividendi la cui distribuzione ai soci della società sia stata proposta o dichiarata prima dell’approvazione del bilancio, ma per i quali non sia stata rilevata una passività in bilancio</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shd w:val="clear" w:color="auto" w:fill="auto"/>
            <w:tcMar>
              <w:left w:w="108" w:type="dxa"/>
            </w:tcMar>
          </w:tcPr>
          <w:p w:rsidR="004300E2" w:rsidRPr="008A0F36" w:rsidRDefault="004300E2" w:rsidP="004300E2">
            <w:pPr>
              <w:pStyle w:val="IAS"/>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p>
          <w:p w:rsidR="004300E2" w:rsidRPr="008A0F36" w:rsidRDefault="004300E2" w:rsidP="004300E2">
            <w:pPr>
              <w:pStyle w:val="IAS"/>
              <w:rPr>
                <w:lang w:val="it-IT"/>
              </w:rPr>
            </w:pPr>
          </w:p>
          <w:p w:rsidR="004300E2" w:rsidRPr="008A0F36" w:rsidRDefault="004300E2" w:rsidP="004300E2">
            <w:pPr>
              <w:pStyle w:val="IAS"/>
              <w:rPr>
                <w:lang w:val="it-IT"/>
              </w:rPr>
            </w:pPr>
            <w:r w:rsidRPr="008A0F36">
              <w:rPr>
                <w:lang w:val="it-IT"/>
              </w:rPr>
              <w:br/>
              <w:t>IAS 12.68</w:t>
            </w:r>
          </w:p>
          <w:p w:rsidR="004300E2" w:rsidRPr="008A0F36" w:rsidRDefault="004300E2" w:rsidP="004300E2">
            <w:pPr>
              <w:pStyle w:val="IAS"/>
              <w:rPr>
                <w:lang w:val="it-IT"/>
              </w:rPr>
            </w:pPr>
          </w:p>
          <w:p w:rsidR="004300E2" w:rsidRPr="008A0F36" w:rsidRDefault="004300E2" w:rsidP="004300E2">
            <w:pPr>
              <w:pStyle w:val="IAS"/>
              <w:rPr>
                <w:lang w:val="it-IT"/>
              </w:rPr>
            </w:pPr>
          </w:p>
          <w:p w:rsidR="004300E2" w:rsidRPr="008A0F36" w:rsidRDefault="004300E2" w:rsidP="004300E2">
            <w:pPr>
              <w:pStyle w:val="IAS"/>
              <w:rPr>
                <w:lang w:val="it-IT"/>
              </w:rPr>
            </w:pPr>
          </w:p>
          <w:p w:rsidR="004300E2" w:rsidRPr="008A0F36" w:rsidRDefault="004300E2" w:rsidP="004300E2">
            <w:pPr>
              <w:pStyle w:val="IAS"/>
              <w:rPr>
                <w:lang w:val="it-IT"/>
              </w:rPr>
            </w:pPr>
          </w:p>
          <w:p w:rsidR="004300E2" w:rsidRPr="008A0F36" w:rsidRDefault="004300E2" w:rsidP="004300E2">
            <w:pPr>
              <w:pStyle w:val="IAS"/>
              <w:rPr>
                <w:lang w:val="it-IT"/>
              </w:rPr>
            </w:pPr>
          </w:p>
          <w:p w:rsidR="004300E2" w:rsidRPr="008A0F36" w:rsidRDefault="004300E2" w:rsidP="004300E2">
            <w:pPr>
              <w:pStyle w:val="IAS"/>
              <w:rPr>
                <w:lang w:val="it-IT"/>
              </w:rPr>
            </w:pPr>
          </w:p>
          <w:p w:rsidR="004300E2" w:rsidRPr="008A0F36" w:rsidRDefault="004300E2" w:rsidP="004300E2">
            <w:pPr>
              <w:pStyle w:val="IAS"/>
              <w:rPr>
                <w:lang w:val="it-IT"/>
              </w:rPr>
            </w:pPr>
            <w:r w:rsidRPr="008A0F36">
              <w:rPr>
                <w:lang w:val="it-IT"/>
              </w:rPr>
              <w:t>IAS 12.32A</w:t>
            </w:r>
          </w:p>
        </w:tc>
        <w:tc>
          <w:tcPr>
            <w:tcW w:w="7079" w:type="dxa"/>
            <w:shd w:val="clear" w:color="auto" w:fill="auto"/>
            <w:tcMar>
              <w:left w:w="108" w:type="dxa"/>
            </w:tcMar>
            <w:vAlign w:val="bottom"/>
          </w:tcPr>
          <w:p w:rsidR="004300E2" w:rsidRPr="008A0F36" w:rsidRDefault="004300E2" w:rsidP="004300E2">
            <w:pPr>
              <w:pStyle w:val="Commentiriquadro"/>
              <w:rPr>
                <w:lang w:val="it-IT"/>
              </w:rPr>
            </w:pPr>
            <w:r w:rsidRPr="008A0F36">
              <w:rPr>
                <w:lang w:val="it-IT"/>
              </w:rPr>
              <w:t xml:space="preserve">Se a seguito di un’aggregazione aziendale l’entità deve rilevare </w:t>
            </w:r>
            <w:r w:rsidR="00E022E0">
              <w:rPr>
                <w:lang w:val="it-IT"/>
              </w:rPr>
              <w:t>un’a</w:t>
            </w:r>
            <w:r w:rsidRPr="008A0F36">
              <w:rPr>
                <w:lang w:val="it-IT"/>
              </w:rPr>
              <w:t>ttività per imposte differite dopo la data di acquisizione, in quanto il criterio di realizzabilità delle stesse è verificato successivamente:</w:t>
            </w:r>
          </w:p>
          <w:p w:rsidR="004300E2" w:rsidRPr="008A0F36" w:rsidRDefault="004300E2" w:rsidP="004300E2">
            <w:pPr>
              <w:pStyle w:val="Commentiariquadro"/>
            </w:pPr>
            <w:r w:rsidRPr="008A0F36">
              <w:t>-</w:t>
            </w:r>
            <w:r w:rsidRPr="008A0F36">
              <w:tab/>
              <w:t xml:space="preserve">se il momento della rilevazione ricade nel periodo di </w:t>
            </w:r>
            <w:r>
              <w:t>valutazione</w:t>
            </w:r>
            <w:r w:rsidRPr="008A0F36">
              <w:t xml:space="preserve">, ed è dovuto a nuove informazioni riguardanti i fatti e le circostanze che esistevano alla data di acquisizione, le attività per imposte differite vanno rilevate con contropartita la riduzione dell’avviamento relativo all’acquisizione. Se il valore contabile dell’avviamento è pari a zero, le residue attività per imposte differite saranno rilevate con contropartita </w:t>
            </w:r>
            <w:r>
              <w:t>l’utile/(perdita) d’esercizio</w:t>
            </w:r>
            <w:r w:rsidRPr="008A0F36">
              <w:t xml:space="preserve">. </w:t>
            </w:r>
          </w:p>
          <w:p w:rsidR="004300E2" w:rsidRPr="008A0F36" w:rsidRDefault="004300E2" w:rsidP="004300E2">
            <w:pPr>
              <w:pStyle w:val="Commentiariquadro"/>
            </w:pPr>
            <w:r w:rsidRPr="008A0F36">
              <w:t>-</w:t>
            </w:r>
            <w:r w:rsidRPr="008A0F36">
              <w:tab/>
            </w:r>
            <w:r>
              <w:t>i</w:t>
            </w:r>
            <w:r w:rsidRPr="008A0F36">
              <w:t xml:space="preserve">n tutti gli altri casi le attività per imposte differite saranno rilevate </w:t>
            </w:r>
            <w:r>
              <w:t>nell’utile/(perdita) d’esercizio</w:t>
            </w:r>
            <w:r w:rsidRPr="008A0F36">
              <w:t>.</w:t>
            </w:r>
          </w:p>
          <w:p w:rsidR="004300E2" w:rsidRPr="008A0F36" w:rsidRDefault="004300E2" w:rsidP="004300E2">
            <w:pPr>
              <w:pStyle w:val="Commentiriquadro"/>
              <w:rPr>
                <w:lang w:val="it-IT"/>
              </w:rPr>
            </w:pPr>
            <w:r w:rsidRPr="008A0F36">
              <w:rPr>
                <w:lang w:val="it-IT"/>
              </w:rPr>
              <w:t xml:space="preserve">Se in </w:t>
            </w:r>
            <w:r w:rsidR="00E022E0">
              <w:rPr>
                <w:lang w:val="it-IT"/>
              </w:rPr>
              <w:t>un’a</w:t>
            </w:r>
            <w:r w:rsidRPr="008A0F36">
              <w:rPr>
                <w:lang w:val="it-IT"/>
              </w:rPr>
              <w:t xml:space="preserve">ggregazione aziendale si genera </w:t>
            </w:r>
            <w:r w:rsidR="00E022E0">
              <w:rPr>
                <w:lang w:val="it-IT"/>
              </w:rPr>
              <w:t>un’a</w:t>
            </w:r>
            <w:r w:rsidRPr="008A0F36">
              <w:rPr>
                <w:lang w:val="it-IT"/>
              </w:rPr>
              <w:t xml:space="preserve">ttività fiscale differita come conseguenza della rilevazione iniziale dell’avviamento (quando il valore contabile dell’avviamento è inferiore alla sua base imponibile), questa dovrebbe essere rilevata come componente della contabilizzazione dell’aggregazione aziendale nella misura in cui è probabile che saranno disponibili redditi imponibili rispetto a cui potranno essere utilizzate le differenze temporanee deducibili. </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r>
      <w:tr w:rsidR="004300E2" w:rsidRPr="008A0F36" w:rsidTr="00940A6F">
        <w:trPr>
          <w:cantSplit/>
        </w:trPr>
        <w:tc>
          <w:tcPr>
            <w:tcW w:w="567" w:type="dxa"/>
            <w:shd w:val="clear" w:color="auto" w:fill="auto"/>
            <w:tcMar>
              <w:left w:w="108" w:type="dxa"/>
            </w:tcMar>
          </w:tcPr>
          <w:p w:rsidR="004300E2" w:rsidRPr="008A0F36" w:rsidRDefault="004300E2" w:rsidP="004300E2">
            <w:pPr>
              <w:pStyle w:val="Numeroelenco"/>
              <w:ind w:left="0" w:firstLine="57"/>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p>
        </w:tc>
        <w:tc>
          <w:tcPr>
            <w:tcW w:w="7079" w:type="dxa"/>
            <w:shd w:val="clear" w:color="auto" w:fill="auto"/>
            <w:tcMar>
              <w:left w:w="108" w:type="dxa"/>
            </w:tcMar>
          </w:tcPr>
          <w:p w:rsidR="004300E2" w:rsidRPr="008A0F36" w:rsidRDefault="004300E2" w:rsidP="004300E2">
            <w:pPr>
              <w:rPr>
                <w:lang w:val="it-IT"/>
              </w:rPr>
            </w:pPr>
            <w:r w:rsidRPr="008A0F36">
              <w:rPr>
                <w:lang w:val="it-IT"/>
              </w:rPr>
              <w:t>L’entità ha indicato:</w:t>
            </w:r>
          </w:p>
        </w:tc>
        <w:tc>
          <w:tcPr>
            <w:tcW w:w="575" w:type="dxa"/>
            <w:shd w:val="clear" w:color="auto" w:fill="auto"/>
            <w:tcMar>
              <w:left w:w="85" w:type="dxa"/>
              <w:right w:w="85" w:type="dxa"/>
            </w:tcMar>
            <w:vAlign w:val="center"/>
          </w:tcPr>
          <w:p w:rsidR="004300E2" w:rsidRDefault="004300E2" w:rsidP="004300E2">
            <w:pPr>
              <w:jc w:val="center"/>
            </w:pPr>
          </w:p>
        </w:tc>
        <w:tc>
          <w:tcPr>
            <w:tcW w:w="567" w:type="dxa"/>
            <w:shd w:val="clear" w:color="auto" w:fill="auto"/>
            <w:tcMar>
              <w:left w:w="108" w:type="dxa"/>
            </w:tcMar>
            <w:vAlign w:val="center"/>
          </w:tcPr>
          <w:p w:rsidR="004300E2" w:rsidRDefault="004300E2" w:rsidP="004300E2">
            <w:pPr>
              <w:jc w:val="center"/>
            </w:pPr>
          </w:p>
        </w:tc>
        <w:tc>
          <w:tcPr>
            <w:tcW w:w="567" w:type="dxa"/>
            <w:shd w:val="clear" w:color="auto" w:fill="auto"/>
            <w:tcMar>
              <w:left w:w="108" w:type="dxa"/>
            </w:tcMar>
            <w:vAlign w:val="center"/>
          </w:tcPr>
          <w:p w:rsidR="004300E2" w:rsidRDefault="004300E2" w:rsidP="004300E2">
            <w:pPr>
              <w:jc w:val="center"/>
            </w:pP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r w:rsidRPr="008A0F36">
              <w:rPr>
                <w:lang w:val="it-IT"/>
              </w:rPr>
              <w:t xml:space="preserve">IAS </w:t>
            </w:r>
            <w:r w:rsidRPr="008A0F36">
              <w:rPr>
                <w:lang w:val="it-IT"/>
              </w:rPr>
              <w:br/>
              <w:t>12.81 (j)</w:t>
            </w:r>
          </w:p>
        </w:tc>
        <w:tc>
          <w:tcPr>
            <w:tcW w:w="7079" w:type="dxa"/>
            <w:shd w:val="clear" w:color="auto" w:fill="auto"/>
            <w:tcMar>
              <w:left w:w="108" w:type="dxa"/>
            </w:tcMar>
            <w:vAlign w:val="bottom"/>
          </w:tcPr>
          <w:p w:rsidR="004E201D" w:rsidRPr="008A0F36" w:rsidRDefault="004E201D" w:rsidP="004300E2">
            <w:pPr>
              <w:pStyle w:val="Rientroa"/>
              <w:numPr>
                <w:ilvl w:val="0"/>
                <w:numId w:val="102"/>
              </w:numPr>
            </w:pPr>
            <w:r w:rsidRPr="008A0F36">
              <w:t xml:space="preserve">se </w:t>
            </w:r>
            <w:r>
              <w:t>un’a</w:t>
            </w:r>
            <w:r w:rsidRPr="008A0F36">
              <w:t>ggregazione aziendale in cui l’entità è l’acquirente causa una variazione nell’importo rilevato per le imposte differite pre-acquisizione, l’importo di tale variazione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r w:rsidRPr="008A0F36">
              <w:rPr>
                <w:lang w:val="it-IT"/>
              </w:rPr>
              <w:t xml:space="preserve">IAS </w:t>
            </w:r>
            <w:r w:rsidRPr="008A0F36">
              <w:rPr>
                <w:lang w:val="it-IT"/>
              </w:rPr>
              <w:br/>
              <w:t>12.81 (k)</w:t>
            </w:r>
          </w:p>
        </w:tc>
        <w:tc>
          <w:tcPr>
            <w:tcW w:w="7079" w:type="dxa"/>
            <w:shd w:val="clear" w:color="auto" w:fill="auto"/>
            <w:tcMar>
              <w:left w:w="108" w:type="dxa"/>
            </w:tcMar>
            <w:vAlign w:val="bottom"/>
          </w:tcPr>
          <w:p w:rsidR="004E201D" w:rsidRPr="008A0F36" w:rsidRDefault="004E201D" w:rsidP="00FB4B6E">
            <w:pPr>
              <w:pStyle w:val="Rientroa"/>
              <w:numPr>
                <w:ilvl w:val="0"/>
                <w:numId w:val="72"/>
              </w:numPr>
            </w:pPr>
            <w:r w:rsidRPr="008A0F36">
              <w:t xml:space="preserve">se le imposte differite attive acquisite nell’aggregazione aziendale non sono rilevate alla data di acquisizione ma sono rilevate dopo la data di acquisizione una descrizione dell’evento o cambiamento nelle circostanze che hanno causato la rilevazione delle imposte differite attive. </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Numeroelenco"/>
              <w:ind w:left="0" w:firstLine="57"/>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r w:rsidRPr="008A0F36">
              <w:rPr>
                <w:lang w:val="it-IT"/>
              </w:rPr>
              <w:t>IAS 12.87</w:t>
            </w:r>
          </w:p>
        </w:tc>
        <w:tc>
          <w:tcPr>
            <w:tcW w:w="7079" w:type="dxa"/>
            <w:shd w:val="clear" w:color="auto" w:fill="auto"/>
            <w:tcMar>
              <w:left w:w="108" w:type="dxa"/>
            </w:tcMar>
          </w:tcPr>
          <w:p w:rsidR="004E201D" w:rsidRPr="00BF03D1" w:rsidRDefault="004E201D" w:rsidP="00B102C3">
            <w:pPr>
              <w:rPr>
                <w:lang w:val="it-IT"/>
              </w:rPr>
            </w:pPr>
            <w:r w:rsidRPr="00BF03D1">
              <w:rPr>
                <w:lang w:val="it-IT"/>
              </w:rPr>
              <w:t xml:space="preserve">Lo IAS 12.87, considerando il fatto che potrebbe non essere fattibile calcolare l’ammontare delle passività fiscali differite non rilevate derivanti da investimenti in società controllate, filiali e società collegate, e da partecipazioni in </w:t>
            </w:r>
            <w:r w:rsidRPr="000F56BA">
              <w:rPr>
                <w:i/>
                <w:lang w:val="it-IT"/>
              </w:rPr>
              <w:t>joint venture</w:t>
            </w:r>
            <w:r w:rsidRPr="00BF03D1">
              <w:rPr>
                <w:lang w:val="it-IT"/>
              </w:rPr>
              <w:t xml:space="preserve"> (si veda IAS 12.39), richiede che sia fornito come minimo l’ammontare complessivo delle differenze temporanee sottostanti.</w:t>
            </w:r>
          </w:p>
          <w:p w:rsidR="004E201D" w:rsidRPr="008A0F36" w:rsidRDefault="004E201D" w:rsidP="004300E2">
            <w:pPr>
              <w:rPr>
                <w:lang w:val="it-IT"/>
              </w:rPr>
            </w:pPr>
            <w:r w:rsidRPr="00BF03D1">
              <w:rPr>
                <w:lang w:val="it-IT"/>
              </w:rPr>
              <w:t>L’indicazione degli importi delle passività fiscali differite non contabilizzate, se fattibile, è comunque incoraggiata.</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shd w:val="clear" w:color="auto" w:fill="auto"/>
            <w:tcMar>
              <w:left w:w="108" w:type="dxa"/>
            </w:tcMar>
          </w:tcPr>
          <w:p w:rsidR="004300E2" w:rsidRPr="008A0F36" w:rsidRDefault="004300E2" w:rsidP="004300E2">
            <w:pPr>
              <w:pStyle w:val="Numeroelenco"/>
              <w:ind w:left="0" w:firstLine="57"/>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r w:rsidRPr="008A0F36">
              <w:rPr>
                <w:lang w:val="it-IT"/>
              </w:rPr>
              <w:t>IAS 12.82</w:t>
            </w:r>
          </w:p>
        </w:tc>
        <w:tc>
          <w:tcPr>
            <w:tcW w:w="7079" w:type="dxa"/>
            <w:shd w:val="clear" w:color="auto" w:fill="auto"/>
            <w:tcMar>
              <w:left w:w="108" w:type="dxa"/>
            </w:tcMar>
          </w:tcPr>
          <w:p w:rsidR="004300E2" w:rsidRPr="008A0F36" w:rsidRDefault="004300E2" w:rsidP="004300E2">
            <w:pPr>
              <w:rPr>
                <w:lang w:val="it-IT"/>
              </w:rPr>
            </w:pPr>
            <w:r w:rsidRPr="008A0F36">
              <w:rPr>
                <w:lang w:val="it-IT"/>
              </w:rPr>
              <w:t>Quando (1) l’utilizzazione dell’attività fiscale differita dipende da redditi imponibili futuri eccedenti i profitti derivanti dall’annullamento delle differenze temporanee imponibili esistenti e (2) l’entità ha subito una perdita nell’esercizio corrente o in quello precedente nell’ordinamento fiscale al quale si riferisce l’attività fiscale differita, l’entità indica:</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4300E2">
            <w:pPr>
              <w:pStyle w:val="Rientroa"/>
              <w:numPr>
                <w:ilvl w:val="0"/>
                <w:numId w:val="103"/>
              </w:numPr>
            </w:pPr>
            <w:r w:rsidRPr="008A0F36">
              <w:t>l’importo di un’attività fiscale differita 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la natura degli elementi che ne giustificano la sua rilevazione.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A0F36" w:rsidTr="00940A6F">
        <w:trPr>
          <w:cantSplit/>
          <w:trHeight w:val="331"/>
        </w:trPr>
        <w:tc>
          <w:tcPr>
            <w:tcW w:w="567" w:type="dxa"/>
            <w:shd w:val="clear" w:color="auto" w:fill="auto"/>
            <w:tcMar>
              <w:left w:w="108" w:type="dxa"/>
            </w:tcMar>
          </w:tcPr>
          <w:p w:rsidR="004300E2" w:rsidRPr="008A0F36" w:rsidRDefault="004300E2" w:rsidP="004300E2">
            <w:pPr>
              <w:pStyle w:val="Numeroelenco"/>
              <w:ind w:left="0" w:firstLine="57"/>
              <w:rPr>
                <w:lang w:val="it-IT"/>
              </w:rPr>
            </w:pPr>
          </w:p>
        </w:tc>
        <w:tc>
          <w:tcPr>
            <w:tcW w:w="851" w:type="dxa"/>
            <w:shd w:val="clear" w:color="auto" w:fill="auto"/>
            <w:tcMar>
              <w:right w:w="0" w:type="dxa"/>
            </w:tcMar>
          </w:tcPr>
          <w:p w:rsidR="004300E2" w:rsidRPr="008A0F36" w:rsidRDefault="004300E2" w:rsidP="004300E2">
            <w:pPr>
              <w:pStyle w:val="IAS"/>
              <w:rPr>
                <w:lang w:val="it-IT"/>
              </w:rPr>
            </w:pPr>
            <w:r w:rsidRPr="008A0F36">
              <w:rPr>
                <w:lang w:val="it-IT"/>
              </w:rPr>
              <w:t>IAS 12.82A</w:t>
            </w:r>
          </w:p>
        </w:tc>
        <w:tc>
          <w:tcPr>
            <w:tcW w:w="7079" w:type="dxa"/>
            <w:shd w:val="clear" w:color="auto" w:fill="auto"/>
          </w:tcPr>
          <w:p w:rsidR="004300E2" w:rsidRPr="008A0F36" w:rsidRDefault="004300E2" w:rsidP="008129DA">
            <w:pPr>
              <w:spacing w:line="214" w:lineRule="exact"/>
              <w:rPr>
                <w:lang w:val="it-IT"/>
              </w:rPr>
            </w:pPr>
            <w:r w:rsidRPr="008A0F36">
              <w:rPr>
                <w:lang w:val="it-IT"/>
              </w:rPr>
              <w:t>In alcuni ordinamenti, le imposte sul reddito sono dovute in base a una maggiore o minore aliquota se l’utile netto o gli utili portati a nuovo sono, in parte o del tutto, distribuiti ai soci dell’entità. In altri ordinamenti, le imposte sul reddito possono essere dovute o chieste a rimborso se l’utile netto o gli utili portati a nuovo sono, in parte o del tutto, distribuiti ai soci dell’entità. In tali casi, l’entità ha indicato:</w:t>
            </w:r>
          </w:p>
        </w:tc>
        <w:tc>
          <w:tcPr>
            <w:tcW w:w="575" w:type="dxa"/>
            <w:shd w:val="clear" w:color="auto" w:fill="auto"/>
            <w:tcMar>
              <w:left w:w="85" w:type="dxa"/>
              <w:right w:w="85" w:type="dxa"/>
            </w:tcMar>
            <w:vAlign w:val="center"/>
          </w:tcPr>
          <w:p w:rsidR="004300E2" w:rsidRDefault="004300E2" w:rsidP="004300E2">
            <w:pPr>
              <w:jc w:val="center"/>
            </w:pPr>
          </w:p>
        </w:tc>
        <w:tc>
          <w:tcPr>
            <w:tcW w:w="567" w:type="dxa"/>
            <w:shd w:val="clear" w:color="auto" w:fill="auto"/>
            <w:vAlign w:val="center"/>
          </w:tcPr>
          <w:p w:rsidR="004300E2" w:rsidRDefault="004300E2" w:rsidP="004300E2">
            <w:pPr>
              <w:jc w:val="center"/>
            </w:pPr>
          </w:p>
        </w:tc>
        <w:tc>
          <w:tcPr>
            <w:tcW w:w="567" w:type="dxa"/>
            <w:shd w:val="clear" w:color="auto" w:fill="auto"/>
            <w:vAlign w:val="center"/>
          </w:tcPr>
          <w:p w:rsidR="004300E2" w:rsidRDefault="004300E2" w:rsidP="004300E2">
            <w:pPr>
              <w:jc w:val="center"/>
            </w:pP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r w:rsidRPr="008A0F36">
              <w:rPr>
                <w:lang w:val="it-IT"/>
              </w:rPr>
              <w:t>IAS 12.87A</w:t>
            </w:r>
          </w:p>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8129DA">
            <w:pPr>
              <w:pStyle w:val="Rientroa"/>
              <w:numPr>
                <w:ilvl w:val="0"/>
                <w:numId w:val="104"/>
              </w:numPr>
              <w:spacing w:line="214" w:lineRule="exact"/>
            </w:pPr>
            <w:r w:rsidRPr="008A0F36">
              <w:t>la natura dei potenziali effetti fiscali, in termini di imposte sul reddito, che potrebbero scaturire dal pagamento dei dividendi ai soci, incluse le caratteristiche rilevanti del sistema fiscale per quanto concerne le imposte sul reddito, e i fattori che influiranno sull’ammontare dei potenziali effetti fiscali, dei dividendi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8129DA">
            <w:pPr>
              <w:pStyle w:val="Rientroa"/>
              <w:numPr>
                <w:ilvl w:val="0"/>
                <w:numId w:val="72"/>
              </w:numPr>
              <w:spacing w:line="214" w:lineRule="exact"/>
            </w:pPr>
            <w:r w:rsidRPr="008A0F36">
              <w:t>l’ammontare totale dei potenziali effetti fiscali, in termini di imposte sul reddito, se concretamente determinabile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8129DA">
            <w:pPr>
              <w:pStyle w:val="Rientroa"/>
              <w:numPr>
                <w:ilvl w:val="0"/>
                <w:numId w:val="72"/>
              </w:numPr>
              <w:spacing w:line="214" w:lineRule="exact"/>
            </w:pPr>
            <w:r w:rsidRPr="008A0F36">
              <w:t>qualunque altro potenziale effetto fiscale, in termini di imposte sul reddito, ancorché concretamente determinabile.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A0F36" w:rsidTr="00940A6F">
        <w:trPr>
          <w:cantSplit/>
        </w:trPr>
        <w:tc>
          <w:tcPr>
            <w:tcW w:w="567" w:type="dxa"/>
            <w:shd w:val="clear" w:color="auto" w:fill="auto"/>
            <w:tcMar>
              <w:left w:w="108" w:type="dxa"/>
            </w:tcMar>
          </w:tcPr>
          <w:p w:rsidR="004300E2" w:rsidRPr="008A0F36" w:rsidRDefault="004300E2" w:rsidP="004300E2">
            <w:pPr>
              <w:pStyle w:val="Numeroelenco"/>
              <w:ind w:left="0" w:firstLine="57"/>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r w:rsidRPr="008A0F36">
              <w:rPr>
                <w:lang w:val="it-IT"/>
              </w:rPr>
              <w:t>IAS 12.87B</w:t>
            </w:r>
          </w:p>
        </w:tc>
        <w:tc>
          <w:tcPr>
            <w:tcW w:w="7079" w:type="dxa"/>
            <w:shd w:val="clear" w:color="auto" w:fill="auto"/>
            <w:tcMar>
              <w:left w:w="108" w:type="dxa"/>
            </w:tcMar>
          </w:tcPr>
          <w:p w:rsidR="004300E2" w:rsidRPr="008A0F36" w:rsidRDefault="004300E2" w:rsidP="008129DA">
            <w:pPr>
              <w:spacing w:line="214" w:lineRule="exact"/>
              <w:rPr>
                <w:lang w:val="it-IT"/>
              </w:rPr>
            </w:pPr>
            <w:r w:rsidRPr="008A0F36">
              <w:rPr>
                <w:lang w:val="it-IT"/>
              </w:rPr>
              <w:t>In alcuni casi, l’ammontare totale dei potenziali effetti fiscali, in termini di imposte sul reddito, derivanti dalla distribuzione dei dividendi ai soci, non è concretamente quantificabile. Ciononostante, anche in tali casi, alcune parti dell’ammontare totale possono essere facilmente determinabili. Per esempio:</w:t>
            </w:r>
          </w:p>
        </w:tc>
        <w:tc>
          <w:tcPr>
            <w:tcW w:w="575" w:type="dxa"/>
            <w:shd w:val="clear" w:color="auto" w:fill="auto"/>
            <w:tcMar>
              <w:left w:w="85" w:type="dxa"/>
              <w:right w:w="85" w:type="dxa"/>
            </w:tcMar>
            <w:vAlign w:val="center"/>
          </w:tcPr>
          <w:p w:rsidR="004300E2" w:rsidRDefault="004300E2" w:rsidP="004300E2">
            <w:pPr>
              <w:jc w:val="center"/>
            </w:pPr>
          </w:p>
        </w:tc>
        <w:tc>
          <w:tcPr>
            <w:tcW w:w="567" w:type="dxa"/>
            <w:shd w:val="clear" w:color="auto" w:fill="auto"/>
            <w:tcMar>
              <w:left w:w="108" w:type="dxa"/>
            </w:tcMar>
            <w:vAlign w:val="center"/>
          </w:tcPr>
          <w:p w:rsidR="004300E2" w:rsidRDefault="004300E2" w:rsidP="004300E2">
            <w:pPr>
              <w:jc w:val="center"/>
            </w:pPr>
          </w:p>
        </w:tc>
        <w:tc>
          <w:tcPr>
            <w:tcW w:w="567" w:type="dxa"/>
            <w:shd w:val="clear" w:color="auto" w:fill="auto"/>
            <w:tcMar>
              <w:left w:w="108" w:type="dxa"/>
            </w:tcMar>
            <w:vAlign w:val="center"/>
          </w:tcPr>
          <w:p w:rsidR="004300E2" w:rsidRDefault="004300E2" w:rsidP="004300E2">
            <w:pPr>
              <w:jc w:val="center"/>
            </w:pP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8129DA">
            <w:pPr>
              <w:pStyle w:val="Rientroa"/>
              <w:numPr>
                <w:ilvl w:val="0"/>
                <w:numId w:val="105"/>
              </w:numPr>
              <w:spacing w:line="214" w:lineRule="exact"/>
            </w:pPr>
            <w:r w:rsidRPr="008A0F36">
              <w:t>se in un gruppo consolidato, una controllante e alcune sue controllate (1) hanno pagato imposte sul reddito ad un’aliquota fiscale più elevata, sugli utili non distribuiti ed (2) sono a conoscenza dell’ammontare che verrebbe rimborsato al momento della distribuzione ai soci dei dividendi futuri da utili consolidati portati a nuovo, l’entità ha indicato l’ammontare rimborsabile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8129DA">
            <w:pPr>
              <w:pStyle w:val="Rientroa"/>
              <w:numPr>
                <w:ilvl w:val="0"/>
                <w:numId w:val="72"/>
              </w:numPr>
              <w:spacing w:line="214" w:lineRule="exact"/>
            </w:pPr>
            <w:r w:rsidRPr="008A0F36">
              <w:t>se applicabile, l’entità deve anche dare informazioni in merito all’esistenza di potenziali effetti fiscali addizionali, in termini di imposte sul reddito, non concretamente determinabili, 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8129DA">
            <w:pPr>
              <w:pStyle w:val="Rientroa"/>
              <w:numPr>
                <w:ilvl w:val="0"/>
                <w:numId w:val="72"/>
              </w:numPr>
              <w:spacing w:line="214" w:lineRule="exact"/>
            </w:pPr>
            <w:r w:rsidRPr="008A0F36">
              <w:t>nel bilancio separato della controllante, se esistente, l’informazione dei potenziali effetti fiscali dei dividendi, in termini di imposte sul reddito, è relativa agli utili non distribuiti della controllante.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Numeroelenco"/>
              <w:ind w:left="0" w:firstLine="57"/>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r w:rsidRPr="008A0F36">
              <w:rPr>
                <w:lang w:val="it-IT"/>
              </w:rPr>
              <w:t>IAS 12.88</w:t>
            </w:r>
          </w:p>
          <w:p w:rsidR="004E201D" w:rsidRPr="008A0F36" w:rsidRDefault="004E201D" w:rsidP="004300E2">
            <w:pPr>
              <w:pStyle w:val="IAS"/>
              <w:rPr>
                <w:lang w:val="it-IT"/>
              </w:rPr>
            </w:pPr>
            <w:r w:rsidRPr="008A0F36">
              <w:rPr>
                <w:lang w:val="it-IT"/>
              </w:rPr>
              <w:t xml:space="preserve"> IAS 37.86</w:t>
            </w:r>
          </w:p>
        </w:tc>
        <w:tc>
          <w:tcPr>
            <w:tcW w:w="7079" w:type="dxa"/>
            <w:shd w:val="clear" w:color="auto" w:fill="auto"/>
            <w:tcMar>
              <w:left w:w="108" w:type="dxa"/>
            </w:tcMar>
          </w:tcPr>
          <w:p w:rsidR="004E201D" w:rsidRPr="008A0F36" w:rsidRDefault="004E201D" w:rsidP="004300E2">
            <w:pPr>
              <w:rPr>
                <w:lang w:val="it-IT"/>
              </w:rPr>
            </w:pPr>
            <w:r w:rsidRPr="008A0F36">
              <w:rPr>
                <w:lang w:val="it-IT"/>
              </w:rPr>
              <w:t>L’entità ha indicato eventuali passività e attività potenziali connesse ad aspetti fiscali secondo quanto previsto dallo IAS 37</w:t>
            </w:r>
            <w:r w:rsidRPr="008A0F36">
              <w:rPr>
                <w:i/>
                <w:lang w:val="it-IT"/>
              </w:rPr>
              <w:t>.</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401"/>
        </w:trPr>
        <w:tc>
          <w:tcPr>
            <w:tcW w:w="567" w:type="dxa"/>
            <w:shd w:val="clear" w:color="auto" w:fill="auto"/>
            <w:tcMar>
              <w:left w:w="108" w:type="dxa"/>
            </w:tcMar>
          </w:tcPr>
          <w:p w:rsidR="004300E2" w:rsidRPr="008A0F36" w:rsidRDefault="004300E2" w:rsidP="004300E2">
            <w:pPr>
              <w:pStyle w:val="IAS"/>
              <w:rPr>
                <w:lang w:val="it-IT"/>
              </w:rPr>
            </w:pPr>
          </w:p>
        </w:tc>
        <w:tc>
          <w:tcPr>
            <w:tcW w:w="851" w:type="dxa"/>
            <w:shd w:val="clear" w:color="auto" w:fill="auto"/>
            <w:tcMar>
              <w:right w:w="0" w:type="dxa"/>
            </w:tcMar>
          </w:tcPr>
          <w:p w:rsidR="004300E2" w:rsidRPr="008A0F36" w:rsidRDefault="004300E2" w:rsidP="004300E2">
            <w:pPr>
              <w:pStyle w:val="IAS"/>
              <w:rPr>
                <w:lang w:val="it-IT"/>
              </w:rPr>
            </w:pPr>
            <w:r w:rsidRPr="008A0F36">
              <w:rPr>
                <w:lang w:val="it-IT"/>
              </w:rPr>
              <w:t>IAS 12.88</w:t>
            </w:r>
          </w:p>
          <w:p w:rsidR="004300E2" w:rsidRPr="008A0F36" w:rsidRDefault="004300E2" w:rsidP="004300E2">
            <w:pPr>
              <w:pStyle w:val="IAS"/>
              <w:rPr>
                <w:lang w:val="it-IT"/>
              </w:rPr>
            </w:pPr>
            <w:r w:rsidRPr="008A0F36">
              <w:rPr>
                <w:lang w:val="it-IT"/>
              </w:rPr>
              <w:t>IAS 10.22</w:t>
            </w:r>
          </w:p>
          <w:p w:rsidR="004300E2" w:rsidRPr="008A0F36" w:rsidRDefault="004300E2" w:rsidP="004300E2">
            <w:pPr>
              <w:pStyle w:val="IAS"/>
              <w:rPr>
                <w:lang w:val="it-IT"/>
              </w:rPr>
            </w:pPr>
          </w:p>
        </w:tc>
        <w:tc>
          <w:tcPr>
            <w:tcW w:w="7079" w:type="dxa"/>
            <w:shd w:val="clear" w:color="auto" w:fill="auto"/>
          </w:tcPr>
          <w:p w:rsidR="004300E2" w:rsidRPr="008A0F36" w:rsidRDefault="004300E2" w:rsidP="0002186C">
            <w:pPr>
              <w:pStyle w:val="Paragarfobordato"/>
            </w:pPr>
            <w:r w:rsidRPr="008A0F36">
              <w:t>Passività e attività potenziali possono emergere, per esempio, da un contenzioso non risolto con le autorità fiscali. Analogamente, quando entrano in vigore o sono annunciate modifiche delle aliquote fiscali o della normativa fiscale dopo chiusura dell’esercizio, l’entità deve indicare gli effetti significativi di quelle variazioni sulle sue attività e passività fiscali correnti e differite.</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4300E2" w:rsidRPr="008A0F36" w:rsidTr="00940A6F">
        <w:trPr>
          <w:cantSplit/>
        </w:trPr>
        <w:tc>
          <w:tcPr>
            <w:tcW w:w="567" w:type="dxa"/>
            <w:shd w:val="clear" w:color="auto" w:fill="auto"/>
            <w:tcMar>
              <w:left w:w="108" w:type="dxa"/>
            </w:tcMar>
            <w:vAlign w:val="center"/>
          </w:tcPr>
          <w:p w:rsidR="004300E2" w:rsidRPr="008A0F36" w:rsidRDefault="004300E2" w:rsidP="004300E2">
            <w:pPr>
              <w:pStyle w:val="IAS"/>
              <w:jc w:val="left"/>
              <w:rPr>
                <w:lang w:val="it-IT"/>
              </w:rPr>
            </w:pPr>
          </w:p>
        </w:tc>
        <w:tc>
          <w:tcPr>
            <w:tcW w:w="851" w:type="dxa"/>
            <w:shd w:val="clear" w:color="auto" w:fill="auto"/>
            <w:tcMar>
              <w:left w:w="108" w:type="dxa"/>
              <w:right w:w="0" w:type="dxa"/>
            </w:tcMar>
            <w:vAlign w:val="center"/>
          </w:tcPr>
          <w:p w:rsidR="004300E2" w:rsidRPr="008A0F36" w:rsidRDefault="004300E2" w:rsidP="004300E2">
            <w:pPr>
              <w:pStyle w:val="IAS"/>
              <w:jc w:val="left"/>
              <w:rPr>
                <w:lang w:val="it-IT"/>
              </w:rPr>
            </w:pPr>
          </w:p>
        </w:tc>
        <w:tc>
          <w:tcPr>
            <w:tcW w:w="7079" w:type="dxa"/>
            <w:shd w:val="clear" w:color="auto" w:fill="auto"/>
            <w:tcMar>
              <w:left w:w="108" w:type="dxa"/>
            </w:tcMar>
            <w:vAlign w:val="center"/>
          </w:tcPr>
          <w:p w:rsidR="004300E2" w:rsidRPr="008A0F36" w:rsidRDefault="004300E2" w:rsidP="004300E2">
            <w:pPr>
              <w:pStyle w:val="Titolo1"/>
            </w:pPr>
            <w:r w:rsidRPr="008A0F36">
              <w:t>ATTIVITà IMMATERIALI</w:t>
            </w:r>
          </w:p>
        </w:tc>
        <w:tc>
          <w:tcPr>
            <w:tcW w:w="575" w:type="dxa"/>
            <w:shd w:val="clear" w:color="auto" w:fill="auto"/>
            <w:tcMar>
              <w:left w:w="85" w:type="dxa"/>
              <w:right w:w="85" w:type="dxa"/>
            </w:tcMar>
            <w:vAlign w:val="center"/>
          </w:tcPr>
          <w:p w:rsidR="004300E2" w:rsidRDefault="004300E2" w:rsidP="004300E2">
            <w:pPr>
              <w:jc w:val="left"/>
            </w:pPr>
          </w:p>
        </w:tc>
        <w:tc>
          <w:tcPr>
            <w:tcW w:w="567" w:type="dxa"/>
            <w:shd w:val="clear" w:color="auto" w:fill="auto"/>
            <w:tcMar>
              <w:left w:w="108" w:type="dxa"/>
            </w:tcMar>
            <w:vAlign w:val="center"/>
          </w:tcPr>
          <w:p w:rsidR="004300E2" w:rsidRDefault="004300E2" w:rsidP="004300E2">
            <w:pPr>
              <w:jc w:val="left"/>
            </w:pPr>
          </w:p>
        </w:tc>
        <w:tc>
          <w:tcPr>
            <w:tcW w:w="567" w:type="dxa"/>
            <w:shd w:val="clear" w:color="auto" w:fill="auto"/>
            <w:tcMar>
              <w:left w:w="108" w:type="dxa"/>
            </w:tcMar>
            <w:vAlign w:val="center"/>
          </w:tcPr>
          <w:p w:rsidR="004300E2" w:rsidRDefault="004300E2" w:rsidP="004300E2">
            <w:pPr>
              <w:jc w:val="left"/>
            </w:pPr>
          </w:p>
        </w:tc>
      </w:tr>
      <w:tr w:rsidR="004300E2" w:rsidRPr="00A44ECD" w:rsidTr="00940A6F">
        <w:trPr>
          <w:cantSplit/>
        </w:trPr>
        <w:tc>
          <w:tcPr>
            <w:tcW w:w="567" w:type="dxa"/>
            <w:shd w:val="clear" w:color="auto" w:fill="auto"/>
            <w:tcMar>
              <w:left w:w="108" w:type="dxa"/>
            </w:tcMar>
          </w:tcPr>
          <w:p w:rsidR="004300E2" w:rsidRPr="008A0F36" w:rsidRDefault="004300E2" w:rsidP="004300E2">
            <w:pPr>
              <w:pStyle w:val="Numeroelenco"/>
              <w:ind w:left="0" w:firstLine="57"/>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r w:rsidRPr="008A0F36">
              <w:rPr>
                <w:lang w:val="it-IT"/>
              </w:rPr>
              <w:t>IAS 38.118</w:t>
            </w:r>
          </w:p>
        </w:tc>
        <w:tc>
          <w:tcPr>
            <w:tcW w:w="7079" w:type="dxa"/>
            <w:shd w:val="clear" w:color="auto" w:fill="auto"/>
            <w:tcMar>
              <w:left w:w="108" w:type="dxa"/>
            </w:tcMar>
          </w:tcPr>
          <w:p w:rsidR="004300E2" w:rsidRPr="008A0F36" w:rsidRDefault="004300E2" w:rsidP="004300E2">
            <w:pPr>
              <w:rPr>
                <w:lang w:val="it-IT"/>
              </w:rPr>
            </w:pPr>
            <w:r w:rsidRPr="008A0F36">
              <w:rPr>
                <w:lang w:val="it-IT"/>
              </w:rPr>
              <w:t xml:space="preserve">Per ogni classe di attività immateriale, distinguendo quelle generate internamente dalle altre attività immateriali, sono state fornite le seguenti informazioni: </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4300E2">
            <w:pPr>
              <w:pStyle w:val="Rientroa"/>
              <w:numPr>
                <w:ilvl w:val="0"/>
                <w:numId w:val="106"/>
              </w:numPr>
            </w:pPr>
            <w:r w:rsidRPr="008A0F36">
              <w:t>se sono a vita utile definita o indefinita e, se definita, la vita utile o il tasso di ammortamento utilizzato</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il periodo di ammortamento e il metodo di ammortamento utilizzato per le attività immateriali a vita utile definita</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il valore contabile lordo e l’ammortamento accumulato (insieme alle perdite per riduzione di valore accumulate):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A0F36"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4300E2">
            <w:pPr>
              <w:pStyle w:val="Rientroisottoa"/>
            </w:pPr>
            <w:r w:rsidRPr="008A0F36">
              <w:t>i)</w:t>
            </w:r>
            <w:r w:rsidRPr="008A0F36">
              <w:tab/>
              <w:t>all’inizio dell’esercizio; 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A0F36"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4300E2">
            <w:pPr>
              <w:pStyle w:val="Rientroisottoa"/>
            </w:pPr>
            <w:r w:rsidRPr="008A0F36">
              <w:t>ii)</w:t>
            </w:r>
            <w:r w:rsidRPr="008A0F36">
              <w:tab/>
              <w:t>alla fine dell’esercizio.</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 xml:space="preserve">la voce (voci) </w:t>
            </w:r>
            <w:r>
              <w:t xml:space="preserve">del prospetto (dei prospetti) dell’utile/(perdita) d’esercizio e delle altre componenti di conto economico </w:t>
            </w:r>
            <w:r w:rsidRPr="008A0F36">
              <w:t>complessivo in cui è incluso l’ammortamento delle attività immateriali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una riconciliazione del valore contabile all’inizio e alla fine dell’esercizio che mostri: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4300E2">
            <w:pPr>
              <w:pStyle w:val="Rientroisottoa"/>
            </w:pPr>
            <w:r w:rsidRPr="008A0F36">
              <w:t>i)</w:t>
            </w:r>
            <w:r w:rsidRPr="008A0F36">
              <w:tab/>
              <w:t>gli incrementi, indicando separatamente quelli derivanti dallo sviluppo interno, quelli acquisiti separatamente e quelli acquisiti tramite aggregazioni aziendali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r w:rsidRPr="008A0F36">
              <w:rPr>
                <w:lang w:val="it-IT"/>
              </w:rPr>
              <w:t>IFRS 5.6</w:t>
            </w:r>
          </w:p>
        </w:tc>
        <w:tc>
          <w:tcPr>
            <w:tcW w:w="7079" w:type="dxa"/>
            <w:shd w:val="clear" w:color="auto" w:fill="auto"/>
            <w:tcMar>
              <w:left w:w="108" w:type="dxa"/>
            </w:tcMar>
          </w:tcPr>
          <w:p w:rsidR="004E201D" w:rsidRPr="008A0F36" w:rsidRDefault="004E201D" w:rsidP="004300E2">
            <w:pPr>
              <w:pStyle w:val="Rientroisottoa"/>
            </w:pPr>
            <w:r w:rsidRPr="008A0F36">
              <w:t>ii)</w:t>
            </w:r>
            <w:r w:rsidRPr="008A0F36">
              <w:tab/>
              <w:t>le attività classificate come possedute per la vendita o incluse in un gruppo da dismettere classificato come posseduto per la vendita in conformità all’IFRS 5 e altre dismissioni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r w:rsidRPr="008A0F36">
              <w:rPr>
                <w:lang w:val="it-IT"/>
              </w:rPr>
              <w:t>IAS 36.126 IAS 38.75</w:t>
            </w:r>
          </w:p>
          <w:p w:rsidR="004E201D" w:rsidRPr="008A0F36" w:rsidRDefault="004E201D" w:rsidP="004300E2">
            <w:pPr>
              <w:pStyle w:val="IAS"/>
              <w:rPr>
                <w:lang w:val="it-IT"/>
              </w:rPr>
            </w:pPr>
            <w:r w:rsidRPr="008A0F36">
              <w:rPr>
                <w:lang w:val="it-IT"/>
              </w:rPr>
              <w:t xml:space="preserve">IAS 38.85 </w:t>
            </w:r>
          </w:p>
          <w:p w:rsidR="004E201D" w:rsidRPr="008A0F36" w:rsidRDefault="004E201D" w:rsidP="004300E2">
            <w:pPr>
              <w:pStyle w:val="IAS"/>
              <w:rPr>
                <w:lang w:val="it-IT"/>
              </w:rPr>
            </w:pPr>
            <w:r w:rsidRPr="008A0F36">
              <w:rPr>
                <w:lang w:val="it-IT"/>
              </w:rPr>
              <w:t>IAS 38.86</w:t>
            </w:r>
          </w:p>
        </w:tc>
        <w:tc>
          <w:tcPr>
            <w:tcW w:w="7079" w:type="dxa"/>
            <w:shd w:val="clear" w:color="auto" w:fill="auto"/>
            <w:tcMar>
              <w:left w:w="108" w:type="dxa"/>
            </w:tcMar>
          </w:tcPr>
          <w:p w:rsidR="004E201D" w:rsidRPr="008A0F36" w:rsidRDefault="004E201D" w:rsidP="004300E2">
            <w:pPr>
              <w:pStyle w:val="Rientroisottoa"/>
            </w:pPr>
            <w:r w:rsidRPr="008A0F36">
              <w:t>iii)</w:t>
            </w:r>
            <w:r w:rsidRPr="008A0F36">
              <w:tab/>
              <w:t xml:space="preserve">gli aumenti o le diminuzioni avvenute nel corso dell’esercizio dovute a rivalutazioni in base allo IAS 38.75, IAS 38.85 e IAS 38.86 e (qualora esistano) alle perdite per riduzione di valore rilevate o eliminate contabilmente </w:t>
            </w:r>
            <w:r>
              <w:t xml:space="preserve">tra le </w:t>
            </w:r>
            <w:r w:rsidRPr="008A0F36">
              <w:t xml:space="preserve">altre componenti </w:t>
            </w:r>
            <w:r>
              <w:t xml:space="preserve">di </w:t>
            </w:r>
            <w:r w:rsidRPr="008A0F36">
              <w:t>conto economico complessivo secondo le disposizioni dello IAS 36</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r w:rsidRPr="008A0F36">
              <w:rPr>
                <w:lang w:val="it-IT"/>
              </w:rPr>
              <w:t>IAS 36.126</w:t>
            </w:r>
          </w:p>
        </w:tc>
        <w:tc>
          <w:tcPr>
            <w:tcW w:w="7079" w:type="dxa"/>
            <w:shd w:val="clear" w:color="auto" w:fill="auto"/>
            <w:tcMar>
              <w:left w:w="108" w:type="dxa"/>
            </w:tcMar>
          </w:tcPr>
          <w:p w:rsidR="004E201D" w:rsidRPr="008A0F36" w:rsidRDefault="004E201D" w:rsidP="004300E2">
            <w:pPr>
              <w:pStyle w:val="Rientroisottoa"/>
            </w:pPr>
            <w:r w:rsidRPr="008A0F36">
              <w:t>iv)</w:t>
            </w:r>
            <w:r w:rsidRPr="008A0F36">
              <w:tab/>
              <w:t xml:space="preserve">le perdite per riduzione di valore (qualora esistano) rilevate </w:t>
            </w:r>
            <w:r>
              <w:t>nell’utile/(perdita) d’esercizio</w:t>
            </w:r>
            <w:r w:rsidRPr="008A0F36">
              <w:t xml:space="preserve"> secondo le disposizioni dello IAS 36</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r w:rsidRPr="008A0F36">
              <w:rPr>
                <w:lang w:val="it-IT"/>
              </w:rPr>
              <w:t>IAS 36.126</w:t>
            </w:r>
          </w:p>
        </w:tc>
        <w:tc>
          <w:tcPr>
            <w:tcW w:w="7079" w:type="dxa"/>
            <w:shd w:val="clear" w:color="auto" w:fill="auto"/>
            <w:tcMar>
              <w:left w:w="108" w:type="dxa"/>
            </w:tcMar>
          </w:tcPr>
          <w:p w:rsidR="004E201D" w:rsidRPr="008A0F36" w:rsidRDefault="004E201D" w:rsidP="004300E2">
            <w:pPr>
              <w:pStyle w:val="Rientroisottoa"/>
            </w:pPr>
            <w:r w:rsidRPr="008A0F36">
              <w:t>v)</w:t>
            </w:r>
            <w:r w:rsidRPr="008A0F36">
              <w:tab/>
            </w:r>
            <w:r>
              <w:t xml:space="preserve">il ripristino delle </w:t>
            </w:r>
            <w:r w:rsidRPr="008A0F36">
              <w:t xml:space="preserve">perdite per riduzione di valore (qualora esistano) </w:t>
            </w:r>
            <w:r>
              <w:t>rilevate nell’utile/(perdita) d’esercizio</w:t>
            </w:r>
            <w:r w:rsidRPr="008A0F36">
              <w:t xml:space="preserve"> secondo le disposizioni dello IAS 36</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4300E2">
            <w:pPr>
              <w:pStyle w:val="Rientroisottoa"/>
            </w:pPr>
            <w:r w:rsidRPr="008A0F36">
              <w:t>vi)</w:t>
            </w:r>
            <w:r w:rsidRPr="008A0F36">
              <w:tab/>
              <w:t>l’ammortamento rilevato nel corso dell’esercizio</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4300E2">
            <w:pPr>
              <w:pStyle w:val="Rientroisottoa"/>
            </w:pPr>
            <w:r w:rsidRPr="008A0F36">
              <w:t>vii)</w:t>
            </w:r>
            <w:r w:rsidRPr="008A0F36">
              <w:tab/>
              <w:t>le differenze nette di cambio derivanti dalla conversione del bilancio nella moneta di presentazione, e dalla traduzione di una gestione estera nella moneta di presentazione del bilancio dell’entità; 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4300E2">
            <w:pPr>
              <w:pStyle w:val="Rientroisottoa"/>
            </w:pPr>
            <w:r w:rsidRPr="008A0F36">
              <w:t>viii)</w:t>
            </w:r>
            <w:r w:rsidRPr="008A0F36">
              <w:tab/>
              <w:t>le altre variazioni di valore contabile avvenute nel corso dell’esercizio.</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shd w:val="clear" w:color="auto" w:fill="auto"/>
            <w:tcMar>
              <w:left w:w="108" w:type="dxa"/>
            </w:tcMar>
          </w:tcPr>
          <w:p w:rsidR="004300E2" w:rsidRPr="008A0F36" w:rsidRDefault="004300E2" w:rsidP="004300E2">
            <w:pPr>
              <w:pStyle w:val="Numeroelenco"/>
              <w:ind w:left="0" w:firstLine="57"/>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r w:rsidRPr="008A0F36">
              <w:rPr>
                <w:lang w:val="it-IT"/>
              </w:rPr>
              <w:t>IAS 38.122</w:t>
            </w:r>
          </w:p>
        </w:tc>
        <w:tc>
          <w:tcPr>
            <w:tcW w:w="7079" w:type="dxa"/>
            <w:tcBorders>
              <w:bottom w:val="single" w:sz="2" w:space="0" w:color="auto"/>
            </w:tcBorders>
            <w:shd w:val="clear" w:color="auto" w:fill="auto"/>
            <w:tcMar>
              <w:left w:w="108" w:type="dxa"/>
            </w:tcMar>
          </w:tcPr>
          <w:p w:rsidR="004300E2" w:rsidRPr="008A0F36" w:rsidRDefault="004300E2" w:rsidP="004300E2">
            <w:pPr>
              <w:rPr>
                <w:lang w:val="it-IT"/>
              </w:rPr>
            </w:pPr>
            <w:r w:rsidRPr="008A0F36">
              <w:rPr>
                <w:lang w:val="it-IT"/>
              </w:rPr>
              <w:t>Il bilancio contiene le seguenti informazioni:</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4300E2">
            <w:pPr>
              <w:pStyle w:val="Rientroa"/>
              <w:numPr>
                <w:ilvl w:val="0"/>
                <w:numId w:val="231"/>
              </w:numPr>
            </w:pPr>
            <w:r w:rsidRPr="008A0F36">
              <w:t>per un’attività immateriale per cui si presume una vita utile indefinita, il valore contabile di tale attività e le ragioni che supportano tale presunzione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nel fornire queste motivazioni, l’entità deve descrivere i fattori che hanno svolto un ruolo significativo nel determinare, come indefinita, la vita utile dell’attività</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per ciascuna singola attività immateriale che risulta rilevante per il bilancio dell’entità:</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A0F36"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4300E2">
            <w:pPr>
              <w:pStyle w:val="Puntoelenco"/>
              <w:tabs>
                <w:tab w:val="clear" w:pos="780"/>
                <w:tab w:val="num" w:pos="601"/>
              </w:tabs>
              <w:ind w:left="601" w:hanging="241"/>
            </w:pPr>
            <w:r w:rsidRPr="008A0F36">
              <w:t>una descrizione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A0F36"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4300E2">
            <w:pPr>
              <w:pStyle w:val="Puntoelenco"/>
              <w:tabs>
                <w:tab w:val="clear" w:pos="780"/>
                <w:tab w:val="num" w:pos="601"/>
              </w:tabs>
              <w:ind w:left="601" w:hanging="241"/>
            </w:pPr>
            <w:r w:rsidRPr="008A0F36">
              <w:t>il valore contabile; 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4300E2">
            <w:pPr>
              <w:pStyle w:val="Puntoelenco"/>
              <w:tabs>
                <w:tab w:val="clear" w:pos="780"/>
                <w:tab w:val="num" w:pos="601"/>
              </w:tabs>
              <w:ind w:left="601" w:hanging="241"/>
            </w:pPr>
            <w:r w:rsidRPr="008A0F36">
              <w:t>il periodo di ammortamento residuo.</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r>
              <w:rPr>
                <w:lang w:val="it-IT"/>
              </w:rPr>
              <w:t>IAS 38.44</w:t>
            </w: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 xml:space="preserve">per le attività immateriali acquisite attraverso contributi pubblici e inizialmente contabilizzate al </w:t>
            </w:r>
            <w:r w:rsidRPr="008A0F36">
              <w:rPr>
                <w:i/>
              </w:rPr>
              <w:t>fair value</w:t>
            </w:r>
            <w:r w:rsidRPr="008A0F36">
              <w:t>:</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4300E2">
            <w:pPr>
              <w:pStyle w:val="Puntoelenco"/>
              <w:tabs>
                <w:tab w:val="clear" w:pos="780"/>
                <w:tab w:val="num" w:pos="600"/>
              </w:tabs>
              <w:ind w:left="600" w:hanging="240"/>
            </w:pPr>
            <w:r w:rsidRPr="008A0F36">
              <w:t xml:space="preserve">il </w:t>
            </w:r>
            <w:r w:rsidRPr="008A0F36">
              <w:rPr>
                <w:i/>
              </w:rPr>
              <w:t>fair value</w:t>
            </w:r>
            <w:r w:rsidRPr="008A0F36">
              <w:t xml:space="preserve"> inizialmente rilevato per queste attività</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A0F36" w:rsidTr="00940A6F">
        <w:trPr>
          <w:cantSplit/>
          <w:trHeight w:val="55"/>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4300E2">
            <w:pPr>
              <w:pStyle w:val="Puntoelenco"/>
              <w:tabs>
                <w:tab w:val="clear" w:pos="780"/>
                <w:tab w:val="num" w:pos="600"/>
              </w:tabs>
              <w:ind w:left="600" w:hanging="240"/>
            </w:pPr>
            <w:r w:rsidRPr="008A0F36">
              <w:t>il valore contabile; 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4300E2">
            <w:pPr>
              <w:pStyle w:val="Puntoelenco"/>
              <w:tabs>
                <w:tab w:val="clear" w:pos="780"/>
                <w:tab w:val="num" w:pos="600"/>
              </w:tabs>
              <w:ind w:left="600" w:hanging="240"/>
            </w:pPr>
            <w:r w:rsidRPr="008A0F36">
              <w:t>se sono valutate dopo la rilevazione iniziale secondo il modello del costo o il modello della rideterminazione del valore.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 xml:space="preserve">l’esistenza e il valore contabile di attività immateriali di cui il titolo di proprietà è limitato e il valore contabile delle attività immateriali vincolate come garanzia di passività; e </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l’ammontare degli accordi contrattuali per l’acquisizione di attività immateriali.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A0F36" w:rsidTr="00940A6F">
        <w:trPr>
          <w:cantSplit/>
        </w:trPr>
        <w:tc>
          <w:tcPr>
            <w:tcW w:w="567" w:type="dxa"/>
            <w:shd w:val="clear" w:color="auto" w:fill="auto"/>
            <w:tcMar>
              <w:left w:w="108" w:type="dxa"/>
            </w:tcMar>
          </w:tcPr>
          <w:p w:rsidR="004300E2" w:rsidRPr="008A0F36" w:rsidRDefault="004300E2" w:rsidP="004300E2">
            <w:pPr>
              <w:pStyle w:val="IAS"/>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p>
        </w:tc>
        <w:tc>
          <w:tcPr>
            <w:tcW w:w="7079" w:type="dxa"/>
            <w:shd w:val="clear" w:color="auto" w:fill="auto"/>
            <w:tcMar>
              <w:left w:w="108" w:type="dxa"/>
            </w:tcMar>
          </w:tcPr>
          <w:p w:rsidR="004300E2" w:rsidRPr="008A0F36" w:rsidRDefault="004300E2" w:rsidP="004300E2">
            <w:pPr>
              <w:pStyle w:val="Titolo2"/>
              <w:keepNext w:val="0"/>
              <w:rPr>
                <w:lang w:val="it-IT"/>
              </w:rPr>
            </w:pPr>
            <w:r w:rsidRPr="008A0F36">
              <w:rPr>
                <w:lang w:val="it-IT"/>
              </w:rPr>
              <w:t>Attività immateriali rivalutate</w:t>
            </w:r>
          </w:p>
        </w:tc>
        <w:tc>
          <w:tcPr>
            <w:tcW w:w="575" w:type="dxa"/>
            <w:shd w:val="clear" w:color="auto" w:fill="auto"/>
            <w:tcMar>
              <w:left w:w="85" w:type="dxa"/>
              <w:right w:w="85" w:type="dxa"/>
            </w:tcMar>
            <w:vAlign w:val="center"/>
          </w:tcPr>
          <w:p w:rsidR="004300E2" w:rsidRDefault="004300E2" w:rsidP="004300E2">
            <w:pPr>
              <w:jc w:val="center"/>
            </w:pPr>
          </w:p>
        </w:tc>
        <w:tc>
          <w:tcPr>
            <w:tcW w:w="567" w:type="dxa"/>
            <w:shd w:val="clear" w:color="auto" w:fill="auto"/>
            <w:tcMar>
              <w:left w:w="108" w:type="dxa"/>
            </w:tcMar>
            <w:vAlign w:val="center"/>
          </w:tcPr>
          <w:p w:rsidR="004300E2" w:rsidRDefault="004300E2" w:rsidP="004300E2">
            <w:pPr>
              <w:jc w:val="center"/>
            </w:pPr>
          </w:p>
        </w:tc>
        <w:tc>
          <w:tcPr>
            <w:tcW w:w="567" w:type="dxa"/>
            <w:shd w:val="clear" w:color="auto" w:fill="auto"/>
            <w:tcMar>
              <w:left w:w="108" w:type="dxa"/>
            </w:tcMar>
            <w:vAlign w:val="center"/>
          </w:tcPr>
          <w:p w:rsidR="004300E2" w:rsidRDefault="004300E2" w:rsidP="004300E2">
            <w:pPr>
              <w:jc w:val="center"/>
            </w:pPr>
          </w:p>
        </w:tc>
      </w:tr>
      <w:tr w:rsidR="004300E2" w:rsidRPr="00A44ECD" w:rsidTr="00940A6F">
        <w:trPr>
          <w:cantSplit/>
        </w:trPr>
        <w:tc>
          <w:tcPr>
            <w:tcW w:w="567" w:type="dxa"/>
            <w:shd w:val="clear" w:color="auto" w:fill="auto"/>
            <w:tcMar>
              <w:left w:w="108" w:type="dxa"/>
            </w:tcMar>
          </w:tcPr>
          <w:p w:rsidR="004300E2" w:rsidRPr="008A0F36" w:rsidRDefault="004300E2" w:rsidP="004300E2">
            <w:pPr>
              <w:pStyle w:val="Numeroelenco"/>
              <w:ind w:left="0" w:firstLine="57"/>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r w:rsidRPr="008A0F36">
              <w:rPr>
                <w:lang w:val="it-IT"/>
              </w:rPr>
              <w:t>IAS 38.124</w:t>
            </w:r>
          </w:p>
        </w:tc>
        <w:tc>
          <w:tcPr>
            <w:tcW w:w="7079" w:type="dxa"/>
            <w:shd w:val="clear" w:color="auto" w:fill="auto"/>
            <w:tcMar>
              <w:left w:w="108" w:type="dxa"/>
            </w:tcMar>
          </w:tcPr>
          <w:p w:rsidR="004300E2" w:rsidRPr="008A0F36" w:rsidRDefault="004300E2" w:rsidP="004300E2">
            <w:pPr>
              <w:rPr>
                <w:lang w:val="it-IT"/>
              </w:rPr>
            </w:pPr>
            <w:r w:rsidRPr="008A0F36">
              <w:rPr>
                <w:lang w:val="it-IT"/>
              </w:rPr>
              <w:t>Se le attività immateriali sono iscritte a valori rideterminati, l’entità ha evidenziato le seguenti informazioni:</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Default="004E201D" w:rsidP="004300E2">
            <w:pPr>
              <w:pStyle w:val="Rientroa"/>
              <w:numPr>
                <w:ilvl w:val="0"/>
                <w:numId w:val="107"/>
              </w:numPr>
              <w:tabs>
                <w:tab w:val="center" w:pos="4536"/>
                <w:tab w:val="right" w:pos="9072"/>
              </w:tabs>
              <w:rPr>
                <w:iCs/>
              </w:rPr>
            </w:pPr>
            <w:r w:rsidRPr="008A0F36">
              <w:t>per classe di attività immateriali: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4300E2">
            <w:pPr>
              <w:pStyle w:val="Puntoelenco"/>
              <w:tabs>
                <w:tab w:val="clear" w:pos="780"/>
              </w:tabs>
              <w:ind w:left="741" w:hanging="283"/>
            </w:pPr>
            <w:r w:rsidRPr="008A0F36">
              <w:t>la data effettiva della rideterminazione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4300E2">
            <w:pPr>
              <w:pStyle w:val="Puntoelenco"/>
              <w:tabs>
                <w:tab w:val="clear" w:pos="780"/>
              </w:tabs>
              <w:ind w:left="741" w:hanging="283"/>
            </w:pPr>
            <w:r w:rsidRPr="008A0F36">
              <w:t>il valore contabile delle attività immateriali rideterminate; 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r w:rsidRPr="008A0F36">
              <w:rPr>
                <w:lang w:val="it-IT"/>
              </w:rPr>
              <w:t>IAS 38.74</w:t>
            </w:r>
          </w:p>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4300E2">
            <w:pPr>
              <w:pStyle w:val="Puntoelenco"/>
              <w:tabs>
                <w:tab w:val="clear" w:pos="780"/>
              </w:tabs>
              <w:ind w:left="741" w:hanging="283"/>
            </w:pPr>
            <w:r w:rsidRPr="008A0F36">
              <w:t>il valore contabile che sarebbe stato rilevato nel bilancio se le attività immateriali rideterminate fossero state iscritte usando il modello del costo, paragrafo IAS 38.74</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l’importo della riserva di rivalutazione (surplus) che fa riferimento alle attività immateriali all’inizio e alla fine dell’esercizio, indicando i cambiamenti avvenuti nel corso dell’esercizio e qualsiasi limitazione relativa alla distribuzione ai soci; 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Del="0068195B" w:rsidTr="00940A6F">
        <w:trPr>
          <w:cantSplit/>
        </w:trPr>
        <w:tc>
          <w:tcPr>
            <w:tcW w:w="567" w:type="dxa"/>
            <w:shd w:val="clear" w:color="auto" w:fill="auto"/>
            <w:tcMar>
              <w:left w:w="108" w:type="dxa"/>
            </w:tcMar>
          </w:tcPr>
          <w:p w:rsidR="004E201D" w:rsidRPr="008A0F36" w:rsidDel="0068195B" w:rsidRDefault="004E201D" w:rsidP="004300E2">
            <w:pPr>
              <w:pStyle w:val="IAS"/>
              <w:rPr>
                <w:lang w:val="it-IT"/>
              </w:rPr>
            </w:pPr>
          </w:p>
        </w:tc>
        <w:tc>
          <w:tcPr>
            <w:tcW w:w="851" w:type="dxa"/>
            <w:shd w:val="clear" w:color="auto" w:fill="auto"/>
            <w:tcMar>
              <w:left w:w="108" w:type="dxa"/>
              <w:right w:w="0" w:type="dxa"/>
            </w:tcMar>
          </w:tcPr>
          <w:p w:rsidR="004E201D" w:rsidRPr="008A0F36" w:rsidDel="0068195B" w:rsidRDefault="004E201D" w:rsidP="004300E2">
            <w:pPr>
              <w:pStyle w:val="IAS"/>
              <w:rPr>
                <w:lang w:val="it-IT"/>
              </w:rPr>
            </w:pPr>
            <w:r>
              <w:rPr>
                <w:lang w:val="it-IT"/>
              </w:rPr>
              <w:t>IFRS 13.5-7</w:t>
            </w:r>
          </w:p>
        </w:tc>
        <w:tc>
          <w:tcPr>
            <w:tcW w:w="7079" w:type="dxa"/>
            <w:shd w:val="clear" w:color="auto" w:fill="auto"/>
            <w:tcMar>
              <w:left w:w="108" w:type="dxa"/>
            </w:tcMar>
          </w:tcPr>
          <w:p w:rsidR="004E201D" w:rsidRPr="008A0F36" w:rsidDel="0068195B" w:rsidRDefault="004E201D" w:rsidP="00FB4B6E">
            <w:pPr>
              <w:pStyle w:val="Rientroa"/>
              <w:numPr>
                <w:ilvl w:val="0"/>
                <w:numId w:val="72"/>
              </w:numPr>
            </w:pPr>
            <w:r>
              <w:t xml:space="preserve">le informazioni sulla valutazione del </w:t>
            </w:r>
            <w:r w:rsidRPr="00AB2C1C">
              <w:rPr>
                <w:i/>
              </w:rPr>
              <w:t>fair value</w:t>
            </w:r>
            <w:r>
              <w:t xml:space="preserve"> richieste dall’IFRS 13 </w:t>
            </w:r>
            <w:r w:rsidRPr="00AA561A">
              <w:t>(</w:t>
            </w:r>
            <w:r w:rsidRPr="000D06E7">
              <w:t>vedi punti 22</w:t>
            </w:r>
            <w:r>
              <w:t>3</w:t>
            </w:r>
            <w:r w:rsidRPr="000D06E7">
              <w:t xml:space="preserve"> – </w:t>
            </w:r>
            <w:r>
              <w:t>231</w:t>
            </w:r>
            <w:r w:rsidRPr="00AA561A">
              <w:t>)</w:t>
            </w:r>
            <w:r>
              <w:t>.</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A0F36" w:rsidTr="00940A6F">
        <w:trPr>
          <w:cantSplit/>
        </w:trPr>
        <w:tc>
          <w:tcPr>
            <w:tcW w:w="567" w:type="dxa"/>
            <w:shd w:val="clear" w:color="auto" w:fill="auto"/>
            <w:tcMar>
              <w:left w:w="108" w:type="dxa"/>
            </w:tcMar>
          </w:tcPr>
          <w:p w:rsidR="004300E2" w:rsidRPr="008A0F36" w:rsidRDefault="004300E2" w:rsidP="004300E2">
            <w:pPr>
              <w:pStyle w:val="IAS"/>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p>
        </w:tc>
        <w:tc>
          <w:tcPr>
            <w:tcW w:w="7079" w:type="dxa"/>
            <w:shd w:val="clear" w:color="auto" w:fill="auto"/>
            <w:tcMar>
              <w:left w:w="108" w:type="dxa"/>
            </w:tcMar>
          </w:tcPr>
          <w:p w:rsidR="004300E2" w:rsidRPr="008A0F36" w:rsidRDefault="004300E2" w:rsidP="004300E2">
            <w:pPr>
              <w:pStyle w:val="Titolo2"/>
              <w:rPr>
                <w:lang w:val="it-IT"/>
              </w:rPr>
            </w:pPr>
            <w:r w:rsidRPr="008A0F36">
              <w:rPr>
                <w:lang w:val="it-IT"/>
              </w:rPr>
              <w:t>Ricerca e sviluppo</w:t>
            </w:r>
          </w:p>
        </w:tc>
        <w:tc>
          <w:tcPr>
            <w:tcW w:w="575" w:type="dxa"/>
            <w:shd w:val="clear" w:color="auto" w:fill="auto"/>
            <w:tcMar>
              <w:left w:w="85" w:type="dxa"/>
              <w:right w:w="85" w:type="dxa"/>
            </w:tcMar>
            <w:vAlign w:val="center"/>
          </w:tcPr>
          <w:p w:rsidR="004300E2" w:rsidRDefault="004300E2" w:rsidP="004300E2">
            <w:pPr>
              <w:jc w:val="center"/>
            </w:pPr>
          </w:p>
        </w:tc>
        <w:tc>
          <w:tcPr>
            <w:tcW w:w="567" w:type="dxa"/>
            <w:shd w:val="clear" w:color="auto" w:fill="auto"/>
            <w:tcMar>
              <w:left w:w="108" w:type="dxa"/>
            </w:tcMar>
            <w:vAlign w:val="center"/>
          </w:tcPr>
          <w:p w:rsidR="004300E2" w:rsidRDefault="004300E2" w:rsidP="004300E2">
            <w:pPr>
              <w:jc w:val="center"/>
            </w:pPr>
          </w:p>
        </w:tc>
        <w:tc>
          <w:tcPr>
            <w:tcW w:w="567" w:type="dxa"/>
            <w:shd w:val="clear" w:color="auto" w:fill="auto"/>
            <w:tcMar>
              <w:left w:w="108" w:type="dxa"/>
            </w:tcMar>
            <w:vAlign w:val="center"/>
          </w:tcPr>
          <w:p w:rsidR="004300E2" w:rsidRDefault="004300E2" w:rsidP="004300E2">
            <w:pPr>
              <w:jc w:val="center"/>
            </w:pP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Numeroelenco"/>
              <w:ind w:left="0" w:firstLine="57"/>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r w:rsidRPr="008A0F36">
              <w:rPr>
                <w:lang w:val="it-IT"/>
              </w:rPr>
              <w:t>IAS 38.126</w:t>
            </w:r>
          </w:p>
        </w:tc>
        <w:tc>
          <w:tcPr>
            <w:tcW w:w="7079" w:type="dxa"/>
            <w:shd w:val="clear" w:color="auto" w:fill="auto"/>
            <w:tcMar>
              <w:left w:w="108" w:type="dxa"/>
            </w:tcMar>
          </w:tcPr>
          <w:p w:rsidR="004E201D" w:rsidRPr="008A0F36" w:rsidRDefault="004E201D" w:rsidP="004300E2">
            <w:pPr>
              <w:rPr>
                <w:lang w:val="it-IT"/>
              </w:rPr>
            </w:pPr>
            <w:r w:rsidRPr="008A0F36">
              <w:rPr>
                <w:lang w:val="it-IT"/>
              </w:rPr>
              <w:t xml:space="preserve">L’entità ha evidenziato gli importi complessivi delle spese di ricerca e sviluppo </w:t>
            </w:r>
            <w:r>
              <w:rPr>
                <w:lang w:val="it-IT"/>
              </w:rPr>
              <w:t>rilevate nell’utile/(perdita) d</w:t>
            </w:r>
            <w:r w:rsidRPr="008A0F36">
              <w:rPr>
                <w:lang w:val="it-IT"/>
              </w:rPr>
              <w:t>’esercizio</w:t>
            </w:r>
            <w:r>
              <w:rPr>
                <w:lang w:val="it-IT"/>
              </w:rPr>
              <w:t>.</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A0F36" w:rsidTr="00940A6F">
        <w:trPr>
          <w:cantSplit/>
        </w:trPr>
        <w:tc>
          <w:tcPr>
            <w:tcW w:w="567" w:type="dxa"/>
            <w:shd w:val="clear" w:color="auto" w:fill="auto"/>
            <w:tcMar>
              <w:left w:w="108" w:type="dxa"/>
            </w:tcMar>
          </w:tcPr>
          <w:p w:rsidR="004300E2" w:rsidRPr="008A0F36" w:rsidRDefault="004300E2" w:rsidP="008129DA">
            <w:pPr>
              <w:pStyle w:val="IAS"/>
              <w:rPr>
                <w:lang w:val="it-IT"/>
              </w:rPr>
            </w:pPr>
          </w:p>
        </w:tc>
        <w:tc>
          <w:tcPr>
            <w:tcW w:w="851" w:type="dxa"/>
            <w:shd w:val="clear" w:color="auto" w:fill="auto"/>
            <w:tcMar>
              <w:left w:w="108" w:type="dxa"/>
              <w:right w:w="0" w:type="dxa"/>
            </w:tcMar>
          </w:tcPr>
          <w:p w:rsidR="004300E2" w:rsidRPr="008A0F36" w:rsidRDefault="004300E2" w:rsidP="008129DA">
            <w:pPr>
              <w:pStyle w:val="IAS"/>
              <w:rPr>
                <w:lang w:val="it-IT"/>
              </w:rPr>
            </w:pPr>
          </w:p>
        </w:tc>
        <w:tc>
          <w:tcPr>
            <w:tcW w:w="7079" w:type="dxa"/>
            <w:shd w:val="clear" w:color="auto" w:fill="auto"/>
            <w:tcMar>
              <w:left w:w="108" w:type="dxa"/>
            </w:tcMar>
          </w:tcPr>
          <w:p w:rsidR="004300E2" w:rsidRPr="008A0F36" w:rsidRDefault="004300E2" w:rsidP="008129DA">
            <w:pPr>
              <w:pStyle w:val="Titolo2"/>
              <w:keepNext w:val="0"/>
              <w:rPr>
                <w:lang w:val="it-IT"/>
              </w:rPr>
            </w:pPr>
            <w:r w:rsidRPr="008A0F36">
              <w:rPr>
                <w:lang w:val="it-IT"/>
              </w:rPr>
              <w:t>Altre informazioni</w:t>
            </w:r>
          </w:p>
        </w:tc>
        <w:tc>
          <w:tcPr>
            <w:tcW w:w="575" w:type="dxa"/>
            <w:shd w:val="clear" w:color="auto" w:fill="auto"/>
            <w:tcMar>
              <w:left w:w="85" w:type="dxa"/>
              <w:right w:w="85" w:type="dxa"/>
            </w:tcMar>
            <w:vAlign w:val="center"/>
          </w:tcPr>
          <w:p w:rsidR="004300E2" w:rsidRDefault="004300E2" w:rsidP="008129DA">
            <w:pPr>
              <w:jc w:val="center"/>
            </w:pPr>
          </w:p>
        </w:tc>
        <w:tc>
          <w:tcPr>
            <w:tcW w:w="567" w:type="dxa"/>
            <w:shd w:val="clear" w:color="auto" w:fill="auto"/>
            <w:tcMar>
              <w:left w:w="108" w:type="dxa"/>
            </w:tcMar>
            <w:vAlign w:val="center"/>
          </w:tcPr>
          <w:p w:rsidR="004300E2" w:rsidRDefault="004300E2" w:rsidP="008129DA">
            <w:pPr>
              <w:jc w:val="center"/>
            </w:pPr>
          </w:p>
        </w:tc>
        <w:tc>
          <w:tcPr>
            <w:tcW w:w="567" w:type="dxa"/>
            <w:shd w:val="clear" w:color="auto" w:fill="auto"/>
            <w:tcMar>
              <w:left w:w="108" w:type="dxa"/>
            </w:tcMar>
            <w:vAlign w:val="center"/>
          </w:tcPr>
          <w:p w:rsidR="004300E2" w:rsidRDefault="004300E2" w:rsidP="008129DA">
            <w:pPr>
              <w:jc w:val="center"/>
            </w:pPr>
          </w:p>
        </w:tc>
      </w:tr>
      <w:tr w:rsidR="004300E2" w:rsidRPr="00A44ECD" w:rsidTr="00940A6F">
        <w:trPr>
          <w:cantSplit/>
        </w:trPr>
        <w:tc>
          <w:tcPr>
            <w:tcW w:w="567" w:type="dxa"/>
            <w:shd w:val="clear" w:color="auto" w:fill="auto"/>
            <w:tcMar>
              <w:left w:w="108" w:type="dxa"/>
            </w:tcMar>
          </w:tcPr>
          <w:p w:rsidR="004300E2" w:rsidRPr="008A0F36" w:rsidRDefault="004300E2" w:rsidP="004300E2">
            <w:pPr>
              <w:pStyle w:val="Numeroelenco"/>
              <w:ind w:left="0" w:firstLine="57"/>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r w:rsidRPr="008A0F36">
              <w:rPr>
                <w:lang w:val="it-IT"/>
              </w:rPr>
              <w:t>IAS 38.128</w:t>
            </w:r>
          </w:p>
        </w:tc>
        <w:tc>
          <w:tcPr>
            <w:tcW w:w="7079" w:type="dxa"/>
            <w:shd w:val="clear" w:color="auto" w:fill="auto"/>
            <w:tcMar>
              <w:left w:w="108" w:type="dxa"/>
            </w:tcMar>
          </w:tcPr>
          <w:p w:rsidR="004300E2" w:rsidRPr="00BF03D1" w:rsidRDefault="004300E2" w:rsidP="004300E2">
            <w:pPr>
              <w:rPr>
                <w:lang w:val="it-IT"/>
              </w:rPr>
            </w:pPr>
            <w:r w:rsidRPr="00BF03D1">
              <w:rPr>
                <w:lang w:val="it-IT"/>
              </w:rPr>
              <w:t>L’entità è incoraggiata a dare le seguenti informazioni:</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BF03D1" w:rsidRDefault="004E201D" w:rsidP="004300E2">
            <w:pPr>
              <w:pStyle w:val="Rientroa"/>
              <w:numPr>
                <w:ilvl w:val="0"/>
                <w:numId w:val="108"/>
              </w:numPr>
              <w:tabs>
                <w:tab w:val="center" w:pos="4536"/>
                <w:tab w:val="right" w:pos="9072"/>
              </w:tabs>
            </w:pPr>
            <w:r w:rsidRPr="00BF03D1">
              <w:t>una descrizione di tutte le attività immateriali totalmente ammortizzate che sono ancora in uso; 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BF03D1" w:rsidRDefault="004E201D" w:rsidP="00FB4B6E">
            <w:pPr>
              <w:pStyle w:val="Rientroa"/>
              <w:numPr>
                <w:ilvl w:val="0"/>
                <w:numId w:val="72"/>
              </w:numPr>
            </w:pPr>
            <w:r w:rsidRPr="00BF03D1">
              <w:t>una breve descrizione delle attività immateriali significative controllate dall’entità ma non rilevate come attività poiché non soddisfano le condizioni per la rilevazione previste dello IAS 38 poiché acquistate o generate prima che la versione dello IAS 38 emessa nel 1998 divenisse effettiva.</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A0F36" w:rsidTr="00940A6F">
        <w:trPr>
          <w:cantSplit/>
        </w:trPr>
        <w:tc>
          <w:tcPr>
            <w:tcW w:w="567" w:type="dxa"/>
            <w:shd w:val="clear" w:color="auto" w:fill="auto"/>
            <w:tcMar>
              <w:left w:w="108" w:type="dxa"/>
            </w:tcMar>
          </w:tcPr>
          <w:p w:rsidR="004300E2" w:rsidRPr="008A0F36" w:rsidRDefault="004300E2" w:rsidP="004300E2">
            <w:pPr>
              <w:pStyle w:val="IAS"/>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p>
        </w:tc>
        <w:tc>
          <w:tcPr>
            <w:tcW w:w="7079" w:type="dxa"/>
            <w:shd w:val="clear" w:color="auto" w:fill="auto"/>
            <w:tcMar>
              <w:left w:w="108" w:type="dxa"/>
            </w:tcMar>
          </w:tcPr>
          <w:p w:rsidR="004300E2" w:rsidRPr="008A0F36" w:rsidRDefault="004300E2" w:rsidP="004300E2">
            <w:pPr>
              <w:pStyle w:val="Titolo2"/>
              <w:rPr>
                <w:lang w:val="it-IT"/>
              </w:rPr>
            </w:pPr>
            <w:r w:rsidRPr="008A0F36">
              <w:rPr>
                <w:lang w:val="it-IT"/>
              </w:rPr>
              <w:t>Avviamento</w:t>
            </w:r>
          </w:p>
        </w:tc>
        <w:tc>
          <w:tcPr>
            <w:tcW w:w="575" w:type="dxa"/>
            <w:shd w:val="clear" w:color="auto" w:fill="auto"/>
            <w:tcMar>
              <w:left w:w="85" w:type="dxa"/>
              <w:right w:w="85" w:type="dxa"/>
            </w:tcMar>
            <w:vAlign w:val="center"/>
          </w:tcPr>
          <w:p w:rsidR="004300E2" w:rsidRDefault="004300E2" w:rsidP="004300E2">
            <w:pPr>
              <w:jc w:val="center"/>
            </w:pPr>
          </w:p>
        </w:tc>
        <w:tc>
          <w:tcPr>
            <w:tcW w:w="567" w:type="dxa"/>
            <w:shd w:val="clear" w:color="auto" w:fill="auto"/>
            <w:tcMar>
              <w:left w:w="108" w:type="dxa"/>
            </w:tcMar>
            <w:vAlign w:val="center"/>
          </w:tcPr>
          <w:p w:rsidR="004300E2" w:rsidRDefault="004300E2" w:rsidP="004300E2">
            <w:pPr>
              <w:jc w:val="center"/>
            </w:pPr>
          </w:p>
        </w:tc>
        <w:tc>
          <w:tcPr>
            <w:tcW w:w="567" w:type="dxa"/>
            <w:shd w:val="clear" w:color="auto" w:fill="auto"/>
            <w:tcMar>
              <w:left w:w="108" w:type="dxa"/>
            </w:tcMar>
            <w:vAlign w:val="center"/>
          </w:tcPr>
          <w:p w:rsidR="004300E2" w:rsidRDefault="004300E2" w:rsidP="004300E2">
            <w:pPr>
              <w:jc w:val="center"/>
            </w:pPr>
          </w:p>
        </w:tc>
      </w:tr>
      <w:tr w:rsidR="004300E2" w:rsidRPr="00A44ECD" w:rsidDel="00E85710" w:rsidTr="00940A6F">
        <w:trPr>
          <w:cantSplit/>
          <w:trHeight w:val="281"/>
        </w:trPr>
        <w:tc>
          <w:tcPr>
            <w:tcW w:w="567" w:type="dxa"/>
            <w:tcMar>
              <w:left w:w="108" w:type="dxa"/>
              <w:right w:w="0"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IFRS 3.B67(d)</w:t>
            </w:r>
          </w:p>
        </w:tc>
        <w:tc>
          <w:tcPr>
            <w:tcW w:w="7079" w:type="dxa"/>
            <w:tcMar>
              <w:left w:w="108" w:type="dxa"/>
            </w:tcMar>
          </w:tcPr>
          <w:p w:rsidR="004300E2" w:rsidRPr="008A0F36" w:rsidRDefault="004300E2" w:rsidP="004300E2">
            <w:pPr>
              <w:keepNext/>
              <w:rPr>
                <w:lang w:val="it-IT"/>
              </w:rPr>
            </w:pPr>
            <w:r w:rsidRPr="008A0F36">
              <w:rPr>
                <w:lang w:val="it-IT"/>
              </w:rPr>
              <w:t>L’entità fornisce informazioni tali da consentire agli utilizzatori del suo bilancio di valutare le variazioni del valore contabile dell’avviamento nel corso dell’esercizio, indicando una riconciliazione del valore contabile dell’avviamento all’inizio e alla fine dell’esercizio, riportando separatamente:</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4E201D" w:rsidRPr="008129DA" w:rsidDel="00E85710"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4300E2">
            <w:pPr>
              <w:pStyle w:val="Rientroa"/>
              <w:numPr>
                <w:ilvl w:val="0"/>
                <w:numId w:val="109"/>
              </w:numPr>
            </w:pPr>
            <w:r w:rsidRPr="008A0F36">
              <w:t>l’ammontare lordo e le perdite per riduzione di valore cumulate all’inizio dell’esercizio</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Del="00E85710"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r w:rsidRPr="008A0F36">
              <w:rPr>
                <w:lang w:val="it-IT"/>
              </w:rPr>
              <w:t>IFRS 5.6</w:t>
            </w:r>
          </w:p>
        </w:tc>
        <w:tc>
          <w:tcPr>
            <w:tcW w:w="7079" w:type="dxa"/>
            <w:tcMar>
              <w:left w:w="108" w:type="dxa"/>
            </w:tcMar>
          </w:tcPr>
          <w:p w:rsidR="004E201D" w:rsidRPr="008A0F36" w:rsidRDefault="004E201D" w:rsidP="00FB4B6E">
            <w:pPr>
              <w:pStyle w:val="Rientroa"/>
              <w:numPr>
                <w:ilvl w:val="0"/>
                <w:numId w:val="72"/>
              </w:numPr>
            </w:pPr>
            <w:r w:rsidRPr="008A0F36">
              <w:t>l’andamento dell’avviamento rilevato nel corso dell’esercizio ad eccezione dell’avviamento incluso in un gruppo in dismissione che, all’atto all’acquisizione, soddisfi i criteri per essere classificato come posseduto per la vendita, secondo quanto previsto dall’IFRS 5</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Del="00E85710"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FB4B6E">
            <w:pPr>
              <w:pStyle w:val="Rientroa"/>
              <w:numPr>
                <w:ilvl w:val="0"/>
                <w:numId w:val="72"/>
              </w:numPr>
            </w:pPr>
            <w:r w:rsidRPr="008A0F36">
              <w:t>le rettifiche derivanti dalla rilevazione successiva di attività per imposte differite nel corso dell’esercizio</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Del="00E85710"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r w:rsidRPr="008A0F36">
              <w:rPr>
                <w:lang w:val="it-IT"/>
              </w:rPr>
              <w:t>IFRS 5.6</w:t>
            </w:r>
          </w:p>
        </w:tc>
        <w:tc>
          <w:tcPr>
            <w:tcW w:w="7079" w:type="dxa"/>
            <w:tcMar>
              <w:left w:w="108" w:type="dxa"/>
            </w:tcMar>
          </w:tcPr>
          <w:p w:rsidR="004E201D" w:rsidRPr="008A0F36" w:rsidRDefault="004E201D" w:rsidP="00FB4B6E">
            <w:pPr>
              <w:pStyle w:val="Rientroa"/>
              <w:numPr>
                <w:ilvl w:val="0"/>
                <w:numId w:val="72"/>
              </w:numPr>
            </w:pPr>
            <w:r w:rsidRPr="008A0F36">
              <w:t>l’avviamento incluso in un gruppo in dismissione classificato come posseduto per la vendita, secondo quanto previsto dall’IFRS 5 e l’avviamento eliminato contabilmente nel corso dell’esercizio senza essere stato precedentemente incluso in un gruppo in dismissione classificato come posseduto per la vendita</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Del="00E85710"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FB4B6E">
            <w:pPr>
              <w:pStyle w:val="Rientroa"/>
              <w:numPr>
                <w:ilvl w:val="0"/>
                <w:numId w:val="72"/>
              </w:numPr>
            </w:pPr>
            <w:r w:rsidRPr="008A0F36">
              <w:t>le perdite per riduzione di valore rilevate nel corso dell’esercizio come previsto dallo IAS 36</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Del="00E85710"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FB4B6E">
            <w:pPr>
              <w:pStyle w:val="Rientroa"/>
              <w:numPr>
                <w:ilvl w:val="0"/>
                <w:numId w:val="72"/>
              </w:numPr>
            </w:pPr>
            <w:r w:rsidRPr="008A0F36">
              <w:t>le differenze nette di cambio verificatesi nell’esercizio come previsto dallo IAS 21</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Del="00E85710"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FB4B6E">
            <w:pPr>
              <w:pStyle w:val="Rientroa"/>
              <w:numPr>
                <w:ilvl w:val="0"/>
                <w:numId w:val="72"/>
              </w:numPr>
            </w:pPr>
            <w:r w:rsidRPr="008A0F36">
              <w:t>altre modifiche apportate ai valori contabili nel corso dell’esercizio</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Del="00E85710"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FB4B6E">
            <w:pPr>
              <w:pStyle w:val="Rientroa"/>
              <w:numPr>
                <w:ilvl w:val="0"/>
                <w:numId w:val="72"/>
              </w:numPr>
            </w:pPr>
            <w:r w:rsidRPr="008A0F36">
              <w:t>l’ammontare lordo e le perdite per riduzione di valore cumulate alla fine dell’esercizio.</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Del="00E85710" w:rsidTr="00940A6F">
        <w:trPr>
          <w:cantSplit/>
        </w:trPr>
        <w:tc>
          <w:tcPr>
            <w:tcW w:w="567" w:type="dxa"/>
            <w:tcMar>
              <w:left w:w="108" w:type="dxa"/>
              <w:right w:w="0" w:type="dxa"/>
            </w:tcMar>
          </w:tcPr>
          <w:p w:rsidR="004300E2" w:rsidRPr="008A0F36" w:rsidRDefault="004300E2" w:rsidP="004300E2">
            <w:pPr>
              <w:pStyle w:val="Numeroelenco"/>
              <w:ind w:left="0" w:firstLine="57"/>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36.133</w:t>
            </w:r>
          </w:p>
        </w:tc>
        <w:tc>
          <w:tcPr>
            <w:tcW w:w="7079" w:type="dxa"/>
            <w:tcMar>
              <w:left w:w="108" w:type="dxa"/>
            </w:tcMar>
          </w:tcPr>
          <w:p w:rsidR="004300E2" w:rsidRPr="008A0F36" w:rsidRDefault="004300E2" w:rsidP="004300E2">
            <w:pPr>
              <w:rPr>
                <w:lang w:val="it-IT"/>
              </w:rPr>
            </w:pPr>
            <w:r w:rsidRPr="008A0F36">
              <w:rPr>
                <w:lang w:val="it-IT"/>
              </w:rPr>
              <w:t>Qualora l’iniziale allocazione dell’avviamento, acquisito in un’aggregazione aziendale, fosse incompleta alla data di chiusura dell’esercizio e pertanto l’avviamento non risultasse allocato a un’unità (gruppo di unità) generatrice di flussi finanziari, l’entità ha indicato:</w:t>
            </w:r>
          </w:p>
        </w:tc>
        <w:tc>
          <w:tcPr>
            <w:tcW w:w="575" w:type="dxa"/>
            <w:tcMar>
              <w:left w:w="85" w:type="dxa"/>
              <w:right w:w="85"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c>
          <w:tcPr>
            <w:tcW w:w="567" w:type="dxa"/>
            <w:tcMar>
              <w:left w:w="108" w:type="dxa"/>
            </w:tcMar>
            <w:vAlign w:val="center"/>
          </w:tcPr>
          <w:p w:rsidR="004300E2" w:rsidRPr="00090BE7" w:rsidRDefault="004300E2" w:rsidP="004300E2">
            <w:pPr>
              <w:jc w:val="center"/>
              <w:rPr>
                <w:lang w:val="it-IT"/>
              </w:rPr>
            </w:pPr>
          </w:p>
        </w:tc>
      </w:tr>
      <w:tr w:rsidR="004E201D" w:rsidRPr="008129DA" w:rsidDel="00E85710"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4300E2">
            <w:pPr>
              <w:pStyle w:val="Rientroa"/>
              <w:numPr>
                <w:ilvl w:val="0"/>
                <w:numId w:val="110"/>
              </w:numPr>
            </w:pPr>
            <w:r w:rsidRPr="008A0F36">
              <w:t>l’ammontare dell’avviamento non allocato; e</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Del="00E85710" w:rsidTr="00940A6F">
        <w:trPr>
          <w:cantSplit/>
        </w:trPr>
        <w:tc>
          <w:tcPr>
            <w:tcW w:w="567" w:type="dxa"/>
            <w:tcMar>
              <w:left w:w="108" w:type="dxa"/>
              <w:right w:w="0"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FB4B6E">
            <w:pPr>
              <w:pStyle w:val="Rientroa"/>
              <w:numPr>
                <w:ilvl w:val="0"/>
                <w:numId w:val="72"/>
              </w:numPr>
            </w:pPr>
            <w:r w:rsidRPr="008A0F36">
              <w:t>le ragioni per cui tale avviamento rimane non allocato.</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A0F36" w:rsidTr="00940A6F">
        <w:trPr>
          <w:cantSplit/>
        </w:trPr>
        <w:tc>
          <w:tcPr>
            <w:tcW w:w="567" w:type="dxa"/>
            <w:shd w:val="clear" w:color="auto" w:fill="auto"/>
            <w:tcMar>
              <w:left w:w="108" w:type="dxa"/>
            </w:tcMar>
            <w:vAlign w:val="center"/>
          </w:tcPr>
          <w:p w:rsidR="004300E2" w:rsidRPr="008A0F36" w:rsidRDefault="004300E2" w:rsidP="004300E2">
            <w:pPr>
              <w:pStyle w:val="IAS"/>
              <w:jc w:val="left"/>
              <w:rPr>
                <w:lang w:val="it-IT"/>
              </w:rPr>
            </w:pPr>
            <w:bookmarkStart w:id="7" w:name="_Interests_in_joint"/>
            <w:bookmarkEnd w:id="7"/>
          </w:p>
        </w:tc>
        <w:tc>
          <w:tcPr>
            <w:tcW w:w="851" w:type="dxa"/>
            <w:shd w:val="clear" w:color="auto" w:fill="auto"/>
            <w:tcMar>
              <w:left w:w="108" w:type="dxa"/>
              <w:right w:w="0" w:type="dxa"/>
            </w:tcMar>
            <w:vAlign w:val="center"/>
          </w:tcPr>
          <w:p w:rsidR="004300E2" w:rsidRPr="008A0F36" w:rsidRDefault="004300E2" w:rsidP="004300E2">
            <w:pPr>
              <w:pStyle w:val="IAS"/>
              <w:jc w:val="left"/>
              <w:rPr>
                <w:lang w:val="it-IT"/>
              </w:rPr>
            </w:pPr>
          </w:p>
        </w:tc>
        <w:tc>
          <w:tcPr>
            <w:tcW w:w="7079" w:type="dxa"/>
            <w:shd w:val="clear" w:color="auto" w:fill="auto"/>
            <w:tcMar>
              <w:left w:w="108" w:type="dxa"/>
            </w:tcMar>
            <w:vAlign w:val="center"/>
          </w:tcPr>
          <w:p w:rsidR="004300E2" w:rsidRPr="008A0F36" w:rsidRDefault="004300E2" w:rsidP="004300E2">
            <w:pPr>
              <w:pStyle w:val="Titolo1"/>
            </w:pPr>
            <w:r w:rsidRPr="008A0F36">
              <w:t>RIMANENZE</w:t>
            </w:r>
          </w:p>
        </w:tc>
        <w:tc>
          <w:tcPr>
            <w:tcW w:w="575" w:type="dxa"/>
            <w:shd w:val="clear" w:color="auto" w:fill="auto"/>
            <w:tcMar>
              <w:left w:w="85" w:type="dxa"/>
              <w:right w:w="85" w:type="dxa"/>
            </w:tcMar>
            <w:vAlign w:val="center"/>
          </w:tcPr>
          <w:p w:rsidR="004300E2" w:rsidRDefault="004300E2" w:rsidP="004300E2">
            <w:pPr>
              <w:jc w:val="left"/>
            </w:pPr>
          </w:p>
        </w:tc>
        <w:tc>
          <w:tcPr>
            <w:tcW w:w="567" w:type="dxa"/>
            <w:shd w:val="clear" w:color="auto" w:fill="auto"/>
            <w:tcMar>
              <w:left w:w="108" w:type="dxa"/>
            </w:tcMar>
            <w:vAlign w:val="center"/>
          </w:tcPr>
          <w:p w:rsidR="004300E2" w:rsidRDefault="004300E2" w:rsidP="004300E2">
            <w:pPr>
              <w:jc w:val="left"/>
            </w:pPr>
          </w:p>
        </w:tc>
        <w:tc>
          <w:tcPr>
            <w:tcW w:w="567" w:type="dxa"/>
            <w:shd w:val="clear" w:color="auto" w:fill="auto"/>
            <w:tcMar>
              <w:left w:w="108" w:type="dxa"/>
            </w:tcMar>
            <w:vAlign w:val="center"/>
          </w:tcPr>
          <w:p w:rsidR="004300E2" w:rsidRDefault="004300E2" w:rsidP="004300E2">
            <w:pPr>
              <w:jc w:val="left"/>
            </w:pPr>
          </w:p>
        </w:tc>
      </w:tr>
      <w:tr w:rsidR="004300E2" w:rsidRPr="00A44ECD" w:rsidTr="00940A6F">
        <w:trPr>
          <w:cantSplit/>
        </w:trPr>
        <w:tc>
          <w:tcPr>
            <w:tcW w:w="567" w:type="dxa"/>
            <w:shd w:val="clear" w:color="auto" w:fill="auto"/>
            <w:tcMar>
              <w:left w:w="108" w:type="dxa"/>
            </w:tcMar>
          </w:tcPr>
          <w:p w:rsidR="004300E2" w:rsidRPr="008A0F36" w:rsidRDefault="004300E2" w:rsidP="004300E2">
            <w:pPr>
              <w:pStyle w:val="Numeroelenco"/>
              <w:ind w:left="0" w:firstLine="57"/>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r w:rsidRPr="008A0F36">
              <w:rPr>
                <w:lang w:val="it-IT"/>
              </w:rPr>
              <w:t>IAS 2.36</w:t>
            </w:r>
          </w:p>
        </w:tc>
        <w:tc>
          <w:tcPr>
            <w:tcW w:w="7079" w:type="dxa"/>
            <w:shd w:val="clear" w:color="auto" w:fill="auto"/>
            <w:tcMar>
              <w:left w:w="108" w:type="dxa"/>
            </w:tcMar>
          </w:tcPr>
          <w:p w:rsidR="004300E2" w:rsidRPr="008A0F36" w:rsidRDefault="004300E2" w:rsidP="004300E2">
            <w:pPr>
              <w:rPr>
                <w:lang w:val="it-IT"/>
              </w:rPr>
            </w:pPr>
            <w:r w:rsidRPr="008A0F36">
              <w:rPr>
                <w:lang w:val="it-IT"/>
              </w:rPr>
              <w:t>Sono state date le seguenti informazioni:</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4300E2">
            <w:pPr>
              <w:pStyle w:val="Rientroa"/>
              <w:numPr>
                <w:ilvl w:val="0"/>
                <w:numId w:val="116"/>
              </w:numPr>
            </w:pPr>
            <w:r w:rsidRPr="008A0F36">
              <w:t>i principi contabili adottati nella valutazione delle rimanenze, incluso il metodo di determinazione del costo usato (per esempio, FIFO o Costo medio ponderato)</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il valore contabile complessivo delle rimanenze e il valore contabile distinto per classi che risultano significative per l’entità.</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80"/>
        </w:trPr>
        <w:tc>
          <w:tcPr>
            <w:tcW w:w="567" w:type="dxa"/>
            <w:shd w:val="clear" w:color="auto" w:fill="auto"/>
            <w:tcMar>
              <w:left w:w="108" w:type="dxa"/>
            </w:tcMar>
          </w:tcPr>
          <w:p w:rsidR="004300E2" w:rsidRPr="008A0F36" w:rsidRDefault="004300E2" w:rsidP="004300E2">
            <w:pPr>
              <w:pStyle w:val="IAS"/>
              <w:rPr>
                <w:lang w:val="it-IT"/>
              </w:rPr>
            </w:pPr>
          </w:p>
        </w:tc>
        <w:tc>
          <w:tcPr>
            <w:tcW w:w="851" w:type="dxa"/>
            <w:shd w:val="clear" w:color="auto" w:fill="auto"/>
            <w:tcMar>
              <w:right w:w="0" w:type="dxa"/>
            </w:tcMar>
          </w:tcPr>
          <w:p w:rsidR="004300E2" w:rsidRPr="008A0F36" w:rsidRDefault="004300E2" w:rsidP="004300E2">
            <w:pPr>
              <w:pStyle w:val="IAS"/>
              <w:rPr>
                <w:lang w:val="it-IT"/>
              </w:rPr>
            </w:pPr>
            <w:r w:rsidRPr="008A0F36">
              <w:rPr>
                <w:lang w:val="it-IT"/>
              </w:rPr>
              <w:t>IAS 2.37</w:t>
            </w:r>
          </w:p>
        </w:tc>
        <w:tc>
          <w:tcPr>
            <w:tcW w:w="7079" w:type="dxa"/>
            <w:shd w:val="clear" w:color="auto" w:fill="auto"/>
          </w:tcPr>
          <w:p w:rsidR="004300E2" w:rsidRPr="008A0F36" w:rsidRDefault="004300E2" w:rsidP="0002186C">
            <w:pPr>
              <w:pStyle w:val="Paragarfobordato"/>
            </w:pPr>
            <w:r w:rsidRPr="008A0F36">
              <w:t>Classificazioni comuni delle rimanenze sono merce posseduta per la vendita, merce impiegata nei processi produttivi, materie prime, semilavorati e prodotti finiti. Le rimanenze di un servizio possono essere descritte come lavori in corso.</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4E201D" w:rsidRPr="008129DA" w:rsidTr="00940A6F">
        <w:trPr>
          <w:cantSplit/>
          <w:trHeight w:val="80"/>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right w:w="0" w:type="dxa"/>
            </w:tcMar>
          </w:tcPr>
          <w:p w:rsidR="004E201D" w:rsidRPr="008A0F36" w:rsidRDefault="004E201D" w:rsidP="004300E2">
            <w:pPr>
              <w:pStyle w:val="IAS"/>
              <w:rPr>
                <w:lang w:val="it-IT"/>
              </w:rPr>
            </w:pPr>
          </w:p>
        </w:tc>
        <w:tc>
          <w:tcPr>
            <w:tcW w:w="7079" w:type="dxa"/>
            <w:shd w:val="clear" w:color="auto" w:fill="auto"/>
          </w:tcPr>
          <w:p w:rsidR="004E201D" w:rsidRPr="008A0F36" w:rsidRDefault="004E201D" w:rsidP="00FB4B6E">
            <w:pPr>
              <w:pStyle w:val="Rientroa"/>
              <w:numPr>
                <w:ilvl w:val="0"/>
                <w:numId w:val="72"/>
              </w:numPr>
            </w:pPr>
            <w:r w:rsidRPr="008A0F36">
              <w:t xml:space="preserve">il valore contabile delle rimanenze iscritte al loro </w:t>
            </w:r>
            <w:r w:rsidRPr="008A0F36">
              <w:rPr>
                <w:i/>
              </w:rPr>
              <w:t>fair value</w:t>
            </w:r>
            <w:r w:rsidRPr="008A0F36">
              <w:t xml:space="preserve"> al netto dei costi di vendita;</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l’ammontare delle rimanenze rilevato come costo nell’esercizio</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l’ammontare di ogni svalutazione delle rimanenze rilevato come un costo nell’esercizio</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 xml:space="preserve">l’ammontare di eventuali storni di svalutazioni rilevate come riduzione dell’ammontare delle rimanenze rilevate </w:t>
            </w:r>
            <w:r>
              <w:t>nell’utile/(perdita) d</w:t>
            </w:r>
            <w:r w:rsidRPr="008A0F36">
              <w:t>’esercizio</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le circostanze o i fatti che hanno portato allo storno di una svalutazione di rimanenze; 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il valore contabile delle rimanenze impegnate a garanzia di passività.</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A0F36" w:rsidTr="00940A6F">
        <w:trPr>
          <w:cantSplit/>
        </w:trPr>
        <w:tc>
          <w:tcPr>
            <w:tcW w:w="567" w:type="dxa"/>
            <w:shd w:val="clear" w:color="auto" w:fill="auto"/>
            <w:tcMar>
              <w:left w:w="108" w:type="dxa"/>
            </w:tcMar>
            <w:vAlign w:val="center"/>
          </w:tcPr>
          <w:p w:rsidR="004300E2" w:rsidRPr="008A0F36" w:rsidRDefault="004300E2" w:rsidP="004300E2">
            <w:pPr>
              <w:pStyle w:val="IAS"/>
              <w:jc w:val="left"/>
              <w:rPr>
                <w:lang w:val="it-IT"/>
              </w:rPr>
            </w:pPr>
          </w:p>
        </w:tc>
        <w:tc>
          <w:tcPr>
            <w:tcW w:w="851" w:type="dxa"/>
            <w:shd w:val="clear" w:color="auto" w:fill="auto"/>
            <w:tcMar>
              <w:left w:w="108" w:type="dxa"/>
              <w:right w:w="0" w:type="dxa"/>
            </w:tcMar>
            <w:vAlign w:val="center"/>
          </w:tcPr>
          <w:p w:rsidR="004300E2" w:rsidRPr="008A0F36" w:rsidRDefault="004300E2" w:rsidP="004300E2">
            <w:pPr>
              <w:pStyle w:val="IAS"/>
              <w:jc w:val="left"/>
              <w:rPr>
                <w:lang w:val="it-IT"/>
              </w:rPr>
            </w:pPr>
          </w:p>
        </w:tc>
        <w:tc>
          <w:tcPr>
            <w:tcW w:w="7079" w:type="dxa"/>
            <w:shd w:val="clear" w:color="auto" w:fill="auto"/>
            <w:tcMar>
              <w:left w:w="108" w:type="dxa"/>
            </w:tcMar>
            <w:vAlign w:val="center"/>
          </w:tcPr>
          <w:p w:rsidR="004300E2" w:rsidRPr="008A0F36" w:rsidRDefault="004300E2" w:rsidP="004300E2">
            <w:pPr>
              <w:pStyle w:val="Titolo1"/>
            </w:pPr>
            <w:r w:rsidRPr="008A0F36">
              <w:t>INVESTIMENTI IMMOBILIARI</w:t>
            </w:r>
          </w:p>
        </w:tc>
        <w:tc>
          <w:tcPr>
            <w:tcW w:w="575" w:type="dxa"/>
            <w:shd w:val="clear" w:color="auto" w:fill="auto"/>
            <w:tcMar>
              <w:left w:w="85" w:type="dxa"/>
              <w:right w:w="85" w:type="dxa"/>
            </w:tcMar>
            <w:vAlign w:val="center"/>
          </w:tcPr>
          <w:p w:rsidR="004300E2" w:rsidRDefault="004300E2" w:rsidP="004300E2">
            <w:pPr>
              <w:jc w:val="left"/>
            </w:pPr>
          </w:p>
        </w:tc>
        <w:tc>
          <w:tcPr>
            <w:tcW w:w="567" w:type="dxa"/>
            <w:shd w:val="clear" w:color="auto" w:fill="auto"/>
            <w:tcMar>
              <w:left w:w="108" w:type="dxa"/>
            </w:tcMar>
            <w:vAlign w:val="center"/>
          </w:tcPr>
          <w:p w:rsidR="004300E2" w:rsidRDefault="004300E2" w:rsidP="004300E2">
            <w:pPr>
              <w:jc w:val="left"/>
            </w:pPr>
          </w:p>
        </w:tc>
        <w:tc>
          <w:tcPr>
            <w:tcW w:w="567" w:type="dxa"/>
            <w:shd w:val="clear" w:color="auto" w:fill="auto"/>
            <w:tcMar>
              <w:left w:w="108" w:type="dxa"/>
            </w:tcMar>
            <w:vAlign w:val="center"/>
          </w:tcPr>
          <w:p w:rsidR="004300E2" w:rsidRDefault="004300E2" w:rsidP="004300E2">
            <w:pPr>
              <w:jc w:val="left"/>
            </w:pPr>
          </w:p>
        </w:tc>
      </w:tr>
      <w:tr w:rsidR="004300E2" w:rsidRPr="00A44ECD" w:rsidTr="00940A6F">
        <w:trPr>
          <w:cantSplit/>
        </w:trPr>
        <w:tc>
          <w:tcPr>
            <w:tcW w:w="567" w:type="dxa"/>
            <w:shd w:val="clear" w:color="auto" w:fill="auto"/>
            <w:tcMar>
              <w:left w:w="108" w:type="dxa"/>
            </w:tcMar>
          </w:tcPr>
          <w:p w:rsidR="004300E2" w:rsidRPr="008A0F36" w:rsidRDefault="004300E2" w:rsidP="004300E2">
            <w:pPr>
              <w:pStyle w:val="IAS"/>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r w:rsidRPr="008A0F36">
              <w:rPr>
                <w:lang w:val="it-IT"/>
              </w:rPr>
              <w:t>IAS 40.74</w:t>
            </w:r>
          </w:p>
        </w:tc>
        <w:tc>
          <w:tcPr>
            <w:tcW w:w="7079" w:type="dxa"/>
            <w:shd w:val="clear" w:color="auto" w:fill="auto"/>
            <w:tcMar>
              <w:left w:w="108" w:type="dxa"/>
            </w:tcMar>
          </w:tcPr>
          <w:p w:rsidR="004300E2" w:rsidRPr="008A0F36" w:rsidRDefault="004300E2" w:rsidP="0002186C">
            <w:pPr>
              <w:pStyle w:val="Paragarfobordato"/>
            </w:pPr>
            <w:r w:rsidRPr="008A0F36">
              <w:t xml:space="preserve">L’informativa indicata nei </w:t>
            </w:r>
            <w:r w:rsidRPr="00AA561A">
              <w:t>punti da 29</w:t>
            </w:r>
            <w:r w:rsidR="00D20202">
              <w:t>2</w:t>
            </w:r>
            <w:r w:rsidRPr="00AA561A">
              <w:t xml:space="preserve"> a 29</w:t>
            </w:r>
            <w:r w:rsidR="00D20202">
              <w:t>6</w:t>
            </w:r>
            <w:r w:rsidRPr="00AA561A">
              <w:t xml:space="preserve"> si applica</w:t>
            </w:r>
            <w:r w:rsidRPr="008A0F36">
              <w:t xml:space="preserve"> in aggiunta a quella dello IAS 17 </w:t>
            </w:r>
            <w:r w:rsidRPr="008A0F36">
              <w:rPr>
                <w:i/>
              </w:rPr>
              <w:t>Leasing</w:t>
            </w:r>
            <w:r w:rsidRPr="008A0F36">
              <w:t xml:space="preserve">. In conformità allo IAS 17, il proprietario di un investimento immobiliare fornisce l’informativa del locatore in merito alle operazioni di </w:t>
            </w:r>
            <w:r w:rsidRPr="008A0F36">
              <w:rPr>
                <w:i/>
              </w:rPr>
              <w:t>leasing</w:t>
            </w:r>
            <w:r w:rsidRPr="008A0F36">
              <w:t xml:space="preserve"> nei quali è coinvolto. In conformità allo IAS 17 un’entità che detiene un investimento immobiliare come </w:t>
            </w:r>
            <w:r w:rsidRPr="008A0F36">
              <w:rPr>
                <w:i/>
              </w:rPr>
              <w:t>leasing</w:t>
            </w:r>
            <w:r w:rsidRPr="008A0F36">
              <w:t xml:space="preserve"> operativo o finanziario deve dare l’informativa dei locatari per le operazioni di </w:t>
            </w:r>
            <w:r w:rsidRPr="008A0F36">
              <w:rPr>
                <w:i/>
              </w:rPr>
              <w:t>leasing</w:t>
            </w:r>
            <w:r w:rsidRPr="008A0F36">
              <w:t xml:space="preserve"> finanziario e dei locatori per ogni operazione di </w:t>
            </w:r>
            <w:r w:rsidRPr="008A0F36">
              <w:rPr>
                <w:i/>
              </w:rPr>
              <w:t>leasing</w:t>
            </w:r>
            <w:r w:rsidRPr="008A0F36">
              <w:t xml:space="preserve"> operativo nel quale è coinvolto.</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r>
      <w:tr w:rsidR="004300E2" w:rsidRPr="00A44ECD" w:rsidTr="00940A6F">
        <w:trPr>
          <w:cantSplit/>
        </w:trPr>
        <w:tc>
          <w:tcPr>
            <w:tcW w:w="567" w:type="dxa"/>
            <w:shd w:val="clear" w:color="auto" w:fill="auto"/>
            <w:tcMar>
              <w:left w:w="108" w:type="dxa"/>
            </w:tcMar>
          </w:tcPr>
          <w:p w:rsidR="004300E2" w:rsidRPr="008A0F36" w:rsidRDefault="004300E2" w:rsidP="004300E2">
            <w:pPr>
              <w:pStyle w:val="IAS"/>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p>
        </w:tc>
        <w:tc>
          <w:tcPr>
            <w:tcW w:w="7079" w:type="dxa"/>
            <w:shd w:val="clear" w:color="auto" w:fill="auto"/>
            <w:tcMar>
              <w:left w:w="108" w:type="dxa"/>
            </w:tcMar>
          </w:tcPr>
          <w:p w:rsidR="004300E2" w:rsidRPr="008A0F36" w:rsidRDefault="004300E2" w:rsidP="004300E2">
            <w:pPr>
              <w:pStyle w:val="Titolo2"/>
              <w:rPr>
                <w:lang w:val="it-IT"/>
              </w:rPr>
            </w:pPr>
            <w:r w:rsidRPr="008A0F36">
              <w:rPr>
                <w:lang w:val="it-IT"/>
              </w:rPr>
              <w:t xml:space="preserve">Contabilizzazione al </w:t>
            </w:r>
            <w:r w:rsidRPr="008A0F36">
              <w:rPr>
                <w:i/>
                <w:lang w:val="it-IT"/>
              </w:rPr>
              <w:t>fair value</w:t>
            </w:r>
            <w:r w:rsidRPr="008A0F36">
              <w:rPr>
                <w:lang w:val="it-IT"/>
              </w:rPr>
              <w:t xml:space="preserve"> e al costo</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r>
      <w:tr w:rsidR="004300E2" w:rsidRPr="00A44ECD" w:rsidTr="00940A6F">
        <w:trPr>
          <w:cantSplit/>
        </w:trPr>
        <w:tc>
          <w:tcPr>
            <w:tcW w:w="567" w:type="dxa"/>
            <w:shd w:val="clear" w:color="auto" w:fill="auto"/>
            <w:tcMar>
              <w:left w:w="108" w:type="dxa"/>
            </w:tcMar>
          </w:tcPr>
          <w:p w:rsidR="004300E2" w:rsidRPr="008A0F36" w:rsidRDefault="004300E2" w:rsidP="004300E2">
            <w:pPr>
              <w:pStyle w:val="Numeroelenco"/>
              <w:ind w:left="0" w:firstLine="57"/>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r w:rsidRPr="008A0F36">
              <w:rPr>
                <w:lang w:val="it-IT"/>
              </w:rPr>
              <w:t>IAS 40.75</w:t>
            </w:r>
          </w:p>
        </w:tc>
        <w:tc>
          <w:tcPr>
            <w:tcW w:w="7079" w:type="dxa"/>
            <w:shd w:val="clear" w:color="auto" w:fill="auto"/>
            <w:tcMar>
              <w:left w:w="108" w:type="dxa"/>
            </w:tcMar>
          </w:tcPr>
          <w:p w:rsidR="004300E2" w:rsidRPr="008A0F36" w:rsidRDefault="004300E2" w:rsidP="008129DA">
            <w:pPr>
              <w:spacing w:line="214" w:lineRule="exact"/>
              <w:rPr>
                <w:lang w:val="it-IT"/>
              </w:rPr>
            </w:pPr>
            <w:r w:rsidRPr="008A0F36">
              <w:rPr>
                <w:lang w:val="it-IT"/>
              </w:rPr>
              <w:t>L’entità ha dato le seguenti informazioni:</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8129DA">
            <w:pPr>
              <w:pStyle w:val="Rientroa"/>
              <w:numPr>
                <w:ilvl w:val="0"/>
                <w:numId w:val="117"/>
              </w:numPr>
              <w:spacing w:line="214" w:lineRule="exact"/>
            </w:pPr>
            <w:r w:rsidRPr="008A0F36">
              <w:t xml:space="preserve">se applica il modello di contabilizzazione al </w:t>
            </w:r>
            <w:r w:rsidRPr="008A0F36">
              <w:rPr>
                <w:i/>
              </w:rPr>
              <w:t>fair value</w:t>
            </w:r>
            <w:r w:rsidRPr="008A0F36">
              <w:t xml:space="preserve"> o al costo</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8129DA">
            <w:pPr>
              <w:pStyle w:val="Rientroa"/>
              <w:numPr>
                <w:ilvl w:val="0"/>
                <w:numId w:val="72"/>
              </w:numPr>
              <w:spacing w:line="214" w:lineRule="exact"/>
            </w:pPr>
            <w:r w:rsidRPr="008A0F36">
              <w:t xml:space="preserve">se applica il modello di contabilizzazione al </w:t>
            </w:r>
            <w:r w:rsidRPr="008A0F36">
              <w:rPr>
                <w:i/>
              </w:rPr>
              <w:t>fair value</w:t>
            </w:r>
            <w:r w:rsidRPr="008A0F36">
              <w:t>, se e in quale circostanza, gli immobili detenuti con leasing operativi sono classificati e contabilizzati come investimenti immobiliari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r>
              <w:rPr>
                <w:lang w:val="it-IT"/>
              </w:rPr>
              <w:t>IAS 40.14</w:t>
            </w:r>
          </w:p>
        </w:tc>
        <w:tc>
          <w:tcPr>
            <w:tcW w:w="7079" w:type="dxa"/>
            <w:shd w:val="clear" w:color="auto" w:fill="auto"/>
            <w:tcMar>
              <w:left w:w="108" w:type="dxa"/>
            </w:tcMar>
          </w:tcPr>
          <w:p w:rsidR="004E201D" w:rsidRPr="008A0F36" w:rsidRDefault="004E201D" w:rsidP="008129DA">
            <w:pPr>
              <w:pStyle w:val="Rientroa"/>
              <w:numPr>
                <w:ilvl w:val="0"/>
                <w:numId w:val="72"/>
              </w:numPr>
              <w:spacing w:line="214" w:lineRule="exact"/>
            </w:pPr>
            <w:r w:rsidRPr="008A0F36">
              <w:t>quando la classificazione risulta difficoltosa, i criteri definiti per distinguere un investimento immobiliare da un immobile ad uso del proprietario e da un immobile posseduto per la vendita nel normale svolgimento dell’attività dell’entità</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r>
              <w:rPr>
                <w:lang w:val="it-IT"/>
              </w:rPr>
              <w:t>IFRS 13.5-7</w:t>
            </w:r>
          </w:p>
        </w:tc>
        <w:tc>
          <w:tcPr>
            <w:tcW w:w="7079" w:type="dxa"/>
            <w:shd w:val="clear" w:color="auto" w:fill="auto"/>
            <w:tcMar>
              <w:left w:w="108" w:type="dxa"/>
            </w:tcMar>
          </w:tcPr>
          <w:p w:rsidR="004E201D" w:rsidRPr="008A0F36" w:rsidRDefault="004E201D" w:rsidP="008129DA">
            <w:pPr>
              <w:pStyle w:val="Rientroa"/>
              <w:numPr>
                <w:ilvl w:val="0"/>
                <w:numId w:val="72"/>
              </w:numPr>
              <w:spacing w:line="214" w:lineRule="exact"/>
            </w:pPr>
            <w:r>
              <w:t xml:space="preserve">le informazioni sulla valutazione del </w:t>
            </w:r>
            <w:r w:rsidRPr="00587E37">
              <w:rPr>
                <w:i/>
              </w:rPr>
              <w:t>fair value</w:t>
            </w:r>
            <w:r>
              <w:t xml:space="preserve"> richieste dall’IFRS 13 (</w:t>
            </w:r>
            <w:r w:rsidRPr="000D06E7">
              <w:t>vedi punti 22</w:t>
            </w:r>
            <w:r>
              <w:t>1</w:t>
            </w:r>
            <w:r w:rsidRPr="000D06E7">
              <w:t xml:space="preserve"> - 2</w:t>
            </w:r>
            <w:r>
              <w:t>29</w:t>
            </w:r>
            <w:r w:rsidRPr="000D06E7">
              <w:t>)</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8129DA">
            <w:pPr>
              <w:pStyle w:val="Rientroa"/>
              <w:numPr>
                <w:ilvl w:val="0"/>
                <w:numId w:val="72"/>
              </w:numPr>
              <w:spacing w:line="214" w:lineRule="exact"/>
            </w:pPr>
            <w:r w:rsidRPr="008A0F36">
              <w:t xml:space="preserve">la misura in cui il </w:t>
            </w:r>
            <w:r w:rsidRPr="008A0F36">
              <w:rPr>
                <w:i/>
              </w:rPr>
              <w:t>fair value</w:t>
            </w:r>
            <w:r w:rsidRPr="008A0F36">
              <w:t xml:space="preserve"> dell’investimento immobiliare (iscritto o indicato nell’informativa di bilancio) si basa su di una stima effettuata da un perito in possesso di riconosciute e pertinenti qualifiche professionali e con una recente esperienza nella localizzazione e nella tipologia dell’investimento immobiliare oggetto della valutazione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8129DA">
            <w:pPr>
              <w:pStyle w:val="Rientroa"/>
              <w:numPr>
                <w:ilvl w:val="0"/>
                <w:numId w:val="72"/>
              </w:numPr>
              <w:spacing w:line="214" w:lineRule="exact"/>
            </w:pPr>
            <w:r w:rsidRPr="008A0F36">
              <w:t>se non ci sono tali valutazioni da parte di un perito indipendente questo fatto deve essere indicato</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8129DA">
            <w:pPr>
              <w:pStyle w:val="Rientroa"/>
              <w:numPr>
                <w:ilvl w:val="0"/>
                <w:numId w:val="72"/>
              </w:numPr>
              <w:spacing w:line="214" w:lineRule="exact"/>
            </w:pPr>
            <w:r w:rsidRPr="008A0F36">
              <w:t xml:space="preserve">gli importi rilevati </w:t>
            </w:r>
            <w:r>
              <w:t>nell’utile/(perdita) d’esercizio</w:t>
            </w:r>
            <w:r w:rsidRPr="008A0F36">
              <w:t xml:space="preserve"> per:</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8129DA">
            <w:pPr>
              <w:pStyle w:val="Puntoelenco"/>
              <w:tabs>
                <w:tab w:val="clear" w:pos="780"/>
              </w:tabs>
              <w:spacing w:line="214" w:lineRule="exact"/>
              <w:ind w:left="741" w:hanging="283"/>
            </w:pPr>
            <w:r w:rsidRPr="008A0F36">
              <w:t>ricavi per canoni derivanti da investimenti immobiliari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8129DA">
            <w:pPr>
              <w:pStyle w:val="Puntoelenco"/>
              <w:tabs>
                <w:tab w:val="clear" w:pos="780"/>
              </w:tabs>
              <w:spacing w:line="214" w:lineRule="exact"/>
              <w:ind w:left="741" w:hanging="283"/>
            </w:pPr>
            <w:r w:rsidRPr="008A0F36">
              <w:t>costi operativi diretti connessi all’operazione (incluse le riparazioni e la manutenzione) derivanti dall’investimento immobiliare che ha prodotto ricavi da canoni di locazione nel corso dell’esercizio; 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3A5BB7">
            <w:pPr>
              <w:pStyle w:val="Puntoelenco"/>
              <w:tabs>
                <w:tab w:val="clear" w:pos="780"/>
              </w:tabs>
              <w:spacing w:line="214" w:lineRule="exact"/>
              <w:ind w:left="741" w:hanging="283"/>
              <w:contextualSpacing w:val="0"/>
            </w:pPr>
            <w:r w:rsidRPr="008A0F36">
              <w:t>costi operativi diretti connessi all’operazione (incluse riparazioni e manutenzione) derivanti dall’investimento immobiliare che non ha prodotto ricavi da canoni di locazione nel corso dell’esercizio</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r>
              <w:rPr>
                <w:lang w:val="it-IT"/>
              </w:rPr>
              <w:t>IAS 40.32C</w:t>
            </w:r>
          </w:p>
        </w:tc>
        <w:tc>
          <w:tcPr>
            <w:tcW w:w="7079" w:type="dxa"/>
            <w:shd w:val="clear" w:color="auto" w:fill="auto"/>
            <w:tcMar>
              <w:left w:w="108" w:type="dxa"/>
            </w:tcMar>
          </w:tcPr>
          <w:p w:rsidR="004E201D" w:rsidRPr="008A0F36" w:rsidRDefault="004E201D" w:rsidP="003A5BB7">
            <w:pPr>
              <w:pStyle w:val="Puntoelenco"/>
              <w:tabs>
                <w:tab w:val="clear" w:pos="780"/>
              </w:tabs>
              <w:spacing w:line="214" w:lineRule="exact"/>
              <w:ind w:left="741" w:hanging="283"/>
              <w:contextualSpacing w:val="0"/>
            </w:pPr>
            <w:r w:rsidRPr="008A0F36">
              <w:t xml:space="preserve">la variazione complessiva del </w:t>
            </w:r>
            <w:r w:rsidRPr="008A0F36">
              <w:rPr>
                <w:i/>
              </w:rPr>
              <w:t>fair value</w:t>
            </w:r>
            <w:r w:rsidRPr="008A0F36">
              <w:t xml:space="preserve"> rilevata </w:t>
            </w:r>
            <w:r>
              <w:t>nell’utile/(perdita) d’esercizio</w:t>
            </w:r>
            <w:r w:rsidRPr="008A0F36">
              <w:t xml:space="preserve"> sulla vendita di un investimento immobiliare da un gruppo di attività per il quale è utilizzato il modello del costo ad un gruppo per il quale è utilizzato il modello del </w:t>
            </w:r>
            <w:r w:rsidRPr="008A0F36">
              <w:rPr>
                <w:i/>
              </w:rPr>
              <w:t>fair value</w:t>
            </w:r>
            <w:r w:rsidRPr="008A0F36">
              <w:t xml:space="preserve"> (vedi IAS 40.32C); e </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3A5BB7">
            <w:pPr>
              <w:pStyle w:val="Rientroa"/>
              <w:numPr>
                <w:ilvl w:val="0"/>
                <w:numId w:val="72"/>
              </w:numPr>
              <w:spacing w:line="214" w:lineRule="exact"/>
            </w:pPr>
            <w:r w:rsidRPr="008A0F36">
              <w:t>l’esistenza e gli importi dovuti a restrizioni sulla realizzabilità degli investimenti immobiliari o sul pagamento di ricavi e incassi connessi alla dismissione; 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3A5BB7">
            <w:pPr>
              <w:pStyle w:val="Rientroa"/>
              <w:numPr>
                <w:ilvl w:val="0"/>
                <w:numId w:val="72"/>
              </w:numPr>
              <w:spacing w:line="214" w:lineRule="exact"/>
            </w:pPr>
            <w:r w:rsidRPr="008A0F36">
              <w:t>obbligazioni contrattuali per l’acquisizione, costruzione o sviluppo di investimenti immobiliari o per riparazioni, manutenzioni o migliorie.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A0F36" w:rsidTr="00940A6F">
        <w:trPr>
          <w:cantSplit/>
        </w:trPr>
        <w:tc>
          <w:tcPr>
            <w:tcW w:w="567" w:type="dxa"/>
            <w:shd w:val="clear" w:color="auto" w:fill="auto"/>
            <w:tcMar>
              <w:left w:w="108" w:type="dxa"/>
            </w:tcMar>
          </w:tcPr>
          <w:p w:rsidR="004300E2" w:rsidRPr="008A0F36" w:rsidRDefault="004300E2" w:rsidP="004300E2">
            <w:pPr>
              <w:pStyle w:val="IAS"/>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p>
        </w:tc>
        <w:tc>
          <w:tcPr>
            <w:tcW w:w="7079" w:type="dxa"/>
            <w:shd w:val="clear" w:color="auto" w:fill="auto"/>
            <w:tcMar>
              <w:left w:w="108" w:type="dxa"/>
            </w:tcMar>
          </w:tcPr>
          <w:p w:rsidR="004300E2" w:rsidRPr="008A0F36" w:rsidRDefault="004300E2" w:rsidP="004300E2">
            <w:pPr>
              <w:pStyle w:val="Titolo2"/>
              <w:keepNext w:val="0"/>
              <w:rPr>
                <w:lang w:val="it-IT"/>
              </w:rPr>
            </w:pPr>
            <w:r w:rsidRPr="008A0F36">
              <w:rPr>
                <w:lang w:val="it-IT"/>
              </w:rPr>
              <w:t xml:space="preserve">Contabilizzazione al </w:t>
            </w:r>
            <w:r>
              <w:rPr>
                <w:i/>
                <w:lang w:val="it-IT"/>
              </w:rPr>
              <w:t>f</w:t>
            </w:r>
            <w:r w:rsidRPr="008A0F36">
              <w:rPr>
                <w:i/>
                <w:lang w:val="it-IT"/>
              </w:rPr>
              <w:t>air value</w:t>
            </w:r>
            <w:r w:rsidRPr="008A0F36">
              <w:rPr>
                <w:lang w:val="it-IT"/>
              </w:rPr>
              <w:t xml:space="preserve"> </w:t>
            </w:r>
          </w:p>
        </w:tc>
        <w:tc>
          <w:tcPr>
            <w:tcW w:w="575" w:type="dxa"/>
            <w:shd w:val="clear" w:color="auto" w:fill="auto"/>
            <w:tcMar>
              <w:left w:w="85" w:type="dxa"/>
              <w:right w:w="85" w:type="dxa"/>
            </w:tcMar>
            <w:vAlign w:val="center"/>
          </w:tcPr>
          <w:p w:rsidR="004300E2" w:rsidRDefault="004300E2" w:rsidP="004300E2">
            <w:pPr>
              <w:jc w:val="center"/>
            </w:pPr>
          </w:p>
        </w:tc>
        <w:tc>
          <w:tcPr>
            <w:tcW w:w="567" w:type="dxa"/>
            <w:shd w:val="clear" w:color="auto" w:fill="auto"/>
            <w:tcMar>
              <w:left w:w="108" w:type="dxa"/>
            </w:tcMar>
            <w:vAlign w:val="center"/>
          </w:tcPr>
          <w:p w:rsidR="004300E2" w:rsidRDefault="004300E2" w:rsidP="004300E2">
            <w:pPr>
              <w:jc w:val="center"/>
            </w:pPr>
          </w:p>
        </w:tc>
        <w:tc>
          <w:tcPr>
            <w:tcW w:w="567" w:type="dxa"/>
            <w:shd w:val="clear" w:color="auto" w:fill="auto"/>
            <w:tcMar>
              <w:left w:w="108" w:type="dxa"/>
            </w:tcMar>
            <w:vAlign w:val="center"/>
          </w:tcPr>
          <w:p w:rsidR="004300E2" w:rsidRDefault="004300E2" w:rsidP="004300E2">
            <w:pPr>
              <w:jc w:val="center"/>
            </w:pPr>
          </w:p>
        </w:tc>
      </w:tr>
      <w:tr w:rsidR="004300E2" w:rsidRPr="00A44ECD" w:rsidTr="00940A6F">
        <w:trPr>
          <w:cantSplit/>
        </w:trPr>
        <w:tc>
          <w:tcPr>
            <w:tcW w:w="567" w:type="dxa"/>
            <w:shd w:val="clear" w:color="auto" w:fill="auto"/>
            <w:tcMar>
              <w:left w:w="108" w:type="dxa"/>
            </w:tcMar>
          </w:tcPr>
          <w:p w:rsidR="004300E2" w:rsidRPr="008A0F36" w:rsidRDefault="004300E2" w:rsidP="004300E2">
            <w:pPr>
              <w:pStyle w:val="Numeroelenco"/>
              <w:ind w:left="0" w:firstLine="57"/>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r w:rsidRPr="008A0F36">
              <w:rPr>
                <w:lang w:val="it-IT"/>
              </w:rPr>
              <w:t>IAS 40.76</w:t>
            </w:r>
          </w:p>
        </w:tc>
        <w:tc>
          <w:tcPr>
            <w:tcW w:w="7079" w:type="dxa"/>
            <w:shd w:val="clear" w:color="auto" w:fill="auto"/>
            <w:tcMar>
              <w:left w:w="108" w:type="dxa"/>
            </w:tcMar>
          </w:tcPr>
          <w:p w:rsidR="004300E2" w:rsidRPr="008A0F36" w:rsidRDefault="004300E2" w:rsidP="003A5BB7">
            <w:pPr>
              <w:spacing w:line="214" w:lineRule="exact"/>
              <w:rPr>
                <w:lang w:val="it-IT"/>
              </w:rPr>
            </w:pPr>
            <w:r w:rsidRPr="008A0F36">
              <w:rPr>
                <w:lang w:val="it-IT"/>
              </w:rPr>
              <w:t xml:space="preserve">Se l’entità applica la contabilizzazione al </w:t>
            </w:r>
            <w:r w:rsidRPr="008A0F36">
              <w:rPr>
                <w:i/>
                <w:lang w:val="it-IT"/>
              </w:rPr>
              <w:t>fair value</w:t>
            </w:r>
            <w:r w:rsidRPr="008A0F36">
              <w:rPr>
                <w:lang w:val="it-IT"/>
              </w:rPr>
              <w:t xml:space="preserve"> ha esposto una riconciliazione del valore contabile dell’investimento immobiliare tra l’inizio e la fine dell’esercizio che presenti le seguenti indicazioni:</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Default="004E201D" w:rsidP="004300E2">
            <w:pPr>
              <w:pStyle w:val="Rientroa"/>
              <w:numPr>
                <w:ilvl w:val="0"/>
                <w:numId w:val="118"/>
              </w:numPr>
              <w:tabs>
                <w:tab w:val="center" w:pos="4536"/>
                <w:tab w:val="right" w:pos="9072"/>
              </w:tabs>
              <w:rPr>
                <w:iCs/>
              </w:rPr>
            </w:pPr>
            <w:r w:rsidRPr="008A0F36">
              <w:t>incrementi, con separata evidenziazione degli incrementi risultanti da acquisizioni e quelli risultanti dalla capitalizzazione di spese sostenute successivamente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incrementi risultanti da acquisizioni avvenute tramite aggregazioni aziendali;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attività classificate come beni detenuti per la vendita o inclusi in gruppi in dismissione classificati come detenuti per la vendita in conformità all’IFRS 5 e altre dismissioni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 xml:space="preserve">proventi od oneri netti derivanti da rettifiche del </w:t>
            </w:r>
            <w:r w:rsidRPr="008A0F36">
              <w:rPr>
                <w:i/>
              </w:rPr>
              <w:t>fair value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differenze nette di cambio derivanti dalla conversione del bilancio di una entità economica estera in una diversa moneta di presentazione e altre conversioni di operazioni in valuta nella moneta di presentazione del bilancio dell’entità</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cambiamenti di destinazione da od a rimanenze e immobili a uso del proprietario; 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A0F36"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r w:rsidRPr="008A0F36">
              <w:rPr>
                <w:lang w:val="it-IT"/>
              </w:rPr>
              <w:t>IFRS 5.6</w:t>
            </w: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altre variazioni.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shd w:val="clear" w:color="auto" w:fill="auto"/>
            <w:tcMar>
              <w:left w:w="108" w:type="dxa"/>
            </w:tcMar>
          </w:tcPr>
          <w:p w:rsidR="004300E2" w:rsidRPr="008A0F36" w:rsidRDefault="004300E2" w:rsidP="004300E2">
            <w:pPr>
              <w:pStyle w:val="Numeroelenco"/>
              <w:ind w:left="0" w:firstLine="57"/>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r w:rsidRPr="008A0F36">
              <w:rPr>
                <w:lang w:val="it-IT"/>
              </w:rPr>
              <w:t>IAS 40.77</w:t>
            </w:r>
          </w:p>
        </w:tc>
        <w:tc>
          <w:tcPr>
            <w:tcW w:w="7079" w:type="dxa"/>
            <w:shd w:val="clear" w:color="auto" w:fill="auto"/>
            <w:tcMar>
              <w:left w:w="108" w:type="dxa"/>
            </w:tcMar>
          </w:tcPr>
          <w:p w:rsidR="004300E2" w:rsidRPr="008A0F36" w:rsidRDefault="004300E2" w:rsidP="004300E2">
            <w:pPr>
              <w:rPr>
                <w:lang w:val="it-IT"/>
              </w:rPr>
            </w:pPr>
            <w:r w:rsidRPr="008A0F36">
              <w:rPr>
                <w:lang w:val="it-IT"/>
              </w:rPr>
              <w:t>Quando una valutazione di un investimento immobiliare viene significativamente rettificata ai fini del bilancio, l’entità ha fornito una riconciliazione fra la valutazione ottenuta e quella rettificata inclusa nel bilancio e ha mostrato distintamente:</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Default="004E201D" w:rsidP="004300E2">
            <w:pPr>
              <w:pStyle w:val="Rientroa"/>
              <w:numPr>
                <w:ilvl w:val="0"/>
                <w:numId w:val="119"/>
              </w:numPr>
              <w:tabs>
                <w:tab w:val="center" w:pos="4536"/>
                <w:tab w:val="right" w:pos="9072"/>
              </w:tabs>
              <w:rPr>
                <w:iCs/>
              </w:rPr>
            </w:pPr>
            <w:r w:rsidRPr="008A0F36">
              <w:t xml:space="preserve">l’ammontare complessivo rilevato di impegni di </w:t>
            </w:r>
            <w:r w:rsidRPr="008A0F36">
              <w:rPr>
                <w:i/>
              </w:rPr>
              <w:t>leasing</w:t>
            </w:r>
            <w:r w:rsidRPr="008A0F36">
              <w:t xml:space="preserve"> non iscritti che sono stati </w:t>
            </w:r>
            <w:r>
              <w:t>retro locati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A0F36" w:rsidTr="00940A6F">
        <w:trPr>
          <w:cantSplit/>
          <w:trHeight w:val="218"/>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right w:w="0" w:type="dxa"/>
            </w:tcMar>
          </w:tcPr>
          <w:p w:rsidR="004E201D" w:rsidRPr="008A0F36" w:rsidRDefault="004E201D" w:rsidP="004300E2">
            <w:pPr>
              <w:pStyle w:val="IAS"/>
              <w:rPr>
                <w:lang w:val="it-IT"/>
              </w:rPr>
            </w:pPr>
          </w:p>
        </w:tc>
        <w:tc>
          <w:tcPr>
            <w:tcW w:w="7079" w:type="dxa"/>
            <w:shd w:val="clear" w:color="auto" w:fill="auto"/>
          </w:tcPr>
          <w:p w:rsidR="004E201D" w:rsidRPr="008A0F36" w:rsidRDefault="004E201D" w:rsidP="00FB4B6E">
            <w:pPr>
              <w:pStyle w:val="Rientroa"/>
              <w:numPr>
                <w:ilvl w:val="0"/>
                <w:numId w:val="72"/>
              </w:numPr>
            </w:pPr>
            <w:r w:rsidRPr="008A0F36">
              <w:t>qualunque altra rettifica significativa.</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390"/>
        </w:trPr>
        <w:tc>
          <w:tcPr>
            <w:tcW w:w="567" w:type="dxa"/>
            <w:vMerge w:val="restart"/>
            <w:shd w:val="clear" w:color="auto" w:fill="auto"/>
            <w:tcMar>
              <w:left w:w="108" w:type="dxa"/>
            </w:tcMar>
          </w:tcPr>
          <w:p w:rsidR="004300E2" w:rsidRPr="008A0F36" w:rsidRDefault="004300E2" w:rsidP="004300E2">
            <w:pPr>
              <w:pStyle w:val="Numeroelenco"/>
              <w:ind w:left="0" w:firstLine="57"/>
              <w:rPr>
                <w:lang w:val="it-IT"/>
              </w:rPr>
            </w:pPr>
          </w:p>
          <w:p w:rsidR="004300E2" w:rsidRPr="008A0F36" w:rsidRDefault="004300E2" w:rsidP="004300E2">
            <w:pPr>
              <w:pStyle w:val="IAS"/>
              <w:rPr>
                <w:lang w:val="it-IT"/>
              </w:rPr>
            </w:pPr>
          </w:p>
        </w:tc>
        <w:tc>
          <w:tcPr>
            <w:tcW w:w="851" w:type="dxa"/>
            <w:vMerge w:val="restart"/>
            <w:shd w:val="clear" w:color="auto" w:fill="auto"/>
            <w:tcMar>
              <w:right w:w="0" w:type="dxa"/>
            </w:tcMar>
          </w:tcPr>
          <w:p w:rsidR="004300E2" w:rsidRPr="008A0F36" w:rsidRDefault="004300E2" w:rsidP="004300E2">
            <w:pPr>
              <w:pStyle w:val="IAS"/>
              <w:rPr>
                <w:lang w:val="it-IT"/>
              </w:rPr>
            </w:pPr>
            <w:r w:rsidRPr="008A0F36">
              <w:rPr>
                <w:lang w:val="it-IT"/>
              </w:rPr>
              <w:t>IAS 40.78</w:t>
            </w:r>
          </w:p>
        </w:tc>
        <w:tc>
          <w:tcPr>
            <w:tcW w:w="7079" w:type="dxa"/>
            <w:vMerge w:val="restart"/>
            <w:shd w:val="clear" w:color="auto" w:fill="auto"/>
          </w:tcPr>
          <w:p w:rsidR="004300E2" w:rsidRPr="008A0F36" w:rsidRDefault="004300E2" w:rsidP="003A5BB7">
            <w:pPr>
              <w:spacing w:line="214" w:lineRule="exact"/>
              <w:rPr>
                <w:rFonts w:ascii="Times New Roman" w:hAnsi="Times New Roman"/>
                <w:lang w:val="it-IT"/>
              </w:rPr>
            </w:pPr>
            <w:r w:rsidRPr="008A0F36">
              <w:rPr>
                <w:lang w:val="it-IT"/>
              </w:rPr>
              <w:t xml:space="preserve">Nei casi eccezionali in cui l’entità abbia optato per la valutazione degli investimenti immobiliari al </w:t>
            </w:r>
            <w:r w:rsidRPr="008A0F36">
              <w:rPr>
                <w:i/>
                <w:lang w:val="it-IT"/>
              </w:rPr>
              <w:t>fair value</w:t>
            </w:r>
            <w:r w:rsidRPr="008A0F36">
              <w:rPr>
                <w:lang w:val="it-IT"/>
              </w:rPr>
              <w:t xml:space="preserve">, ma lo stesso non sia </w:t>
            </w:r>
            <w:r>
              <w:rPr>
                <w:lang w:val="it-IT"/>
              </w:rPr>
              <w:t>valutabile in modo attendibile</w:t>
            </w:r>
            <w:r w:rsidRPr="008A0F36">
              <w:rPr>
                <w:lang w:val="it-IT"/>
              </w:rPr>
              <w:t xml:space="preserve">, e l’entità </w:t>
            </w:r>
            <w:r>
              <w:rPr>
                <w:lang w:val="it-IT"/>
              </w:rPr>
              <w:t xml:space="preserve">rileva </w:t>
            </w:r>
            <w:r w:rsidRPr="008A0F36">
              <w:rPr>
                <w:lang w:val="it-IT"/>
              </w:rPr>
              <w:t>l’investimento immobiliare al costo in accordo con quanto previsto dallo IAS 16 sono state riportate le seguenti informazioni:</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4300E2" w:rsidRPr="00A44ECD" w:rsidTr="00940A6F">
        <w:trPr>
          <w:cantSplit/>
          <w:trHeight w:val="390"/>
        </w:trPr>
        <w:tc>
          <w:tcPr>
            <w:tcW w:w="567" w:type="dxa"/>
            <w:vMerge/>
            <w:shd w:val="clear" w:color="auto" w:fill="auto"/>
            <w:tcMar>
              <w:left w:w="108" w:type="dxa"/>
            </w:tcMar>
          </w:tcPr>
          <w:p w:rsidR="004300E2" w:rsidRPr="008A0F36" w:rsidRDefault="004300E2" w:rsidP="004300E2">
            <w:pPr>
              <w:pStyle w:val="IAS"/>
              <w:rPr>
                <w:lang w:val="it-IT"/>
              </w:rPr>
            </w:pPr>
          </w:p>
        </w:tc>
        <w:tc>
          <w:tcPr>
            <w:tcW w:w="851" w:type="dxa"/>
            <w:vMerge/>
            <w:shd w:val="clear" w:color="auto" w:fill="auto"/>
            <w:tcMar>
              <w:right w:w="0" w:type="dxa"/>
            </w:tcMar>
          </w:tcPr>
          <w:p w:rsidR="004300E2" w:rsidRPr="008A0F36" w:rsidRDefault="004300E2" w:rsidP="004300E2">
            <w:pPr>
              <w:pStyle w:val="IAS"/>
              <w:rPr>
                <w:lang w:val="it-IT"/>
              </w:rPr>
            </w:pPr>
          </w:p>
        </w:tc>
        <w:tc>
          <w:tcPr>
            <w:tcW w:w="7079" w:type="dxa"/>
            <w:vMerge/>
            <w:shd w:val="clear" w:color="auto" w:fill="auto"/>
          </w:tcPr>
          <w:p w:rsidR="004300E2" w:rsidRPr="008A0F36" w:rsidRDefault="004300E2" w:rsidP="004300E2">
            <w:pPr>
              <w:rPr>
                <w:rFonts w:ascii="Times New Roman" w:hAnsi="Times New Roman"/>
                <w:lang w:val="it-IT"/>
              </w:rPr>
            </w:pP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Default="004E201D" w:rsidP="004300E2">
            <w:pPr>
              <w:pStyle w:val="Rientroa"/>
              <w:numPr>
                <w:ilvl w:val="0"/>
                <w:numId w:val="120"/>
              </w:numPr>
              <w:tabs>
                <w:tab w:val="center" w:pos="4536"/>
                <w:tab w:val="right" w:pos="9072"/>
              </w:tabs>
              <w:rPr>
                <w:iCs/>
              </w:rPr>
            </w:pPr>
            <w:r w:rsidRPr="008A0F36">
              <w:t>la riconciliazione richiesta dallo IAS 40.76, sopra indicata (</w:t>
            </w:r>
            <w:r w:rsidRPr="00AA561A">
              <w:t xml:space="preserve">vedi punto </w:t>
            </w:r>
            <w:r>
              <w:t>328</w:t>
            </w:r>
            <w:r w:rsidRPr="00AA561A">
              <w:t>),</w:t>
            </w:r>
            <w:r w:rsidRPr="009D576D">
              <w:t xml:space="preserve"> riportando</w:t>
            </w:r>
            <w:r w:rsidRPr="008A0F36">
              <w:t xml:space="preserve"> separatamente gli importi relativi a tale investimento immobiliare dagli importi relativi ad altri investimenti immobiliari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A0F36"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una descrizione dell’investimento immobiliare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 xml:space="preserve">una spiegazione del perché il </w:t>
            </w:r>
            <w:r w:rsidRPr="008A0F36">
              <w:rPr>
                <w:i/>
              </w:rPr>
              <w:t>fair value</w:t>
            </w:r>
            <w:r w:rsidRPr="008A0F36">
              <w:t xml:space="preserve"> non può essere </w:t>
            </w:r>
            <w:r>
              <w:t>valutato in modo attendibile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 xml:space="preserve">se possibile, la gamma di valori entro cui è altamente probabile che la stima del </w:t>
            </w:r>
            <w:r w:rsidRPr="008A0F36">
              <w:rPr>
                <w:i/>
              </w:rPr>
              <w:t>fair value</w:t>
            </w:r>
            <w:r w:rsidRPr="008A0F36">
              <w:t xml:space="preserve"> sia compresa</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 xml:space="preserve">sulle cessioni di investimenti immobiliari che non sono contabilizzati al </w:t>
            </w:r>
            <w:r w:rsidRPr="008A0F36">
              <w:rPr>
                <w:i/>
              </w:rPr>
              <w:t>fair value</w:t>
            </w:r>
            <w:r w:rsidRPr="008A0F36">
              <w:t xml:space="preserve">: </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4300E2">
            <w:pPr>
              <w:pStyle w:val="Puntoelenco"/>
              <w:ind w:hanging="322"/>
              <w:contextualSpacing w:val="0"/>
            </w:pPr>
            <w:r w:rsidRPr="008A0F36">
              <w:t xml:space="preserve">l’indicazione che l’entità ha ceduto investimenti immobiliari che non sono contabilizzati al </w:t>
            </w:r>
            <w:r w:rsidRPr="008A0F36">
              <w:rPr>
                <w:i/>
              </w:rPr>
              <w:t>fair value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4300E2">
            <w:pPr>
              <w:pStyle w:val="Puntoelenco"/>
              <w:ind w:hanging="322"/>
              <w:contextualSpacing w:val="0"/>
            </w:pPr>
            <w:r w:rsidRPr="008A0F36">
              <w:t>il valore contabile di quel investimento al momento della vendita; 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4300E2">
            <w:pPr>
              <w:pStyle w:val="Puntoelenco"/>
              <w:ind w:hanging="322"/>
              <w:contextualSpacing w:val="0"/>
            </w:pPr>
            <w:r w:rsidRPr="008A0F36">
              <w:t>l’importo degli utili o perdite iscritti.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A0F36" w:rsidTr="00940A6F">
        <w:trPr>
          <w:cantSplit/>
        </w:trPr>
        <w:tc>
          <w:tcPr>
            <w:tcW w:w="567" w:type="dxa"/>
            <w:shd w:val="clear" w:color="auto" w:fill="auto"/>
            <w:tcMar>
              <w:left w:w="108" w:type="dxa"/>
            </w:tcMar>
          </w:tcPr>
          <w:p w:rsidR="004300E2" w:rsidRPr="008A0F36" w:rsidRDefault="004300E2" w:rsidP="004300E2">
            <w:pPr>
              <w:pStyle w:val="IAS"/>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p>
        </w:tc>
        <w:tc>
          <w:tcPr>
            <w:tcW w:w="7079" w:type="dxa"/>
            <w:shd w:val="clear" w:color="auto" w:fill="auto"/>
            <w:tcMar>
              <w:left w:w="108" w:type="dxa"/>
            </w:tcMar>
          </w:tcPr>
          <w:p w:rsidR="004300E2" w:rsidRPr="008A0F36" w:rsidRDefault="004300E2" w:rsidP="004300E2">
            <w:pPr>
              <w:pStyle w:val="Titolo2"/>
              <w:rPr>
                <w:lang w:val="it-IT"/>
              </w:rPr>
            </w:pPr>
            <w:r w:rsidRPr="008A0F36">
              <w:rPr>
                <w:lang w:val="it-IT"/>
              </w:rPr>
              <w:t>Contabilizzazione al costo</w:t>
            </w:r>
          </w:p>
        </w:tc>
        <w:tc>
          <w:tcPr>
            <w:tcW w:w="575" w:type="dxa"/>
            <w:shd w:val="clear" w:color="auto" w:fill="auto"/>
            <w:tcMar>
              <w:left w:w="85" w:type="dxa"/>
              <w:right w:w="85" w:type="dxa"/>
            </w:tcMar>
            <w:vAlign w:val="center"/>
          </w:tcPr>
          <w:p w:rsidR="004300E2" w:rsidRDefault="004300E2" w:rsidP="004300E2">
            <w:pPr>
              <w:jc w:val="center"/>
            </w:pPr>
          </w:p>
        </w:tc>
        <w:tc>
          <w:tcPr>
            <w:tcW w:w="567" w:type="dxa"/>
            <w:shd w:val="clear" w:color="auto" w:fill="auto"/>
            <w:tcMar>
              <w:left w:w="108" w:type="dxa"/>
            </w:tcMar>
            <w:vAlign w:val="center"/>
          </w:tcPr>
          <w:p w:rsidR="004300E2" w:rsidRDefault="004300E2" w:rsidP="004300E2">
            <w:pPr>
              <w:jc w:val="center"/>
            </w:pPr>
          </w:p>
        </w:tc>
        <w:tc>
          <w:tcPr>
            <w:tcW w:w="567" w:type="dxa"/>
            <w:shd w:val="clear" w:color="auto" w:fill="auto"/>
            <w:tcMar>
              <w:left w:w="108" w:type="dxa"/>
            </w:tcMar>
            <w:vAlign w:val="center"/>
          </w:tcPr>
          <w:p w:rsidR="004300E2" w:rsidRDefault="004300E2" w:rsidP="004300E2">
            <w:pPr>
              <w:jc w:val="center"/>
            </w:pPr>
          </w:p>
        </w:tc>
      </w:tr>
      <w:tr w:rsidR="004300E2" w:rsidRPr="00A44ECD" w:rsidTr="00940A6F">
        <w:trPr>
          <w:cantSplit/>
        </w:trPr>
        <w:tc>
          <w:tcPr>
            <w:tcW w:w="567" w:type="dxa"/>
            <w:shd w:val="clear" w:color="auto" w:fill="auto"/>
            <w:tcMar>
              <w:left w:w="108" w:type="dxa"/>
            </w:tcMar>
          </w:tcPr>
          <w:p w:rsidR="004300E2" w:rsidRPr="008A0F36" w:rsidRDefault="004300E2" w:rsidP="004300E2">
            <w:pPr>
              <w:pStyle w:val="Numeroelenco"/>
              <w:ind w:left="0" w:firstLine="57"/>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r w:rsidRPr="008A0F36">
              <w:rPr>
                <w:lang w:val="it-IT"/>
              </w:rPr>
              <w:t>IAS 40.79</w:t>
            </w:r>
          </w:p>
        </w:tc>
        <w:tc>
          <w:tcPr>
            <w:tcW w:w="7079" w:type="dxa"/>
            <w:shd w:val="clear" w:color="auto" w:fill="auto"/>
            <w:tcMar>
              <w:left w:w="108" w:type="dxa"/>
            </w:tcMar>
          </w:tcPr>
          <w:p w:rsidR="004300E2" w:rsidRPr="008A0F36" w:rsidRDefault="004300E2" w:rsidP="004300E2">
            <w:pPr>
              <w:rPr>
                <w:lang w:val="it-IT"/>
              </w:rPr>
            </w:pPr>
            <w:r w:rsidRPr="008A0F36">
              <w:rPr>
                <w:lang w:val="it-IT"/>
              </w:rPr>
              <w:t>Se l’entità applica la contabilizzazione al costo deve indicare:</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Default="004E201D" w:rsidP="004300E2">
            <w:pPr>
              <w:pStyle w:val="Rientroa"/>
              <w:numPr>
                <w:ilvl w:val="0"/>
                <w:numId w:val="121"/>
              </w:numPr>
              <w:tabs>
                <w:tab w:val="center" w:pos="4536"/>
                <w:tab w:val="right" w:pos="9072"/>
              </w:tabs>
              <w:rPr>
                <w:iCs/>
              </w:rPr>
            </w:pPr>
            <w:r w:rsidRPr="008A0F36">
              <w:t>il criterio di ammortamento utilizzato</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le vite utili o il tasso di ammortamento utilizzato</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il valore contabile lordo e l’ammortamento accumulato (aggregato con le perdite per riduzione di valore accumulate) all’inizio e alla fine dell’esercizio</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3A5BB7">
            <w:pPr>
              <w:pStyle w:val="Rientroa"/>
              <w:numPr>
                <w:ilvl w:val="0"/>
                <w:numId w:val="72"/>
              </w:numPr>
              <w:spacing w:line="214" w:lineRule="exact"/>
            </w:pPr>
            <w:r w:rsidRPr="008A0F36">
              <w:t xml:space="preserve">una riconciliazione del valore contabile dell’investimento immobiliare tra l’inizio e la fine dell’esercizio che presenti le seguenti indicazioni: </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3A5BB7">
            <w:pPr>
              <w:pStyle w:val="Puntoelenco"/>
              <w:spacing w:line="214" w:lineRule="exact"/>
              <w:ind w:hanging="322"/>
              <w:contextualSpacing w:val="0"/>
            </w:pPr>
            <w:r w:rsidRPr="008A0F36">
              <w:t>incrementi con separata evidenziazione degli incrementi risultanti da acquisizioni e quelli risultanti dalla capitalizzazione di spese sostenute successivamente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3A5BB7">
            <w:pPr>
              <w:pStyle w:val="Puntoelenco"/>
              <w:spacing w:line="214" w:lineRule="exact"/>
              <w:ind w:hanging="322"/>
              <w:contextualSpacing w:val="0"/>
            </w:pPr>
            <w:r w:rsidRPr="008A0F36">
              <w:t>incrementi di valore risultanti da acquisizioni avvenute tramite aggregazioni aziendali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r w:rsidRPr="008A0F36">
              <w:rPr>
                <w:lang w:val="it-IT"/>
              </w:rPr>
              <w:t>IFRS 5.6</w:t>
            </w:r>
          </w:p>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3A5BB7">
            <w:pPr>
              <w:pStyle w:val="Puntoelenco"/>
              <w:spacing w:line="214" w:lineRule="exact"/>
              <w:ind w:left="782" w:hanging="323"/>
              <w:contextualSpacing w:val="0"/>
            </w:pPr>
            <w:r w:rsidRPr="008A0F36">
              <w:t>attività classificate come beni detenuti per la vendita o inclusi in gruppi in dismissione classificati come detenuti per la vendita in conformità con l’IFRS 5 e altre dismissioni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A0F36" w:rsidTr="00940A6F">
        <w:trPr>
          <w:cantSplit/>
        </w:trPr>
        <w:tc>
          <w:tcPr>
            <w:tcW w:w="567" w:type="dxa"/>
            <w:tcMar>
              <w:left w:w="108"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3A5BB7">
            <w:pPr>
              <w:pStyle w:val="Puntoelenco"/>
              <w:ind w:left="782" w:hanging="323"/>
              <w:contextualSpacing w:val="0"/>
            </w:pPr>
            <w:r w:rsidRPr="008A0F36">
              <w:t>l’ammortamento</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r w:rsidRPr="008A0F36">
              <w:rPr>
                <w:lang w:val="it-IT"/>
              </w:rPr>
              <w:t>IAS 36.126</w:t>
            </w:r>
          </w:p>
          <w:p w:rsidR="004E201D" w:rsidRPr="008A0F36" w:rsidRDefault="004E201D" w:rsidP="004300E2">
            <w:pPr>
              <w:pStyle w:val="IAS"/>
              <w:rPr>
                <w:lang w:val="it-IT"/>
              </w:rPr>
            </w:pPr>
          </w:p>
        </w:tc>
        <w:tc>
          <w:tcPr>
            <w:tcW w:w="7079" w:type="dxa"/>
            <w:tcMar>
              <w:left w:w="108" w:type="dxa"/>
            </w:tcMar>
          </w:tcPr>
          <w:p w:rsidR="004E201D" w:rsidRPr="008A0F36" w:rsidRDefault="004E201D" w:rsidP="003A5BB7">
            <w:pPr>
              <w:pStyle w:val="Puntoelenco"/>
              <w:spacing w:line="214" w:lineRule="exact"/>
              <w:ind w:left="782" w:hanging="323"/>
              <w:contextualSpacing w:val="0"/>
            </w:pPr>
            <w:r w:rsidRPr="008A0F36">
              <w:t>l’importo delle perdite per riduzione di valore rilevate, e l’importo delle perdite per riduzione di valore ripristinate nel corso dell’esercizio secondo quanto previsto dallo IAS 36</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3A5BB7">
            <w:pPr>
              <w:pStyle w:val="Puntoelenco"/>
              <w:spacing w:line="214" w:lineRule="exact"/>
              <w:ind w:left="782" w:hanging="323"/>
              <w:contextualSpacing w:val="0"/>
            </w:pPr>
            <w:r w:rsidRPr="008A0F36">
              <w:t>differenze nette di cambio derivanti dalla conversione del bilancio di una entità economica estera in una diversa moneta di presentazione e altre conversioni di operazioni in valuta nella moneta di presentazione di bilancio dell’entità</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3A5BB7">
            <w:pPr>
              <w:pStyle w:val="Puntoelenco"/>
              <w:ind w:left="782" w:hanging="323"/>
            </w:pPr>
            <w:r w:rsidRPr="008A0F36">
              <w:t>cambiamenti di destinazione da od a rimanenze e immobili a uso del proprietario</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A0F36" w:rsidTr="00940A6F">
        <w:trPr>
          <w:cantSplit/>
        </w:trPr>
        <w:tc>
          <w:tcPr>
            <w:tcW w:w="567" w:type="dxa"/>
            <w:tcMar>
              <w:left w:w="108"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3A5BB7">
            <w:pPr>
              <w:pStyle w:val="Puntoelenco"/>
              <w:ind w:left="782" w:hanging="323"/>
            </w:pPr>
            <w:r w:rsidRPr="008A0F36">
              <w:t>altre variazioni; e</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tcMar>
              <w:left w:w="108" w:type="dxa"/>
            </w:tcMar>
          </w:tcPr>
          <w:p w:rsidR="004300E2" w:rsidRPr="008A0F36" w:rsidRDefault="004300E2" w:rsidP="004300E2">
            <w:pPr>
              <w:pStyle w:val="IAS"/>
              <w:rPr>
                <w:lang w:val="it-IT"/>
              </w:rPr>
            </w:pPr>
          </w:p>
        </w:tc>
        <w:tc>
          <w:tcPr>
            <w:tcW w:w="851" w:type="dxa"/>
            <w:tcMar>
              <w:left w:w="108" w:type="dxa"/>
              <w:right w:w="0" w:type="dxa"/>
            </w:tcMar>
          </w:tcPr>
          <w:p w:rsidR="004300E2" w:rsidRPr="008A0F36" w:rsidRDefault="004300E2" w:rsidP="004300E2">
            <w:pPr>
              <w:pStyle w:val="IAS"/>
              <w:rPr>
                <w:lang w:val="it-IT"/>
              </w:rPr>
            </w:pPr>
          </w:p>
        </w:tc>
        <w:tc>
          <w:tcPr>
            <w:tcW w:w="7079" w:type="dxa"/>
            <w:tcMar>
              <w:left w:w="108" w:type="dxa"/>
            </w:tcMar>
          </w:tcPr>
          <w:p w:rsidR="004300E2" w:rsidRPr="008A0F36" w:rsidRDefault="004300E2" w:rsidP="00FB4B6E">
            <w:pPr>
              <w:pStyle w:val="Rientroa"/>
              <w:numPr>
                <w:ilvl w:val="0"/>
                <w:numId w:val="72"/>
              </w:numPr>
            </w:pPr>
            <w:r w:rsidRPr="008A0F36">
              <w:t xml:space="preserve">il </w:t>
            </w:r>
            <w:r w:rsidRPr="008A0F36">
              <w:rPr>
                <w:i/>
              </w:rPr>
              <w:t>fair value</w:t>
            </w:r>
            <w:r w:rsidRPr="008A0F36">
              <w:t xml:space="preserve"> dell’investimento immobiliare.</w:t>
            </w:r>
          </w:p>
        </w:tc>
        <w:tc>
          <w:tcPr>
            <w:tcW w:w="575" w:type="dxa"/>
            <w:tcMar>
              <w:left w:w="85" w:type="dxa"/>
              <w:right w:w="85"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c>
          <w:tcPr>
            <w:tcW w:w="567" w:type="dxa"/>
            <w:shd w:val="clear" w:color="auto" w:fill="auto"/>
            <w:tcMar>
              <w:left w:w="108" w:type="dxa"/>
            </w:tcMar>
            <w:vAlign w:val="center"/>
          </w:tcPr>
          <w:p w:rsidR="004300E2" w:rsidRPr="00A32A16" w:rsidRDefault="004300E2" w:rsidP="004300E2">
            <w:pPr>
              <w:jc w:val="center"/>
              <w:rPr>
                <w:lang w:val="it-IT"/>
              </w:rPr>
            </w:pPr>
          </w:p>
        </w:tc>
      </w:tr>
      <w:tr w:rsidR="004300E2" w:rsidRPr="00A44ECD" w:rsidTr="00940A6F">
        <w:trPr>
          <w:cantSplit/>
        </w:trPr>
        <w:tc>
          <w:tcPr>
            <w:tcW w:w="567" w:type="dxa"/>
            <w:tcMar>
              <w:left w:w="108" w:type="dxa"/>
            </w:tcMar>
          </w:tcPr>
          <w:p w:rsidR="004300E2" w:rsidRPr="008A0F36" w:rsidRDefault="004300E2" w:rsidP="004300E2">
            <w:pPr>
              <w:pStyle w:val="IAS"/>
              <w:rPr>
                <w:lang w:val="it-IT"/>
              </w:rPr>
            </w:pPr>
          </w:p>
        </w:tc>
        <w:tc>
          <w:tcPr>
            <w:tcW w:w="851" w:type="dxa"/>
            <w:tcMar>
              <w:left w:w="108" w:type="dxa"/>
              <w:right w:w="0" w:type="dxa"/>
            </w:tcMar>
          </w:tcPr>
          <w:p w:rsidR="004300E2" w:rsidRPr="008A0F36" w:rsidRDefault="004300E2" w:rsidP="004300E2">
            <w:pPr>
              <w:pStyle w:val="IAS"/>
              <w:rPr>
                <w:lang w:val="it-IT"/>
              </w:rPr>
            </w:pPr>
            <w:r>
              <w:rPr>
                <w:lang w:val="it-IT"/>
              </w:rPr>
              <w:t>IAS 40.53</w:t>
            </w:r>
          </w:p>
        </w:tc>
        <w:tc>
          <w:tcPr>
            <w:tcW w:w="7079" w:type="dxa"/>
            <w:tcMar>
              <w:left w:w="108" w:type="dxa"/>
            </w:tcMar>
          </w:tcPr>
          <w:p w:rsidR="004300E2" w:rsidRPr="008A0F36" w:rsidRDefault="004300E2" w:rsidP="003A5BB7">
            <w:pPr>
              <w:pStyle w:val="Rientroa"/>
              <w:numPr>
                <w:ilvl w:val="0"/>
                <w:numId w:val="72"/>
              </w:numPr>
              <w:spacing w:line="214" w:lineRule="exact"/>
              <w:ind w:left="391" w:hanging="357"/>
            </w:pPr>
            <w:r w:rsidRPr="008A0F36">
              <w:t xml:space="preserve">nei casi eccezionali in cui l’entità non può </w:t>
            </w:r>
            <w:r>
              <w:t xml:space="preserve">valutare </w:t>
            </w:r>
            <w:r w:rsidRPr="008A0F36">
              <w:t xml:space="preserve">il </w:t>
            </w:r>
            <w:r w:rsidRPr="008A0F36">
              <w:rPr>
                <w:i/>
              </w:rPr>
              <w:t>fair value</w:t>
            </w:r>
            <w:r w:rsidRPr="008A0F36">
              <w:t xml:space="preserve"> dell’investimento immobiliare </w:t>
            </w:r>
            <w:r>
              <w:t>in modo attendibile</w:t>
            </w:r>
            <w:r w:rsidRPr="008A0F36">
              <w:t xml:space="preserve">, l’entità ha evidenziato: </w:t>
            </w:r>
          </w:p>
        </w:tc>
        <w:tc>
          <w:tcPr>
            <w:tcW w:w="575" w:type="dxa"/>
            <w:tcMar>
              <w:left w:w="85" w:type="dxa"/>
              <w:right w:w="85" w:type="dxa"/>
            </w:tcMar>
            <w:vAlign w:val="center"/>
          </w:tcPr>
          <w:p w:rsidR="004300E2" w:rsidRPr="00A32A16" w:rsidRDefault="004300E2" w:rsidP="004300E2">
            <w:pPr>
              <w:jc w:val="center"/>
              <w:rPr>
                <w:lang w:val="it-IT"/>
              </w:rPr>
            </w:pPr>
          </w:p>
        </w:tc>
        <w:tc>
          <w:tcPr>
            <w:tcW w:w="567" w:type="dxa"/>
            <w:tcMar>
              <w:left w:w="108" w:type="dxa"/>
            </w:tcMar>
            <w:vAlign w:val="center"/>
          </w:tcPr>
          <w:p w:rsidR="004300E2" w:rsidRPr="00A32A16" w:rsidRDefault="004300E2" w:rsidP="004300E2">
            <w:pPr>
              <w:jc w:val="center"/>
              <w:rPr>
                <w:lang w:val="it-IT"/>
              </w:rPr>
            </w:pPr>
          </w:p>
        </w:tc>
        <w:tc>
          <w:tcPr>
            <w:tcW w:w="567" w:type="dxa"/>
            <w:shd w:val="clear" w:color="auto" w:fill="auto"/>
            <w:tcMar>
              <w:left w:w="108" w:type="dxa"/>
            </w:tcMar>
            <w:vAlign w:val="center"/>
          </w:tcPr>
          <w:p w:rsidR="004300E2" w:rsidRPr="00A32A16" w:rsidRDefault="004300E2" w:rsidP="004300E2">
            <w:pPr>
              <w:jc w:val="center"/>
              <w:rPr>
                <w:lang w:val="it-IT"/>
              </w:rPr>
            </w:pPr>
          </w:p>
        </w:tc>
      </w:tr>
      <w:tr w:rsidR="004E201D" w:rsidRPr="008A0F36" w:rsidTr="00940A6F">
        <w:trPr>
          <w:cantSplit/>
        </w:trPr>
        <w:tc>
          <w:tcPr>
            <w:tcW w:w="567" w:type="dxa"/>
            <w:tcMar>
              <w:left w:w="108"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4300E2">
            <w:pPr>
              <w:pStyle w:val="Puntoelenco"/>
              <w:ind w:hanging="322"/>
            </w:pPr>
            <w:r w:rsidRPr="008A0F36">
              <w:t>una descrizione dell’investimento immobiliare</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4300E2">
            <w:pPr>
              <w:pStyle w:val="Puntoelenco"/>
              <w:ind w:hanging="322"/>
            </w:pPr>
            <w:r w:rsidRPr="008A0F36">
              <w:t xml:space="preserve">una spiegazione del perché il </w:t>
            </w:r>
            <w:r w:rsidRPr="008A0F36">
              <w:rPr>
                <w:i/>
              </w:rPr>
              <w:t>fair value</w:t>
            </w:r>
            <w:r w:rsidRPr="008A0F36">
              <w:t xml:space="preserve"> non può essere </w:t>
            </w:r>
            <w:r>
              <w:t>valutato in modo attendibile</w:t>
            </w:r>
            <w:r w:rsidRPr="008A0F36">
              <w:t>; e</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tcMar>
              <w:left w:w="108" w:type="dxa"/>
            </w:tcMar>
          </w:tcPr>
          <w:p w:rsidR="004E201D" w:rsidRPr="008A0F36" w:rsidRDefault="004E201D" w:rsidP="004300E2">
            <w:pPr>
              <w:pStyle w:val="IAS"/>
              <w:rPr>
                <w:lang w:val="it-IT"/>
              </w:rPr>
            </w:pPr>
          </w:p>
        </w:tc>
        <w:tc>
          <w:tcPr>
            <w:tcW w:w="851" w:type="dxa"/>
            <w:tcMar>
              <w:left w:w="108" w:type="dxa"/>
              <w:right w:w="0" w:type="dxa"/>
            </w:tcMar>
          </w:tcPr>
          <w:p w:rsidR="004E201D" w:rsidRPr="008A0F36" w:rsidRDefault="004E201D" w:rsidP="004300E2">
            <w:pPr>
              <w:pStyle w:val="IAS"/>
              <w:rPr>
                <w:lang w:val="it-IT"/>
              </w:rPr>
            </w:pPr>
          </w:p>
        </w:tc>
        <w:tc>
          <w:tcPr>
            <w:tcW w:w="7079" w:type="dxa"/>
            <w:tcMar>
              <w:left w:w="108" w:type="dxa"/>
            </w:tcMar>
          </w:tcPr>
          <w:p w:rsidR="004E201D" w:rsidRPr="008A0F36" w:rsidRDefault="004E201D" w:rsidP="004300E2">
            <w:pPr>
              <w:pStyle w:val="Puntoelenco"/>
              <w:ind w:hanging="322"/>
            </w:pPr>
            <w:r w:rsidRPr="008A0F36">
              <w:t xml:space="preserve">se possibile, la gamma di valori entro cui è altamente probabile che la stima del </w:t>
            </w:r>
            <w:r w:rsidRPr="008A0F36">
              <w:rPr>
                <w:i/>
              </w:rPr>
              <w:t>fair value</w:t>
            </w:r>
            <w:r w:rsidRPr="008A0F36">
              <w:t xml:space="preserve"> sia compresa.</w:t>
            </w:r>
          </w:p>
        </w:tc>
        <w:tc>
          <w:tcPr>
            <w:tcW w:w="575" w:type="dxa"/>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A0F36" w:rsidTr="00940A6F">
        <w:trPr>
          <w:cantSplit/>
        </w:trPr>
        <w:tc>
          <w:tcPr>
            <w:tcW w:w="567" w:type="dxa"/>
            <w:tcMar>
              <w:left w:w="108" w:type="dxa"/>
            </w:tcMar>
          </w:tcPr>
          <w:p w:rsidR="004300E2" w:rsidRPr="008A0F36" w:rsidRDefault="004300E2" w:rsidP="004300E2">
            <w:pPr>
              <w:pStyle w:val="IAS"/>
              <w:rPr>
                <w:lang w:val="it-IT"/>
              </w:rPr>
            </w:pPr>
          </w:p>
        </w:tc>
        <w:tc>
          <w:tcPr>
            <w:tcW w:w="851" w:type="dxa"/>
            <w:tcMar>
              <w:left w:w="108" w:type="dxa"/>
              <w:right w:w="0" w:type="dxa"/>
            </w:tcMar>
          </w:tcPr>
          <w:p w:rsidR="004300E2" w:rsidRPr="008A0F36" w:rsidRDefault="004300E2" w:rsidP="004300E2">
            <w:pPr>
              <w:pStyle w:val="IAS"/>
              <w:pageBreakBefore/>
              <w:rPr>
                <w:lang w:val="it-IT"/>
              </w:rPr>
            </w:pPr>
          </w:p>
        </w:tc>
        <w:tc>
          <w:tcPr>
            <w:tcW w:w="7079" w:type="dxa"/>
            <w:tcMar>
              <w:left w:w="108" w:type="dxa"/>
            </w:tcMar>
          </w:tcPr>
          <w:p w:rsidR="004300E2" w:rsidRPr="008A0F36" w:rsidRDefault="004300E2" w:rsidP="004300E2">
            <w:pPr>
              <w:pStyle w:val="Titolo2"/>
              <w:pageBreakBefore/>
              <w:rPr>
                <w:lang w:val="it-IT"/>
              </w:rPr>
            </w:pPr>
            <w:r w:rsidRPr="008A0F36">
              <w:rPr>
                <w:lang w:val="it-IT"/>
              </w:rPr>
              <w:t>Disposizioni transitorie</w:t>
            </w:r>
          </w:p>
        </w:tc>
        <w:tc>
          <w:tcPr>
            <w:tcW w:w="575" w:type="dxa"/>
            <w:tcMar>
              <w:left w:w="85" w:type="dxa"/>
              <w:right w:w="85" w:type="dxa"/>
            </w:tcMar>
            <w:vAlign w:val="bottom"/>
          </w:tcPr>
          <w:p w:rsidR="004300E2" w:rsidRPr="008A0F36" w:rsidRDefault="004300E2" w:rsidP="004300E2">
            <w:pPr>
              <w:pageBreakBefore/>
              <w:rPr>
                <w:lang w:val="it-IT"/>
              </w:rPr>
            </w:pPr>
          </w:p>
        </w:tc>
        <w:tc>
          <w:tcPr>
            <w:tcW w:w="567" w:type="dxa"/>
            <w:tcMar>
              <w:left w:w="108" w:type="dxa"/>
            </w:tcMar>
            <w:vAlign w:val="bottom"/>
          </w:tcPr>
          <w:p w:rsidR="004300E2" w:rsidRPr="008A0F36" w:rsidRDefault="004300E2" w:rsidP="004300E2">
            <w:pPr>
              <w:pageBreakBefore/>
              <w:rPr>
                <w:lang w:val="it-IT"/>
              </w:rPr>
            </w:pPr>
          </w:p>
        </w:tc>
        <w:tc>
          <w:tcPr>
            <w:tcW w:w="567" w:type="dxa"/>
            <w:shd w:val="clear" w:color="auto" w:fill="auto"/>
            <w:tcMar>
              <w:left w:w="108" w:type="dxa"/>
            </w:tcMar>
            <w:vAlign w:val="bottom"/>
          </w:tcPr>
          <w:p w:rsidR="004300E2" w:rsidRPr="008A0F36" w:rsidRDefault="004300E2" w:rsidP="004300E2">
            <w:pPr>
              <w:pageBreakBefore/>
              <w:rPr>
                <w:lang w:val="it-IT"/>
              </w:rPr>
            </w:pPr>
          </w:p>
        </w:tc>
      </w:tr>
      <w:tr w:rsidR="004300E2" w:rsidRPr="00A44ECD" w:rsidTr="00940A6F">
        <w:trPr>
          <w:cantSplit/>
        </w:trPr>
        <w:tc>
          <w:tcPr>
            <w:tcW w:w="567" w:type="dxa"/>
            <w:tcMar>
              <w:left w:w="108" w:type="dxa"/>
            </w:tcMar>
          </w:tcPr>
          <w:p w:rsidR="004300E2" w:rsidRPr="008A0F36" w:rsidRDefault="004300E2" w:rsidP="004300E2">
            <w:pPr>
              <w:pStyle w:val="IAS"/>
              <w:rPr>
                <w:lang w:val="it-IT"/>
              </w:rPr>
            </w:pPr>
          </w:p>
        </w:tc>
        <w:tc>
          <w:tcPr>
            <w:tcW w:w="851" w:type="dxa"/>
            <w:tcMar>
              <w:left w:w="108" w:type="dxa"/>
              <w:right w:w="0" w:type="dxa"/>
            </w:tcMar>
          </w:tcPr>
          <w:p w:rsidR="004300E2" w:rsidRPr="008A0F36" w:rsidRDefault="004300E2" w:rsidP="004300E2">
            <w:pPr>
              <w:pStyle w:val="IAS"/>
              <w:rPr>
                <w:lang w:val="it-IT"/>
              </w:rPr>
            </w:pPr>
            <w:r w:rsidRPr="008A0F36">
              <w:rPr>
                <w:lang w:val="it-IT"/>
              </w:rPr>
              <w:t>IAS 40.83</w:t>
            </w:r>
          </w:p>
        </w:tc>
        <w:tc>
          <w:tcPr>
            <w:tcW w:w="7079" w:type="dxa"/>
            <w:tcMar>
              <w:left w:w="108" w:type="dxa"/>
            </w:tcMar>
          </w:tcPr>
          <w:p w:rsidR="004300E2" w:rsidRPr="008A0F36" w:rsidRDefault="004300E2" w:rsidP="0002186C">
            <w:pPr>
              <w:pStyle w:val="Paragarfobordato"/>
            </w:pPr>
            <w:r w:rsidRPr="008A0F36">
              <w:t>Lo IAS 8 si applica a</w:t>
            </w:r>
            <w:r>
              <w:t xml:space="preserve"> qualsiasi cambiamento di principio contabile attuato q</w:t>
            </w:r>
            <w:r w:rsidRPr="008A0F36">
              <w:t xml:space="preserve">uando un’entità applica per la prima volta lo IAS 40 e </w:t>
            </w:r>
            <w:r>
              <w:t xml:space="preserve">opta per utilizzare la </w:t>
            </w:r>
            <w:r w:rsidRPr="008A0F36">
              <w:t xml:space="preserve">contabilizzazione </w:t>
            </w:r>
            <w:r>
              <w:t>al</w:t>
            </w:r>
            <w:r w:rsidRPr="008A0F36">
              <w:t xml:space="preserve"> costo. L’effetto del cambiamento di un Principio include la riclassifica di ogni importo detenuto nell</w:t>
            </w:r>
            <w:r>
              <w:t>a</w:t>
            </w:r>
            <w:r w:rsidRPr="008A0F36">
              <w:t xml:space="preserve"> riserv</w:t>
            </w:r>
            <w:r>
              <w:t>a</w:t>
            </w:r>
            <w:r w:rsidRPr="008A0F36">
              <w:t xml:space="preserve"> di rivalutazione </w:t>
            </w:r>
            <w:r>
              <w:t>dell’</w:t>
            </w:r>
            <w:r w:rsidRPr="008A0F36">
              <w:t>investiment</w:t>
            </w:r>
            <w:r>
              <w:t>o</w:t>
            </w:r>
            <w:r w:rsidRPr="008A0F36">
              <w:t xml:space="preserve"> immobiliar</w:t>
            </w:r>
            <w:r>
              <w:t>e</w:t>
            </w:r>
            <w:r w:rsidRPr="008A0F36">
              <w:t>.</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r>
      <w:tr w:rsidR="004300E2" w:rsidRPr="00A44ECD" w:rsidTr="00940A6F">
        <w:trPr>
          <w:cantSplit/>
          <w:trHeight w:val="323"/>
        </w:trPr>
        <w:tc>
          <w:tcPr>
            <w:tcW w:w="567" w:type="dxa"/>
            <w:shd w:val="clear" w:color="auto" w:fill="auto"/>
            <w:tcMar>
              <w:left w:w="108" w:type="dxa"/>
              <w:right w:w="0" w:type="dxa"/>
            </w:tcMar>
          </w:tcPr>
          <w:p w:rsidR="004300E2" w:rsidRDefault="004300E2" w:rsidP="004300E2">
            <w:pPr>
              <w:pStyle w:val="IAS"/>
              <w:jc w:val="left"/>
              <w:rPr>
                <w:lang w:val="it-IT"/>
              </w:rPr>
            </w:pPr>
          </w:p>
        </w:tc>
        <w:tc>
          <w:tcPr>
            <w:tcW w:w="851" w:type="dxa"/>
            <w:shd w:val="clear" w:color="auto" w:fill="auto"/>
            <w:tcMar>
              <w:left w:w="108" w:type="dxa"/>
              <w:right w:w="0" w:type="dxa"/>
            </w:tcMar>
          </w:tcPr>
          <w:p w:rsidR="004300E2" w:rsidRDefault="004300E2" w:rsidP="004300E2">
            <w:pPr>
              <w:pStyle w:val="IAS"/>
              <w:jc w:val="left"/>
              <w:rPr>
                <w:lang w:val="it-IT"/>
              </w:rPr>
            </w:pPr>
          </w:p>
        </w:tc>
        <w:tc>
          <w:tcPr>
            <w:tcW w:w="7079" w:type="dxa"/>
            <w:shd w:val="clear" w:color="auto" w:fill="auto"/>
            <w:tcMar>
              <w:left w:w="108" w:type="dxa"/>
            </w:tcMar>
          </w:tcPr>
          <w:p w:rsidR="004300E2" w:rsidRPr="007F5034" w:rsidRDefault="004300E2" w:rsidP="004300E2">
            <w:pPr>
              <w:pStyle w:val="IAS"/>
              <w:jc w:val="left"/>
              <w:rPr>
                <w:b/>
                <w:sz w:val="22"/>
                <w:szCs w:val="22"/>
                <w:lang w:val="it-IT"/>
              </w:rPr>
            </w:pPr>
            <w:r w:rsidRPr="007F5034">
              <w:rPr>
                <w:b/>
                <w:sz w:val="22"/>
                <w:szCs w:val="22"/>
                <w:lang w:val="it-IT"/>
              </w:rPr>
              <w:t>INFORMATIVA SUL LEASING RICHIESTA AI LOCATARI</w:t>
            </w:r>
          </w:p>
        </w:tc>
        <w:tc>
          <w:tcPr>
            <w:tcW w:w="575" w:type="dxa"/>
            <w:shd w:val="clear" w:color="auto" w:fill="auto"/>
            <w:tcMar>
              <w:left w:w="85" w:type="dxa"/>
              <w:right w:w="85" w:type="dxa"/>
            </w:tcMar>
            <w:vAlign w:val="center"/>
          </w:tcPr>
          <w:p w:rsidR="004300E2" w:rsidRDefault="004300E2" w:rsidP="004300E2">
            <w:pPr>
              <w:pStyle w:val="IAS"/>
              <w:jc w:val="left"/>
              <w:rPr>
                <w:lang w:val="it-IT"/>
              </w:rPr>
            </w:pPr>
          </w:p>
        </w:tc>
        <w:tc>
          <w:tcPr>
            <w:tcW w:w="567" w:type="dxa"/>
            <w:shd w:val="clear" w:color="auto" w:fill="auto"/>
            <w:tcMar>
              <w:left w:w="108" w:type="dxa"/>
            </w:tcMar>
            <w:vAlign w:val="center"/>
          </w:tcPr>
          <w:p w:rsidR="004300E2" w:rsidRDefault="004300E2" w:rsidP="004300E2">
            <w:pPr>
              <w:pStyle w:val="IAS"/>
              <w:jc w:val="left"/>
              <w:rPr>
                <w:lang w:val="it-IT"/>
              </w:rPr>
            </w:pPr>
          </w:p>
        </w:tc>
        <w:tc>
          <w:tcPr>
            <w:tcW w:w="567" w:type="dxa"/>
            <w:vAlign w:val="center"/>
          </w:tcPr>
          <w:p w:rsidR="004300E2" w:rsidRDefault="004300E2" w:rsidP="004300E2">
            <w:pPr>
              <w:pStyle w:val="IAS"/>
              <w:jc w:val="left"/>
              <w:rPr>
                <w:lang w:val="it-IT"/>
              </w:rPr>
            </w:pPr>
          </w:p>
        </w:tc>
      </w:tr>
      <w:tr w:rsidR="004300E2" w:rsidRPr="008A0F36" w:rsidTr="00940A6F">
        <w:trPr>
          <w:cantSplit/>
        </w:trPr>
        <w:tc>
          <w:tcPr>
            <w:tcW w:w="567" w:type="dxa"/>
            <w:shd w:val="clear" w:color="auto" w:fill="auto"/>
            <w:tcMar>
              <w:left w:w="108" w:type="dxa"/>
            </w:tcMar>
          </w:tcPr>
          <w:p w:rsidR="004300E2" w:rsidRPr="008A0F36" w:rsidRDefault="004300E2" w:rsidP="004300E2">
            <w:pPr>
              <w:pStyle w:val="IAS"/>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p>
        </w:tc>
        <w:tc>
          <w:tcPr>
            <w:tcW w:w="7079" w:type="dxa"/>
            <w:shd w:val="clear" w:color="auto" w:fill="auto"/>
            <w:tcMar>
              <w:left w:w="108" w:type="dxa"/>
            </w:tcMar>
          </w:tcPr>
          <w:p w:rsidR="004300E2" w:rsidRPr="008A0F36" w:rsidRDefault="004300E2" w:rsidP="004300E2">
            <w:pPr>
              <w:pStyle w:val="Titolo2"/>
              <w:rPr>
                <w:lang w:val="it-IT"/>
              </w:rPr>
            </w:pPr>
            <w:r w:rsidRPr="008A0F36">
              <w:rPr>
                <w:i/>
                <w:lang w:val="it-IT"/>
              </w:rPr>
              <w:t>Leasing</w:t>
            </w:r>
            <w:r w:rsidRPr="008A0F36">
              <w:rPr>
                <w:lang w:val="it-IT"/>
              </w:rPr>
              <w:t xml:space="preserve"> finanziari</w:t>
            </w:r>
          </w:p>
        </w:tc>
        <w:tc>
          <w:tcPr>
            <w:tcW w:w="575" w:type="dxa"/>
            <w:shd w:val="clear" w:color="auto" w:fill="auto"/>
            <w:tcMar>
              <w:left w:w="85" w:type="dxa"/>
              <w:right w:w="85" w:type="dxa"/>
            </w:tcMar>
            <w:vAlign w:val="center"/>
          </w:tcPr>
          <w:p w:rsidR="004300E2" w:rsidRDefault="004300E2" w:rsidP="004300E2">
            <w:pPr>
              <w:jc w:val="center"/>
            </w:pPr>
          </w:p>
        </w:tc>
        <w:tc>
          <w:tcPr>
            <w:tcW w:w="567" w:type="dxa"/>
            <w:shd w:val="clear" w:color="auto" w:fill="auto"/>
            <w:tcMar>
              <w:left w:w="108" w:type="dxa"/>
            </w:tcMar>
            <w:vAlign w:val="center"/>
          </w:tcPr>
          <w:p w:rsidR="004300E2" w:rsidRDefault="004300E2" w:rsidP="004300E2">
            <w:pPr>
              <w:jc w:val="center"/>
            </w:pPr>
          </w:p>
        </w:tc>
        <w:tc>
          <w:tcPr>
            <w:tcW w:w="567" w:type="dxa"/>
            <w:vAlign w:val="center"/>
          </w:tcPr>
          <w:p w:rsidR="004300E2" w:rsidRDefault="004300E2" w:rsidP="004300E2">
            <w:pPr>
              <w:jc w:val="center"/>
            </w:pPr>
          </w:p>
        </w:tc>
      </w:tr>
      <w:tr w:rsidR="004300E2" w:rsidRPr="008A0F36" w:rsidTr="00940A6F">
        <w:trPr>
          <w:cantSplit/>
        </w:trPr>
        <w:tc>
          <w:tcPr>
            <w:tcW w:w="567" w:type="dxa"/>
            <w:shd w:val="clear" w:color="auto" w:fill="auto"/>
            <w:tcMar>
              <w:left w:w="108" w:type="dxa"/>
            </w:tcMar>
          </w:tcPr>
          <w:p w:rsidR="004300E2" w:rsidRPr="008A0F36" w:rsidRDefault="004300E2" w:rsidP="004300E2">
            <w:pPr>
              <w:pStyle w:val="IAS"/>
              <w:spacing w:after="40"/>
              <w:rPr>
                <w:lang w:val="it-IT"/>
              </w:rPr>
            </w:pPr>
          </w:p>
        </w:tc>
        <w:tc>
          <w:tcPr>
            <w:tcW w:w="851" w:type="dxa"/>
            <w:shd w:val="clear" w:color="auto" w:fill="auto"/>
            <w:tcMar>
              <w:left w:w="108" w:type="dxa"/>
              <w:right w:w="0" w:type="dxa"/>
            </w:tcMar>
          </w:tcPr>
          <w:p w:rsidR="004300E2" w:rsidRPr="008A0F36" w:rsidRDefault="004300E2" w:rsidP="004300E2">
            <w:pPr>
              <w:pStyle w:val="IAS"/>
              <w:spacing w:after="40"/>
              <w:rPr>
                <w:lang w:val="it-IT"/>
              </w:rPr>
            </w:pPr>
            <w:r w:rsidRPr="008A0F36">
              <w:rPr>
                <w:lang w:val="it-IT"/>
              </w:rPr>
              <w:t>IAS 17.32</w:t>
            </w:r>
          </w:p>
          <w:p w:rsidR="004300E2" w:rsidRPr="008A0F36" w:rsidRDefault="004300E2" w:rsidP="004300E2">
            <w:pPr>
              <w:pStyle w:val="IAS"/>
              <w:spacing w:after="40"/>
              <w:rPr>
                <w:lang w:val="it-IT"/>
              </w:rPr>
            </w:pPr>
            <w:r w:rsidRPr="008A0F36">
              <w:rPr>
                <w:lang w:val="it-IT"/>
              </w:rPr>
              <w:br/>
            </w:r>
          </w:p>
        </w:tc>
        <w:tc>
          <w:tcPr>
            <w:tcW w:w="7079" w:type="dxa"/>
            <w:shd w:val="clear" w:color="auto" w:fill="auto"/>
            <w:tcMar>
              <w:left w:w="108" w:type="dxa"/>
            </w:tcMar>
          </w:tcPr>
          <w:p w:rsidR="004300E2" w:rsidRPr="008A0F36" w:rsidRDefault="004300E2" w:rsidP="0002186C">
            <w:pPr>
              <w:pStyle w:val="Paragarfobordato"/>
            </w:pPr>
            <w:r w:rsidRPr="008A0F36">
              <w:t xml:space="preserve">Le disposizioni sull’informativa in conformità ai seguenti principi si applicano anche alle attività acquistate tramite </w:t>
            </w:r>
            <w:r w:rsidRPr="008A0F36">
              <w:rPr>
                <w:i/>
              </w:rPr>
              <w:t>leasing</w:t>
            </w:r>
            <w:r w:rsidRPr="008A0F36">
              <w:t xml:space="preserve"> finanziari:</w:t>
            </w:r>
          </w:p>
          <w:p w:rsidR="004300E2" w:rsidRPr="008A0F36" w:rsidRDefault="004300E2" w:rsidP="0002186C">
            <w:pPr>
              <w:pStyle w:val="Paragarfobordato"/>
            </w:pPr>
            <w:r w:rsidRPr="008A0F36">
              <w:t>a)</w:t>
            </w:r>
            <w:r w:rsidRPr="008A0F36">
              <w:tab/>
              <w:t xml:space="preserve">IAS 16 </w:t>
            </w:r>
            <w:r w:rsidRPr="008A0F36">
              <w:rPr>
                <w:i/>
              </w:rPr>
              <w:t>Immobili, impianti e macchinari</w:t>
            </w:r>
          </w:p>
          <w:p w:rsidR="004300E2" w:rsidRPr="008A0F36" w:rsidRDefault="004300E2" w:rsidP="0002186C">
            <w:pPr>
              <w:pStyle w:val="Paragarfobordato"/>
            </w:pPr>
            <w:r w:rsidRPr="008A0F36">
              <w:t>b)</w:t>
            </w:r>
            <w:r w:rsidRPr="008A0F36">
              <w:tab/>
              <w:t xml:space="preserve">IAS 36 </w:t>
            </w:r>
            <w:r w:rsidRPr="008A0F36">
              <w:rPr>
                <w:i/>
              </w:rPr>
              <w:t>Riduzione di valore delle attività</w:t>
            </w:r>
          </w:p>
          <w:p w:rsidR="004300E2" w:rsidRPr="008A0F36" w:rsidRDefault="004300E2" w:rsidP="0002186C">
            <w:pPr>
              <w:pStyle w:val="Paragarfobordato"/>
            </w:pPr>
            <w:r w:rsidRPr="008A0F36">
              <w:t>c)</w:t>
            </w:r>
            <w:r w:rsidRPr="008A0F36">
              <w:tab/>
              <w:t xml:space="preserve">IAS 38 </w:t>
            </w:r>
            <w:r w:rsidRPr="008A0F36">
              <w:rPr>
                <w:i/>
              </w:rPr>
              <w:t>Attività immateriali</w:t>
            </w:r>
          </w:p>
          <w:p w:rsidR="004300E2" w:rsidRPr="008A0F36" w:rsidRDefault="004300E2" w:rsidP="0002186C">
            <w:pPr>
              <w:pStyle w:val="Paragarfobordato"/>
            </w:pPr>
            <w:r w:rsidRPr="008A0F36">
              <w:t>d)</w:t>
            </w:r>
            <w:r w:rsidRPr="008A0F36">
              <w:tab/>
              <w:t xml:space="preserve">IAS 40 </w:t>
            </w:r>
            <w:r w:rsidRPr="008A0F36">
              <w:rPr>
                <w:i/>
              </w:rPr>
              <w:t>Investimenti immobiliari</w:t>
            </w:r>
          </w:p>
          <w:p w:rsidR="004300E2" w:rsidRPr="008A0F36" w:rsidRDefault="004300E2" w:rsidP="0002186C">
            <w:pPr>
              <w:pStyle w:val="Paragarfobordato"/>
            </w:pPr>
            <w:r w:rsidRPr="008A0F36">
              <w:t>e)</w:t>
            </w:r>
            <w:r w:rsidRPr="008A0F36">
              <w:tab/>
              <w:t xml:space="preserve">IAS 41 </w:t>
            </w:r>
            <w:r w:rsidRPr="008A0F36">
              <w:rPr>
                <w:i/>
              </w:rPr>
              <w:t>Agricoltura.</w:t>
            </w:r>
          </w:p>
        </w:tc>
        <w:tc>
          <w:tcPr>
            <w:tcW w:w="575" w:type="dxa"/>
            <w:shd w:val="clear" w:color="auto" w:fill="auto"/>
            <w:tcMar>
              <w:left w:w="85" w:type="dxa"/>
              <w:right w:w="85" w:type="dxa"/>
            </w:tcMar>
            <w:vAlign w:val="center"/>
          </w:tcPr>
          <w:p w:rsidR="004300E2" w:rsidRDefault="004300E2" w:rsidP="004300E2">
            <w:pPr>
              <w:spacing w:before="40" w:after="40"/>
              <w:jc w:val="center"/>
            </w:pPr>
          </w:p>
        </w:tc>
        <w:tc>
          <w:tcPr>
            <w:tcW w:w="567" w:type="dxa"/>
            <w:shd w:val="clear" w:color="auto" w:fill="auto"/>
            <w:tcMar>
              <w:left w:w="108" w:type="dxa"/>
            </w:tcMar>
            <w:vAlign w:val="center"/>
          </w:tcPr>
          <w:p w:rsidR="004300E2" w:rsidRDefault="004300E2" w:rsidP="004300E2">
            <w:pPr>
              <w:spacing w:before="40" w:after="40"/>
              <w:jc w:val="center"/>
            </w:pPr>
          </w:p>
        </w:tc>
        <w:tc>
          <w:tcPr>
            <w:tcW w:w="567" w:type="dxa"/>
            <w:vAlign w:val="center"/>
          </w:tcPr>
          <w:p w:rsidR="004300E2" w:rsidRDefault="004300E2" w:rsidP="004300E2">
            <w:pPr>
              <w:spacing w:before="40" w:after="40"/>
              <w:jc w:val="center"/>
            </w:pPr>
          </w:p>
        </w:tc>
      </w:tr>
      <w:tr w:rsidR="004300E2" w:rsidRPr="00A44ECD" w:rsidTr="00940A6F">
        <w:trPr>
          <w:cantSplit/>
        </w:trPr>
        <w:tc>
          <w:tcPr>
            <w:tcW w:w="567" w:type="dxa"/>
            <w:shd w:val="clear" w:color="auto" w:fill="auto"/>
            <w:tcMar>
              <w:left w:w="108" w:type="dxa"/>
            </w:tcMar>
          </w:tcPr>
          <w:p w:rsidR="004300E2" w:rsidRPr="008A0F36" w:rsidRDefault="004300E2" w:rsidP="004300E2">
            <w:pPr>
              <w:pStyle w:val="IAS"/>
              <w:spacing w:after="40"/>
              <w:rPr>
                <w:lang w:val="it-IT"/>
              </w:rPr>
            </w:pPr>
          </w:p>
        </w:tc>
        <w:tc>
          <w:tcPr>
            <w:tcW w:w="851" w:type="dxa"/>
            <w:shd w:val="clear" w:color="auto" w:fill="auto"/>
            <w:tcMar>
              <w:left w:w="108" w:type="dxa"/>
              <w:right w:w="0" w:type="dxa"/>
            </w:tcMar>
          </w:tcPr>
          <w:p w:rsidR="004300E2" w:rsidRPr="008A0F36" w:rsidRDefault="004300E2" w:rsidP="004300E2">
            <w:pPr>
              <w:pStyle w:val="IAS"/>
              <w:spacing w:after="40"/>
              <w:rPr>
                <w:lang w:val="it-IT"/>
              </w:rPr>
            </w:pPr>
            <w:r w:rsidRPr="008A0F36">
              <w:rPr>
                <w:lang w:val="it-IT"/>
              </w:rPr>
              <w:t>IAS 17.31</w:t>
            </w:r>
          </w:p>
        </w:tc>
        <w:tc>
          <w:tcPr>
            <w:tcW w:w="7079" w:type="dxa"/>
            <w:shd w:val="clear" w:color="auto" w:fill="auto"/>
            <w:tcMar>
              <w:left w:w="108" w:type="dxa"/>
            </w:tcMar>
          </w:tcPr>
          <w:p w:rsidR="004300E2" w:rsidRPr="008A0F36" w:rsidRDefault="004300E2" w:rsidP="0002186C">
            <w:pPr>
              <w:pStyle w:val="Paragarfobordato"/>
            </w:pPr>
            <w:r w:rsidRPr="008A0F36">
              <w:t xml:space="preserve">Le disposizioni sull’informativa richiesta in conformità all’IFRS 7 sono applicabili anche ai </w:t>
            </w:r>
            <w:r w:rsidRPr="008A0F36">
              <w:rPr>
                <w:i/>
              </w:rPr>
              <w:t>leasing</w:t>
            </w:r>
            <w:r w:rsidRPr="008A0F36">
              <w:t xml:space="preserve"> finanziari.</w:t>
            </w:r>
          </w:p>
        </w:tc>
        <w:tc>
          <w:tcPr>
            <w:tcW w:w="575" w:type="dxa"/>
            <w:shd w:val="clear" w:color="auto" w:fill="auto"/>
            <w:tcMar>
              <w:left w:w="85" w:type="dxa"/>
              <w:right w:w="85" w:type="dxa"/>
            </w:tcMar>
            <w:vAlign w:val="center"/>
          </w:tcPr>
          <w:p w:rsidR="004300E2" w:rsidRPr="00090BE7" w:rsidRDefault="004300E2" w:rsidP="004300E2">
            <w:pPr>
              <w:spacing w:before="40" w:after="40"/>
              <w:jc w:val="center"/>
              <w:rPr>
                <w:lang w:val="it-IT"/>
              </w:rPr>
            </w:pPr>
          </w:p>
        </w:tc>
        <w:tc>
          <w:tcPr>
            <w:tcW w:w="567" w:type="dxa"/>
            <w:shd w:val="clear" w:color="auto" w:fill="auto"/>
            <w:tcMar>
              <w:left w:w="108" w:type="dxa"/>
            </w:tcMar>
            <w:vAlign w:val="center"/>
          </w:tcPr>
          <w:p w:rsidR="004300E2" w:rsidRPr="00090BE7" w:rsidRDefault="004300E2" w:rsidP="004300E2">
            <w:pPr>
              <w:spacing w:before="40" w:after="40"/>
              <w:jc w:val="center"/>
              <w:rPr>
                <w:lang w:val="it-IT"/>
              </w:rPr>
            </w:pPr>
          </w:p>
        </w:tc>
        <w:tc>
          <w:tcPr>
            <w:tcW w:w="567" w:type="dxa"/>
            <w:vAlign w:val="center"/>
          </w:tcPr>
          <w:p w:rsidR="004300E2" w:rsidRPr="00090BE7" w:rsidRDefault="004300E2" w:rsidP="004300E2">
            <w:pPr>
              <w:spacing w:before="40" w:after="40"/>
              <w:jc w:val="center"/>
              <w:rPr>
                <w:lang w:val="it-IT"/>
              </w:rPr>
            </w:pPr>
          </w:p>
        </w:tc>
      </w:tr>
      <w:tr w:rsidR="004300E2" w:rsidRPr="00A44ECD" w:rsidTr="00940A6F">
        <w:trPr>
          <w:cantSplit/>
        </w:trPr>
        <w:tc>
          <w:tcPr>
            <w:tcW w:w="567" w:type="dxa"/>
            <w:shd w:val="clear" w:color="auto" w:fill="auto"/>
            <w:tcMar>
              <w:left w:w="108" w:type="dxa"/>
            </w:tcMar>
          </w:tcPr>
          <w:p w:rsidR="004300E2" w:rsidRPr="008A0F36" w:rsidRDefault="004300E2" w:rsidP="004300E2">
            <w:pPr>
              <w:pStyle w:val="Numeroelenco"/>
              <w:ind w:left="0" w:firstLine="57"/>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r w:rsidRPr="008A0F36">
              <w:rPr>
                <w:lang w:val="it-IT"/>
              </w:rPr>
              <w:t>IAS 17.31</w:t>
            </w:r>
          </w:p>
        </w:tc>
        <w:tc>
          <w:tcPr>
            <w:tcW w:w="7079" w:type="dxa"/>
            <w:shd w:val="clear" w:color="auto" w:fill="auto"/>
            <w:tcMar>
              <w:left w:w="108" w:type="dxa"/>
            </w:tcMar>
          </w:tcPr>
          <w:p w:rsidR="004300E2" w:rsidRPr="008A0F36" w:rsidRDefault="004300E2" w:rsidP="003A5BB7">
            <w:pPr>
              <w:spacing w:line="214" w:lineRule="exact"/>
              <w:rPr>
                <w:lang w:val="it-IT"/>
              </w:rPr>
            </w:pPr>
            <w:r w:rsidRPr="008A0F36">
              <w:rPr>
                <w:lang w:val="it-IT"/>
              </w:rPr>
              <w:t xml:space="preserve">L’entità ha fornito le seguenti informazioni per i </w:t>
            </w:r>
            <w:r w:rsidRPr="008A0F36">
              <w:rPr>
                <w:i/>
                <w:lang w:val="it-IT"/>
              </w:rPr>
              <w:t>leasing</w:t>
            </w:r>
            <w:r w:rsidRPr="008A0F36">
              <w:rPr>
                <w:lang w:val="it-IT"/>
              </w:rPr>
              <w:t xml:space="preserve"> finanziari (in cui è locatario):</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vAlign w:val="center"/>
          </w:tcPr>
          <w:p w:rsidR="004300E2" w:rsidRPr="00090BE7" w:rsidRDefault="004300E2" w:rsidP="004300E2">
            <w:pPr>
              <w:jc w:val="center"/>
              <w:rPr>
                <w:lang w:val="it-IT"/>
              </w:rPr>
            </w:pP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3A5BB7">
            <w:pPr>
              <w:pStyle w:val="Rientroa"/>
              <w:numPr>
                <w:ilvl w:val="0"/>
                <w:numId w:val="126"/>
              </w:numPr>
              <w:spacing w:line="214" w:lineRule="exact"/>
            </w:pPr>
            <w:r w:rsidRPr="008A0F36">
              <w:t>per ciascuna categoria di beni, il valore contabile netto alla data di chiusura dell’esercizio</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3A5BB7">
            <w:pPr>
              <w:pStyle w:val="Rientroa"/>
              <w:numPr>
                <w:ilvl w:val="0"/>
                <w:numId w:val="72"/>
              </w:numPr>
              <w:spacing w:line="214" w:lineRule="exact"/>
            </w:pPr>
            <w:r w:rsidRPr="008A0F36">
              <w:t xml:space="preserve">una riconciliazione tra il totale dei pagamenti minimi futuri dovuti per il </w:t>
            </w:r>
            <w:r w:rsidRPr="008A0F36">
              <w:rPr>
                <w:i/>
              </w:rPr>
              <w:t>leasing</w:t>
            </w:r>
            <w:r w:rsidRPr="008A0F36">
              <w:t xml:space="preserve"> alla data di chiusura dell’esercizio e il loro valore attuale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3A5BB7">
            <w:pPr>
              <w:pStyle w:val="Rientroa"/>
              <w:numPr>
                <w:ilvl w:val="0"/>
                <w:numId w:val="72"/>
              </w:numPr>
              <w:spacing w:line="214" w:lineRule="exact"/>
            </w:pPr>
            <w:r w:rsidRPr="008A0F36">
              <w:t xml:space="preserve">il totale dei pagamenti minimi futuri dovuti per il </w:t>
            </w:r>
            <w:r w:rsidRPr="008A0F36">
              <w:rPr>
                <w:i/>
              </w:rPr>
              <w:t>leasing</w:t>
            </w:r>
            <w:r w:rsidRPr="008A0F36">
              <w:t xml:space="preserve"> alla data di chiusura dell’esercizio, e il loro valore attuale, per ciascuno dei seguenti periodi: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3A5BB7">
            <w:pPr>
              <w:pStyle w:val="Puntoelenco"/>
              <w:spacing w:line="214" w:lineRule="exact"/>
              <w:ind w:hanging="322"/>
              <w:contextualSpacing w:val="0"/>
            </w:pPr>
            <w:r w:rsidRPr="008A0F36">
              <w:t>non più di un anno</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3A5BB7">
            <w:pPr>
              <w:pStyle w:val="Puntoelenco"/>
              <w:spacing w:line="214" w:lineRule="exact"/>
              <w:ind w:hanging="322"/>
              <w:contextualSpacing w:val="0"/>
            </w:pPr>
            <w:r w:rsidRPr="008A0F36">
              <w:t>tra uno e cinque anni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A0F36"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3A5BB7">
            <w:pPr>
              <w:pStyle w:val="Puntoelenco"/>
              <w:spacing w:line="214" w:lineRule="exact"/>
              <w:ind w:hanging="322"/>
              <w:contextualSpacing w:val="0"/>
            </w:pPr>
            <w:r w:rsidRPr="008A0F36">
              <w:t>più di cinque anni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3A5BB7">
            <w:pPr>
              <w:pStyle w:val="Rientroa"/>
              <w:numPr>
                <w:ilvl w:val="0"/>
                <w:numId w:val="72"/>
              </w:numPr>
              <w:spacing w:line="214" w:lineRule="exact"/>
            </w:pPr>
            <w:r w:rsidRPr="008A0F36">
              <w:t>i canoni potenziali di locazione rilevati come oneri nell’esercizio</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3A5BB7">
            <w:pPr>
              <w:pStyle w:val="Rientroa"/>
              <w:numPr>
                <w:ilvl w:val="0"/>
                <w:numId w:val="72"/>
              </w:numPr>
              <w:spacing w:line="214" w:lineRule="exact"/>
            </w:pPr>
            <w:r w:rsidRPr="008A0F36">
              <w:t>il totale dei pagamenti minimi futuri derivanti da una sublocazione che ci si attende di ricevere per sublocazioni non annullabili alla data di chiusura dell’esercizio; 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3A5BB7">
            <w:pPr>
              <w:pStyle w:val="Rientroa"/>
              <w:numPr>
                <w:ilvl w:val="0"/>
                <w:numId w:val="72"/>
              </w:numPr>
              <w:spacing w:line="214" w:lineRule="exact"/>
            </w:pPr>
            <w:r w:rsidRPr="008A0F36">
              <w:t xml:space="preserve">una descrizione generale dei contratti di </w:t>
            </w:r>
            <w:r w:rsidRPr="008A0F36">
              <w:rPr>
                <w:i/>
              </w:rPr>
              <w:t>leasing</w:t>
            </w:r>
            <w:r w:rsidRPr="008A0F36">
              <w:t xml:space="preserve"> significativi del locatario inclusi, ma non solo, i seguenti: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3A5BB7">
            <w:pPr>
              <w:pStyle w:val="Puntoelenco"/>
              <w:spacing w:line="214" w:lineRule="exact"/>
              <w:ind w:hanging="322"/>
              <w:contextualSpacing w:val="0"/>
            </w:pPr>
            <w:r w:rsidRPr="008A0F36">
              <w:t>il criterio con il quale sono determinati i canoni potenziali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3A5BB7">
            <w:pPr>
              <w:pStyle w:val="Puntoelenco"/>
              <w:spacing w:line="214" w:lineRule="exact"/>
              <w:ind w:hanging="322"/>
              <w:contextualSpacing w:val="0"/>
            </w:pPr>
            <w:r w:rsidRPr="008A0F36">
              <w:t>l’esistenza e le clausole di opzione di rinnovo o di acquisto e le clausole di indicizzazione; 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3A5BB7">
            <w:pPr>
              <w:pStyle w:val="Puntoelenco"/>
              <w:spacing w:line="214" w:lineRule="exact"/>
              <w:ind w:hanging="322"/>
              <w:contextualSpacing w:val="0"/>
            </w:pPr>
            <w:r w:rsidRPr="008A0F36">
              <w:t xml:space="preserve">le restrizioni imposte da contratti di </w:t>
            </w:r>
            <w:r w:rsidRPr="008A0F36">
              <w:rPr>
                <w:i/>
              </w:rPr>
              <w:t>leasing</w:t>
            </w:r>
            <w:r w:rsidRPr="008A0F36">
              <w:t xml:space="preserve">, quali quelle riguardanti dividendi, nuovo indebitamento e ulteriori operazioni di </w:t>
            </w:r>
            <w:r w:rsidRPr="008A0F36">
              <w:rPr>
                <w:i/>
              </w:rPr>
              <w:t>leasing</w:t>
            </w:r>
            <w:r w:rsidRPr="008A0F36">
              <w:t>.</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A0F36" w:rsidTr="00940A6F">
        <w:trPr>
          <w:cantSplit/>
          <w:trHeight w:val="230"/>
        </w:trPr>
        <w:tc>
          <w:tcPr>
            <w:tcW w:w="567" w:type="dxa"/>
            <w:shd w:val="clear" w:color="auto" w:fill="auto"/>
            <w:tcMar>
              <w:left w:w="108" w:type="dxa"/>
            </w:tcMar>
            <w:vAlign w:val="center"/>
          </w:tcPr>
          <w:p w:rsidR="004300E2" w:rsidRDefault="004300E2" w:rsidP="003A5BB7">
            <w:pPr>
              <w:pStyle w:val="IAS"/>
              <w:spacing w:after="40"/>
              <w:jc w:val="left"/>
              <w:rPr>
                <w:lang w:val="it-IT"/>
              </w:rPr>
            </w:pPr>
          </w:p>
        </w:tc>
        <w:tc>
          <w:tcPr>
            <w:tcW w:w="851" w:type="dxa"/>
            <w:shd w:val="clear" w:color="auto" w:fill="auto"/>
            <w:tcMar>
              <w:left w:w="108" w:type="dxa"/>
              <w:right w:w="0" w:type="dxa"/>
            </w:tcMar>
            <w:vAlign w:val="center"/>
          </w:tcPr>
          <w:p w:rsidR="004300E2" w:rsidRDefault="004300E2" w:rsidP="003A5BB7">
            <w:pPr>
              <w:pStyle w:val="IAS"/>
              <w:spacing w:after="40"/>
              <w:jc w:val="left"/>
              <w:rPr>
                <w:lang w:val="it-IT"/>
              </w:rPr>
            </w:pPr>
          </w:p>
        </w:tc>
        <w:tc>
          <w:tcPr>
            <w:tcW w:w="7079" w:type="dxa"/>
            <w:shd w:val="clear" w:color="auto" w:fill="auto"/>
            <w:tcMar>
              <w:left w:w="108" w:type="dxa"/>
            </w:tcMar>
            <w:vAlign w:val="center"/>
          </w:tcPr>
          <w:p w:rsidR="004300E2" w:rsidRDefault="004300E2" w:rsidP="003A5BB7">
            <w:pPr>
              <w:pStyle w:val="Titolo2"/>
              <w:keepNext w:val="0"/>
              <w:spacing w:before="40" w:after="40"/>
              <w:rPr>
                <w:lang w:val="it-IT"/>
              </w:rPr>
            </w:pPr>
            <w:r w:rsidRPr="008A0F36">
              <w:rPr>
                <w:i/>
                <w:lang w:val="it-IT"/>
              </w:rPr>
              <w:t>Leasing</w:t>
            </w:r>
            <w:r w:rsidRPr="008A0F36">
              <w:rPr>
                <w:lang w:val="it-IT"/>
              </w:rPr>
              <w:t xml:space="preserve"> operativi</w:t>
            </w:r>
          </w:p>
        </w:tc>
        <w:tc>
          <w:tcPr>
            <w:tcW w:w="575" w:type="dxa"/>
            <w:shd w:val="clear" w:color="auto" w:fill="auto"/>
            <w:tcMar>
              <w:left w:w="85" w:type="dxa"/>
              <w:right w:w="85" w:type="dxa"/>
            </w:tcMar>
            <w:vAlign w:val="center"/>
          </w:tcPr>
          <w:p w:rsidR="004300E2" w:rsidRDefault="004300E2" w:rsidP="003A5BB7">
            <w:pPr>
              <w:spacing w:before="40" w:after="40"/>
              <w:jc w:val="left"/>
            </w:pPr>
          </w:p>
        </w:tc>
        <w:tc>
          <w:tcPr>
            <w:tcW w:w="567" w:type="dxa"/>
            <w:shd w:val="clear" w:color="auto" w:fill="auto"/>
            <w:tcMar>
              <w:left w:w="108" w:type="dxa"/>
            </w:tcMar>
            <w:vAlign w:val="center"/>
          </w:tcPr>
          <w:p w:rsidR="004300E2" w:rsidRDefault="004300E2" w:rsidP="003A5BB7">
            <w:pPr>
              <w:spacing w:before="40" w:after="40"/>
              <w:jc w:val="left"/>
            </w:pPr>
          </w:p>
        </w:tc>
        <w:tc>
          <w:tcPr>
            <w:tcW w:w="567" w:type="dxa"/>
            <w:vAlign w:val="center"/>
          </w:tcPr>
          <w:p w:rsidR="004300E2" w:rsidRDefault="004300E2" w:rsidP="003A5BB7">
            <w:pPr>
              <w:spacing w:before="40" w:after="40"/>
              <w:jc w:val="left"/>
            </w:pPr>
          </w:p>
        </w:tc>
      </w:tr>
      <w:tr w:rsidR="004300E2" w:rsidRPr="00A44ECD" w:rsidTr="00940A6F">
        <w:trPr>
          <w:cantSplit/>
        </w:trPr>
        <w:tc>
          <w:tcPr>
            <w:tcW w:w="567" w:type="dxa"/>
            <w:shd w:val="clear" w:color="auto" w:fill="auto"/>
            <w:tcMar>
              <w:left w:w="108" w:type="dxa"/>
            </w:tcMar>
          </w:tcPr>
          <w:p w:rsidR="004300E2" w:rsidRPr="008A0F36" w:rsidRDefault="004300E2" w:rsidP="004300E2">
            <w:pPr>
              <w:pStyle w:val="IAS"/>
              <w:spacing w:line="224" w:lineRule="exact"/>
              <w:rPr>
                <w:lang w:val="it-IT"/>
              </w:rPr>
            </w:pPr>
          </w:p>
        </w:tc>
        <w:tc>
          <w:tcPr>
            <w:tcW w:w="851" w:type="dxa"/>
            <w:shd w:val="clear" w:color="auto" w:fill="auto"/>
            <w:tcMar>
              <w:left w:w="108" w:type="dxa"/>
              <w:right w:w="0" w:type="dxa"/>
            </w:tcMar>
          </w:tcPr>
          <w:p w:rsidR="004300E2" w:rsidRPr="008A0F36" w:rsidRDefault="004300E2" w:rsidP="004300E2">
            <w:pPr>
              <w:pStyle w:val="IAS"/>
              <w:spacing w:line="224" w:lineRule="exact"/>
              <w:rPr>
                <w:lang w:val="it-IT"/>
              </w:rPr>
            </w:pPr>
            <w:r w:rsidRPr="008A0F36">
              <w:rPr>
                <w:lang w:val="it-IT"/>
              </w:rPr>
              <w:t>IAS 17.35</w:t>
            </w:r>
          </w:p>
        </w:tc>
        <w:tc>
          <w:tcPr>
            <w:tcW w:w="7079" w:type="dxa"/>
            <w:shd w:val="clear" w:color="auto" w:fill="auto"/>
            <w:tcMar>
              <w:left w:w="108" w:type="dxa"/>
            </w:tcMar>
          </w:tcPr>
          <w:p w:rsidR="004300E2" w:rsidRPr="008A0F36" w:rsidRDefault="004300E2" w:rsidP="0002186C">
            <w:pPr>
              <w:pStyle w:val="Paragarfobordato"/>
            </w:pPr>
            <w:r w:rsidRPr="008A0F36">
              <w:t xml:space="preserve">Le disposizioni sull’informativa richiesta in conformità all’IFRS 7 sono applicabili anche ai </w:t>
            </w:r>
            <w:r w:rsidRPr="008A0F36">
              <w:rPr>
                <w:i/>
              </w:rPr>
              <w:t>leasing</w:t>
            </w:r>
            <w:r w:rsidRPr="008A0F36">
              <w:t xml:space="preserve"> operativi.</w:t>
            </w:r>
          </w:p>
        </w:tc>
        <w:tc>
          <w:tcPr>
            <w:tcW w:w="575" w:type="dxa"/>
            <w:shd w:val="clear" w:color="auto" w:fill="auto"/>
            <w:tcMar>
              <w:left w:w="85" w:type="dxa"/>
              <w:right w:w="85" w:type="dxa"/>
            </w:tcMar>
            <w:vAlign w:val="center"/>
          </w:tcPr>
          <w:p w:rsidR="004300E2" w:rsidRPr="00090BE7" w:rsidRDefault="004300E2" w:rsidP="004300E2">
            <w:pPr>
              <w:spacing w:line="224" w:lineRule="exact"/>
              <w:jc w:val="center"/>
              <w:rPr>
                <w:lang w:val="it-IT"/>
              </w:rPr>
            </w:pPr>
          </w:p>
        </w:tc>
        <w:tc>
          <w:tcPr>
            <w:tcW w:w="567" w:type="dxa"/>
            <w:shd w:val="clear" w:color="auto" w:fill="auto"/>
            <w:tcMar>
              <w:left w:w="108" w:type="dxa"/>
            </w:tcMar>
            <w:vAlign w:val="center"/>
          </w:tcPr>
          <w:p w:rsidR="004300E2" w:rsidRPr="00090BE7" w:rsidRDefault="004300E2" w:rsidP="004300E2">
            <w:pPr>
              <w:spacing w:line="224" w:lineRule="exact"/>
              <w:jc w:val="center"/>
              <w:rPr>
                <w:lang w:val="it-IT"/>
              </w:rPr>
            </w:pPr>
          </w:p>
        </w:tc>
        <w:tc>
          <w:tcPr>
            <w:tcW w:w="567" w:type="dxa"/>
            <w:vAlign w:val="center"/>
          </w:tcPr>
          <w:p w:rsidR="004300E2" w:rsidRPr="00090BE7" w:rsidRDefault="004300E2" w:rsidP="004300E2">
            <w:pPr>
              <w:spacing w:line="224" w:lineRule="exact"/>
              <w:jc w:val="center"/>
              <w:rPr>
                <w:lang w:val="it-IT"/>
              </w:rPr>
            </w:pPr>
          </w:p>
        </w:tc>
      </w:tr>
      <w:tr w:rsidR="004300E2" w:rsidRPr="00A44ECD" w:rsidTr="00940A6F">
        <w:trPr>
          <w:cantSplit/>
        </w:trPr>
        <w:tc>
          <w:tcPr>
            <w:tcW w:w="567" w:type="dxa"/>
            <w:shd w:val="clear" w:color="auto" w:fill="auto"/>
            <w:tcMar>
              <w:left w:w="108" w:type="dxa"/>
            </w:tcMar>
          </w:tcPr>
          <w:p w:rsidR="004300E2" w:rsidRPr="008A0F36" w:rsidRDefault="004300E2" w:rsidP="004300E2">
            <w:pPr>
              <w:pStyle w:val="Numeroelenco"/>
              <w:spacing w:line="224" w:lineRule="exact"/>
              <w:ind w:left="0" w:firstLine="57"/>
              <w:rPr>
                <w:lang w:val="it-IT"/>
              </w:rPr>
            </w:pPr>
          </w:p>
        </w:tc>
        <w:tc>
          <w:tcPr>
            <w:tcW w:w="851" w:type="dxa"/>
            <w:shd w:val="clear" w:color="auto" w:fill="auto"/>
            <w:tcMar>
              <w:left w:w="108" w:type="dxa"/>
              <w:right w:w="0" w:type="dxa"/>
            </w:tcMar>
          </w:tcPr>
          <w:p w:rsidR="004300E2" w:rsidRPr="008A0F36" w:rsidRDefault="004300E2" w:rsidP="004300E2">
            <w:pPr>
              <w:pStyle w:val="IAS"/>
              <w:spacing w:line="224" w:lineRule="exact"/>
              <w:rPr>
                <w:lang w:val="it-IT"/>
              </w:rPr>
            </w:pPr>
            <w:r w:rsidRPr="008A0F36">
              <w:rPr>
                <w:lang w:val="it-IT"/>
              </w:rPr>
              <w:t>IAS 17.35</w:t>
            </w:r>
          </w:p>
        </w:tc>
        <w:tc>
          <w:tcPr>
            <w:tcW w:w="7079" w:type="dxa"/>
            <w:shd w:val="clear" w:color="auto" w:fill="auto"/>
            <w:tcMar>
              <w:left w:w="108" w:type="dxa"/>
            </w:tcMar>
          </w:tcPr>
          <w:p w:rsidR="004300E2" w:rsidRPr="008A0F36" w:rsidRDefault="004300E2" w:rsidP="008129DA">
            <w:pPr>
              <w:rPr>
                <w:lang w:val="it-IT"/>
              </w:rPr>
            </w:pPr>
            <w:r w:rsidRPr="008A0F36">
              <w:rPr>
                <w:lang w:val="it-IT"/>
              </w:rPr>
              <w:t xml:space="preserve">L’entità ha fornito le seguenti informazioni per i </w:t>
            </w:r>
            <w:r w:rsidRPr="008A0F36">
              <w:rPr>
                <w:i/>
                <w:lang w:val="it-IT"/>
              </w:rPr>
              <w:t>leasing</w:t>
            </w:r>
            <w:r w:rsidRPr="008A0F36">
              <w:rPr>
                <w:lang w:val="it-IT"/>
              </w:rPr>
              <w:t xml:space="preserve"> operativi (in cui è locatario):</w:t>
            </w:r>
          </w:p>
        </w:tc>
        <w:tc>
          <w:tcPr>
            <w:tcW w:w="575" w:type="dxa"/>
            <w:shd w:val="clear" w:color="auto" w:fill="auto"/>
            <w:tcMar>
              <w:left w:w="85" w:type="dxa"/>
              <w:right w:w="85" w:type="dxa"/>
            </w:tcMar>
            <w:vAlign w:val="center"/>
          </w:tcPr>
          <w:p w:rsidR="004300E2" w:rsidRPr="00090BE7" w:rsidRDefault="004300E2" w:rsidP="004300E2">
            <w:pPr>
              <w:spacing w:line="224" w:lineRule="exact"/>
              <w:jc w:val="center"/>
              <w:rPr>
                <w:lang w:val="it-IT"/>
              </w:rPr>
            </w:pPr>
          </w:p>
        </w:tc>
        <w:tc>
          <w:tcPr>
            <w:tcW w:w="567" w:type="dxa"/>
            <w:shd w:val="clear" w:color="auto" w:fill="auto"/>
            <w:tcMar>
              <w:left w:w="108" w:type="dxa"/>
            </w:tcMar>
            <w:vAlign w:val="center"/>
          </w:tcPr>
          <w:p w:rsidR="004300E2" w:rsidRPr="00090BE7" w:rsidRDefault="004300E2" w:rsidP="004300E2">
            <w:pPr>
              <w:spacing w:line="224" w:lineRule="exact"/>
              <w:jc w:val="center"/>
              <w:rPr>
                <w:lang w:val="it-IT"/>
              </w:rPr>
            </w:pPr>
          </w:p>
        </w:tc>
        <w:tc>
          <w:tcPr>
            <w:tcW w:w="567" w:type="dxa"/>
            <w:vAlign w:val="center"/>
          </w:tcPr>
          <w:p w:rsidR="004300E2" w:rsidRPr="00090BE7" w:rsidRDefault="004300E2" w:rsidP="004300E2">
            <w:pPr>
              <w:spacing w:line="224" w:lineRule="exact"/>
              <w:jc w:val="center"/>
              <w:rPr>
                <w:lang w:val="it-IT"/>
              </w:rPr>
            </w:pP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spacing w:line="224" w:lineRule="exact"/>
              <w:rPr>
                <w:lang w:val="it-IT"/>
              </w:rPr>
            </w:pPr>
          </w:p>
        </w:tc>
        <w:tc>
          <w:tcPr>
            <w:tcW w:w="851" w:type="dxa"/>
            <w:shd w:val="clear" w:color="auto" w:fill="auto"/>
            <w:tcMar>
              <w:left w:w="108" w:type="dxa"/>
              <w:right w:w="0" w:type="dxa"/>
            </w:tcMar>
          </w:tcPr>
          <w:p w:rsidR="004E201D" w:rsidRPr="008A0F36" w:rsidRDefault="004E201D" w:rsidP="004300E2">
            <w:pPr>
              <w:pStyle w:val="IAS"/>
              <w:spacing w:line="224" w:lineRule="exact"/>
              <w:rPr>
                <w:lang w:val="it-IT"/>
              </w:rPr>
            </w:pPr>
          </w:p>
        </w:tc>
        <w:tc>
          <w:tcPr>
            <w:tcW w:w="7079" w:type="dxa"/>
            <w:shd w:val="clear" w:color="auto" w:fill="auto"/>
            <w:tcMar>
              <w:left w:w="108" w:type="dxa"/>
            </w:tcMar>
          </w:tcPr>
          <w:p w:rsidR="004E201D" w:rsidRPr="008A0F36" w:rsidRDefault="004E201D" w:rsidP="008129DA">
            <w:pPr>
              <w:pStyle w:val="Rientroa"/>
              <w:numPr>
                <w:ilvl w:val="0"/>
                <w:numId w:val="127"/>
              </w:numPr>
            </w:pPr>
            <w:r w:rsidRPr="008A0F36">
              <w:t xml:space="preserve">il totale dei pagamenti minimi futuri dovuti per operazioni di </w:t>
            </w:r>
            <w:r w:rsidRPr="008A0F36">
              <w:rPr>
                <w:i/>
              </w:rPr>
              <w:t>leasing</w:t>
            </w:r>
            <w:r w:rsidRPr="008A0F36">
              <w:t xml:space="preserve"> non annullabili per ciascuno dei seguenti periodi: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spacing w:line="224" w:lineRule="exact"/>
              <w:rPr>
                <w:lang w:val="it-IT"/>
              </w:rPr>
            </w:pPr>
          </w:p>
        </w:tc>
        <w:tc>
          <w:tcPr>
            <w:tcW w:w="851" w:type="dxa"/>
            <w:shd w:val="clear" w:color="auto" w:fill="auto"/>
            <w:tcMar>
              <w:left w:w="108" w:type="dxa"/>
              <w:right w:w="0" w:type="dxa"/>
            </w:tcMar>
          </w:tcPr>
          <w:p w:rsidR="004E201D" w:rsidRPr="008A0F36" w:rsidRDefault="004E201D" w:rsidP="004300E2">
            <w:pPr>
              <w:pStyle w:val="IAS"/>
              <w:spacing w:line="224" w:lineRule="exact"/>
              <w:rPr>
                <w:lang w:val="it-IT"/>
              </w:rPr>
            </w:pPr>
          </w:p>
        </w:tc>
        <w:tc>
          <w:tcPr>
            <w:tcW w:w="7079" w:type="dxa"/>
            <w:shd w:val="clear" w:color="auto" w:fill="auto"/>
            <w:tcMar>
              <w:left w:w="108" w:type="dxa"/>
            </w:tcMar>
          </w:tcPr>
          <w:p w:rsidR="004E201D" w:rsidRPr="008A0F36" w:rsidRDefault="004E201D" w:rsidP="008129DA">
            <w:pPr>
              <w:pStyle w:val="Puntoelenco"/>
              <w:ind w:hanging="322"/>
              <w:contextualSpacing w:val="0"/>
            </w:pPr>
            <w:r w:rsidRPr="008A0F36">
              <w:t>non più di un anno</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spacing w:before="20" w:line="224" w:lineRule="exact"/>
              <w:rPr>
                <w:lang w:val="it-IT"/>
              </w:rPr>
            </w:pPr>
          </w:p>
        </w:tc>
        <w:tc>
          <w:tcPr>
            <w:tcW w:w="851" w:type="dxa"/>
            <w:shd w:val="clear" w:color="auto" w:fill="auto"/>
            <w:tcMar>
              <w:left w:w="108" w:type="dxa"/>
              <w:right w:w="0" w:type="dxa"/>
            </w:tcMar>
          </w:tcPr>
          <w:p w:rsidR="004E201D" w:rsidRPr="008A0F36" w:rsidRDefault="004E201D" w:rsidP="004300E2">
            <w:pPr>
              <w:pStyle w:val="IAS"/>
              <w:spacing w:before="20" w:line="224" w:lineRule="exact"/>
              <w:rPr>
                <w:lang w:val="it-IT"/>
              </w:rPr>
            </w:pPr>
          </w:p>
        </w:tc>
        <w:tc>
          <w:tcPr>
            <w:tcW w:w="7079" w:type="dxa"/>
            <w:shd w:val="clear" w:color="auto" w:fill="auto"/>
            <w:tcMar>
              <w:left w:w="108" w:type="dxa"/>
            </w:tcMar>
          </w:tcPr>
          <w:p w:rsidR="004E201D" w:rsidRPr="008A0F36" w:rsidRDefault="004E201D" w:rsidP="008129DA">
            <w:pPr>
              <w:pStyle w:val="Puntoelenco"/>
              <w:ind w:hanging="322"/>
              <w:contextualSpacing w:val="0"/>
            </w:pPr>
            <w:r w:rsidRPr="008A0F36">
              <w:t>tra uno e cinque anni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A0F36" w:rsidTr="00940A6F">
        <w:trPr>
          <w:cantSplit/>
        </w:trPr>
        <w:tc>
          <w:tcPr>
            <w:tcW w:w="567" w:type="dxa"/>
            <w:shd w:val="clear" w:color="auto" w:fill="auto"/>
            <w:tcMar>
              <w:left w:w="108" w:type="dxa"/>
            </w:tcMar>
          </w:tcPr>
          <w:p w:rsidR="004E201D" w:rsidRPr="008A0F36" w:rsidRDefault="004E201D" w:rsidP="004300E2">
            <w:pPr>
              <w:pStyle w:val="IAS"/>
              <w:spacing w:before="0" w:line="224" w:lineRule="exact"/>
              <w:rPr>
                <w:lang w:val="it-IT"/>
              </w:rPr>
            </w:pPr>
          </w:p>
        </w:tc>
        <w:tc>
          <w:tcPr>
            <w:tcW w:w="851" w:type="dxa"/>
            <w:shd w:val="clear" w:color="auto" w:fill="auto"/>
            <w:tcMar>
              <w:left w:w="108" w:type="dxa"/>
              <w:right w:w="0" w:type="dxa"/>
            </w:tcMar>
          </w:tcPr>
          <w:p w:rsidR="004E201D" w:rsidRPr="008A0F36" w:rsidRDefault="004E201D" w:rsidP="004300E2">
            <w:pPr>
              <w:pStyle w:val="IAS"/>
              <w:spacing w:before="0" w:line="224" w:lineRule="exact"/>
              <w:rPr>
                <w:lang w:val="it-IT"/>
              </w:rPr>
            </w:pPr>
          </w:p>
        </w:tc>
        <w:tc>
          <w:tcPr>
            <w:tcW w:w="7079" w:type="dxa"/>
            <w:shd w:val="clear" w:color="auto" w:fill="auto"/>
            <w:tcMar>
              <w:left w:w="108" w:type="dxa"/>
            </w:tcMar>
          </w:tcPr>
          <w:p w:rsidR="004E201D" w:rsidRPr="008A0F36" w:rsidRDefault="004E201D" w:rsidP="008129DA">
            <w:pPr>
              <w:pStyle w:val="Puntoelenco"/>
              <w:ind w:hanging="322"/>
              <w:contextualSpacing w:val="0"/>
            </w:pPr>
            <w:r w:rsidRPr="008A0F36">
              <w:t>più di cinque anni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8129DA">
            <w:pPr>
              <w:pStyle w:val="Rientroa"/>
              <w:numPr>
                <w:ilvl w:val="0"/>
                <w:numId w:val="72"/>
              </w:numPr>
            </w:pPr>
            <w:r w:rsidRPr="008A0F36">
              <w:t>il totale dei pagamenti minimi futuri derivanti da una sublocazione che ci si attende di ricevere per sublocazioni non annullabili alla data di chiusura dell’esercizio</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8129DA">
            <w:pPr>
              <w:pStyle w:val="Rientroa"/>
              <w:numPr>
                <w:ilvl w:val="0"/>
                <w:numId w:val="72"/>
              </w:numPr>
            </w:pPr>
            <w:r w:rsidRPr="008A0F36">
              <w:t xml:space="preserve">i pagamenti per </w:t>
            </w:r>
            <w:r w:rsidRPr="008A0F36">
              <w:rPr>
                <w:i/>
              </w:rPr>
              <w:t>leasing</w:t>
            </w:r>
            <w:r w:rsidRPr="008A0F36">
              <w:t xml:space="preserve"> e </w:t>
            </w:r>
            <w:r w:rsidRPr="008A0F36">
              <w:rPr>
                <w:i/>
              </w:rPr>
              <w:t>subleasing</w:t>
            </w:r>
            <w:r w:rsidRPr="008A0F36">
              <w:t xml:space="preserve"> rilevati come costi dell’esercizio, con valori distinti per:</w:t>
            </w:r>
          </w:p>
        </w:tc>
        <w:tc>
          <w:tcPr>
            <w:tcW w:w="575" w:type="dxa"/>
            <w:shd w:val="clear" w:color="auto" w:fill="auto"/>
            <w:tcMar>
              <w:left w:w="85" w:type="dxa"/>
              <w:right w:w="85" w:type="dxa"/>
            </w:tcMar>
            <w:vAlign w:val="center"/>
          </w:tcPr>
          <w:p w:rsidR="004E201D" w:rsidRPr="00090BE7"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090BE7"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090BE7"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8129DA">
            <w:pPr>
              <w:pStyle w:val="Puntoelenco"/>
              <w:ind w:hanging="322"/>
              <w:contextualSpacing w:val="0"/>
            </w:pPr>
            <w:r w:rsidRPr="008A0F36">
              <w:t xml:space="preserve">i pagamenti minimi dovuti per il </w:t>
            </w:r>
            <w:r w:rsidRPr="008A0F36">
              <w:rPr>
                <w:i/>
              </w:rPr>
              <w:t>leasing</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Height w:val="248"/>
        </w:trPr>
        <w:tc>
          <w:tcPr>
            <w:tcW w:w="567" w:type="dxa"/>
            <w:shd w:val="clear" w:color="auto" w:fill="auto"/>
            <w:tcMar>
              <w:left w:w="108" w:type="dxa"/>
            </w:tcMar>
          </w:tcPr>
          <w:p w:rsidR="004E201D" w:rsidRPr="008A0F36" w:rsidRDefault="004E201D" w:rsidP="004300E2">
            <w:pPr>
              <w:pStyle w:val="IAS"/>
              <w:spacing w:before="20" w:line="224" w:lineRule="exact"/>
              <w:rPr>
                <w:lang w:val="it-IT"/>
              </w:rPr>
            </w:pPr>
          </w:p>
        </w:tc>
        <w:tc>
          <w:tcPr>
            <w:tcW w:w="851" w:type="dxa"/>
            <w:shd w:val="clear" w:color="auto" w:fill="auto"/>
            <w:tcMar>
              <w:right w:w="0" w:type="dxa"/>
            </w:tcMar>
          </w:tcPr>
          <w:p w:rsidR="004E201D" w:rsidRPr="008A0F36" w:rsidRDefault="004E201D" w:rsidP="004300E2">
            <w:pPr>
              <w:pStyle w:val="IAS"/>
              <w:spacing w:before="20" w:line="224" w:lineRule="exact"/>
              <w:rPr>
                <w:lang w:val="it-IT"/>
              </w:rPr>
            </w:pPr>
          </w:p>
        </w:tc>
        <w:tc>
          <w:tcPr>
            <w:tcW w:w="7079" w:type="dxa"/>
            <w:shd w:val="clear" w:color="auto" w:fill="auto"/>
          </w:tcPr>
          <w:p w:rsidR="004E201D" w:rsidRPr="008A0F36" w:rsidRDefault="004E201D" w:rsidP="008129DA">
            <w:pPr>
              <w:pStyle w:val="Puntoelenco"/>
              <w:ind w:hanging="322"/>
              <w:contextualSpacing w:val="0"/>
            </w:pPr>
            <w:r w:rsidRPr="008A0F36">
              <w:t>i canoni di locazione potenziali; 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A0F36"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8129DA">
            <w:pPr>
              <w:pStyle w:val="Puntoelenco"/>
              <w:ind w:hanging="322"/>
              <w:contextualSpacing w:val="0"/>
            </w:pPr>
            <w:r w:rsidRPr="008A0F36">
              <w:t xml:space="preserve">i pagamenti da </w:t>
            </w:r>
            <w:r w:rsidRPr="008A0F36">
              <w:rPr>
                <w:i/>
              </w:rPr>
              <w:t>subleasing</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8129DA">
            <w:pPr>
              <w:pStyle w:val="Rientroa"/>
              <w:numPr>
                <w:ilvl w:val="0"/>
                <w:numId w:val="72"/>
              </w:numPr>
            </w:pPr>
            <w:r w:rsidRPr="008A0F36">
              <w:t xml:space="preserve">una descrizione generale dei contratti di </w:t>
            </w:r>
            <w:r w:rsidRPr="008A0F36">
              <w:rPr>
                <w:i/>
              </w:rPr>
              <w:t>leasing</w:t>
            </w:r>
            <w:r w:rsidRPr="008A0F36">
              <w:t xml:space="preserve"> significativi del locatario inclusi, ma non solo, i seguenti:</w:t>
            </w:r>
          </w:p>
        </w:tc>
        <w:tc>
          <w:tcPr>
            <w:tcW w:w="575" w:type="dxa"/>
            <w:shd w:val="clear" w:color="auto" w:fill="auto"/>
            <w:tcMar>
              <w:left w:w="85" w:type="dxa"/>
              <w:right w:w="85" w:type="dxa"/>
            </w:tcMar>
            <w:vAlign w:val="center"/>
          </w:tcPr>
          <w:p w:rsidR="004E201D" w:rsidRPr="00090BE7"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090BE7"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090BE7"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8129DA">
            <w:pPr>
              <w:pStyle w:val="Puntoelenco"/>
              <w:ind w:hanging="322"/>
              <w:contextualSpacing w:val="0"/>
            </w:pPr>
            <w:r w:rsidRPr="008A0F36">
              <w:t>il criterio con il quale sono determinati i canoni potenziali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8129DA">
            <w:pPr>
              <w:pStyle w:val="Puntoelenco"/>
              <w:ind w:hanging="322"/>
              <w:contextualSpacing w:val="0"/>
            </w:pPr>
            <w:r w:rsidRPr="008A0F36">
              <w:t>l’esistenza e le clausole di opzione di rinnovo o di acquisto e le clausole di indicizzazione; 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8129DA">
            <w:pPr>
              <w:pStyle w:val="Puntoelenco"/>
              <w:ind w:hanging="322"/>
              <w:contextualSpacing w:val="0"/>
            </w:pPr>
            <w:r w:rsidRPr="008A0F36">
              <w:t xml:space="preserve">le restrizioni imposte da contratti di </w:t>
            </w:r>
            <w:r w:rsidRPr="008A0F36">
              <w:rPr>
                <w:i/>
              </w:rPr>
              <w:t>leasing</w:t>
            </w:r>
            <w:r w:rsidRPr="008A0F36">
              <w:t xml:space="preserve">, quali quelle riguardanti dividendi, nuovo indebitamento e ulteriori operazioni di </w:t>
            </w:r>
            <w:r w:rsidRPr="008A0F36">
              <w:rPr>
                <w:i/>
              </w:rPr>
              <w:t>leasing</w:t>
            </w:r>
            <w:r w:rsidRPr="008A0F36">
              <w:t>.</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shd w:val="clear" w:color="auto" w:fill="auto"/>
            <w:tcMar>
              <w:left w:w="108" w:type="dxa"/>
            </w:tcMar>
          </w:tcPr>
          <w:p w:rsidR="004300E2" w:rsidRPr="008A0F36" w:rsidRDefault="004300E2" w:rsidP="004300E2">
            <w:pPr>
              <w:pStyle w:val="IAS"/>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p>
        </w:tc>
        <w:tc>
          <w:tcPr>
            <w:tcW w:w="7079" w:type="dxa"/>
            <w:shd w:val="clear" w:color="auto" w:fill="auto"/>
            <w:tcMar>
              <w:left w:w="108" w:type="dxa"/>
            </w:tcMar>
          </w:tcPr>
          <w:p w:rsidR="004300E2" w:rsidRPr="008A0F36" w:rsidRDefault="004300E2" w:rsidP="004300E2">
            <w:pPr>
              <w:pStyle w:val="Titolo2"/>
              <w:rPr>
                <w:lang w:val="it-IT"/>
              </w:rPr>
            </w:pPr>
            <w:r w:rsidRPr="008A0F36">
              <w:rPr>
                <w:lang w:val="it-IT"/>
              </w:rPr>
              <w:t>Operazioni di vendita e retrolocazione</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vAlign w:val="center"/>
          </w:tcPr>
          <w:p w:rsidR="004300E2" w:rsidRPr="00090BE7" w:rsidRDefault="004300E2" w:rsidP="004300E2">
            <w:pPr>
              <w:jc w:val="center"/>
              <w:rPr>
                <w:lang w:val="it-IT"/>
              </w:rPr>
            </w:pP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Numeroelenco"/>
              <w:ind w:left="0" w:firstLine="57"/>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r w:rsidRPr="008A0F36">
              <w:rPr>
                <w:lang w:val="it-IT"/>
              </w:rPr>
              <w:t>IAS 17.65</w:t>
            </w:r>
          </w:p>
        </w:tc>
        <w:tc>
          <w:tcPr>
            <w:tcW w:w="7079" w:type="dxa"/>
            <w:shd w:val="clear" w:color="auto" w:fill="auto"/>
            <w:tcMar>
              <w:left w:w="108" w:type="dxa"/>
            </w:tcMar>
          </w:tcPr>
          <w:p w:rsidR="004E201D" w:rsidRPr="008A0F36" w:rsidRDefault="004E201D" w:rsidP="004300E2">
            <w:pPr>
              <w:rPr>
                <w:lang w:val="it-IT"/>
              </w:rPr>
            </w:pPr>
            <w:r w:rsidRPr="008A0F36">
              <w:rPr>
                <w:lang w:val="it-IT"/>
              </w:rPr>
              <w:t xml:space="preserve">L’informativa richiesta ai locatari ed ai locatori, con riferimento ai contratti di </w:t>
            </w:r>
            <w:r w:rsidRPr="008A0F36">
              <w:rPr>
                <w:i/>
                <w:lang w:val="it-IT"/>
              </w:rPr>
              <w:t>leasing</w:t>
            </w:r>
            <w:r w:rsidRPr="008A0F36">
              <w:rPr>
                <w:lang w:val="it-IT"/>
              </w:rPr>
              <w:t xml:space="preserve">, si applica anche alle operazioni di vendita e retrolocazione. La descrizione dei contratti di </w:t>
            </w:r>
            <w:r w:rsidRPr="008A0F36">
              <w:rPr>
                <w:i/>
                <w:lang w:val="it-IT"/>
              </w:rPr>
              <w:t>leasing</w:t>
            </w:r>
            <w:r w:rsidRPr="008A0F36">
              <w:rPr>
                <w:lang w:val="it-IT"/>
              </w:rPr>
              <w:t xml:space="preserve"> significativi include l’informativa su accantonamenti unici o inusuali per accordi o termini per operazioni di vendita e retrolocazione.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02186C">
        <w:trPr>
          <w:cantSplit/>
          <w:trHeight w:val="786"/>
        </w:trPr>
        <w:tc>
          <w:tcPr>
            <w:tcW w:w="567" w:type="dxa"/>
            <w:shd w:val="clear" w:color="auto" w:fill="auto"/>
            <w:tcMar>
              <w:left w:w="108" w:type="dxa"/>
            </w:tcMar>
          </w:tcPr>
          <w:p w:rsidR="004300E2" w:rsidRDefault="004300E2" w:rsidP="004300E2">
            <w:pPr>
              <w:pStyle w:val="IAS"/>
              <w:spacing w:beforeLines="40" w:before="96" w:after="40"/>
              <w:rPr>
                <w:lang w:val="it-IT"/>
              </w:rPr>
            </w:pPr>
          </w:p>
        </w:tc>
        <w:tc>
          <w:tcPr>
            <w:tcW w:w="851" w:type="dxa"/>
            <w:shd w:val="clear" w:color="auto" w:fill="auto"/>
            <w:tcMar>
              <w:right w:w="0" w:type="dxa"/>
            </w:tcMar>
          </w:tcPr>
          <w:p w:rsidR="004300E2" w:rsidRDefault="004300E2" w:rsidP="004300E2">
            <w:pPr>
              <w:pStyle w:val="IAS"/>
              <w:spacing w:beforeLines="40" w:before="96" w:after="40"/>
              <w:rPr>
                <w:lang w:val="it-IT"/>
              </w:rPr>
            </w:pPr>
            <w:r w:rsidRPr="008A0F36">
              <w:rPr>
                <w:lang w:val="it-IT"/>
              </w:rPr>
              <w:t>IAS 17.66, IAS 1.32</w:t>
            </w:r>
          </w:p>
          <w:p w:rsidR="004300E2" w:rsidRDefault="004300E2" w:rsidP="004300E2">
            <w:pPr>
              <w:pStyle w:val="IAS"/>
              <w:spacing w:beforeLines="40" w:before="96" w:after="40"/>
              <w:rPr>
                <w:lang w:val="it-IT"/>
              </w:rPr>
            </w:pPr>
            <w:r w:rsidRPr="008A0F36">
              <w:rPr>
                <w:lang w:val="it-IT"/>
              </w:rPr>
              <w:t>IAS 1.33, IAS 1.9</w:t>
            </w:r>
            <w:r>
              <w:rPr>
                <w:lang w:val="it-IT"/>
              </w:rPr>
              <w:t>8</w:t>
            </w:r>
          </w:p>
        </w:tc>
        <w:tc>
          <w:tcPr>
            <w:tcW w:w="7079" w:type="dxa"/>
            <w:shd w:val="clear" w:color="auto" w:fill="auto"/>
            <w:vAlign w:val="center"/>
          </w:tcPr>
          <w:p w:rsidR="004300E2" w:rsidRDefault="004300E2" w:rsidP="0002186C">
            <w:pPr>
              <w:pStyle w:val="Paragarfobordato"/>
              <w:jc w:val="left"/>
            </w:pPr>
            <w:r w:rsidRPr="008A0F36">
              <w:t>Le operazioni di vendita e retrolocazione possono richiedere esposizione separata in base allo IAS 1, che richiede che un’entità non compensi ricavi e costi, a meno che non sia richiesto o consentito da un altro IFRS, e che l’entità indichi le voci rilevanti di ricavi e costi.</w:t>
            </w:r>
          </w:p>
        </w:tc>
        <w:tc>
          <w:tcPr>
            <w:tcW w:w="575" w:type="dxa"/>
            <w:shd w:val="clear" w:color="auto" w:fill="auto"/>
            <w:tcMar>
              <w:left w:w="85" w:type="dxa"/>
              <w:right w:w="85" w:type="dxa"/>
            </w:tcMar>
            <w:vAlign w:val="center"/>
          </w:tcPr>
          <w:p w:rsidR="004300E2" w:rsidRDefault="004300E2" w:rsidP="004300E2">
            <w:pPr>
              <w:spacing w:beforeLines="40" w:before="96" w:after="40"/>
              <w:jc w:val="center"/>
              <w:rPr>
                <w:lang w:val="it-IT"/>
              </w:rPr>
            </w:pPr>
          </w:p>
        </w:tc>
        <w:tc>
          <w:tcPr>
            <w:tcW w:w="567" w:type="dxa"/>
            <w:shd w:val="clear" w:color="auto" w:fill="auto"/>
            <w:vAlign w:val="center"/>
          </w:tcPr>
          <w:p w:rsidR="004300E2" w:rsidRDefault="004300E2" w:rsidP="004300E2">
            <w:pPr>
              <w:spacing w:beforeLines="40" w:before="96" w:after="40"/>
              <w:jc w:val="center"/>
              <w:rPr>
                <w:lang w:val="it-IT"/>
              </w:rPr>
            </w:pPr>
          </w:p>
        </w:tc>
        <w:tc>
          <w:tcPr>
            <w:tcW w:w="567" w:type="dxa"/>
            <w:vAlign w:val="center"/>
          </w:tcPr>
          <w:p w:rsidR="004300E2" w:rsidRDefault="004300E2" w:rsidP="004300E2">
            <w:pPr>
              <w:spacing w:beforeLines="40" w:before="96" w:after="40"/>
              <w:jc w:val="center"/>
              <w:rPr>
                <w:lang w:val="it-IT"/>
              </w:rPr>
            </w:pPr>
          </w:p>
        </w:tc>
      </w:tr>
      <w:tr w:rsidR="004300E2" w:rsidRPr="00A44ECD" w:rsidTr="00940A6F">
        <w:trPr>
          <w:cantSplit/>
        </w:trPr>
        <w:tc>
          <w:tcPr>
            <w:tcW w:w="567" w:type="dxa"/>
            <w:shd w:val="clear" w:color="auto" w:fill="auto"/>
            <w:tcMar>
              <w:left w:w="108" w:type="dxa"/>
            </w:tcMar>
          </w:tcPr>
          <w:p w:rsidR="004300E2" w:rsidRDefault="004300E2" w:rsidP="004300E2">
            <w:pPr>
              <w:pStyle w:val="IAS"/>
              <w:spacing w:beforeLines="40" w:before="96" w:after="40"/>
              <w:rPr>
                <w:lang w:val="it-IT"/>
              </w:rPr>
            </w:pPr>
          </w:p>
        </w:tc>
        <w:tc>
          <w:tcPr>
            <w:tcW w:w="851" w:type="dxa"/>
            <w:shd w:val="clear" w:color="auto" w:fill="auto"/>
            <w:tcMar>
              <w:left w:w="108" w:type="dxa"/>
              <w:right w:w="0" w:type="dxa"/>
            </w:tcMar>
          </w:tcPr>
          <w:p w:rsidR="004300E2" w:rsidRDefault="004300E2" w:rsidP="004300E2">
            <w:pPr>
              <w:pStyle w:val="IAS"/>
              <w:spacing w:beforeLines="40" w:before="96" w:after="40"/>
              <w:rPr>
                <w:lang w:val="it-IT"/>
              </w:rPr>
            </w:pPr>
          </w:p>
        </w:tc>
        <w:tc>
          <w:tcPr>
            <w:tcW w:w="7079" w:type="dxa"/>
            <w:shd w:val="clear" w:color="auto" w:fill="auto"/>
            <w:tcMar>
              <w:left w:w="108" w:type="dxa"/>
            </w:tcMar>
          </w:tcPr>
          <w:p w:rsidR="004300E2" w:rsidRDefault="004300E2" w:rsidP="004300E2">
            <w:pPr>
              <w:pStyle w:val="Titolo2"/>
              <w:spacing w:beforeLines="40" w:before="96" w:after="40"/>
              <w:rPr>
                <w:lang w:val="it-IT"/>
              </w:rPr>
            </w:pPr>
            <w:r w:rsidRPr="008A0F36">
              <w:rPr>
                <w:lang w:val="it-IT"/>
              </w:rPr>
              <w:t xml:space="preserve">La sostanza delle operazioni nella forma legale del </w:t>
            </w:r>
            <w:r w:rsidRPr="008A0F36">
              <w:rPr>
                <w:i/>
                <w:lang w:val="it-IT"/>
              </w:rPr>
              <w:t>leasing</w:t>
            </w:r>
            <w:r w:rsidRPr="008A0F36">
              <w:rPr>
                <w:lang w:val="it-IT"/>
              </w:rPr>
              <w:t xml:space="preserve"> </w:t>
            </w:r>
          </w:p>
        </w:tc>
        <w:tc>
          <w:tcPr>
            <w:tcW w:w="575" w:type="dxa"/>
            <w:shd w:val="clear" w:color="auto" w:fill="auto"/>
            <w:tcMar>
              <w:left w:w="85" w:type="dxa"/>
              <w:right w:w="85" w:type="dxa"/>
            </w:tcMar>
            <w:vAlign w:val="center"/>
          </w:tcPr>
          <w:p w:rsidR="004300E2" w:rsidRDefault="004300E2" w:rsidP="004300E2">
            <w:pPr>
              <w:spacing w:beforeLines="40" w:before="96" w:after="40"/>
              <w:jc w:val="center"/>
              <w:rPr>
                <w:lang w:val="it-IT"/>
              </w:rPr>
            </w:pPr>
          </w:p>
        </w:tc>
        <w:tc>
          <w:tcPr>
            <w:tcW w:w="567" w:type="dxa"/>
            <w:shd w:val="clear" w:color="auto" w:fill="auto"/>
            <w:tcMar>
              <w:left w:w="108" w:type="dxa"/>
            </w:tcMar>
            <w:vAlign w:val="center"/>
          </w:tcPr>
          <w:p w:rsidR="004300E2" w:rsidRDefault="004300E2" w:rsidP="004300E2">
            <w:pPr>
              <w:spacing w:beforeLines="40" w:before="96" w:after="40"/>
              <w:jc w:val="center"/>
              <w:rPr>
                <w:lang w:val="it-IT"/>
              </w:rPr>
            </w:pPr>
          </w:p>
        </w:tc>
        <w:tc>
          <w:tcPr>
            <w:tcW w:w="567" w:type="dxa"/>
            <w:vAlign w:val="center"/>
          </w:tcPr>
          <w:p w:rsidR="004300E2" w:rsidRDefault="004300E2" w:rsidP="004300E2">
            <w:pPr>
              <w:spacing w:beforeLines="40" w:before="96" w:after="40"/>
              <w:jc w:val="center"/>
              <w:rPr>
                <w:lang w:val="it-IT"/>
              </w:rPr>
            </w:pPr>
          </w:p>
        </w:tc>
      </w:tr>
      <w:tr w:rsidR="004300E2" w:rsidRPr="00A44ECD" w:rsidTr="00940A6F">
        <w:trPr>
          <w:cantSplit/>
        </w:trPr>
        <w:tc>
          <w:tcPr>
            <w:tcW w:w="567" w:type="dxa"/>
            <w:shd w:val="clear" w:color="auto" w:fill="auto"/>
            <w:tcMar>
              <w:left w:w="108" w:type="dxa"/>
            </w:tcMar>
          </w:tcPr>
          <w:p w:rsidR="004300E2" w:rsidRPr="008A0F36" w:rsidRDefault="004300E2" w:rsidP="004300E2">
            <w:pPr>
              <w:pStyle w:val="Numeroelenco"/>
              <w:ind w:left="0" w:firstLine="57"/>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r w:rsidRPr="008A0F36">
              <w:rPr>
                <w:lang w:val="it-IT"/>
              </w:rPr>
              <w:t>SIC</w:t>
            </w:r>
            <w:r>
              <w:rPr>
                <w:lang w:val="it-IT"/>
              </w:rPr>
              <w:t xml:space="preserve"> </w:t>
            </w:r>
            <w:r w:rsidRPr="008A0F36">
              <w:rPr>
                <w:lang w:val="it-IT"/>
              </w:rPr>
              <w:t>27.10</w:t>
            </w:r>
          </w:p>
          <w:p w:rsidR="004300E2" w:rsidRPr="008A0F36" w:rsidRDefault="004300E2" w:rsidP="004300E2">
            <w:pPr>
              <w:pStyle w:val="IAS"/>
              <w:rPr>
                <w:lang w:val="it-IT"/>
              </w:rPr>
            </w:pPr>
            <w:r w:rsidRPr="008A0F36">
              <w:rPr>
                <w:lang w:val="it-IT"/>
              </w:rPr>
              <w:t>SIC</w:t>
            </w:r>
            <w:r>
              <w:rPr>
                <w:lang w:val="it-IT"/>
              </w:rPr>
              <w:t xml:space="preserve"> </w:t>
            </w:r>
            <w:r w:rsidRPr="008A0F36">
              <w:rPr>
                <w:lang w:val="it-IT"/>
              </w:rPr>
              <w:t>27.11</w:t>
            </w:r>
          </w:p>
        </w:tc>
        <w:tc>
          <w:tcPr>
            <w:tcW w:w="7079" w:type="dxa"/>
            <w:shd w:val="clear" w:color="auto" w:fill="auto"/>
            <w:tcMar>
              <w:left w:w="108" w:type="dxa"/>
            </w:tcMar>
          </w:tcPr>
          <w:p w:rsidR="004300E2" w:rsidRPr="008A0F36" w:rsidRDefault="004300E2" w:rsidP="008129DA">
            <w:pPr>
              <w:rPr>
                <w:lang w:val="it-IT"/>
              </w:rPr>
            </w:pPr>
            <w:r w:rsidRPr="008A0F36">
              <w:rPr>
                <w:lang w:val="it-IT"/>
              </w:rPr>
              <w:t xml:space="preserve">Tutti gli aspetti di un accordo che nella sostanza non rientra come </w:t>
            </w:r>
            <w:r w:rsidRPr="008A0F36">
              <w:rPr>
                <w:i/>
                <w:lang w:val="it-IT"/>
              </w:rPr>
              <w:t>leasing</w:t>
            </w:r>
            <w:r w:rsidRPr="008A0F36">
              <w:rPr>
                <w:lang w:val="it-IT"/>
              </w:rPr>
              <w:t xml:space="preserve"> regolato dallo IAS 17 dovrebbero essere considerati determinando l’appropriata informativa che è necessaria per una comprensione dell’accordo e del trattamento contabile adottato. Quando un’entità stipula accordi che sono </w:t>
            </w:r>
            <w:r w:rsidRPr="008A0F36">
              <w:rPr>
                <w:i/>
                <w:lang w:val="it-IT"/>
              </w:rPr>
              <w:t>leasing</w:t>
            </w:r>
            <w:r w:rsidRPr="008A0F36">
              <w:rPr>
                <w:lang w:val="it-IT"/>
              </w:rPr>
              <w:t xml:space="preserve"> nella forma, ma non nella sostanza, l’entità ha fornito, separatamente per ogni accordo o ogni classe di accordi, le seguenti informazioni per ogni esercizio in cui l’accordo è efficace:</w:t>
            </w:r>
          </w:p>
        </w:tc>
        <w:tc>
          <w:tcPr>
            <w:tcW w:w="575" w:type="dxa"/>
            <w:shd w:val="clear" w:color="auto" w:fill="auto"/>
            <w:tcMar>
              <w:left w:w="85" w:type="dxa"/>
              <w:right w:w="85" w:type="dxa"/>
            </w:tcMar>
            <w:vAlign w:val="center"/>
          </w:tcPr>
          <w:p w:rsidR="004300E2" w:rsidRPr="00090BE7" w:rsidRDefault="004300E2" w:rsidP="004300E2">
            <w:pPr>
              <w:spacing w:line="224" w:lineRule="exact"/>
              <w:jc w:val="center"/>
              <w:rPr>
                <w:lang w:val="it-IT"/>
              </w:rPr>
            </w:pPr>
          </w:p>
        </w:tc>
        <w:tc>
          <w:tcPr>
            <w:tcW w:w="567" w:type="dxa"/>
            <w:shd w:val="clear" w:color="auto" w:fill="auto"/>
            <w:tcMar>
              <w:left w:w="108" w:type="dxa"/>
            </w:tcMar>
            <w:vAlign w:val="center"/>
          </w:tcPr>
          <w:p w:rsidR="004300E2" w:rsidRPr="00090BE7" w:rsidRDefault="004300E2" w:rsidP="004300E2">
            <w:pPr>
              <w:spacing w:line="224" w:lineRule="exact"/>
              <w:jc w:val="center"/>
              <w:rPr>
                <w:lang w:val="it-IT"/>
              </w:rPr>
            </w:pPr>
          </w:p>
        </w:tc>
        <w:tc>
          <w:tcPr>
            <w:tcW w:w="567" w:type="dxa"/>
            <w:vAlign w:val="center"/>
          </w:tcPr>
          <w:p w:rsidR="004300E2" w:rsidRPr="00090BE7" w:rsidRDefault="004300E2" w:rsidP="004300E2">
            <w:pPr>
              <w:spacing w:line="224" w:lineRule="exact"/>
              <w:jc w:val="center"/>
              <w:rPr>
                <w:lang w:val="it-IT"/>
              </w:rPr>
            </w:pP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8129DA">
            <w:pPr>
              <w:pStyle w:val="Rientroa"/>
              <w:numPr>
                <w:ilvl w:val="0"/>
                <w:numId w:val="128"/>
              </w:numPr>
              <w:rPr>
                <w:iCs/>
              </w:rPr>
            </w:pPr>
            <w:r w:rsidRPr="008A0F36">
              <w:t>una descrizione dell’accordo che include: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8129DA">
            <w:pPr>
              <w:pStyle w:val="Puntoelenco"/>
              <w:ind w:hanging="322"/>
            </w:pPr>
            <w:r w:rsidRPr="008A0F36">
              <w:t>l’attività in oggetto e qualsiasi relativo vincolo d’uso</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8129DA">
            <w:pPr>
              <w:pStyle w:val="Puntoelenco"/>
              <w:ind w:hanging="322"/>
            </w:pPr>
            <w:r w:rsidRPr="008A0F36">
              <w:t>la durata dell’accordo e le altre fondamentali condizioni previste dell’accordo</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8129DA">
            <w:pPr>
              <w:pStyle w:val="Puntoelenco"/>
              <w:ind w:hanging="322"/>
            </w:pPr>
            <w:r w:rsidRPr="008A0F36">
              <w:t>le operazioni tra loro collegate, incluse eventuali opzioni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8129DA">
            <w:pPr>
              <w:pStyle w:val="Rientroa"/>
              <w:numPr>
                <w:ilvl w:val="0"/>
                <w:numId w:val="72"/>
              </w:numPr>
            </w:pPr>
            <w:r w:rsidRPr="008A0F36">
              <w:t>il trattamento contabile applicato a qualsiasi compenso ricevuto</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8129DA">
            <w:pPr>
              <w:pStyle w:val="Rientroa"/>
              <w:numPr>
                <w:ilvl w:val="0"/>
                <w:numId w:val="72"/>
              </w:numPr>
            </w:pPr>
            <w:r w:rsidRPr="008A0F36">
              <w:t>l’importo rilevato come ricavo nell’esercizio</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8129DA">
            <w:pPr>
              <w:pStyle w:val="Rientroa"/>
              <w:numPr>
                <w:ilvl w:val="0"/>
                <w:numId w:val="72"/>
              </w:numPr>
            </w:pPr>
            <w:r w:rsidRPr="008A0F36">
              <w:t xml:space="preserve">le voci </w:t>
            </w:r>
            <w:r>
              <w:t xml:space="preserve">del prospetto (dei prospetti) dell’utile/(perdita) d’esercizio e delle altre componenti di conto economico complessivo </w:t>
            </w:r>
            <w:r w:rsidRPr="008A0F36">
              <w:t>in cui lo stesso è stato incluso.</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shd w:val="clear" w:color="auto" w:fill="auto"/>
            <w:tcMar>
              <w:left w:w="108" w:type="dxa"/>
            </w:tcMar>
            <w:vAlign w:val="center"/>
          </w:tcPr>
          <w:p w:rsidR="004300E2" w:rsidRDefault="004300E2" w:rsidP="004300E2">
            <w:pPr>
              <w:pStyle w:val="IAS"/>
              <w:spacing w:beforeLines="40" w:before="96" w:after="40"/>
              <w:jc w:val="left"/>
              <w:rPr>
                <w:lang w:val="it-IT"/>
              </w:rPr>
            </w:pPr>
          </w:p>
        </w:tc>
        <w:tc>
          <w:tcPr>
            <w:tcW w:w="851" w:type="dxa"/>
            <w:shd w:val="clear" w:color="auto" w:fill="auto"/>
            <w:tcMar>
              <w:left w:w="108" w:type="dxa"/>
              <w:right w:w="0" w:type="dxa"/>
            </w:tcMar>
            <w:vAlign w:val="center"/>
          </w:tcPr>
          <w:p w:rsidR="004300E2" w:rsidRDefault="004300E2" w:rsidP="004300E2">
            <w:pPr>
              <w:pStyle w:val="IAS"/>
              <w:spacing w:beforeLines="40" w:before="96" w:after="40"/>
              <w:jc w:val="left"/>
              <w:rPr>
                <w:lang w:val="it-IT"/>
              </w:rPr>
            </w:pPr>
          </w:p>
        </w:tc>
        <w:tc>
          <w:tcPr>
            <w:tcW w:w="7079" w:type="dxa"/>
            <w:shd w:val="clear" w:color="auto" w:fill="auto"/>
            <w:tcMar>
              <w:left w:w="108" w:type="dxa"/>
            </w:tcMar>
            <w:vAlign w:val="center"/>
          </w:tcPr>
          <w:p w:rsidR="004300E2" w:rsidRDefault="004300E2" w:rsidP="004300E2">
            <w:pPr>
              <w:pStyle w:val="Titolo2"/>
              <w:spacing w:beforeLines="40" w:before="96" w:after="40"/>
              <w:rPr>
                <w:lang w:val="it-IT"/>
              </w:rPr>
            </w:pPr>
            <w:r w:rsidRPr="008A0F36">
              <w:rPr>
                <w:lang w:val="it-IT"/>
              </w:rPr>
              <w:t xml:space="preserve">Determinare se un contratto contiene un </w:t>
            </w:r>
            <w:r w:rsidRPr="008A0F36">
              <w:rPr>
                <w:i/>
                <w:lang w:val="it-IT"/>
              </w:rPr>
              <w:t>leasing</w:t>
            </w:r>
          </w:p>
        </w:tc>
        <w:tc>
          <w:tcPr>
            <w:tcW w:w="575" w:type="dxa"/>
            <w:shd w:val="clear" w:color="auto" w:fill="auto"/>
            <w:tcMar>
              <w:left w:w="85" w:type="dxa"/>
              <w:right w:w="85" w:type="dxa"/>
            </w:tcMar>
            <w:vAlign w:val="center"/>
          </w:tcPr>
          <w:p w:rsidR="004300E2" w:rsidRDefault="004300E2" w:rsidP="004300E2">
            <w:pPr>
              <w:spacing w:beforeLines="40" w:before="96" w:after="40"/>
              <w:jc w:val="left"/>
              <w:rPr>
                <w:lang w:val="it-IT"/>
              </w:rPr>
            </w:pPr>
          </w:p>
        </w:tc>
        <w:tc>
          <w:tcPr>
            <w:tcW w:w="567" w:type="dxa"/>
            <w:shd w:val="clear" w:color="auto" w:fill="auto"/>
            <w:tcMar>
              <w:left w:w="108" w:type="dxa"/>
            </w:tcMar>
            <w:vAlign w:val="center"/>
          </w:tcPr>
          <w:p w:rsidR="004300E2" w:rsidRDefault="004300E2" w:rsidP="004300E2">
            <w:pPr>
              <w:spacing w:beforeLines="40" w:before="96" w:after="40"/>
              <w:jc w:val="left"/>
              <w:rPr>
                <w:lang w:val="it-IT"/>
              </w:rPr>
            </w:pPr>
          </w:p>
        </w:tc>
        <w:tc>
          <w:tcPr>
            <w:tcW w:w="567" w:type="dxa"/>
            <w:vAlign w:val="center"/>
          </w:tcPr>
          <w:p w:rsidR="004300E2" w:rsidRDefault="004300E2" w:rsidP="004300E2">
            <w:pPr>
              <w:spacing w:beforeLines="40" w:before="96" w:after="40"/>
              <w:jc w:val="left"/>
              <w:rPr>
                <w:lang w:val="it-IT"/>
              </w:rPr>
            </w:pPr>
          </w:p>
        </w:tc>
      </w:tr>
      <w:tr w:rsidR="004E201D" w:rsidRPr="008129DA" w:rsidTr="00940A6F">
        <w:trPr>
          <w:cantSplit/>
        </w:trPr>
        <w:tc>
          <w:tcPr>
            <w:tcW w:w="567" w:type="dxa"/>
            <w:shd w:val="clear" w:color="auto" w:fill="auto"/>
            <w:tcMar>
              <w:left w:w="108" w:type="dxa"/>
              <w:right w:w="0" w:type="dxa"/>
            </w:tcMar>
          </w:tcPr>
          <w:p w:rsidR="004E201D" w:rsidRPr="008A0F36" w:rsidRDefault="004E201D" w:rsidP="004300E2">
            <w:pPr>
              <w:pStyle w:val="Numeroelenco"/>
              <w:ind w:left="0" w:firstLine="57"/>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r w:rsidRPr="008A0F36">
              <w:rPr>
                <w:lang w:val="it-IT"/>
              </w:rPr>
              <w:t>IAS 1.117</w:t>
            </w:r>
          </w:p>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4300E2">
            <w:pPr>
              <w:rPr>
                <w:sz w:val="18"/>
                <w:szCs w:val="18"/>
                <w:lang w:val="it-IT"/>
              </w:rPr>
            </w:pPr>
            <w:r w:rsidRPr="008A0F36">
              <w:rPr>
                <w:lang w:val="it-IT"/>
              </w:rPr>
              <w:t xml:space="preserve">L’entità fornisce indicazioni sulle politiche contabili usate per determinare se un contratto contiene un </w:t>
            </w:r>
            <w:r w:rsidRPr="008A0F36">
              <w:rPr>
                <w:i/>
                <w:lang w:val="it-IT"/>
              </w:rPr>
              <w:t>leasing</w:t>
            </w:r>
            <w:r>
              <w:rPr>
                <w:i/>
                <w:lang w:val="it-IT"/>
              </w:rPr>
              <w:t>.</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shd w:val="clear" w:color="auto" w:fill="auto"/>
            <w:tcMar>
              <w:left w:w="108" w:type="dxa"/>
              <w:right w:w="0" w:type="dxa"/>
            </w:tcMar>
          </w:tcPr>
          <w:p w:rsidR="004300E2" w:rsidRDefault="004300E2" w:rsidP="004300E2">
            <w:pPr>
              <w:pStyle w:val="IAS"/>
              <w:spacing w:beforeLines="40" w:before="96" w:after="40"/>
              <w:rPr>
                <w:lang w:val="it-IT"/>
              </w:rPr>
            </w:pPr>
          </w:p>
        </w:tc>
        <w:tc>
          <w:tcPr>
            <w:tcW w:w="851" w:type="dxa"/>
            <w:shd w:val="clear" w:color="auto" w:fill="auto"/>
            <w:tcMar>
              <w:left w:w="108" w:type="dxa"/>
              <w:right w:w="0" w:type="dxa"/>
            </w:tcMar>
          </w:tcPr>
          <w:p w:rsidR="004300E2" w:rsidRDefault="004300E2" w:rsidP="004300E2">
            <w:pPr>
              <w:pStyle w:val="IAS"/>
              <w:spacing w:beforeLines="40" w:before="96" w:after="40"/>
              <w:rPr>
                <w:lang w:val="it-IT"/>
              </w:rPr>
            </w:pPr>
            <w:r w:rsidRPr="008A0F36">
              <w:rPr>
                <w:lang w:val="it-IT"/>
              </w:rPr>
              <w:t>IFRIC 4.1</w:t>
            </w:r>
            <w:r>
              <w:rPr>
                <w:lang w:val="it-IT"/>
              </w:rPr>
              <w:t>3</w:t>
            </w:r>
            <w:r w:rsidRPr="008A0F36">
              <w:rPr>
                <w:lang w:val="it-IT"/>
              </w:rPr>
              <w:t>,</w:t>
            </w:r>
          </w:p>
          <w:p w:rsidR="004300E2" w:rsidRDefault="004300E2" w:rsidP="004300E2">
            <w:pPr>
              <w:pStyle w:val="IAS"/>
              <w:spacing w:beforeLines="40" w:before="96" w:after="40"/>
              <w:rPr>
                <w:lang w:val="it-IT"/>
              </w:rPr>
            </w:pPr>
            <w:r w:rsidRPr="008A0F36">
              <w:rPr>
                <w:lang w:val="it-IT"/>
              </w:rPr>
              <w:t>IFRIC 4.1</w:t>
            </w:r>
            <w:r>
              <w:rPr>
                <w:lang w:val="it-IT"/>
              </w:rPr>
              <w:t>5</w:t>
            </w:r>
            <w:r w:rsidRPr="008A0F36">
              <w:rPr>
                <w:lang w:val="it-IT"/>
              </w:rPr>
              <w:t>,</w:t>
            </w:r>
          </w:p>
          <w:p w:rsidR="004300E2" w:rsidRDefault="004300E2" w:rsidP="004300E2">
            <w:pPr>
              <w:pStyle w:val="IAS"/>
              <w:spacing w:beforeLines="40" w:before="96" w:after="40"/>
              <w:rPr>
                <w:lang w:val="it-IT"/>
              </w:rPr>
            </w:pPr>
            <w:r w:rsidRPr="008A0F36">
              <w:rPr>
                <w:lang w:val="it-IT"/>
              </w:rPr>
              <w:t xml:space="preserve"> IAS 17.35</w:t>
            </w:r>
          </w:p>
        </w:tc>
        <w:tc>
          <w:tcPr>
            <w:tcW w:w="7079" w:type="dxa"/>
            <w:shd w:val="clear" w:color="auto" w:fill="auto"/>
            <w:tcMar>
              <w:left w:w="108" w:type="dxa"/>
            </w:tcMar>
          </w:tcPr>
          <w:p w:rsidR="004300E2" w:rsidRPr="008A0F36" w:rsidRDefault="004300E2" w:rsidP="0002186C">
            <w:pPr>
              <w:pStyle w:val="Paragarfobordato"/>
            </w:pPr>
            <w:r w:rsidRPr="008A0F36">
              <w:t xml:space="preserve">L’IFRIC 4 fornisce una guida nel determinare se un contratto, che non ha la forma legale del </w:t>
            </w:r>
            <w:r w:rsidRPr="008A0F36">
              <w:rPr>
                <w:i/>
              </w:rPr>
              <w:t>leasing</w:t>
            </w:r>
            <w:r w:rsidRPr="008A0F36">
              <w:t xml:space="preserve">, ma implica un diritto ad usare il bene, è o contiene un </w:t>
            </w:r>
            <w:r w:rsidRPr="008A0F36">
              <w:rPr>
                <w:i/>
              </w:rPr>
              <w:t>leasing</w:t>
            </w:r>
            <w:r w:rsidRPr="008A0F36">
              <w:t xml:space="preserve"> che dovrebbe essere rilevato in conformità allo IAS 17. In virtù dell’applicazione dello IAS 17, i pagamenti e gli altri termini dell’accordo devono essere separati. In alcuni casi sarà impraticabile separare i pagamenti per il </w:t>
            </w:r>
            <w:r w:rsidRPr="008A0F36">
              <w:rPr>
                <w:i/>
              </w:rPr>
              <w:t>leasing</w:t>
            </w:r>
            <w:r w:rsidRPr="008A0F36">
              <w:t xml:space="preserve"> dai pagamenti per altri elementi del contratto. </w:t>
            </w:r>
          </w:p>
        </w:tc>
        <w:tc>
          <w:tcPr>
            <w:tcW w:w="575" w:type="dxa"/>
            <w:shd w:val="clear" w:color="auto" w:fill="auto"/>
            <w:tcMar>
              <w:left w:w="85" w:type="dxa"/>
              <w:right w:w="85" w:type="dxa"/>
            </w:tcMar>
            <w:vAlign w:val="center"/>
          </w:tcPr>
          <w:p w:rsidR="004300E2" w:rsidRDefault="004300E2" w:rsidP="004300E2">
            <w:pPr>
              <w:spacing w:beforeLines="40" w:before="96" w:after="40"/>
              <w:jc w:val="center"/>
              <w:rPr>
                <w:lang w:val="it-IT"/>
              </w:rPr>
            </w:pPr>
          </w:p>
        </w:tc>
        <w:tc>
          <w:tcPr>
            <w:tcW w:w="567" w:type="dxa"/>
            <w:shd w:val="clear" w:color="auto" w:fill="auto"/>
            <w:tcMar>
              <w:left w:w="108" w:type="dxa"/>
            </w:tcMar>
            <w:vAlign w:val="center"/>
          </w:tcPr>
          <w:p w:rsidR="004300E2" w:rsidRDefault="004300E2" w:rsidP="004300E2">
            <w:pPr>
              <w:spacing w:beforeLines="40" w:before="96" w:after="40"/>
              <w:jc w:val="center"/>
              <w:rPr>
                <w:lang w:val="it-IT"/>
              </w:rPr>
            </w:pPr>
          </w:p>
        </w:tc>
        <w:tc>
          <w:tcPr>
            <w:tcW w:w="567" w:type="dxa"/>
            <w:vAlign w:val="center"/>
          </w:tcPr>
          <w:p w:rsidR="004300E2" w:rsidRDefault="004300E2" w:rsidP="004300E2">
            <w:pPr>
              <w:spacing w:beforeLines="40" w:before="96" w:after="40"/>
              <w:jc w:val="center"/>
              <w:rPr>
                <w:lang w:val="it-IT"/>
              </w:rPr>
            </w:pPr>
          </w:p>
        </w:tc>
      </w:tr>
      <w:tr w:rsidR="004300E2" w:rsidRPr="00A44ECD" w:rsidTr="00940A6F">
        <w:trPr>
          <w:cantSplit/>
        </w:trPr>
        <w:tc>
          <w:tcPr>
            <w:tcW w:w="567" w:type="dxa"/>
            <w:shd w:val="clear" w:color="auto" w:fill="auto"/>
            <w:tcMar>
              <w:left w:w="108" w:type="dxa"/>
              <w:right w:w="0" w:type="dxa"/>
            </w:tcMar>
          </w:tcPr>
          <w:p w:rsidR="004300E2" w:rsidRPr="008A0F36" w:rsidRDefault="004300E2" w:rsidP="004300E2">
            <w:pPr>
              <w:pStyle w:val="Numeroelenco"/>
              <w:ind w:left="0" w:firstLine="57"/>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r w:rsidRPr="008A0F36">
              <w:rPr>
                <w:lang w:val="it-IT"/>
              </w:rPr>
              <w:t>IFRIC 4.15</w:t>
            </w:r>
          </w:p>
        </w:tc>
        <w:tc>
          <w:tcPr>
            <w:tcW w:w="7079" w:type="dxa"/>
            <w:shd w:val="clear" w:color="auto" w:fill="auto"/>
            <w:tcMar>
              <w:left w:w="108" w:type="dxa"/>
            </w:tcMar>
          </w:tcPr>
          <w:p w:rsidR="004300E2" w:rsidRPr="008A0F36" w:rsidRDefault="004300E2" w:rsidP="008129DA">
            <w:pPr>
              <w:rPr>
                <w:lang w:val="it-IT"/>
              </w:rPr>
            </w:pPr>
            <w:r w:rsidRPr="008A0F36">
              <w:rPr>
                <w:lang w:val="it-IT"/>
              </w:rPr>
              <w:t xml:space="preserve">Nel caso di un </w:t>
            </w:r>
            <w:r w:rsidRPr="008A0F36">
              <w:rPr>
                <w:i/>
                <w:lang w:val="it-IT"/>
              </w:rPr>
              <w:t>leasing</w:t>
            </w:r>
            <w:r w:rsidRPr="008A0F36">
              <w:rPr>
                <w:lang w:val="it-IT"/>
              </w:rPr>
              <w:t xml:space="preserve"> operativo dove l’entità è l’acquirente e conclude che è impraticabile separare attendibilmente i </w:t>
            </w:r>
            <w:r w:rsidRPr="008A0F36">
              <w:rPr>
                <w:sz w:val="18"/>
                <w:szCs w:val="18"/>
                <w:lang w:val="it-IT"/>
              </w:rPr>
              <w:t xml:space="preserve">pagamenti per il </w:t>
            </w:r>
            <w:r w:rsidRPr="008A0F36">
              <w:rPr>
                <w:i/>
                <w:sz w:val="18"/>
                <w:szCs w:val="18"/>
                <w:lang w:val="it-IT"/>
              </w:rPr>
              <w:t>leasing</w:t>
            </w:r>
            <w:r w:rsidRPr="008A0F36">
              <w:rPr>
                <w:sz w:val="18"/>
                <w:szCs w:val="18"/>
                <w:lang w:val="it-IT"/>
              </w:rPr>
              <w:t xml:space="preserve"> dai pagamenti per altri elementi del contratto, l’entità </w:t>
            </w:r>
            <w:r w:rsidRPr="008A0F36">
              <w:rPr>
                <w:lang w:val="it-IT"/>
              </w:rPr>
              <w:t xml:space="preserve">tratterà tutti i pagamenti del contratto come pagamenti del </w:t>
            </w:r>
            <w:r w:rsidRPr="008A0F36">
              <w:rPr>
                <w:i/>
                <w:lang w:val="it-IT"/>
              </w:rPr>
              <w:t>leasing</w:t>
            </w:r>
            <w:r w:rsidRPr="008A0F36">
              <w:rPr>
                <w:lang w:val="it-IT"/>
              </w:rPr>
              <w:t xml:space="preserve"> allo scopo di essere conformi alle disposizioni dello IAS 17, ma:</w:t>
            </w:r>
          </w:p>
        </w:tc>
        <w:tc>
          <w:tcPr>
            <w:tcW w:w="575" w:type="dxa"/>
            <w:shd w:val="clear" w:color="auto" w:fill="auto"/>
            <w:tcMar>
              <w:left w:w="85" w:type="dxa"/>
              <w:right w:w="85" w:type="dxa"/>
            </w:tcMar>
            <w:vAlign w:val="center"/>
          </w:tcPr>
          <w:p w:rsidR="004300E2" w:rsidRPr="00090BE7" w:rsidRDefault="004300E2" w:rsidP="004300E2">
            <w:pPr>
              <w:spacing w:line="224" w:lineRule="exact"/>
              <w:jc w:val="center"/>
              <w:rPr>
                <w:lang w:val="it-IT"/>
              </w:rPr>
            </w:pPr>
          </w:p>
        </w:tc>
        <w:tc>
          <w:tcPr>
            <w:tcW w:w="567" w:type="dxa"/>
            <w:shd w:val="clear" w:color="auto" w:fill="auto"/>
            <w:tcMar>
              <w:left w:w="108" w:type="dxa"/>
            </w:tcMar>
            <w:vAlign w:val="center"/>
          </w:tcPr>
          <w:p w:rsidR="004300E2" w:rsidRPr="00090BE7" w:rsidRDefault="004300E2" w:rsidP="004300E2">
            <w:pPr>
              <w:spacing w:line="224" w:lineRule="exact"/>
              <w:jc w:val="center"/>
              <w:rPr>
                <w:lang w:val="it-IT"/>
              </w:rPr>
            </w:pPr>
          </w:p>
        </w:tc>
        <w:tc>
          <w:tcPr>
            <w:tcW w:w="567" w:type="dxa"/>
            <w:vAlign w:val="center"/>
          </w:tcPr>
          <w:p w:rsidR="004300E2" w:rsidRPr="00090BE7" w:rsidRDefault="004300E2" w:rsidP="004300E2">
            <w:pPr>
              <w:spacing w:line="224" w:lineRule="exact"/>
              <w:jc w:val="center"/>
              <w:rPr>
                <w:lang w:val="it-IT"/>
              </w:rPr>
            </w:pPr>
          </w:p>
        </w:tc>
      </w:tr>
      <w:tr w:rsidR="004E201D" w:rsidRPr="008129DA" w:rsidTr="00940A6F">
        <w:trPr>
          <w:cantSplit/>
          <w:trHeight w:val="523"/>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Default="004E201D" w:rsidP="004300E2">
            <w:pPr>
              <w:pStyle w:val="Rientroisottoa"/>
              <w:spacing w:line="224" w:lineRule="exact"/>
              <w:ind w:left="376" w:hanging="344"/>
              <w:rPr>
                <w:iCs/>
              </w:rPr>
            </w:pPr>
            <w:r w:rsidRPr="008A0F36">
              <w:t>i)</w:t>
            </w:r>
            <w:r w:rsidRPr="008A0F36">
              <w:tab/>
              <w:t xml:space="preserve">indica tali pagamenti separatamente dai pagamenti minimi degli altri contratti che non includono pagamenti per elementi non riferibili al </w:t>
            </w:r>
            <w:r w:rsidRPr="008A0F36">
              <w:rPr>
                <w:i/>
              </w:rPr>
              <w:t>leasing</w:t>
            </w:r>
            <w:r w:rsidRPr="008A0F36">
              <w:t xml:space="preserve">; e </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Height w:val="311"/>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F72E29" w:rsidRDefault="004E201D" w:rsidP="004300E2">
            <w:pPr>
              <w:pStyle w:val="Rientroisottoa"/>
              <w:spacing w:line="224" w:lineRule="exact"/>
              <w:ind w:left="376" w:hanging="344"/>
            </w:pPr>
            <w:r w:rsidRPr="008A0F36">
              <w:t>ii)</w:t>
            </w:r>
            <w:r w:rsidRPr="008A0F36">
              <w:tab/>
              <w:t xml:space="preserve">indica che i pagamenti indicati includono anche pagamenti per elementi non riferibili ai </w:t>
            </w:r>
            <w:r w:rsidRPr="008A0F36">
              <w:rPr>
                <w:i/>
              </w:rPr>
              <w:t>leasing</w:t>
            </w:r>
            <w:r w:rsidRPr="008A0F36">
              <w:t xml:space="preserve"> nel contratto.</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Height w:val="483"/>
        </w:trPr>
        <w:tc>
          <w:tcPr>
            <w:tcW w:w="567" w:type="dxa"/>
            <w:shd w:val="clear" w:color="auto" w:fill="auto"/>
            <w:tcMar>
              <w:left w:w="108" w:type="dxa"/>
              <w:right w:w="0" w:type="dxa"/>
            </w:tcMar>
          </w:tcPr>
          <w:p w:rsidR="004300E2" w:rsidRPr="008A0F36" w:rsidRDefault="004300E2" w:rsidP="003A5BB7">
            <w:pPr>
              <w:pStyle w:val="IAS"/>
              <w:pageBreakBefore/>
              <w:spacing w:after="40" w:line="224" w:lineRule="exact"/>
              <w:jc w:val="both"/>
              <w:rPr>
                <w:lang w:val="it-IT"/>
              </w:rPr>
            </w:pPr>
          </w:p>
        </w:tc>
        <w:tc>
          <w:tcPr>
            <w:tcW w:w="851" w:type="dxa"/>
            <w:shd w:val="clear" w:color="auto" w:fill="auto"/>
            <w:tcMar>
              <w:right w:w="0" w:type="dxa"/>
            </w:tcMar>
          </w:tcPr>
          <w:p w:rsidR="004300E2" w:rsidRPr="008A0F36" w:rsidRDefault="004300E2" w:rsidP="003A5BB7">
            <w:pPr>
              <w:pStyle w:val="IAS"/>
              <w:pageBreakBefore/>
              <w:spacing w:after="40" w:line="224" w:lineRule="exact"/>
              <w:jc w:val="both"/>
              <w:rPr>
                <w:lang w:val="it-IT"/>
              </w:rPr>
            </w:pPr>
          </w:p>
        </w:tc>
        <w:tc>
          <w:tcPr>
            <w:tcW w:w="7079" w:type="dxa"/>
            <w:shd w:val="clear" w:color="auto" w:fill="auto"/>
          </w:tcPr>
          <w:p w:rsidR="004300E2" w:rsidRPr="008A0F36" w:rsidRDefault="004300E2" w:rsidP="003A5BB7">
            <w:pPr>
              <w:pStyle w:val="Titolo1"/>
              <w:keepNext w:val="0"/>
              <w:pageBreakBefore/>
              <w:spacing w:before="40" w:after="40" w:line="224" w:lineRule="exact"/>
              <w:jc w:val="both"/>
            </w:pPr>
            <w:r w:rsidRPr="008A0F36">
              <w:t>ATTIVITà NON CORRENTI POSSEDUTE PER LA VENDITA E ATTIVITà OPERATIVE CESSATE</w:t>
            </w:r>
          </w:p>
        </w:tc>
        <w:tc>
          <w:tcPr>
            <w:tcW w:w="575" w:type="dxa"/>
            <w:shd w:val="clear" w:color="auto" w:fill="auto"/>
            <w:tcMar>
              <w:left w:w="85" w:type="dxa"/>
              <w:right w:w="85" w:type="dxa"/>
            </w:tcMar>
            <w:vAlign w:val="center"/>
          </w:tcPr>
          <w:p w:rsidR="004300E2" w:rsidRPr="00090BE7" w:rsidRDefault="004300E2" w:rsidP="003A5BB7">
            <w:pPr>
              <w:pageBreakBefore/>
              <w:spacing w:before="40" w:after="40" w:line="224" w:lineRule="exact"/>
              <w:rPr>
                <w:lang w:val="it-IT"/>
              </w:rPr>
            </w:pPr>
          </w:p>
        </w:tc>
        <w:tc>
          <w:tcPr>
            <w:tcW w:w="567" w:type="dxa"/>
            <w:shd w:val="clear" w:color="auto" w:fill="auto"/>
            <w:vAlign w:val="center"/>
          </w:tcPr>
          <w:p w:rsidR="004300E2" w:rsidRPr="00090BE7" w:rsidRDefault="004300E2" w:rsidP="003A5BB7">
            <w:pPr>
              <w:pageBreakBefore/>
              <w:spacing w:before="40" w:after="40" w:line="224" w:lineRule="exact"/>
              <w:rPr>
                <w:lang w:val="it-IT"/>
              </w:rPr>
            </w:pPr>
          </w:p>
        </w:tc>
        <w:tc>
          <w:tcPr>
            <w:tcW w:w="567" w:type="dxa"/>
            <w:shd w:val="clear" w:color="auto" w:fill="auto"/>
            <w:vAlign w:val="center"/>
          </w:tcPr>
          <w:p w:rsidR="004300E2" w:rsidRPr="00090BE7" w:rsidRDefault="004300E2" w:rsidP="003A5BB7">
            <w:pPr>
              <w:pageBreakBefore/>
              <w:spacing w:before="40" w:after="40" w:line="224" w:lineRule="exact"/>
              <w:rPr>
                <w:lang w:val="it-IT"/>
              </w:rPr>
            </w:pPr>
          </w:p>
        </w:tc>
      </w:tr>
      <w:tr w:rsidR="004300E2" w:rsidRPr="00A44ECD" w:rsidTr="00940A6F">
        <w:trPr>
          <w:cantSplit/>
        </w:trPr>
        <w:tc>
          <w:tcPr>
            <w:tcW w:w="567" w:type="dxa"/>
            <w:shd w:val="clear" w:color="auto" w:fill="auto"/>
            <w:tcMar>
              <w:left w:w="108" w:type="dxa"/>
            </w:tcMar>
          </w:tcPr>
          <w:p w:rsidR="004300E2" w:rsidRPr="008A0F36" w:rsidRDefault="004300E2" w:rsidP="004300E2">
            <w:pPr>
              <w:pStyle w:val="IAS"/>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r w:rsidRPr="008A0F36">
              <w:rPr>
                <w:lang w:val="it-IT"/>
              </w:rPr>
              <w:t>IFRS 5.5A</w:t>
            </w:r>
          </w:p>
        </w:tc>
        <w:tc>
          <w:tcPr>
            <w:tcW w:w="7079" w:type="dxa"/>
            <w:shd w:val="clear" w:color="auto" w:fill="auto"/>
            <w:tcMar>
              <w:left w:w="108" w:type="dxa"/>
            </w:tcMar>
          </w:tcPr>
          <w:p w:rsidR="004300E2" w:rsidRPr="008A0F36" w:rsidRDefault="004300E2" w:rsidP="0002186C">
            <w:pPr>
              <w:pStyle w:val="Paragarfobordato"/>
            </w:pPr>
            <w:r w:rsidRPr="008A0F36">
              <w:t xml:space="preserve">Le disposizioni relative alla classificazione, presentazione e valutazione del presente IFRS applicabili a un’attività non corrente (o a un gruppo in dismissione) che è classificata come posseduta per la vendita si applicano anche a </w:t>
            </w:r>
            <w:r w:rsidR="00E022E0">
              <w:t>un’a</w:t>
            </w:r>
            <w:r w:rsidRPr="008A0F36">
              <w:t>ttività non corrente (o gruppo in dismissione) classificata come posseduta per la distribuzione ai soci nella loro capacità di azionisti (posseduta per la distribuzione ai soci).</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4300E2" w:rsidRPr="00A44ECD" w:rsidTr="00940A6F">
        <w:trPr>
          <w:cantSplit/>
        </w:trPr>
        <w:tc>
          <w:tcPr>
            <w:tcW w:w="567" w:type="dxa"/>
            <w:shd w:val="clear" w:color="auto" w:fill="auto"/>
            <w:tcMar>
              <w:left w:w="108" w:type="dxa"/>
            </w:tcMar>
          </w:tcPr>
          <w:p w:rsidR="004300E2" w:rsidRPr="008A0F36" w:rsidRDefault="004300E2" w:rsidP="004300E2">
            <w:pPr>
              <w:pStyle w:val="IAS"/>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r w:rsidRPr="008A0F36">
              <w:rPr>
                <w:lang w:val="it-IT"/>
              </w:rPr>
              <w:t>IFRS 5.31</w:t>
            </w:r>
          </w:p>
        </w:tc>
        <w:tc>
          <w:tcPr>
            <w:tcW w:w="7079" w:type="dxa"/>
            <w:shd w:val="clear" w:color="auto" w:fill="auto"/>
            <w:tcMar>
              <w:left w:w="108" w:type="dxa"/>
            </w:tcMar>
          </w:tcPr>
          <w:p w:rsidR="004300E2" w:rsidRPr="008A0F36" w:rsidRDefault="004300E2" w:rsidP="0002186C">
            <w:pPr>
              <w:pStyle w:val="Paragarfobordato"/>
            </w:pPr>
            <w:r w:rsidRPr="008A0F36">
              <w:t>Un componente di un’entità comprende operazioni e flussi finanziari che possono essere chiaramente distinti, sia operativamente, sia ai fini del bilancio, dal resto della entità. In altri termini, finché un componente di un’entità è detenuto per l’uso, sarà un’unità generatrice di flussi finanziari o un gruppo di unità generatrici di flussi finanziari.</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4300E2" w:rsidRPr="00A44ECD" w:rsidTr="00940A6F">
        <w:trPr>
          <w:cantSplit/>
        </w:trPr>
        <w:tc>
          <w:tcPr>
            <w:tcW w:w="567" w:type="dxa"/>
            <w:shd w:val="clear" w:color="auto" w:fill="auto"/>
            <w:tcMar>
              <w:left w:w="108" w:type="dxa"/>
            </w:tcMar>
          </w:tcPr>
          <w:p w:rsidR="004300E2" w:rsidRPr="008A0F36" w:rsidRDefault="004300E2" w:rsidP="004300E2">
            <w:pPr>
              <w:pStyle w:val="IAS"/>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r w:rsidRPr="008A0F36">
              <w:rPr>
                <w:lang w:val="it-IT"/>
              </w:rPr>
              <w:t>IFRS 5.32</w:t>
            </w:r>
          </w:p>
        </w:tc>
        <w:tc>
          <w:tcPr>
            <w:tcW w:w="7079" w:type="dxa"/>
            <w:shd w:val="clear" w:color="auto" w:fill="auto"/>
            <w:tcMar>
              <w:left w:w="108" w:type="dxa"/>
            </w:tcMar>
          </w:tcPr>
          <w:p w:rsidR="004300E2" w:rsidRPr="008A0F36" w:rsidRDefault="004300E2" w:rsidP="0002186C">
            <w:pPr>
              <w:pStyle w:val="Paragarfobordato"/>
            </w:pPr>
            <w:r w:rsidRPr="008A0F36">
              <w:t>Un’attività operativa cessata è un componente di un’entità che è stato dismesso o classificato come posseduto per la vendita; e</w:t>
            </w:r>
          </w:p>
          <w:p w:rsidR="004300E2" w:rsidRPr="008A0F36" w:rsidRDefault="004300E2" w:rsidP="0002186C">
            <w:pPr>
              <w:pStyle w:val="Paragarfobordato"/>
              <w:ind w:left="205" w:hanging="205"/>
            </w:pPr>
            <w:r w:rsidRPr="008A0F36">
              <w:t>a)</w:t>
            </w:r>
            <w:r w:rsidRPr="008A0F36">
              <w:tab/>
              <w:t>rappresenta un importante ramo autonomo di attività o area geografica di attività</w:t>
            </w:r>
          </w:p>
          <w:p w:rsidR="004300E2" w:rsidRPr="008A0F36" w:rsidRDefault="004300E2" w:rsidP="0002186C">
            <w:pPr>
              <w:pStyle w:val="Paragarfobordato"/>
              <w:ind w:left="205" w:hanging="205"/>
            </w:pPr>
            <w:r w:rsidRPr="008A0F36">
              <w:t>b)</w:t>
            </w:r>
            <w:r w:rsidRPr="008A0F36">
              <w:tab/>
              <w:t>fa parte di un unico programma coordinato di dismissione di un importante ramo autonomo di attività o un’area geografica di attività; o</w:t>
            </w:r>
          </w:p>
          <w:p w:rsidR="004300E2" w:rsidRPr="008A0F36" w:rsidRDefault="004300E2" w:rsidP="0002186C">
            <w:pPr>
              <w:pStyle w:val="Paragarfobordato"/>
              <w:ind w:left="205" w:hanging="205"/>
            </w:pPr>
            <w:r w:rsidRPr="008A0F36">
              <w:t>c)</w:t>
            </w:r>
            <w:r w:rsidRPr="008A0F36">
              <w:tab/>
              <w:t>è una controllata acquisita esclusivamente al fine della sua vendita.</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4300E2" w:rsidRPr="00A44ECD" w:rsidTr="00940A6F">
        <w:trPr>
          <w:cantSplit/>
        </w:trPr>
        <w:tc>
          <w:tcPr>
            <w:tcW w:w="567" w:type="dxa"/>
            <w:shd w:val="clear" w:color="auto" w:fill="auto"/>
            <w:tcMar>
              <w:left w:w="108" w:type="dxa"/>
            </w:tcMar>
          </w:tcPr>
          <w:p w:rsidR="004300E2" w:rsidRPr="008A0F36" w:rsidRDefault="004300E2" w:rsidP="004300E2">
            <w:pPr>
              <w:pStyle w:val="Numeroelenco"/>
              <w:ind w:left="0" w:firstLine="57"/>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r w:rsidRPr="008A0F36">
              <w:rPr>
                <w:lang w:val="it-IT"/>
              </w:rPr>
              <w:t>IFRS 5.30</w:t>
            </w:r>
          </w:p>
          <w:p w:rsidR="004300E2" w:rsidRPr="008A0F36" w:rsidRDefault="004300E2" w:rsidP="004300E2">
            <w:pPr>
              <w:pStyle w:val="IAS"/>
              <w:rPr>
                <w:lang w:val="it-IT"/>
              </w:rPr>
            </w:pPr>
            <w:r w:rsidRPr="008A0F36">
              <w:rPr>
                <w:lang w:val="it-IT"/>
              </w:rPr>
              <w:t>IFRS 5.33</w:t>
            </w:r>
          </w:p>
        </w:tc>
        <w:tc>
          <w:tcPr>
            <w:tcW w:w="7079" w:type="dxa"/>
            <w:shd w:val="clear" w:color="auto" w:fill="auto"/>
            <w:tcMar>
              <w:left w:w="108" w:type="dxa"/>
            </w:tcMar>
          </w:tcPr>
          <w:p w:rsidR="004300E2" w:rsidRPr="008A0F36" w:rsidRDefault="004300E2" w:rsidP="003A5BB7">
            <w:pPr>
              <w:rPr>
                <w:lang w:val="it-IT"/>
              </w:rPr>
            </w:pPr>
            <w:r w:rsidRPr="008A0F36">
              <w:rPr>
                <w:lang w:val="it-IT"/>
              </w:rPr>
              <w:t>L’entità espone ed illustra tutte le informazioni che consentono agli utilizzatori del bilancio di valutare gli effetti sul bilancio delle attività operative cessate e delle dismissioni di attività non correnti (o gruppi in dismissione), fornendo le seguenti informazioni:</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4E201D" w:rsidRPr="008129DA" w:rsidTr="00940A6F">
        <w:trPr>
          <w:cantSplit/>
          <w:trHeight w:val="365"/>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3A5BB7">
            <w:pPr>
              <w:pStyle w:val="Rientroa"/>
              <w:numPr>
                <w:ilvl w:val="0"/>
                <w:numId w:val="129"/>
              </w:numPr>
              <w:rPr>
                <w:iCs/>
              </w:rPr>
            </w:pPr>
            <w:r w:rsidRPr="008A0F36">
              <w:t xml:space="preserve">un unico importo da esporre </w:t>
            </w:r>
            <w:r>
              <w:t xml:space="preserve">nel prospetto dell’utile/(perdita) d’esercizio e delle altre componenti di </w:t>
            </w:r>
            <w:r w:rsidRPr="008A0F36">
              <w:t>conto economico complessivo rappresentato dal totale: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3A5BB7">
            <w:pPr>
              <w:pStyle w:val="Puntoelenco"/>
              <w:ind w:hanging="322"/>
              <w:contextualSpacing w:val="0"/>
            </w:pPr>
            <w:r w:rsidRPr="008A0F36">
              <w:t>degli utili o delle perdite delle attività operative cessate al netto degli effetti fiscali; 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3A5BB7">
            <w:pPr>
              <w:pStyle w:val="Puntoelenco"/>
              <w:ind w:hanging="322"/>
              <w:contextualSpacing w:val="0"/>
            </w:pPr>
            <w:r w:rsidRPr="008A0F36">
              <w:t xml:space="preserve">della plusvalenza o minusvalenza, al netto degli effetti fiscali, rilevata a seguito della valutazione al </w:t>
            </w:r>
            <w:r w:rsidRPr="008A0F36">
              <w:rPr>
                <w:i/>
              </w:rPr>
              <w:t>fair value</w:t>
            </w:r>
            <w:r w:rsidRPr="008A0F36">
              <w:t xml:space="preserve"> al netto dei costi di vendita, o della dismissione delle attività o del (i) gruppo (i) in dismissione che costituiscono l’attività operativa cessata.</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3A5BB7">
            <w:pPr>
              <w:pStyle w:val="Rientroa"/>
              <w:numPr>
                <w:ilvl w:val="0"/>
                <w:numId w:val="72"/>
              </w:numPr>
            </w:pPr>
            <w:r w:rsidRPr="008A0F36">
              <w:t xml:space="preserve">un’analisi dell’unico importo di cui al punto a) suddivisa in: </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3A5BB7">
            <w:pPr>
              <w:pStyle w:val="Puntoelenco"/>
              <w:ind w:hanging="322"/>
              <w:contextualSpacing w:val="0"/>
            </w:pPr>
            <w:r w:rsidRPr="008A0F36">
              <w:t>ricavi, costi, utili o perdite derivanti da attività operative cessate, al lordo degli effetti fiscali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3A5BB7">
            <w:pPr>
              <w:pStyle w:val="Puntoelenco"/>
              <w:ind w:hanging="322"/>
              <w:contextualSpacing w:val="0"/>
            </w:pPr>
            <w:r w:rsidRPr="008A0F36">
              <w:t>le relative imposte sul reddito</w:t>
            </w:r>
            <w:r>
              <w:t>, 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3A5BB7">
            <w:pPr>
              <w:pStyle w:val="Puntoelenco"/>
              <w:ind w:hanging="322"/>
              <w:contextualSpacing w:val="0"/>
            </w:pPr>
            <w:r w:rsidRPr="008A0F36">
              <w:t xml:space="preserve">la plusvalenza o la minusvalenza rilevata a seguito della valutazione al </w:t>
            </w:r>
            <w:r w:rsidRPr="008A0F36">
              <w:rPr>
                <w:i/>
              </w:rPr>
              <w:t>fair value</w:t>
            </w:r>
            <w:r w:rsidRPr="008A0F36">
              <w:t xml:space="preserve"> al netto dei costi di vendita o della dismissione delle attività o del(i) gruppo(i) di dismissioni che costituiscono l’attività operativa c</w:t>
            </w:r>
            <w:r>
              <w:t>e</w:t>
            </w:r>
            <w:r w:rsidRPr="008A0F36">
              <w:t>ssata</w:t>
            </w:r>
            <w:r>
              <w:t>.</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shd w:val="clear" w:color="auto" w:fill="auto"/>
            <w:tcMar>
              <w:left w:w="108" w:type="dxa"/>
            </w:tcMar>
          </w:tcPr>
          <w:p w:rsidR="004300E2" w:rsidRPr="008A0F36" w:rsidRDefault="004300E2" w:rsidP="004300E2">
            <w:pPr>
              <w:pStyle w:val="IAS"/>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r w:rsidRPr="008A0F36">
              <w:rPr>
                <w:lang w:val="it-IT"/>
              </w:rPr>
              <w:t>IFRS 5.33</w:t>
            </w:r>
          </w:p>
          <w:p w:rsidR="004300E2" w:rsidRPr="008A0F36" w:rsidRDefault="004300E2" w:rsidP="004300E2">
            <w:pPr>
              <w:pStyle w:val="IAS"/>
              <w:rPr>
                <w:lang w:val="it-IT"/>
              </w:rPr>
            </w:pPr>
            <w:r w:rsidRPr="008A0F36">
              <w:rPr>
                <w:lang w:val="it-IT"/>
              </w:rPr>
              <w:t>IFRS 5.11</w:t>
            </w:r>
          </w:p>
          <w:p w:rsidR="004300E2" w:rsidRPr="008A0F36" w:rsidRDefault="004300E2" w:rsidP="004300E2">
            <w:pPr>
              <w:pStyle w:val="IAS"/>
              <w:rPr>
                <w:lang w:val="it-IT"/>
              </w:rPr>
            </w:pPr>
          </w:p>
        </w:tc>
        <w:tc>
          <w:tcPr>
            <w:tcW w:w="7079" w:type="dxa"/>
            <w:shd w:val="clear" w:color="auto" w:fill="auto"/>
            <w:tcMar>
              <w:left w:w="108" w:type="dxa"/>
            </w:tcMar>
          </w:tcPr>
          <w:p w:rsidR="004300E2" w:rsidRPr="008A0F36" w:rsidRDefault="004300E2" w:rsidP="0002186C">
            <w:pPr>
              <w:pStyle w:val="Paragarfobordato"/>
            </w:pPr>
            <w:r w:rsidRPr="008A0F36">
              <w:t xml:space="preserve">L’analisi di cui al punto b) sopra </w:t>
            </w:r>
            <w:r>
              <w:t xml:space="preserve">indicato </w:t>
            </w:r>
            <w:r w:rsidRPr="008A0F36">
              <w:t xml:space="preserve">può essere presentata nelle note o inclusa nel prospetto </w:t>
            </w:r>
            <w:r>
              <w:t xml:space="preserve">dell’utile/(perdita) d’esercizio e delle altre componenti </w:t>
            </w:r>
            <w:r w:rsidRPr="008A0F36">
              <w:t xml:space="preserve">di conto economico complessivo. </w:t>
            </w:r>
            <w:r>
              <w:t xml:space="preserve">In questo caso </w:t>
            </w:r>
            <w:r w:rsidRPr="008A0F36">
              <w:t xml:space="preserve">, </w:t>
            </w:r>
            <w:r>
              <w:t xml:space="preserve">dovrà essere presentata una </w:t>
            </w:r>
            <w:r w:rsidRPr="008A0F36">
              <w:t>sezione identificata come relativa alle attività operative cessate, ossia distintamente dalle attività operative in esercizio. L’analisi non è richiesta nel caso di gruppi in dismissione rappresentati da controllate di recente acquisizione che al momento dell’acquisizione soddisfano i criteri per essere classificate come possedute per la vendita.</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Default="004E201D" w:rsidP="003A5BB7">
            <w:pPr>
              <w:pStyle w:val="Rientroa"/>
              <w:numPr>
                <w:ilvl w:val="0"/>
                <w:numId w:val="72"/>
              </w:numPr>
              <w:ind w:left="391" w:hanging="357"/>
            </w:pPr>
            <w:r w:rsidRPr="00C353C5">
              <w:t xml:space="preserve">il flusso finanziario netto attribuibile alle attività operative, di investimento e finanziarie delle operazioni cessate </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shd w:val="clear" w:color="auto" w:fill="auto"/>
            <w:tcMar>
              <w:left w:w="108" w:type="dxa"/>
            </w:tcMar>
          </w:tcPr>
          <w:p w:rsidR="004300E2" w:rsidRPr="008A0F36" w:rsidRDefault="004300E2" w:rsidP="004300E2">
            <w:pPr>
              <w:pStyle w:val="IAS"/>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r w:rsidRPr="008A0F36">
              <w:rPr>
                <w:lang w:val="it-IT"/>
              </w:rPr>
              <w:t>IFRS 5.33</w:t>
            </w:r>
          </w:p>
        </w:tc>
        <w:tc>
          <w:tcPr>
            <w:tcW w:w="7079" w:type="dxa"/>
            <w:shd w:val="clear" w:color="auto" w:fill="auto"/>
            <w:tcMar>
              <w:left w:w="108" w:type="dxa"/>
            </w:tcMar>
          </w:tcPr>
          <w:p w:rsidR="004300E2" w:rsidRPr="008A0F36" w:rsidRDefault="004300E2" w:rsidP="0002186C">
            <w:pPr>
              <w:pStyle w:val="Paragarfobordato"/>
            </w:pPr>
            <w:r w:rsidRPr="008A0F36">
              <w:t>L’analisi di cui al punto c) può essere presentata nelle note o inclusa ne</w:t>
            </w:r>
            <w:r>
              <w:t>i prospetti di bilancio</w:t>
            </w:r>
            <w:r w:rsidRPr="008A0F36">
              <w:t xml:space="preserve">. Tali informazioni non sono richieste </w:t>
            </w:r>
            <w:r w:rsidRPr="008A0F36">
              <w:rPr>
                <w:spacing w:val="-2"/>
              </w:rPr>
              <w:t xml:space="preserve">per gruppi in dismissione </w:t>
            </w:r>
            <w:r w:rsidRPr="008A0F36">
              <w:t>rappresentati da controllate di recente acquisizione che al momento dell’acquisizione soddisfano i criteri per essere classificate come possedute per la vendita.</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4300E2" w:rsidRPr="00A44ECD" w:rsidTr="00940A6F">
        <w:trPr>
          <w:cantSplit/>
        </w:trPr>
        <w:tc>
          <w:tcPr>
            <w:tcW w:w="567" w:type="dxa"/>
            <w:shd w:val="clear" w:color="auto" w:fill="auto"/>
            <w:tcMar>
              <w:left w:w="108" w:type="dxa"/>
            </w:tcMar>
          </w:tcPr>
          <w:p w:rsidR="004300E2" w:rsidRPr="008A0F36" w:rsidRDefault="004300E2" w:rsidP="004300E2">
            <w:pPr>
              <w:pStyle w:val="IAS"/>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r w:rsidRPr="008A0F36">
              <w:rPr>
                <w:lang w:val="it-IT"/>
              </w:rPr>
              <w:t>IFRS 5.33A</w:t>
            </w:r>
          </w:p>
        </w:tc>
        <w:tc>
          <w:tcPr>
            <w:tcW w:w="7079" w:type="dxa"/>
            <w:shd w:val="clear" w:color="auto" w:fill="auto"/>
            <w:tcMar>
              <w:left w:w="108" w:type="dxa"/>
            </w:tcMar>
          </w:tcPr>
          <w:p w:rsidR="004300E2" w:rsidRPr="008A0F36" w:rsidRDefault="004300E2" w:rsidP="0002186C">
            <w:pPr>
              <w:pStyle w:val="Paragarfobordato"/>
            </w:pPr>
            <w:r w:rsidRPr="008A0F36">
              <w:t>Se un’entità presenta le componenti dell’</w:t>
            </w:r>
            <w:r>
              <w:t>utile/(perdita)</w:t>
            </w:r>
            <w:r w:rsidRPr="008A0F36">
              <w:t xml:space="preserve"> d’esercizio in un </w:t>
            </w:r>
            <w:r>
              <w:t xml:space="preserve">prospetto </w:t>
            </w:r>
            <w:r w:rsidRPr="008A0F36">
              <w:t>separato, questo prospetto deve includere una specifica sezione relativa alle attività operative cessate.</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3A5BB7">
            <w:pPr>
              <w:pStyle w:val="Rientroa"/>
              <w:numPr>
                <w:ilvl w:val="0"/>
                <w:numId w:val="72"/>
              </w:numPr>
            </w:pPr>
            <w:r w:rsidRPr="008A0F36">
              <w:t>l’importo degli utili derivanti da attività operative cessate attribuibili ai soci della controllante. Tali informazioni possono essere fornite nelle note al bilancio o nel prospetto</w:t>
            </w:r>
            <w:r>
              <w:t xml:space="preserve"> (nei prospetti)</w:t>
            </w:r>
            <w:r w:rsidRPr="008A0F36">
              <w:t xml:space="preserve"> </w:t>
            </w:r>
            <w:r>
              <w:t xml:space="preserve">dell’utile/(perdita) d’esercizio e delle altre componenti </w:t>
            </w:r>
            <w:r w:rsidRPr="008A0F36">
              <w:t>di conto economico complessivo.</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Numeroelenco"/>
              <w:ind w:left="0" w:firstLine="57"/>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r w:rsidRPr="008A0F36">
              <w:rPr>
                <w:lang w:val="it-IT"/>
              </w:rPr>
              <w:t>IFRS 5.34</w:t>
            </w:r>
          </w:p>
        </w:tc>
        <w:tc>
          <w:tcPr>
            <w:tcW w:w="7079" w:type="dxa"/>
            <w:shd w:val="clear" w:color="auto" w:fill="auto"/>
            <w:tcMar>
              <w:left w:w="108" w:type="dxa"/>
            </w:tcMar>
          </w:tcPr>
          <w:p w:rsidR="004E201D" w:rsidRPr="008A0F36" w:rsidRDefault="004E201D" w:rsidP="003A5BB7">
            <w:pPr>
              <w:rPr>
                <w:lang w:val="it-IT"/>
              </w:rPr>
            </w:pPr>
            <w:r w:rsidRPr="008A0F36">
              <w:rPr>
                <w:lang w:val="it-IT"/>
              </w:rPr>
              <w:t xml:space="preserve">L’entità ripresenta l’informativa di cui all’IFRS 5.33 </w:t>
            </w:r>
            <w:r w:rsidRPr="003A3CC8">
              <w:rPr>
                <w:lang w:val="it-IT"/>
              </w:rPr>
              <w:t>(</w:t>
            </w:r>
            <w:r>
              <w:rPr>
                <w:lang w:val="it-IT"/>
              </w:rPr>
              <w:t xml:space="preserve">vedi </w:t>
            </w:r>
            <w:r w:rsidRPr="003A3CC8">
              <w:rPr>
                <w:lang w:val="it-IT"/>
              </w:rPr>
              <w:t xml:space="preserve">punto </w:t>
            </w:r>
            <w:r>
              <w:rPr>
                <w:lang w:val="it-IT"/>
              </w:rPr>
              <w:t>precedente</w:t>
            </w:r>
            <w:r w:rsidRPr="003A3CC8">
              <w:rPr>
                <w:lang w:val="it-IT"/>
              </w:rPr>
              <w:t>) per</w:t>
            </w:r>
            <w:r w:rsidRPr="008A0F36">
              <w:rPr>
                <w:lang w:val="it-IT"/>
              </w:rPr>
              <w:t xml:space="preserve"> i periodi precedenti presentati in bilancio, così che l’informativa si riferisca a tutte le attività operative cessate entro la data di chiusura dell’ultimo esercizio presentato.</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Numeroelenco"/>
              <w:ind w:left="0" w:firstLine="57"/>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r w:rsidRPr="008A0F36">
              <w:rPr>
                <w:lang w:val="it-IT"/>
              </w:rPr>
              <w:t>IFRS 5.35</w:t>
            </w:r>
          </w:p>
        </w:tc>
        <w:tc>
          <w:tcPr>
            <w:tcW w:w="7079" w:type="dxa"/>
            <w:shd w:val="clear" w:color="auto" w:fill="auto"/>
            <w:tcMar>
              <w:left w:w="108" w:type="dxa"/>
            </w:tcMar>
          </w:tcPr>
          <w:p w:rsidR="004E201D" w:rsidRPr="008A0F36" w:rsidRDefault="004E201D" w:rsidP="003A5BB7">
            <w:pPr>
              <w:rPr>
                <w:lang w:val="it-IT"/>
              </w:rPr>
            </w:pPr>
            <w:r w:rsidRPr="008A0F36">
              <w:rPr>
                <w:spacing w:val="-2"/>
                <w:lang w:val="it-IT"/>
              </w:rPr>
              <w:t>L’entità classifica separatamente tra le attività operative cessate e indica la natura e l’importo delle rettifiche che sono state apportate nell’esercizio corrente agli importi precedentemente classificati tra le attività operative cessate e direttamente correlate alla dismissione in un esercizio precedente di un</w:t>
            </w:r>
            <w:r>
              <w:rPr>
                <w:spacing w:val="-2"/>
                <w:lang w:val="it-IT"/>
              </w:rPr>
              <w:t>’</w:t>
            </w:r>
            <w:r w:rsidRPr="008A0F36">
              <w:rPr>
                <w:spacing w:val="-2"/>
                <w:lang w:val="it-IT"/>
              </w:rPr>
              <w:t>attività operativa cessata</w:t>
            </w:r>
            <w:r>
              <w:rPr>
                <w:spacing w:val="-2"/>
                <w:lang w:val="it-IT"/>
              </w:rPr>
              <w:t>.</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shd w:val="clear" w:color="auto" w:fill="auto"/>
            <w:tcMar>
              <w:left w:w="108" w:type="dxa"/>
            </w:tcMar>
          </w:tcPr>
          <w:p w:rsidR="004300E2" w:rsidRPr="008A0F36" w:rsidRDefault="004300E2" w:rsidP="004300E2">
            <w:pPr>
              <w:pStyle w:val="IAS"/>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r w:rsidRPr="008A0F36">
              <w:rPr>
                <w:lang w:val="it-IT"/>
              </w:rPr>
              <w:t>IFRS 5.35</w:t>
            </w:r>
          </w:p>
        </w:tc>
        <w:tc>
          <w:tcPr>
            <w:tcW w:w="7079" w:type="dxa"/>
            <w:shd w:val="clear" w:color="auto" w:fill="auto"/>
            <w:tcMar>
              <w:left w:w="108" w:type="dxa"/>
            </w:tcMar>
          </w:tcPr>
          <w:p w:rsidR="004300E2" w:rsidRPr="008A0F36" w:rsidRDefault="004300E2" w:rsidP="0002186C">
            <w:pPr>
              <w:pStyle w:val="Paragarfobordato"/>
            </w:pPr>
            <w:r w:rsidRPr="008A0F36">
              <w:t>Esempi di circostanze in cui possono sorgere tali rettifiche comprendono:</w:t>
            </w:r>
          </w:p>
          <w:p w:rsidR="004300E2" w:rsidRPr="008A0F36" w:rsidRDefault="004300E2" w:rsidP="0002186C">
            <w:pPr>
              <w:pStyle w:val="Paragarfobordato"/>
              <w:ind w:left="205" w:hanging="205"/>
            </w:pPr>
            <w:r w:rsidRPr="008A0F36">
              <w:t>a)</w:t>
            </w:r>
            <w:r w:rsidRPr="008A0F36">
              <w:tab/>
              <w:t>la risoluzione di incertezze derivanti da clausole contrattuali dell’operazione di dismissione, come la risoluzione di rettifiche del prezzo di acquisto e le questioni di indennizzo con l’acquirente</w:t>
            </w:r>
          </w:p>
          <w:p w:rsidR="004300E2" w:rsidRPr="008A0F36" w:rsidRDefault="004300E2" w:rsidP="0002186C">
            <w:pPr>
              <w:pStyle w:val="Paragarfobordato"/>
              <w:ind w:left="205" w:hanging="205"/>
            </w:pPr>
            <w:r w:rsidRPr="008A0F36">
              <w:t>b)</w:t>
            </w:r>
            <w:r w:rsidRPr="008A0F36">
              <w:tab/>
              <w:t>la risoluzione di incertezze direttamente collegate e derivanti da operazioni del componente antecedenti la sua dismissione, come le obbligazioni per la tutela ambientale e le garanzie sui prodotti rimaste a carico del venditore</w:t>
            </w:r>
          </w:p>
          <w:p w:rsidR="004300E2" w:rsidRPr="008A0F36" w:rsidRDefault="004300E2" w:rsidP="0002186C">
            <w:pPr>
              <w:pStyle w:val="Paragarfobordato"/>
              <w:ind w:left="205" w:hanging="205"/>
            </w:pPr>
            <w:r w:rsidRPr="008A0F36">
              <w:t>c)</w:t>
            </w:r>
            <w:r w:rsidRPr="008A0F36">
              <w:tab/>
              <w:t>l’estinzione di obbligazioni relative a piani di benefici per i dipendenti, a condizione che l’estinzione sia direttamente connessa all’operazione di dismissione.</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4300E2" w:rsidRPr="00A44ECD" w:rsidTr="00940A6F">
        <w:trPr>
          <w:cantSplit/>
        </w:trPr>
        <w:tc>
          <w:tcPr>
            <w:tcW w:w="567" w:type="dxa"/>
            <w:shd w:val="clear" w:color="auto" w:fill="auto"/>
            <w:tcMar>
              <w:left w:w="108" w:type="dxa"/>
            </w:tcMar>
          </w:tcPr>
          <w:p w:rsidR="004300E2" w:rsidRPr="008A0F36" w:rsidRDefault="004300E2" w:rsidP="004300E2">
            <w:pPr>
              <w:pStyle w:val="IAS"/>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r w:rsidRPr="008A0F36">
              <w:rPr>
                <w:lang w:val="it-IT"/>
              </w:rPr>
              <w:t>IFRS 5.36A</w:t>
            </w:r>
          </w:p>
        </w:tc>
        <w:tc>
          <w:tcPr>
            <w:tcW w:w="7079" w:type="dxa"/>
            <w:shd w:val="clear" w:color="auto" w:fill="auto"/>
            <w:tcMar>
              <w:left w:w="108" w:type="dxa"/>
            </w:tcMar>
          </w:tcPr>
          <w:p w:rsidR="004300E2" w:rsidRPr="008A0F36" w:rsidRDefault="004300E2" w:rsidP="0002186C">
            <w:pPr>
              <w:pStyle w:val="Paragarfobordato"/>
            </w:pPr>
            <w:r w:rsidRPr="008A0F36">
              <w:t xml:space="preserve">Qualora l’entità si sia impegnata in un piano di vendita che comporta la perdita del controllo di una società (pur mantenendo una quota di non controllo) devono essere fornite le informazioni indicate nei paragrafi IFRS 5.33-36 </w:t>
            </w:r>
            <w:r w:rsidRPr="003A3CC8">
              <w:t xml:space="preserve">(punti </w:t>
            </w:r>
            <w:r>
              <w:t>3</w:t>
            </w:r>
            <w:r w:rsidR="00354ED6">
              <w:t>38</w:t>
            </w:r>
            <w:r>
              <w:t>-34</w:t>
            </w:r>
            <w:r w:rsidR="00354ED6">
              <w:t>0</w:t>
            </w:r>
            <w:r w:rsidRPr="003A3CC8">
              <w:t>) se la</w:t>
            </w:r>
            <w:r w:rsidRPr="008A0F36">
              <w:t xml:space="preserve"> società ex controllata rappresenta un gruppo in dismissione che rispetta la definizione di attività operativa cessata. </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4300E2" w:rsidRPr="00A44ECD" w:rsidTr="00940A6F">
        <w:trPr>
          <w:cantSplit/>
        </w:trPr>
        <w:tc>
          <w:tcPr>
            <w:tcW w:w="567" w:type="dxa"/>
            <w:shd w:val="clear" w:color="auto" w:fill="auto"/>
            <w:tcMar>
              <w:left w:w="108" w:type="dxa"/>
            </w:tcMar>
          </w:tcPr>
          <w:p w:rsidR="004300E2" w:rsidRDefault="004300E2" w:rsidP="004300E2">
            <w:pPr>
              <w:pStyle w:val="Numeroelenco"/>
              <w:ind w:left="0" w:firstLine="57"/>
              <w:rPr>
                <w:lang w:val="it-IT"/>
              </w:rPr>
            </w:pPr>
          </w:p>
        </w:tc>
        <w:tc>
          <w:tcPr>
            <w:tcW w:w="851" w:type="dxa"/>
            <w:shd w:val="clear" w:color="auto" w:fill="auto"/>
            <w:tcMar>
              <w:left w:w="108" w:type="dxa"/>
              <w:right w:w="0" w:type="dxa"/>
            </w:tcMar>
          </w:tcPr>
          <w:p w:rsidR="004300E2" w:rsidRDefault="004300E2" w:rsidP="004300E2">
            <w:pPr>
              <w:pStyle w:val="IAS"/>
              <w:rPr>
                <w:lang w:val="it-IT"/>
              </w:rPr>
            </w:pPr>
            <w:r>
              <w:rPr>
                <w:lang w:val="it-IT"/>
              </w:rPr>
              <w:t>IFRS 5.38</w:t>
            </w:r>
          </w:p>
          <w:p w:rsidR="004300E2" w:rsidRPr="008A0F36" w:rsidRDefault="004300E2" w:rsidP="004300E2">
            <w:pPr>
              <w:pStyle w:val="IAS"/>
              <w:jc w:val="both"/>
              <w:rPr>
                <w:lang w:val="it-IT"/>
              </w:rPr>
            </w:pPr>
          </w:p>
        </w:tc>
        <w:tc>
          <w:tcPr>
            <w:tcW w:w="7079" w:type="dxa"/>
            <w:shd w:val="clear" w:color="auto" w:fill="auto"/>
            <w:tcMar>
              <w:left w:w="108" w:type="dxa"/>
            </w:tcMar>
          </w:tcPr>
          <w:p w:rsidR="004300E2" w:rsidRPr="006C3CEA" w:rsidRDefault="004300E2" w:rsidP="003A5BB7">
            <w:pPr>
              <w:rPr>
                <w:lang w:val="it-IT"/>
              </w:rPr>
            </w:pPr>
            <w:r w:rsidRPr="004A576D">
              <w:rPr>
                <w:lang w:val="it-IT"/>
              </w:rPr>
              <w:t>Per le attività non correnti classificate come possedute per la vendita e le attività di un gruppo in dismissione l’entità deve:</w:t>
            </w:r>
          </w:p>
        </w:tc>
        <w:tc>
          <w:tcPr>
            <w:tcW w:w="575" w:type="dxa"/>
            <w:shd w:val="clear" w:color="auto" w:fill="auto"/>
            <w:tcMar>
              <w:left w:w="85" w:type="dxa"/>
              <w:right w:w="85" w:type="dxa"/>
            </w:tcMar>
          </w:tcPr>
          <w:p w:rsidR="004300E2" w:rsidRPr="00A32A16" w:rsidRDefault="004300E2" w:rsidP="004300E2">
            <w:pPr>
              <w:rPr>
                <w:lang w:val="it-IT"/>
              </w:rPr>
            </w:pPr>
          </w:p>
        </w:tc>
        <w:tc>
          <w:tcPr>
            <w:tcW w:w="567" w:type="dxa"/>
            <w:shd w:val="clear" w:color="auto" w:fill="auto"/>
            <w:tcMar>
              <w:left w:w="108" w:type="dxa"/>
            </w:tcMar>
          </w:tcPr>
          <w:p w:rsidR="004300E2" w:rsidRPr="00A32A16" w:rsidRDefault="004300E2" w:rsidP="004300E2">
            <w:pPr>
              <w:rPr>
                <w:lang w:val="it-IT"/>
              </w:rPr>
            </w:pPr>
          </w:p>
        </w:tc>
        <w:tc>
          <w:tcPr>
            <w:tcW w:w="567" w:type="dxa"/>
            <w:shd w:val="clear" w:color="auto" w:fill="auto"/>
          </w:tcPr>
          <w:p w:rsidR="004300E2" w:rsidRPr="00A32A16" w:rsidRDefault="004300E2" w:rsidP="004300E2">
            <w:pPr>
              <w:rPr>
                <w:lang w:val="it-IT"/>
              </w:rPr>
            </w:pPr>
          </w:p>
        </w:tc>
      </w:tr>
      <w:tr w:rsidR="004E201D" w:rsidRPr="008129DA" w:rsidTr="00940A6F">
        <w:trPr>
          <w:cantSplit/>
        </w:trPr>
        <w:tc>
          <w:tcPr>
            <w:tcW w:w="567" w:type="dxa"/>
            <w:shd w:val="clear" w:color="auto" w:fill="auto"/>
            <w:tcMar>
              <w:left w:w="108" w:type="dxa"/>
            </w:tcMar>
          </w:tcPr>
          <w:p w:rsidR="004E201D" w:rsidRDefault="004E201D" w:rsidP="004300E2">
            <w:pPr>
              <w:pStyle w:val="Numeroelenco"/>
              <w:numPr>
                <w:ilvl w:val="0"/>
                <w:numId w:val="0"/>
              </w:numPr>
              <w:ind w:left="644" w:hanging="360"/>
              <w:rPr>
                <w:lang w:val="it-IT"/>
              </w:rPr>
            </w:pPr>
          </w:p>
        </w:tc>
        <w:tc>
          <w:tcPr>
            <w:tcW w:w="851" w:type="dxa"/>
            <w:shd w:val="clear" w:color="auto" w:fill="auto"/>
            <w:tcMar>
              <w:left w:w="108" w:type="dxa"/>
              <w:right w:w="0" w:type="dxa"/>
            </w:tcMar>
          </w:tcPr>
          <w:p w:rsidR="004E201D" w:rsidRDefault="004E201D" w:rsidP="004300E2">
            <w:pPr>
              <w:pStyle w:val="IAS"/>
              <w:rPr>
                <w:lang w:val="it-IT"/>
              </w:rPr>
            </w:pPr>
          </w:p>
        </w:tc>
        <w:tc>
          <w:tcPr>
            <w:tcW w:w="7079" w:type="dxa"/>
            <w:shd w:val="clear" w:color="auto" w:fill="auto"/>
            <w:tcMar>
              <w:left w:w="108" w:type="dxa"/>
            </w:tcMar>
          </w:tcPr>
          <w:p w:rsidR="004E201D" w:rsidRPr="009A0B98" w:rsidRDefault="004E201D" w:rsidP="003A5BB7">
            <w:pPr>
              <w:pStyle w:val="Paragrafoelenco"/>
              <w:numPr>
                <w:ilvl w:val="0"/>
                <w:numId w:val="244"/>
              </w:numPr>
              <w:ind w:left="317" w:hanging="283"/>
              <w:contextualSpacing w:val="0"/>
              <w:rPr>
                <w:sz w:val="22"/>
                <w:lang w:val="it-IT"/>
              </w:rPr>
            </w:pPr>
            <w:r w:rsidRPr="004A576D">
              <w:rPr>
                <w:lang w:val="it-IT"/>
              </w:rPr>
              <w:t>presentare l’attività non corrente classificata come posseduta per la vendita e le attività di un gruppo in dismissione separatamente dalle altre attività del prospetto della situazione patrimoniale-finanziaria;</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Default="004E201D" w:rsidP="004300E2">
            <w:pPr>
              <w:pStyle w:val="Numeroelenco"/>
              <w:numPr>
                <w:ilvl w:val="0"/>
                <w:numId w:val="0"/>
              </w:numPr>
              <w:ind w:left="57"/>
              <w:rPr>
                <w:lang w:val="it-IT"/>
              </w:rPr>
            </w:pPr>
          </w:p>
        </w:tc>
        <w:tc>
          <w:tcPr>
            <w:tcW w:w="851" w:type="dxa"/>
            <w:shd w:val="clear" w:color="auto" w:fill="auto"/>
            <w:tcMar>
              <w:left w:w="108" w:type="dxa"/>
              <w:right w:w="0" w:type="dxa"/>
            </w:tcMar>
          </w:tcPr>
          <w:p w:rsidR="004E201D" w:rsidRDefault="004E201D" w:rsidP="004300E2">
            <w:pPr>
              <w:pStyle w:val="IAS"/>
              <w:rPr>
                <w:lang w:val="it-IT"/>
              </w:rPr>
            </w:pPr>
          </w:p>
        </w:tc>
        <w:tc>
          <w:tcPr>
            <w:tcW w:w="7079" w:type="dxa"/>
            <w:shd w:val="clear" w:color="auto" w:fill="auto"/>
            <w:tcMar>
              <w:left w:w="108" w:type="dxa"/>
            </w:tcMar>
          </w:tcPr>
          <w:p w:rsidR="004E201D" w:rsidRPr="006C3CEA" w:rsidRDefault="004E201D" w:rsidP="003A5BB7">
            <w:pPr>
              <w:pStyle w:val="Paragrafoelenco"/>
              <w:numPr>
                <w:ilvl w:val="0"/>
                <w:numId w:val="244"/>
              </w:numPr>
              <w:ind w:left="317" w:hanging="283"/>
              <w:contextualSpacing w:val="0"/>
              <w:rPr>
                <w:sz w:val="22"/>
                <w:lang w:val="it-IT"/>
              </w:rPr>
            </w:pPr>
            <w:r w:rsidRPr="004A576D">
              <w:rPr>
                <w:lang w:val="it-IT"/>
              </w:rPr>
              <w:t>presentare le passività di un gruppo in dismissione separatamente dalle altre passività del prospetto della situazione patrimoniale-finanziaria;</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Default="004E201D" w:rsidP="004300E2">
            <w:pPr>
              <w:pStyle w:val="Numeroelenco"/>
              <w:numPr>
                <w:ilvl w:val="0"/>
                <w:numId w:val="0"/>
              </w:numPr>
              <w:ind w:left="57"/>
              <w:rPr>
                <w:lang w:val="it-IT"/>
              </w:rPr>
            </w:pPr>
          </w:p>
        </w:tc>
        <w:tc>
          <w:tcPr>
            <w:tcW w:w="851" w:type="dxa"/>
            <w:shd w:val="clear" w:color="auto" w:fill="auto"/>
            <w:tcMar>
              <w:left w:w="108" w:type="dxa"/>
              <w:right w:w="0" w:type="dxa"/>
            </w:tcMar>
          </w:tcPr>
          <w:p w:rsidR="004E201D" w:rsidRDefault="004E201D" w:rsidP="004300E2">
            <w:pPr>
              <w:pStyle w:val="IAS"/>
              <w:rPr>
                <w:lang w:val="it-IT"/>
              </w:rPr>
            </w:pPr>
          </w:p>
        </w:tc>
        <w:tc>
          <w:tcPr>
            <w:tcW w:w="7079" w:type="dxa"/>
            <w:shd w:val="clear" w:color="auto" w:fill="auto"/>
            <w:tcMar>
              <w:left w:w="108" w:type="dxa"/>
            </w:tcMar>
          </w:tcPr>
          <w:p w:rsidR="004E201D" w:rsidRPr="006C3CEA" w:rsidRDefault="004E201D" w:rsidP="003A5BB7">
            <w:pPr>
              <w:pStyle w:val="Paragrafoelenco"/>
              <w:numPr>
                <w:ilvl w:val="0"/>
                <w:numId w:val="244"/>
              </w:numPr>
              <w:ind w:left="317" w:hanging="283"/>
              <w:contextualSpacing w:val="0"/>
              <w:rPr>
                <w:sz w:val="22"/>
                <w:lang w:val="it-IT"/>
              </w:rPr>
            </w:pPr>
            <w:r w:rsidRPr="004A576D">
              <w:rPr>
                <w:lang w:val="it-IT"/>
              </w:rPr>
              <w:t>non compensare tali attività e passività;</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Default="004E201D" w:rsidP="004300E2">
            <w:pPr>
              <w:pStyle w:val="Numeroelenco"/>
              <w:numPr>
                <w:ilvl w:val="0"/>
                <w:numId w:val="0"/>
              </w:numPr>
              <w:ind w:left="57"/>
              <w:rPr>
                <w:lang w:val="it-IT"/>
              </w:rPr>
            </w:pPr>
          </w:p>
        </w:tc>
        <w:tc>
          <w:tcPr>
            <w:tcW w:w="851" w:type="dxa"/>
            <w:shd w:val="clear" w:color="auto" w:fill="auto"/>
            <w:tcMar>
              <w:left w:w="108" w:type="dxa"/>
              <w:right w:w="0" w:type="dxa"/>
            </w:tcMar>
          </w:tcPr>
          <w:p w:rsidR="004E201D" w:rsidRDefault="004E201D" w:rsidP="004300E2">
            <w:pPr>
              <w:pStyle w:val="IAS"/>
              <w:rPr>
                <w:lang w:val="it-IT"/>
              </w:rPr>
            </w:pPr>
            <w:r>
              <w:rPr>
                <w:lang w:val="it-IT"/>
              </w:rPr>
              <w:t>IFRS 5.39</w:t>
            </w:r>
          </w:p>
        </w:tc>
        <w:tc>
          <w:tcPr>
            <w:tcW w:w="7079" w:type="dxa"/>
            <w:shd w:val="clear" w:color="auto" w:fill="auto"/>
            <w:tcMar>
              <w:left w:w="108" w:type="dxa"/>
            </w:tcMar>
          </w:tcPr>
          <w:p w:rsidR="004E201D" w:rsidRPr="006C3CEA" w:rsidRDefault="004E201D" w:rsidP="003A5BB7">
            <w:pPr>
              <w:pStyle w:val="Paragrafoelenco"/>
              <w:numPr>
                <w:ilvl w:val="0"/>
                <w:numId w:val="244"/>
              </w:numPr>
              <w:ind w:left="317" w:hanging="283"/>
              <w:contextualSpacing w:val="0"/>
              <w:rPr>
                <w:sz w:val="22"/>
                <w:lang w:val="it-IT"/>
              </w:rPr>
            </w:pPr>
            <w:r w:rsidRPr="004A576D">
              <w:rPr>
                <w:lang w:val="it-IT"/>
              </w:rPr>
              <w:t>indicare separatamente nel prospetto della situazione patrimoniale-finanziaria o nelle note al bilancio le principali classi di attività e passività classificate come possedute per la vendita, a meno che il gruppo in dismissione non sia rappresentato da una controllata acquisita, che all’acquisizione già soddisfa i criteri per essere classificata come posseduta per la vendita;</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Default="004E201D" w:rsidP="004300E2">
            <w:pPr>
              <w:pStyle w:val="Numeroelenco"/>
              <w:numPr>
                <w:ilvl w:val="0"/>
                <w:numId w:val="0"/>
              </w:numPr>
              <w:rPr>
                <w:lang w:val="it-IT"/>
              </w:rPr>
            </w:pPr>
          </w:p>
        </w:tc>
        <w:tc>
          <w:tcPr>
            <w:tcW w:w="851" w:type="dxa"/>
            <w:shd w:val="clear" w:color="auto" w:fill="auto"/>
            <w:tcMar>
              <w:left w:w="108" w:type="dxa"/>
              <w:right w:w="0" w:type="dxa"/>
            </w:tcMar>
          </w:tcPr>
          <w:p w:rsidR="004E201D" w:rsidRDefault="004E201D" w:rsidP="004300E2">
            <w:pPr>
              <w:pStyle w:val="IAS"/>
              <w:rPr>
                <w:lang w:val="it-IT"/>
              </w:rPr>
            </w:pPr>
          </w:p>
        </w:tc>
        <w:tc>
          <w:tcPr>
            <w:tcW w:w="7079" w:type="dxa"/>
            <w:shd w:val="clear" w:color="auto" w:fill="auto"/>
            <w:tcMar>
              <w:left w:w="108" w:type="dxa"/>
            </w:tcMar>
          </w:tcPr>
          <w:p w:rsidR="004E201D" w:rsidRPr="009A0B98" w:rsidRDefault="004E201D" w:rsidP="003A5BB7">
            <w:pPr>
              <w:pStyle w:val="Paragrafoelenco"/>
              <w:numPr>
                <w:ilvl w:val="0"/>
                <w:numId w:val="244"/>
              </w:numPr>
              <w:ind w:left="317" w:hanging="283"/>
              <w:contextualSpacing w:val="0"/>
              <w:rPr>
                <w:lang w:val="it-IT"/>
              </w:rPr>
            </w:pPr>
            <w:r w:rsidRPr="009A0B98">
              <w:rPr>
                <w:lang w:val="it-IT"/>
              </w:rPr>
              <w:t>esporre separatamente qualsiasi provento od onere cumulativamente rilevato tra le altre componenti di conto economico complessivo relativo a un’attività non corrente (o gruppo in dismissione) classificata come posseduta per la vendita.</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shd w:val="clear" w:color="auto" w:fill="auto"/>
            <w:tcMar>
              <w:left w:w="108" w:type="dxa"/>
            </w:tcMar>
          </w:tcPr>
          <w:p w:rsidR="004300E2" w:rsidRPr="008A0F36" w:rsidRDefault="004300E2" w:rsidP="004300E2">
            <w:pPr>
              <w:pStyle w:val="Numeroelenco"/>
              <w:ind w:left="0" w:firstLine="57"/>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r w:rsidRPr="008A0F36">
              <w:rPr>
                <w:lang w:val="it-IT"/>
              </w:rPr>
              <w:t>IFRS 5.41</w:t>
            </w:r>
          </w:p>
        </w:tc>
        <w:tc>
          <w:tcPr>
            <w:tcW w:w="7079" w:type="dxa"/>
            <w:shd w:val="clear" w:color="auto" w:fill="auto"/>
            <w:tcMar>
              <w:left w:w="108" w:type="dxa"/>
            </w:tcMar>
          </w:tcPr>
          <w:p w:rsidR="004300E2" w:rsidRPr="004A576D" w:rsidRDefault="004300E2" w:rsidP="003A5BB7">
            <w:pPr>
              <w:rPr>
                <w:lang w:val="it-IT"/>
              </w:rPr>
            </w:pPr>
            <w:r w:rsidRPr="004A576D">
              <w:rPr>
                <w:lang w:val="it-IT"/>
              </w:rPr>
              <w:t>L’entità ha fornito le seguenti informazioni nelle note dell’esercizio in cui un’attività non corrente (o un gruppo in dismissione) è stata classificata come posseduta per la vendita oppure venduta:</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3A5BB7">
            <w:pPr>
              <w:pStyle w:val="Rientroa"/>
              <w:numPr>
                <w:ilvl w:val="0"/>
                <w:numId w:val="130"/>
              </w:numPr>
              <w:rPr>
                <w:iCs/>
              </w:rPr>
            </w:pPr>
            <w:r w:rsidRPr="008A0F36">
              <w:t>una descrizione dell’attività non corrente (o del gruppo in dismissione)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3A5BB7">
            <w:pPr>
              <w:pStyle w:val="Rientroa"/>
              <w:numPr>
                <w:ilvl w:val="0"/>
                <w:numId w:val="72"/>
              </w:numPr>
            </w:pPr>
            <w:r w:rsidRPr="008A0F36">
              <w:t>una descrizione dei fatti e delle circostanze della vendita, o che facciano riferimento alla prevista dismissione, e alle relative modalità e tempi attesi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Height w:val="539"/>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right w:w="0" w:type="dxa"/>
            </w:tcMar>
          </w:tcPr>
          <w:p w:rsidR="004E201D" w:rsidRPr="008A0F36" w:rsidRDefault="004E201D" w:rsidP="004300E2">
            <w:pPr>
              <w:pStyle w:val="IAS"/>
              <w:rPr>
                <w:lang w:val="it-IT"/>
              </w:rPr>
            </w:pPr>
            <w:r w:rsidRPr="008A0F36">
              <w:rPr>
                <w:lang w:val="it-IT"/>
              </w:rPr>
              <w:t>IFRS 5.20</w:t>
            </w:r>
          </w:p>
        </w:tc>
        <w:tc>
          <w:tcPr>
            <w:tcW w:w="7079" w:type="dxa"/>
            <w:shd w:val="clear" w:color="auto" w:fill="auto"/>
          </w:tcPr>
          <w:p w:rsidR="004E201D" w:rsidRPr="008A0F36" w:rsidRDefault="004E201D" w:rsidP="003A5BB7">
            <w:pPr>
              <w:pStyle w:val="Rientroa"/>
              <w:numPr>
                <w:ilvl w:val="0"/>
                <w:numId w:val="72"/>
              </w:numPr>
            </w:pPr>
            <w:r w:rsidRPr="008A0F36">
              <w:t xml:space="preserve">la plusvalenza o la minusvalenza rilevata in conformità a </w:t>
            </w:r>
            <w:r>
              <w:t>IFRS 5.</w:t>
            </w:r>
            <w:r w:rsidRPr="008A0F36">
              <w:t>20-22 e, se non esposta distintamente</w:t>
            </w:r>
            <w:r>
              <w:t xml:space="preserve">, la voce del </w:t>
            </w:r>
            <w:r w:rsidRPr="008A0F36">
              <w:t xml:space="preserve">prospetto </w:t>
            </w:r>
            <w:r>
              <w:t xml:space="preserve">(dei prospetti) dell’utile/(perdita) d’esercizio e delle altre componenti </w:t>
            </w:r>
            <w:r w:rsidRPr="008A0F36">
              <w:t xml:space="preserve">di conto economico complessivo, </w:t>
            </w:r>
            <w:r>
              <w:t xml:space="preserve">in cui tale </w:t>
            </w:r>
            <w:r w:rsidRPr="008A0F36">
              <w:t>plusvalenza o minusvalenza</w:t>
            </w:r>
            <w:r>
              <w:t xml:space="preserve"> è stata rilevata.</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Height w:val="400"/>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right w:w="0" w:type="dxa"/>
            </w:tcMar>
          </w:tcPr>
          <w:p w:rsidR="004E201D" w:rsidRPr="008A0F36" w:rsidRDefault="004E201D" w:rsidP="004300E2">
            <w:pPr>
              <w:pStyle w:val="IAS"/>
              <w:rPr>
                <w:lang w:val="it-IT"/>
              </w:rPr>
            </w:pPr>
            <w:r w:rsidRPr="008A0F36">
              <w:rPr>
                <w:lang w:val="it-IT"/>
              </w:rPr>
              <w:t xml:space="preserve"> IFRS 8.21</w:t>
            </w:r>
          </w:p>
        </w:tc>
        <w:tc>
          <w:tcPr>
            <w:tcW w:w="7079" w:type="dxa"/>
            <w:shd w:val="clear" w:color="auto" w:fill="auto"/>
          </w:tcPr>
          <w:p w:rsidR="004E201D" w:rsidRPr="008A0F36" w:rsidRDefault="004E201D" w:rsidP="003A5BB7">
            <w:pPr>
              <w:pStyle w:val="Rientroa"/>
              <w:numPr>
                <w:ilvl w:val="0"/>
                <w:numId w:val="72"/>
              </w:numPr>
            </w:pPr>
            <w:r w:rsidRPr="008A0F36">
              <w:t>se applicabile, il settore in cui l’attività non corrente (o il gruppo in dismissione) è inclusa in conformità all’IFRS 8.</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940A6F">
        <w:trPr>
          <w:cantSplit/>
        </w:trPr>
        <w:tc>
          <w:tcPr>
            <w:tcW w:w="567" w:type="dxa"/>
            <w:shd w:val="clear" w:color="auto" w:fill="auto"/>
            <w:tcMar>
              <w:left w:w="108" w:type="dxa"/>
            </w:tcMar>
          </w:tcPr>
          <w:p w:rsidR="004300E2" w:rsidRPr="008A0F36" w:rsidRDefault="004300E2" w:rsidP="004300E2">
            <w:pPr>
              <w:pStyle w:val="IAS"/>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r w:rsidRPr="008A0F36">
              <w:rPr>
                <w:lang w:val="it-IT"/>
              </w:rPr>
              <w:t>IFRS 5.12</w:t>
            </w:r>
          </w:p>
        </w:tc>
        <w:tc>
          <w:tcPr>
            <w:tcW w:w="7079" w:type="dxa"/>
            <w:shd w:val="clear" w:color="auto" w:fill="auto"/>
            <w:tcMar>
              <w:left w:w="108" w:type="dxa"/>
            </w:tcMar>
          </w:tcPr>
          <w:p w:rsidR="004300E2" w:rsidRPr="00725691" w:rsidRDefault="004300E2" w:rsidP="0002186C">
            <w:pPr>
              <w:pStyle w:val="Paragarfobordato"/>
            </w:pPr>
            <w:r w:rsidRPr="00725691">
              <w:t>Se i criteri di cui ai paragrafi 7 e 8 dell’IFRS 5 vengono soddisfatti dopo la data di chiusura dell'esercizio, nel redigere quel bilancio l’entità non deve classificare un’attività non corrente (o gruppo in dismissione) come posseduta per la vendita. Tuttavia, se tali condizioni sono soddisfatte successivamente alla data di chiusura dell'esercizio ma prima della sua autorizzazione alla pubblicazione, l’entità deve fornire le informazioni indicate nei paragrafi 41(a), (b) e (d) nelle note (vedi punto 34</w:t>
            </w:r>
            <w:r w:rsidR="00354ED6">
              <w:t>2</w:t>
            </w:r>
            <w:r w:rsidRPr="00725691">
              <w:t>)</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4300E2" w:rsidRPr="00A44ECD" w:rsidTr="00940A6F">
        <w:trPr>
          <w:cantSplit/>
          <w:trHeight w:val="391"/>
        </w:trPr>
        <w:tc>
          <w:tcPr>
            <w:tcW w:w="567" w:type="dxa"/>
            <w:shd w:val="clear" w:color="auto" w:fill="auto"/>
            <w:tcMar>
              <w:left w:w="108" w:type="dxa"/>
            </w:tcMar>
          </w:tcPr>
          <w:p w:rsidR="004300E2" w:rsidRPr="008A0F36" w:rsidRDefault="004300E2" w:rsidP="004300E2">
            <w:pPr>
              <w:pStyle w:val="Numeroelenco"/>
              <w:ind w:left="0" w:firstLine="57"/>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r w:rsidRPr="008A0F36">
              <w:rPr>
                <w:lang w:val="it-IT"/>
              </w:rPr>
              <w:t>IFRS 5.26 IFRS 5.29 IFRS 5.42</w:t>
            </w:r>
          </w:p>
        </w:tc>
        <w:tc>
          <w:tcPr>
            <w:tcW w:w="7079" w:type="dxa"/>
            <w:shd w:val="clear" w:color="auto" w:fill="auto"/>
            <w:tcMar>
              <w:left w:w="108" w:type="dxa"/>
            </w:tcMar>
          </w:tcPr>
          <w:p w:rsidR="004300E2" w:rsidRPr="008A0F36" w:rsidRDefault="004300E2" w:rsidP="00B668CD">
            <w:pPr>
              <w:rPr>
                <w:lang w:val="it-IT"/>
              </w:rPr>
            </w:pPr>
            <w:r w:rsidRPr="008A0F36">
              <w:rPr>
                <w:lang w:val="it-IT"/>
              </w:rPr>
              <w:t xml:space="preserve">Quando l’entità cessa di classificare un’attività (gruppo </w:t>
            </w:r>
            <w:r w:rsidR="00B668CD">
              <w:rPr>
                <w:lang w:val="it-IT"/>
              </w:rPr>
              <w:t>in dismissione</w:t>
            </w:r>
            <w:r w:rsidRPr="008A0F36">
              <w:rPr>
                <w:lang w:val="it-IT"/>
              </w:rPr>
              <w:t xml:space="preserve">) come possedute per la vendita </w:t>
            </w:r>
            <w:r w:rsidR="00B668CD">
              <w:rPr>
                <w:lang w:val="it-IT"/>
              </w:rPr>
              <w:t xml:space="preserve">o per la distribuzione ai soci </w:t>
            </w:r>
            <w:r w:rsidRPr="008A0F36">
              <w:rPr>
                <w:lang w:val="it-IT"/>
              </w:rPr>
              <w:t>(riferimento all’IFRS 5.26 e 29), l’entità ha indicato, nell’esercizio in cui decide di modificare il programma di cessione dell’attività non corrente (o il gruppo in dismissione):</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4300E2">
            <w:pPr>
              <w:pStyle w:val="Rientroa"/>
              <w:numPr>
                <w:ilvl w:val="0"/>
                <w:numId w:val="131"/>
              </w:numPr>
              <w:tabs>
                <w:tab w:val="clear" w:pos="392"/>
                <w:tab w:val="num" w:pos="316"/>
              </w:tabs>
              <w:rPr>
                <w:iCs/>
              </w:rPr>
            </w:pPr>
            <w:r w:rsidRPr="008A0F36">
              <w:t>una descrizione dei fatti e delle circostanze che hanno condotto a quella decisione; 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4300E2">
            <w:pPr>
              <w:pStyle w:val="Rientroa"/>
              <w:numPr>
                <w:ilvl w:val="0"/>
                <w:numId w:val="0"/>
              </w:numPr>
              <w:ind w:left="316" w:hanging="284"/>
            </w:pPr>
            <w:r>
              <w:t>b)</w:t>
            </w:r>
            <w:r>
              <w:tab/>
            </w:r>
            <w:r w:rsidRPr="008A0F36">
              <w:t>l’effetto di tale decisione sul risultato dell’esercizio e di tutti gli esercizi precedenti presentati in bilancio</w:t>
            </w:r>
            <w:r>
              <w:t>.</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940A6F">
        <w:trPr>
          <w:cantSplit/>
        </w:trPr>
        <w:tc>
          <w:tcPr>
            <w:tcW w:w="567" w:type="dxa"/>
            <w:shd w:val="clear" w:color="auto" w:fill="auto"/>
            <w:tcMar>
              <w:left w:w="108"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r>
              <w:rPr>
                <w:lang w:val="it-IT"/>
              </w:rPr>
              <w:t>IFRS 13.5-7</w:t>
            </w:r>
          </w:p>
        </w:tc>
        <w:tc>
          <w:tcPr>
            <w:tcW w:w="7079" w:type="dxa"/>
            <w:shd w:val="clear" w:color="auto" w:fill="auto"/>
            <w:tcMar>
              <w:left w:w="108" w:type="dxa"/>
            </w:tcMar>
          </w:tcPr>
          <w:p w:rsidR="004E201D" w:rsidRDefault="004E201D" w:rsidP="004300E2">
            <w:pPr>
              <w:pStyle w:val="Rientroa"/>
              <w:numPr>
                <w:ilvl w:val="0"/>
                <w:numId w:val="0"/>
              </w:numPr>
              <w:ind w:left="33" w:hanging="1"/>
            </w:pPr>
            <w:r>
              <w:t xml:space="preserve">Per la valutazione e l’informativa sul </w:t>
            </w:r>
            <w:r w:rsidRPr="00AB2C1C">
              <w:rPr>
                <w:i/>
              </w:rPr>
              <w:t>fair value</w:t>
            </w:r>
            <w:r>
              <w:t xml:space="preserve"> (compreso il </w:t>
            </w:r>
            <w:r w:rsidRPr="00AB2C1C">
              <w:rPr>
                <w:i/>
              </w:rPr>
              <w:t>fair value</w:t>
            </w:r>
            <w:r>
              <w:t xml:space="preserve"> al netto dei costi di </w:t>
            </w:r>
            <w:r w:rsidRPr="003A3CC8">
              <w:t xml:space="preserve">vendita) richiesti dall’IFRS 5 l’entità deve presentare l’informativa richiesta dall’IFRS 13 (vedi punti </w:t>
            </w:r>
            <w:r>
              <w:t>221-229</w:t>
            </w:r>
            <w:r w:rsidRPr="003A3CC8">
              <w:t>).</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A0F36" w:rsidTr="00940A6F">
        <w:trPr>
          <w:cantSplit/>
        </w:trPr>
        <w:tc>
          <w:tcPr>
            <w:tcW w:w="567" w:type="dxa"/>
            <w:shd w:val="clear" w:color="auto" w:fill="auto"/>
            <w:tcMar>
              <w:left w:w="108" w:type="dxa"/>
            </w:tcMar>
            <w:vAlign w:val="center"/>
          </w:tcPr>
          <w:p w:rsidR="004300E2" w:rsidRPr="008A0F36" w:rsidRDefault="004300E2" w:rsidP="004300E2">
            <w:pPr>
              <w:pStyle w:val="IAS"/>
              <w:jc w:val="left"/>
              <w:rPr>
                <w:lang w:val="it-IT"/>
              </w:rPr>
            </w:pPr>
          </w:p>
        </w:tc>
        <w:tc>
          <w:tcPr>
            <w:tcW w:w="851" w:type="dxa"/>
            <w:shd w:val="clear" w:color="auto" w:fill="auto"/>
            <w:tcMar>
              <w:left w:w="108" w:type="dxa"/>
              <w:right w:w="0" w:type="dxa"/>
            </w:tcMar>
            <w:vAlign w:val="center"/>
          </w:tcPr>
          <w:p w:rsidR="004300E2" w:rsidRPr="008A0F36" w:rsidRDefault="004300E2" w:rsidP="004300E2">
            <w:pPr>
              <w:pStyle w:val="IAS"/>
              <w:jc w:val="left"/>
              <w:rPr>
                <w:lang w:val="it-IT"/>
              </w:rPr>
            </w:pPr>
          </w:p>
        </w:tc>
        <w:tc>
          <w:tcPr>
            <w:tcW w:w="7079" w:type="dxa"/>
            <w:shd w:val="clear" w:color="auto" w:fill="auto"/>
            <w:tcMar>
              <w:left w:w="108" w:type="dxa"/>
            </w:tcMar>
            <w:vAlign w:val="center"/>
          </w:tcPr>
          <w:p w:rsidR="004300E2" w:rsidRPr="008A0F36" w:rsidRDefault="004300E2" w:rsidP="004300E2">
            <w:pPr>
              <w:pStyle w:val="Titolo1"/>
            </w:pPr>
            <w:r w:rsidRPr="008A0F36">
              <w:t>SETTORI OPERATIVI</w:t>
            </w:r>
          </w:p>
        </w:tc>
        <w:tc>
          <w:tcPr>
            <w:tcW w:w="575" w:type="dxa"/>
            <w:shd w:val="clear" w:color="auto" w:fill="auto"/>
            <w:tcMar>
              <w:left w:w="85" w:type="dxa"/>
              <w:right w:w="85" w:type="dxa"/>
            </w:tcMar>
            <w:vAlign w:val="center"/>
          </w:tcPr>
          <w:p w:rsidR="004300E2" w:rsidRDefault="004300E2" w:rsidP="004300E2">
            <w:pPr>
              <w:jc w:val="left"/>
            </w:pPr>
          </w:p>
        </w:tc>
        <w:tc>
          <w:tcPr>
            <w:tcW w:w="567" w:type="dxa"/>
            <w:shd w:val="clear" w:color="auto" w:fill="auto"/>
            <w:tcMar>
              <w:left w:w="108" w:type="dxa"/>
            </w:tcMar>
            <w:vAlign w:val="center"/>
          </w:tcPr>
          <w:p w:rsidR="004300E2" w:rsidRDefault="004300E2" w:rsidP="004300E2">
            <w:pPr>
              <w:jc w:val="left"/>
            </w:pPr>
          </w:p>
        </w:tc>
        <w:tc>
          <w:tcPr>
            <w:tcW w:w="567" w:type="dxa"/>
            <w:shd w:val="clear" w:color="auto" w:fill="auto"/>
            <w:vAlign w:val="center"/>
          </w:tcPr>
          <w:p w:rsidR="004300E2" w:rsidRDefault="004300E2" w:rsidP="004300E2">
            <w:pPr>
              <w:jc w:val="left"/>
            </w:pPr>
          </w:p>
        </w:tc>
      </w:tr>
      <w:tr w:rsidR="004300E2" w:rsidRPr="008A0F36" w:rsidDel="00EB2472" w:rsidTr="00940A6F">
        <w:trPr>
          <w:cantSplit/>
        </w:trPr>
        <w:tc>
          <w:tcPr>
            <w:tcW w:w="567" w:type="dxa"/>
            <w:shd w:val="clear" w:color="auto" w:fill="auto"/>
            <w:tcMar>
              <w:left w:w="108" w:type="dxa"/>
              <w:right w:w="0" w:type="dxa"/>
            </w:tcMar>
          </w:tcPr>
          <w:p w:rsidR="004300E2" w:rsidRPr="008A0F36" w:rsidRDefault="004300E2" w:rsidP="004300E2">
            <w:pPr>
              <w:pStyle w:val="IAS"/>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p>
        </w:tc>
        <w:tc>
          <w:tcPr>
            <w:tcW w:w="7079" w:type="dxa"/>
            <w:shd w:val="clear" w:color="auto" w:fill="auto"/>
            <w:tcMar>
              <w:left w:w="108" w:type="dxa"/>
            </w:tcMar>
          </w:tcPr>
          <w:p w:rsidR="004300E2" w:rsidRPr="008A0F36" w:rsidRDefault="004300E2" w:rsidP="004300E2">
            <w:pPr>
              <w:pStyle w:val="Titolo2"/>
              <w:rPr>
                <w:lang w:val="it-IT"/>
              </w:rPr>
            </w:pPr>
            <w:r w:rsidRPr="008A0F36">
              <w:rPr>
                <w:lang w:val="it-IT"/>
              </w:rPr>
              <w:t>Informazioni di carattere generale</w:t>
            </w:r>
          </w:p>
        </w:tc>
        <w:tc>
          <w:tcPr>
            <w:tcW w:w="575" w:type="dxa"/>
            <w:shd w:val="clear" w:color="auto" w:fill="auto"/>
            <w:tcMar>
              <w:left w:w="85" w:type="dxa"/>
              <w:right w:w="85" w:type="dxa"/>
            </w:tcMar>
            <w:vAlign w:val="center"/>
          </w:tcPr>
          <w:p w:rsidR="004300E2" w:rsidRDefault="004300E2" w:rsidP="004300E2">
            <w:pPr>
              <w:jc w:val="center"/>
            </w:pPr>
          </w:p>
        </w:tc>
        <w:tc>
          <w:tcPr>
            <w:tcW w:w="567" w:type="dxa"/>
            <w:shd w:val="clear" w:color="auto" w:fill="auto"/>
            <w:tcMar>
              <w:left w:w="108" w:type="dxa"/>
            </w:tcMar>
            <w:vAlign w:val="center"/>
          </w:tcPr>
          <w:p w:rsidR="004300E2" w:rsidRDefault="004300E2" w:rsidP="004300E2">
            <w:pPr>
              <w:jc w:val="center"/>
            </w:pPr>
          </w:p>
        </w:tc>
        <w:tc>
          <w:tcPr>
            <w:tcW w:w="567" w:type="dxa"/>
            <w:shd w:val="clear" w:color="auto" w:fill="auto"/>
            <w:vAlign w:val="center"/>
          </w:tcPr>
          <w:p w:rsidR="004300E2" w:rsidRDefault="004300E2" w:rsidP="004300E2">
            <w:pPr>
              <w:jc w:val="center"/>
            </w:pPr>
          </w:p>
        </w:tc>
      </w:tr>
      <w:tr w:rsidR="004300E2" w:rsidRPr="00A44ECD" w:rsidDel="00EB2472" w:rsidTr="00940A6F">
        <w:trPr>
          <w:cantSplit/>
        </w:trPr>
        <w:tc>
          <w:tcPr>
            <w:tcW w:w="567" w:type="dxa"/>
            <w:shd w:val="clear" w:color="auto" w:fill="auto"/>
            <w:tcMar>
              <w:left w:w="108" w:type="dxa"/>
              <w:right w:w="0" w:type="dxa"/>
            </w:tcMar>
          </w:tcPr>
          <w:p w:rsidR="004300E2" w:rsidRPr="008A0F36" w:rsidRDefault="004300E2" w:rsidP="004300E2">
            <w:pPr>
              <w:pStyle w:val="Numeroelenco"/>
              <w:ind w:left="0" w:firstLine="57"/>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r w:rsidRPr="008A0F36">
              <w:rPr>
                <w:lang w:val="it-IT"/>
              </w:rPr>
              <w:t>IFRS 8.20 IFRS 8.21</w:t>
            </w:r>
          </w:p>
        </w:tc>
        <w:tc>
          <w:tcPr>
            <w:tcW w:w="7079" w:type="dxa"/>
            <w:shd w:val="clear" w:color="auto" w:fill="auto"/>
            <w:tcMar>
              <w:left w:w="108" w:type="dxa"/>
            </w:tcMar>
          </w:tcPr>
          <w:p w:rsidR="004300E2" w:rsidRPr="008A0F36" w:rsidRDefault="004300E2" w:rsidP="008129DA">
            <w:pPr>
              <w:spacing w:line="214" w:lineRule="exact"/>
              <w:rPr>
                <w:lang w:val="it-IT"/>
              </w:rPr>
            </w:pPr>
            <w:r w:rsidRPr="008A0F36">
              <w:rPr>
                <w:lang w:val="it-IT"/>
              </w:rPr>
              <w:t xml:space="preserve">L’entità ha fornito, per ogni esercizio per cui è presentato il </w:t>
            </w:r>
            <w:r>
              <w:rPr>
                <w:lang w:val="it-IT"/>
              </w:rPr>
              <w:t xml:space="preserve">prospetto dell’utile/(perdita) d’esercizio e delle altre componenti di </w:t>
            </w:r>
            <w:r w:rsidRPr="008A0F36">
              <w:rPr>
                <w:lang w:val="it-IT"/>
              </w:rPr>
              <w:t>conto economico complessivo, le seguenti informazioni per consentire agli utilizzatori del bilancio di valutare la natura e gli effetti finanziari delle attività operative che svolge e dei contesti economici in cui opera:</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4E201D" w:rsidRPr="008129DA" w:rsidDel="00EB2472" w:rsidTr="00940A6F">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3A3CC8" w:rsidRDefault="004E201D" w:rsidP="004300E2">
            <w:pPr>
              <w:pStyle w:val="Rientroa"/>
              <w:numPr>
                <w:ilvl w:val="0"/>
                <w:numId w:val="132"/>
              </w:numPr>
              <w:rPr>
                <w:iCs/>
              </w:rPr>
            </w:pPr>
            <w:r w:rsidRPr="003A3CC8">
              <w:t xml:space="preserve">informazioni di carattere generale come descritte nel punto </w:t>
            </w:r>
            <w:r>
              <w:t>346</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Del="00EB2472" w:rsidTr="00940A6F">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3A3CC8" w:rsidRDefault="004E201D" w:rsidP="00FB4B6E">
            <w:pPr>
              <w:pStyle w:val="Rientroa"/>
              <w:numPr>
                <w:ilvl w:val="0"/>
                <w:numId w:val="72"/>
              </w:numPr>
            </w:pPr>
            <w:r w:rsidRPr="003A3CC8">
              <w:t xml:space="preserve">informazioni sugli utili e le perdite dei settori presentati, includendo costi e ricavi specifici presentati nell’utile/(perdita) d’esercizio, attività e passività di settore e le basi di valutazione, come descritti nell’IFRS 8.23-27 (punti </w:t>
            </w:r>
            <w:r>
              <w:t>347-354</w:t>
            </w:r>
            <w:r w:rsidRPr="003A3CC8">
              <w:t>); 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Del="00EB2472" w:rsidTr="00FB4B6E">
        <w:trPr>
          <w:cantSplit/>
          <w:trHeight w:val="800"/>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3A3CC8" w:rsidRDefault="004E201D" w:rsidP="00FB4B6E">
            <w:pPr>
              <w:pStyle w:val="Rientroa"/>
              <w:numPr>
                <w:ilvl w:val="0"/>
                <w:numId w:val="72"/>
              </w:numPr>
            </w:pPr>
            <w:r w:rsidRPr="003A3CC8">
              <w:t xml:space="preserve">riconciliazione dei totali dei ricavi di settore, degli utili e perdite di settore presentati, delle attività e passività di settore e altre voci rilevanti di settore rispetto agli importi riconducibili all’azienda nel suo complesso come descritto nell’IFRS 8.28 (punti </w:t>
            </w:r>
            <w:r>
              <w:t>355-356</w:t>
            </w:r>
            <w:r w:rsidRPr="003A3CC8">
              <w:t>).</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Del="00EB2472" w:rsidTr="00940A6F">
        <w:trPr>
          <w:cantSplit/>
        </w:trPr>
        <w:tc>
          <w:tcPr>
            <w:tcW w:w="567" w:type="dxa"/>
            <w:shd w:val="clear" w:color="auto" w:fill="auto"/>
            <w:tcMar>
              <w:left w:w="108" w:type="dxa"/>
              <w:right w:w="0" w:type="dxa"/>
            </w:tcMar>
          </w:tcPr>
          <w:p w:rsidR="004E201D" w:rsidRPr="008A0F36" w:rsidRDefault="004E201D" w:rsidP="004300E2">
            <w:pPr>
              <w:pStyle w:val="Numeroelenco"/>
              <w:ind w:left="0" w:firstLine="57"/>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r w:rsidRPr="008A0F36">
              <w:rPr>
                <w:lang w:val="it-IT"/>
              </w:rPr>
              <w:t>IFRS 8.21</w:t>
            </w:r>
          </w:p>
        </w:tc>
        <w:tc>
          <w:tcPr>
            <w:tcW w:w="7079" w:type="dxa"/>
            <w:shd w:val="clear" w:color="auto" w:fill="auto"/>
            <w:tcMar>
              <w:left w:w="108" w:type="dxa"/>
            </w:tcMar>
          </w:tcPr>
          <w:p w:rsidR="004E201D" w:rsidRPr="008A0F36" w:rsidRDefault="004E201D" w:rsidP="004300E2">
            <w:pPr>
              <w:rPr>
                <w:lang w:val="it-IT"/>
              </w:rPr>
            </w:pPr>
            <w:r w:rsidRPr="008A0F36">
              <w:rPr>
                <w:lang w:val="it-IT"/>
              </w:rPr>
              <w:t>Per ogni data alla quale è presentata una situazione patrimoniale-finanziaria, l’entità ha fornito una riconciliazione dei saldi patrimoniali relativi ai settori con quelli dell’entità nel suo complesso</w:t>
            </w:r>
            <w:r>
              <w:rPr>
                <w:lang w:val="it-IT"/>
              </w:rPr>
              <w:t>.</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Del="00EB2472" w:rsidTr="00940A6F">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4300E2">
            <w:pPr>
              <w:rPr>
                <w:lang w:val="it-IT"/>
              </w:rPr>
            </w:pPr>
            <w:r w:rsidRPr="008A0F36">
              <w:rPr>
                <w:lang w:val="it-IT"/>
              </w:rPr>
              <w:t>Le informazioni relative ad esercizi precedenti devono essere riesposte come richiesto nell’IFRS 8.29 e IFRS 8.</w:t>
            </w:r>
            <w:r w:rsidRPr="003A3CC8">
              <w:rPr>
                <w:lang w:val="it-IT"/>
              </w:rPr>
              <w:t xml:space="preserve">30 (punti </w:t>
            </w:r>
            <w:r>
              <w:rPr>
                <w:lang w:val="it-IT"/>
              </w:rPr>
              <w:t>357-358</w:t>
            </w:r>
            <w:r w:rsidRPr="003A3CC8">
              <w:rPr>
                <w:lang w:val="it-IT"/>
              </w:rPr>
              <w:t>).</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Del="00EB2472" w:rsidTr="00940A6F">
        <w:trPr>
          <w:cantSplit/>
        </w:trPr>
        <w:tc>
          <w:tcPr>
            <w:tcW w:w="567" w:type="dxa"/>
            <w:shd w:val="clear" w:color="auto" w:fill="auto"/>
            <w:tcMar>
              <w:left w:w="108" w:type="dxa"/>
              <w:right w:w="0" w:type="dxa"/>
            </w:tcMar>
          </w:tcPr>
          <w:p w:rsidR="004300E2" w:rsidRPr="008A0F36" w:rsidRDefault="004300E2" w:rsidP="004300E2">
            <w:pPr>
              <w:pStyle w:val="Numeroelenco"/>
              <w:ind w:left="0" w:firstLine="57"/>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r w:rsidRPr="008A0F36">
              <w:rPr>
                <w:lang w:val="it-IT"/>
              </w:rPr>
              <w:t>IFRS 8.22</w:t>
            </w:r>
          </w:p>
        </w:tc>
        <w:tc>
          <w:tcPr>
            <w:tcW w:w="7079" w:type="dxa"/>
            <w:shd w:val="clear" w:color="auto" w:fill="auto"/>
            <w:tcMar>
              <w:left w:w="108" w:type="dxa"/>
            </w:tcMar>
          </w:tcPr>
          <w:p w:rsidR="004300E2" w:rsidRPr="008A0F36" w:rsidRDefault="004300E2" w:rsidP="004300E2">
            <w:pPr>
              <w:rPr>
                <w:bCs/>
                <w:lang w:val="it-IT"/>
              </w:rPr>
            </w:pPr>
            <w:r w:rsidRPr="008A0F36">
              <w:rPr>
                <w:lang w:val="it-IT"/>
              </w:rPr>
              <w:t>L’entità fornisce le seguenti informazioni di carattere generale:</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4E201D" w:rsidRPr="008129DA" w:rsidDel="00EB2472" w:rsidTr="00940A6F">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ED180E">
            <w:pPr>
              <w:pStyle w:val="Rientroa"/>
              <w:numPr>
                <w:ilvl w:val="0"/>
                <w:numId w:val="133"/>
              </w:numPr>
              <w:rPr>
                <w:iCs/>
              </w:rPr>
            </w:pPr>
            <w:r>
              <w:t>i fattori</w:t>
            </w:r>
            <w:r w:rsidRPr="008A0F36">
              <w:t xml:space="preserve"> utilizzati per identificare i settori oggetto di informativa, inclusi i criteri organizzativi (per esempio se la direzione </w:t>
            </w:r>
            <w:r>
              <w:t xml:space="preserve">aziendale </w:t>
            </w:r>
            <w:r w:rsidRPr="008A0F36">
              <w:t xml:space="preserve">ha scelto di organizzare l’entità </w:t>
            </w:r>
            <w:r>
              <w:t xml:space="preserve">in </w:t>
            </w:r>
            <w:r w:rsidRPr="008A0F36">
              <w:t xml:space="preserve"> base </w:t>
            </w:r>
            <w:r>
              <w:t>alle</w:t>
            </w:r>
            <w:r w:rsidRPr="008A0F36">
              <w:t xml:space="preserve"> differenze </w:t>
            </w:r>
            <w:r>
              <w:t>d</w:t>
            </w:r>
            <w:r w:rsidRPr="008A0F36">
              <w:t xml:space="preserve">ei prodotti e </w:t>
            </w:r>
            <w:r>
              <w:t>d</w:t>
            </w:r>
            <w:r w:rsidRPr="008A0F36">
              <w:t xml:space="preserve">ei servizi, </w:t>
            </w:r>
            <w:r>
              <w:t>d</w:t>
            </w:r>
            <w:r w:rsidRPr="008A0F36">
              <w:t xml:space="preserve">elle aree geografiche, </w:t>
            </w:r>
            <w:r>
              <w:t xml:space="preserve">del contesto normativio </w:t>
            </w:r>
            <w:r w:rsidRPr="008A0F36">
              <w:t xml:space="preserve">di una combinazione di fattori e se i settori </w:t>
            </w:r>
            <w:r>
              <w:t xml:space="preserve">oggetto di informativa </w:t>
            </w:r>
            <w:r w:rsidRPr="008A0F36">
              <w:t>sono stati aggregati);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Del="00EB2472" w:rsidTr="00940A6F">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tcBorders>
              <w:bottom w:val="single" w:sz="2" w:space="0" w:color="auto"/>
            </w:tcBorders>
            <w:shd w:val="clear" w:color="auto" w:fill="auto"/>
            <w:tcMar>
              <w:left w:w="108" w:type="dxa"/>
            </w:tcMar>
          </w:tcPr>
          <w:p w:rsidR="004E201D" w:rsidRPr="008A0F36" w:rsidRDefault="004E201D" w:rsidP="00D24C64">
            <w:pPr>
              <w:pStyle w:val="Rientroa"/>
              <w:numPr>
                <w:ilvl w:val="0"/>
                <w:numId w:val="72"/>
              </w:numPr>
            </w:pPr>
            <w:r w:rsidRPr="00F90DCD">
              <w:t xml:space="preserve">le valutazioni </w:t>
            </w:r>
            <w:r>
              <w:t xml:space="preserve">effettuate dalla direzione aziendale nell’applicare i </w:t>
            </w:r>
            <w:r w:rsidRPr="00F90DCD">
              <w:t xml:space="preserve">criteri di aggregazione dei settori operativi previsti </w:t>
            </w:r>
            <w:r>
              <w:t xml:space="preserve">dal paragrafo </w:t>
            </w:r>
            <w:r w:rsidRPr="00F90DCD">
              <w:t>12</w:t>
            </w:r>
            <w:r>
              <w:t xml:space="preserve"> dell’IFRS 8</w:t>
            </w:r>
            <w:r w:rsidRPr="00F90DCD">
              <w:t xml:space="preserve">. </w:t>
            </w:r>
            <w:r>
              <w:t>Ciò include una breve</w:t>
            </w:r>
            <w:r w:rsidRPr="00F90DCD">
              <w:t xml:space="preserve"> descrizione dei settori operativi </w:t>
            </w:r>
            <w:r>
              <w:t>che sono stati aggreg</w:t>
            </w:r>
            <w:r w:rsidRPr="00F90DCD">
              <w:t xml:space="preserve">ati </w:t>
            </w:r>
            <w:r>
              <w:t xml:space="preserve">secondo tali criteri </w:t>
            </w:r>
            <w:r w:rsidRPr="00F90DCD">
              <w:t xml:space="preserve">e gli indicatori economici che sono stati </w:t>
            </w:r>
            <w:r>
              <w:t>oggetto di valutazione nello stabilire</w:t>
            </w:r>
            <w:r w:rsidRPr="00F90DCD">
              <w:t xml:space="preserve"> che i settori operativi aggregati hanno caratteristiche economiche similari</w:t>
            </w:r>
            <w:r>
              <w:t>; 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Del="00EB2472" w:rsidTr="00940A6F">
        <w:trPr>
          <w:cantSplit/>
        </w:trPr>
        <w:tc>
          <w:tcPr>
            <w:tcW w:w="567" w:type="dxa"/>
            <w:shd w:val="clear" w:color="auto" w:fill="auto"/>
            <w:tcMar>
              <w:left w:w="108" w:type="dxa"/>
              <w:right w:w="0" w:type="dxa"/>
            </w:tcMar>
          </w:tcPr>
          <w:p w:rsidR="004300E2" w:rsidRPr="008A0F36" w:rsidRDefault="004300E2" w:rsidP="004300E2">
            <w:pPr>
              <w:pStyle w:val="IAS"/>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p>
        </w:tc>
        <w:tc>
          <w:tcPr>
            <w:tcW w:w="7079" w:type="dxa"/>
            <w:tcBorders>
              <w:bottom w:val="single" w:sz="2" w:space="0" w:color="auto"/>
            </w:tcBorders>
            <w:shd w:val="clear" w:color="auto" w:fill="auto"/>
            <w:tcMar>
              <w:left w:w="108" w:type="dxa"/>
            </w:tcMar>
          </w:tcPr>
          <w:p w:rsidR="004300E2" w:rsidRPr="008A0F36" w:rsidRDefault="00D24C64" w:rsidP="00FB4B6E">
            <w:pPr>
              <w:pStyle w:val="Rientroa"/>
              <w:numPr>
                <w:ilvl w:val="0"/>
                <w:numId w:val="72"/>
              </w:numPr>
            </w:pPr>
            <w:r>
              <w:t xml:space="preserve">i </w:t>
            </w:r>
            <w:r w:rsidR="004300E2" w:rsidRPr="008A0F36">
              <w:t xml:space="preserve">tipi di prodotti e servizi da cui ogni settore oggetto di informativa </w:t>
            </w:r>
            <w:r>
              <w:t xml:space="preserve">ottiene </w:t>
            </w:r>
            <w:r w:rsidR="004300E2" w:rsidRPr="008A0F36">
              <w:t>i propri ricavi.</w:t>
            </w:r>
          </w:p>
        </w:tc>
        <w:tc>
          <w:tcPr>
            <w:tcW w:w="575" w:type="dxa"/>
            <w:shd w:val="clear" w:color="auto" w:fill="auto"/>
            <w:tcMar>
              <w:left w:w="85" w:type="dxa"/>
              <w:right w:w="85" w:type="dxa"/>
            </w:tcMar>
            <w:vAlign w:val="center"/>
          </w:tcPr>
          <w:p w:rsidR="004300E2" w:rsidRPr="00A32A16" w:rsidRDefault="004300E2" w:rsidP="004300E2">
            <w:pPr>
              <w:jc w:val="center"/>
              <w:rPr>
                <w:lang w:val="it-IT"/>
              </w:rPr>
            </w:pPr>
          </w:p>
        </w:tc>
        <w:tc>
          <w:tcPr>
            <w:tcW w:w="567" w:type="dxa"/>
            <w:shd w:val="clear" w:color="auto" w:fill="auto"/>
            <w:tcMar>
              <w:left w:w="108" w:type="dxa"/>
            </w:tcMar>
            <w:vAlign w:val="center"/>
          </w:tcPr>
          <w:p w:rsidR="004300E2" w:rsidRPr="00A32A16" w:rsidRDefault="004300E2" w:rsidP="004300E2">
            <w:pPr>
              <w:jc w:val="center"/>
              <w:rPr>
                <w:lang w:val="it-IT"/>
              </w:rPr>
            </w:pPr>
          </w:p>
        </w:tc>
        <w:tc>
          <w:tcPr>
            <w:tcW w:w="567" w:type="dxa"/>
            <w:shd w:val="clear" w:color="auto" w:fill="auto"/>
            <w:vAlign w:val="center"/>
          </w:tcPr>
          <w:p w:rsidR="004300E2" w:rsidRPr="00A32A16" w:rsidRDefault="004300E2" w:rsidP="004300E2">
            <w:pPr>
              <w:jc w:val="center"/>
              <w:rPr>
                <w:lang w:val="it-IT"/>
              </w:rPr>
            </w:pPr>
          </w:p>
        </w:tc>
      </w:tr>
      <w:tr w:rsidR="00ED180E" w:rsidRPr="00A44ECD" w:rsidDel="00EB2472" w:rsidTr="00ED180E">
        <w:trPr>
          <w:cantSplit/>
        </w:trPr>
        <w:tc>
          <w:tcPr>
            <w:tcW w:w="567" w:type="dxa"/>
            <w:shd w:val="clear" w:color="auto" w:fill="auto"/>
            <w:tcMar>
              <w:left w:w="108" w:type="dxa"/>
              <w:right w:w="0" w:type="dxa"/>
            </w:tcMar>
          </w:tcPr>
          <w:p w:rsidR="00ED180E" w:rsidRPr="008A0F36" w:rsidRDefault="00ED180E" w:rsidP="00ED180E">
            <w:pPr>
              <w:pStyle w:val="IAS"/>
              <w:rPr>
                <w:lang w:val="it-IT"/>
              </w:rPr>
            </w:pPr>
          </w:p>
        </w:tc>
        <w:tc>
          <w:tcPr>
            <w:tcW w:w="851" w:type="dxa"/>
            <w:shd w:val="clear" w:color="auto" w:fill="auto"/>
            <w:tcMar>
              <w:left w:w="108" w:type="dxa"/>
              <w:right w:w="0" w:type="dxa"/>
            </w:tcMar>
          </w:tcPr>
          <w:p w:rsidR="00ED180E" w:rsidRPr="008A0F36" w:rsidRDefault="00ED180E" w:rsidP="00ED180E">
            <w:pPr>
              <w:pStyle w:val="IAS"/>
              <w:rPr>
                <w:lang w:val="it-IT"/>
              </w:rPr>
            </w:pPr>
          </w:p>
        </w:tc>
        <w:tc>
          <w:tcPr>
            <w:tcW w:w="7079" w:type="dxa"/>
            <w:shd w:val="clear" w:color="auto" w:fill="auto"/>
            <w:tcMar>
              <w:left w:w="108" w:type="dxa"/>
            </w:tcMar>
          </w:tcPr>
          <w:p w:rsidR="00ED180E" w:rsidRPr="008A0F36" w:rsidRDefault="00ED180E" w:rsidP="00FC713E">
            <w:pPr>
              <w:pStyle w:val="Titolo2"/>
              <w:jc w:val="both"/>
              <w:rPr>
                <w:lang w:val="it-IT"/>
              </w:rPr>
            </w:pPr>
            <w:r w:rsidRPr="008A0F36">
              <w:rPr>
                <w:lang w:val="it-IT"/>
              </w:rPr>
              <w:t>Informazion</w:t>
            </w:r>
            <w:r>
              <w:rPr>
                <w:lang w:val="it-IT"/>
              </w:rPr>
              <w:t>i su utili e perdite, attività e</w:t>
            </w:r>
            <w:r w:rsidRPr="008A0F36">
              <w:rPr>
                <w:lang w:val="it-IT"/>
              </w:rPr>
              <w:t xml:space="preserve"> passività</w:t>
            </w:r>
            <w:r>
              <w:rPr>
                <w:lang w:val="it-IT"/>
              </w:rPr>
              <w:t xml:space="preserve"> per ogni settore oggetto di informativa</w:t>
            </w:r>
          </w:p>
        </w:tc>
        <w:tc>
          <w:tcPr>
            <w:tcW w:w="575" w:type="dxa"/>
            <w:shd w:val="clear" w:color="auto" w:fill="auto"/>
            <w:tcMar>
              <w:left w:w="85" w:type="dxa"/>
              <w:right w:w="85" w:type="dxa"/>
            </w:tcMar>
            <w:vAlign w:val="center"/>
          </w:tcPr>
          <w:p w:rsidR="00ED180E" w:rsidRPr="00090BE7" w:rsidRDefault="00ED180E" w:rsidP="00ED180E">
            <w:pPr>
              <w:jc w:val="center"/>
              <w:rPr>
                <w:lang w:val="it-IT"/>
              </w:rPr>
            </w:pPr>
          </w:p>
        </w:tc>
        <w:tc>
          <w:tcPr>
            <w:tcW w:w="567" w:type="dxa"/>
            <w:shd w:val="clear" w:color="auto" w:fill="auto"/>
            <w:tcMar>
              <w:left w:w="108" w:type="dxa"/>
            </w:tcMar>
            <w:vAlign w:val="center"/>
          </w:tcPr>
          <w:p w:rsidR="00ED180E" w:rsidRPr="00090BE7" w:rsidRDefault="00ED180E" w:rsidP="00ED180E">
            <w:pPr>
              <w:jc w:val="center"/>
              <w:rPr>
                <w:lang w:val="it-IT"/>
              </w:rPr>
            </w:pPr>
          </w:p>
        </w:tc>
        <w:tc>
          <w:tcPr>
            <w:tcW w:w="567" w:type="dxa"/>
            <w:shd w:val="clear" w:color="auto" w:fill="auto"/>
            <w:vAlign w:val="center"/>
          </w:tcPr>
          <w:p w:rsidR="00ED180E" w:rsidRPr="00090BE7" w:rsidRDefault="00ED180E" w:rsidP="00ED180E">
            <w:pPr>
              <w:jc w:val="center"/>
              <w:rPr>
                <w:lang w:val="it-IT"/>
              </w:rPr>
            </w:pPr>
          </w:p>
        </w:tc>
      </w:tr>
      <w:tr w:rsidR="004E201D" w:rsidRPr="008129DA" w:rsidDel="00EB2472" w:rsidTr="00940A6F">
        <w:trPr>
          <w:cantSplit/>
        </w:trPr>
        <w:tc>
          <w:tcPr>
            <w:tcW w:w="567" w:type="dxa"/>
            <w:shd w:val="clear" w:color="auto" w:fill="auto"/>
            <w:tcMar>
              <w:left w:w="108" w:type="dxa"/>
              <w:right w:w="0" w:type="dxa"/>
            </w:tcMar>
          </w:tcPr>
          <w:p w:rsidR="004E201D" w:rsidRPr="008A0F36" w:rsidRDefault="004E201D" w:rsidP="004300E2">
            <w:pPr>
              <w:pStyle w:val="Numeroelenco"/>
              <w:ind w:left="0" w:firstLine="57"/>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r w:rsidRPr="008A0F36">
              <w:rPr>
                <w:lang w:val="it-IT"/>
              </w:rPr>
              <w:t>IFRS 8.23</w:t>
            </w:r>
          </w:p>
        </w:tc>
        <w:tc>
          <w:tcPr>
            <w:tcW w:w="7079" w:type="dxa"/>
            <w:shd w:val="clear" w:color="auto" w:fill="auto"/>
            <w:tcMar>
              <w:left w:w="108" w:type="dxa"/>
            </w:tcMar>
          </w:tcPr>
          <w:p w:rsidR="004E201D" w:rsidRPr="008A0F36" w:rsidRDefault="004E201D" w:rsidP="004300E2">
            <w:pPr>
              <w:rPr>
                <w:lang w:val="it-IT"/>
              </w:rPr>
            </w:pPr>
            <w:r w:rsidRPr="008A0F36">
              <w:rPr>
                <w:lang w:val="it-IT"/>
              </w:rPr>
              <w:t>L’entità presenta l’ammontare degli utili e delle perdite per ogni settore oggetto di informativa.</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Del="00EB2472" w:rsidTr="00940A6F">
        <w:trPr>
          <w:cantSplit/>
        </w:trPr>
        <w:tc>
          <w:tcPr>
            <w:tcW w:w="567" w:type="dxa"/>
            <w:shd w:val="clear" w:color="auto" w:fill="auto"/>
            <w:tcMar>
              <w:left w:w="108" w:type="dxa"/>
              <w:right w:w="0" w:type="dxa"/>
            </w:tcMar>
          </w:tcPr>
          <w:p w:rsidR="004E201D" w:rsidRPr="008A0F36" w:rsidRDefault="004E201D" w:rsidP="004300E2">
            <w:pPr>
              <w:pStyle w:val="Numeroelenco"/>
              <w:ind w:left="0" w:firstLine="57"/>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r w:rsidRPr="008A0F36">
              <w:rPr>
                <w:lang w:val="it-IT"/>
              </w:rPr>
              <w:t>IFRS 8.23</w:t>
            </w:r>
          </w:p>
        </w:tc>
        <w:tc>
          <w:tcPr>
            <w:tcW w:w="7079" w:type="dxa"/>
            <w:shd w:val="clear" w:color="auto" w:fill="auto"/>
            <w:tcMar>
              <w:left w:w="108" w:type="dxa"/>
            </w:tcMar>
          </w:tcPr>
          <w:p w:rsidR="004E201D" w:rsidRPr="008A0F36" w:rsidRDefault="004E201D" w:rsidP="004300E2">
            <w:pPr>
              <w:rPr>
                <w:lang w:val="it-IT"/>
              </w:rPr>
            </w:pPr>
            <w:r w:rsidRPr="008A0F36">
              <w:rPr>
                <w:lang w:val="it-IT"/>
              </w:rPr>
              <w:t>L’entità indica il totale delle attività per ogni settore operativo oggetto di informativa se tale ammontare è regolarmente fornito al soggetto che prende operativamente le decisioni a livello di settore (denominato nel principio come il “più alto livello decisionale operativo”).</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Del="00EB2472" w:rsidTr="00940A6F">
        <w:trPr>
          <w:cantSplit/>
        </w:trPr>
        <w:tc>
          <w:tcPr>
            <w:tcW w:w="567" w:type="dxa"/>
            <w:shd w:val="clear" w:color="auto" w:fill="auto"/>
            <w:tcMar>
              <w:left w:w="108" w:type="dxa"/>
              <w:right w:w="0" w:type="dxa"/>
            </w:tcMar>
          </w:tcPr>
          <w:p w:rsidR="004E201D" w:rsidRPr="008A0F36" w:rsidRDefault="004E201D" w:rsidP="004300E2">
            <w:pPr>
              <w:pStyle w:val="Numeroelenco"/>
              <w:ind w:left="0" w:firstLine="57"/>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r w:rsidRPr="008A0F36">
              <w:rPr>
                <w:lang w:val="it-IT"/>
              </w:rPr>
              <w:t>IFRS 8.23</w:t>
            </w:r>
          </w:p>
        </w:tc>
        <w:tc>
          <w:tcPr>
            <w:tcW w:w="7079" w:type="dxa"/>
            <w:shd w:val="clear" w:color="auto" w:fill="auto"/>
            <w:tcMar>
              <w:left w:w="108" w:type="dxa"/>
            </w:tcMar>
          </w:tcPr>
          <w:p w:rsidR="004E201D" w:rsidRPr="008A0F36" w:rsidRDefault="004E201D" w:rsidP="004300E2">
            <w:pPr>
              <w:rPr>
                <w:highlight w:val="cyan"/>
                <w:lang w:val="it-IT"/>
              </w:rPr>
            </w:pPr>
            <w:r w:rsidRPr="008A0F36">
              <w:rPr>
                <w:lang w:val="it-IT"/>
              </w:rPr>
              <w:t>L’entità presenta il totale delle passività per ogni settore oggetto di informativa se tale ammontare è regolarmente fornito al soggetto che prende operativamente le decisioni a livello di settore (denominato nel principio come il “più alto livello decisionale operativo”).</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Del="00EB2472" w:rsidTr="00940A6F">
        <w:trPr>
          <w:cantSplit/>
        </w:trPr>
        <w:tc>
          <w:tcPr>
            <w:tcW w:w="567" w:type="dxa"/>
            <w:shd w:val="clear" w:color="auto" w:fill="auto"/>
            <w:tcMar>
              <w:left w:w="108" w:type="dxa"/>
              <w:right w:w="0" w:type="dxa"/>
            </w:tcMar>
          </w:tcPr>
          <w:p w:rsidR="004300E2" w:rsidRPr="008A0F36" w:rsidRDefault="004300E2" w:rsidP="004300E2">
            <w:pPr>
              <w:pStyle w:val="Numeroelenco"/>
              <w:ind w:left="0" w:firstLine="57"/>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r w:rsidRPr="008A0F36">
              <w:rPr>
                <w:lang w:val="it-IT"/>
              </w:rPr>
              <w:t>IFRS 8.23</w:t>
            </w:r>
          </w:p>
        </w:tc>
        <w:tc>
          <w:tcPr>
            <w:tcW w:w="7079" w:type="dxa"/>
            <w:shd w:val="clear" w:color="auto" w:fill="auto"/>
            <w:tcMar>
              <w:left w:w="108" w:type="dxa"/>
            </w:tcMar>
          </w:tcPr>
          <w:p w:rsidR="004300E2" w:rsidRPr="008A0F36" w:rsidRDefault="004300E2" w:rsidP="004300E2">
            <w:pPr>
              <w:rPr>
                <w:bCs/>
                <w:lang w:val="it-IT"/>
              </w:rPr>
            </w:pPr>
            <w:r w:rsidRPr="008A0F36">
              <w:rPr>
                <w:lang w:val="it-IT"/>
              </w:rPr>
              <w:t>L’entità fornisce le seguenti informazioni su ogni settore oggetto di informativa se gli importi specificati sono inclusi nella determinazione dell’utile o della perdita di settore rivisto dal soggetto che prende operativamente le decisioni a livello di settore, o che sono altrimenti presentati regolarmente al soggetto che prende operativamente le decisioni a livello di settore, anche se non sono inclusi nella determinazione del dell’utile o della perdita di settore:</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4E201D" w:rsidRPr="008A0F36" w:rsidDel="00EB2472" w:rsidTr="00940A6F">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4300E2">
            <w:pPr>
              <w:pStyle w:val="Rientroa"/>
              <w:numPr>
                <w:ilvl w:val="0"/>
                <w:numId w:val="179"/>
              </w:numPr>
              <w:rPr>
                <w:b/>
                <w:iCs/>
                <w:sz w:val="22"/>
              </w:rPr>
            </w:pPr>
            <w:r w:rsidRPr="008A0F36">
              <w:t>ricavi da clienti terzi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Del="00EB2472" w:rsidTr="00940A6F">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ricavi da transazioni con altri settori operativi appartenenti alla medesima entità</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Del="00EB2472" w:rsidTr="00940A6F">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interessi attivi o interessi netti (ed il fatto che siano netti)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Del="00EB2472" w:rsidTr="00940A6F">
        <w:trPr>
          <w:cantSplit/>
        </w:trPr>
        <w:tc>
          <w:tcPr>
            <w:tcW w:w="567" w:type="dxa"/>
            <w:shd w:val="clear" w:color="auto" w:fill="auto"/>
            <w:tcMar>
              <w:left w:w="108" w:type="dxa"/>
              <w:right w:w="0" w:type="dxa"/>
            </w:tcMar>
          </w:tcPr>
          <w:p w:rsidR="004300E2" w:rsidRPr="008A0F36" w:rsidRDefault="004300E2" w:rsidP="004300E2">
            <w:pPr>
              <w:pStyle w:val="IAS"/>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p>
        </w:tc>
        <w:tc>
          <w:tcPr>
            <w:tcW w:w="7079" w:type="dxa"/>
            <w:shd w:val="clear" w:color="auto" w:fill="auto"/>
            <w:tcMar>
              <w:left w:w="108" w:type="dxa"/>
            </w:tcMar>
          </w:tcPr>
          <w:p w:rsidR="004300E2" w:rsidRPr="008A0F36" w:rsidRDefault="004300E2" w:rsidP="0002186C">
            <w:pPr>
              <w:pStyle w:val="Paragarfobordato"/>
            </w:pPr>
            <w:r w:rsidRPr="008A0F36">
              <w:t>Un’entità presenterà gli interessi attivi separatamente dagli interessi passivi per ogni settore oggetto di informativa a meno che la maggioranza dei ricavi del settore derivi da interessi ed il soggetto che prende operativamente le decisioni a livello di settore si basi principalmente sugli interessi netti per elaborare decisioni in merito all’allocazione delle risorse al settore. In tale situazione, un’entità può presentare gli interessi attivi al netto degli interessi passivi fornendo indicazioni che ha proceduto in tal modo.</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4E201D" w:rsidRPr="008A0F36" w:rsidDel="00EB2472" w:rsidTr="00940A6F">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interessi passivi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A0F36" w:rsidDel="00EB2472" w:rsidTr="00940A6F">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svalutazioni ed ammortamenti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Del="00EB2472" w:rsidTr="00940A6F">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voci significative di ricavo e di costo presentati in accordo con lo IAS 1.</w:t>
            </w:r>
            <w:r w:rsidRPr="003A3CC8">
              <w:t xml:space="preserve">97; (punto </w:t>
            </w:r>
            <w:r w:rsidRPr="00FB79BA">
              <w:t>6</w:t>
            </w:r>
            <w:r>
              <w:t>8</w:t>
            </w:r>
            <w:r w:rsidRPr="003A3CC8">
              <w:t>)</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Del="00EB2472" w:rsidTr="00940A6F">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 xml:space="preserve">la quota di pertinenza dell’entità nell’utile o perdita di società collegate e di </w:t>
            </w:r>
            <w:r w:rsidRPr="008A0F36">
              <w:rPr>
                <w:i/>
              </w:rPr>
              <w:t>joint venture</w:t>
            </w:r>
            <w:r w:rsidRPr="008A0F36">
              <w:t xml:space="preserve"> contabilizzate secondo il metodo del patrimonio netto</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Del="00EB2472" w:rsidTr="00940A6F">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oneri o proventi fiscali; 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Del="00EB2472" w:rsidTr="00940A6F">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voci non monetarie rilevanti diverse da svalutazioni e ammortamenti.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Del="00EB2472" w:rsidTr="00940A6F">
        <w:trPr>
          <w:cantSplit/>
        </w:trPr>
        <w:tc>
          <w:tcPr>
            <w:tcW w:w="567" w:type="dxa"/>
            <w:shd w:val="clear" w:color="auto" w:fill="auto"/>
            <w:tcMar>
              <w:left w:w="108" w:type="dxa"/>
              <w:right w:w="0" w:type="dxa"/>
            </w:tcMar>
          </w:tcPr>
          <w:p w:rsidR="004300E2" w:rsidRPr="008A0F36" w:rsidRDefault="004300E2" w:rsidP="004300E2">
            <w:pPr>
              <w:pStyle w:val="Numeroelenco"/>
              <w:ind w:left="0" w:firstLine="57"/>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r w:rsidRPr="008A0F36">
              <w:rPr>
                <w:lang w:val="it-IT"/>
              </w:rPr>
              <w:t>IFRS 8.24</w:t>
            </w:r>
          </w:p>
        </w:tc>
        <w:tc>
          <w:tcPr>
            <w:tcW w:w="7079" w:type="dxa"/>
            <w:shd w:val="clear" w:color="auto" w:fill="auto"/>
            <w:tcMar>
              <w:left w:w="108" w:type="dxa"/>
            </w:tcMar>
          </w:tcPr>
          <w:p w:rsidR="004300E2" w:rsidRPr="008A0F36" w:rsidRDefault="004300E2" w:rsidP="004300E2">
            <w:pPr>
              <w:rPr>
                <w:lang w:val="it-IT"/>
              </w:rPr>
            </w:pPr>
            <w:r w:rsidRPr="008A0F36">
              <w:rPr>
                <w:lang w:val="it-IT"/>
              </w:rPr>
              <w:t>L’entità presenta le seguenti informazioni con riferimento a ciascun settore oggetto di informativa se gli importi specificati sono inclusi nella determinazione delle attività di settore riviste dal soggetto che prende operativamente le decisioni a livello di settore o che sono altrimenti presentate regolarmente a tale soggetto, anche se non sono inclusi nella determinazione delle attività del settore:</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4E201D" w:rsidRPr="008129DA" w:rsidDel="00EB2472" w:rsidTr="00940A6F">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4300E2">
            <w:pPr>
              <w:pStyle w:val="Rientroa"/>
              <w:numPr>
                <w:ilvl w:val="0"/>
                <w:numId w:val="134"/>
              </w:numPr>
              <w:rPr>
                <w:iCs/>
              </w:rPr>
            </w:pPr>
            <w:r w:rsidRPr="008A0F36">
              <w:t xml:space="preserve">l’importo degli investimenti in società collegate e </w:t>
            </w:r>
            <w:r w:rsidRPr="008A0F36">
              <w:rPr>
                <w:i/>
              </w:rPr>
              <w:t>joint venture</w:t>
            </w:r>
            <w:r w:rsidRPr="008A0F36">
              <w:t xml:space="preserve"> contabilizzati in base al metodo del patrimonio netto; 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Del="00EB2472" w:rsidTr="00940A6F">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 xml:space="preserve">gli importi degli incrementi nelle attività non correnti diverse dagli strumenti finanziari, le attività per imposte differite, le attività connesse a </w:t>
            </w:r>
            <w:r>
              <w:t xml:space="preserve">piani a </w:t>
            </w:r>
            <w:r w:rsidRPr="008A0F36">
              <w:t xml:space="preserve">benefici </w:t>
            </w:r>
            <w:r>
              <w:t xml:space="preserve">definiti </w:t>
            </w:r>
            <w:r w:rsidRPr="008A0F36">
              <w:t>e diritti derivanti da contratti assicurativi.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A0F36" w:rsidDel="00EB2472" w:rsidTr="00940A6F">
        <w:trPr>
          <w:cantSplit/>
        </w:trPr>
        <w:tc>
          <w:tcPr>
            <w:tcW w:w="567" w:type="dxa"/>
            <w:shd w:val="clear" w:color="auto" w:fill="auto"/>
            <w:tcMar>
              <w:left w:w="108" w:type="dxa"/>
              <w:right w:w="0" w:type="dxa"/>
            </w:tcMar>
          </w:tcPr>
          <w:p w:rsidR="004300E2" w:rsidRPr="008A0F36" w:rsidRDefault="004300E2" w:rsidP="004300E2">
            <w:pPr>
              <w:pStyle w:val="IAS"/>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p>
        </w:tc>
        <w:tc>
          <w:tcPr>
            <w:tcW w:w="7079" w:type="dxa"/>
            <w:shd w:val="clear" w:color="auto" w:fill="auto"/>
            <w:tcMar>
              <w:left w:w="108" w:type="dxa"/>
            </w:tcMar>
          </w:tcPr>
          <w:p w:rsidR="004300E2" w:rsidRPr="008A0F36" w:rsidRDefault="004300E2" w:rsidP="004300E2">
            <w:pPr>
              <w:pStyle w:val="Titolo2"/>
              <w:rPr>
                <w:lang w:val="it-IT"/>
              </w:rPr>
            </w:pPr>
            <w:r w:rsidRPr="008A0F36">
              <w:rPr>
                <w:lang w:val="it-IT"/>
              </w:rPr>
              <w:t>Valutazione</w:t>
            </w:r>
          </w:p>
        </w:tc>
        <w:tc>
          <w:tcPr>
            <w:tcW w:w="575" w:type="dxa"/>
            <w:shd w:val="clear" w:color="auto" w:fill="auto"/>
            <w:tcMar>
              <w:left w:w="85" w:type="dxa"/>
              <w:right w:w="85" w:type="dxa"/>
            </w:tcMar>
            <w:vAlign w:val="center"/>
          </w:tcPr>
          <w:p w:rsidR="004300E2" w:rsidRDefault="004300E2" w:rsidP="004300E2">
            <w:pPr>
              <w:jc w:val="center"/>
            </w:pPr>
          </w:p>
        </w:tc>
        <w:tc>
          <w:tcPr>
            <w:tcW w:w="567" w:type="dxa"/>
            <w:shd w:val="clear" w:color="auto" w:fill="auto"/>
            <w:tcMar>
              <w:left w:w="108" w:type="dxa"/>
            </w:tcMar>
            <w:vAlign w:val="center"/>
          </w:tcPr>
          <w:p w:rsidR="004300E2" w:rsidRDefault="004300E2" w:rsidP="004300E2">
            <w:pPr>
              <w:jc w:val="center"/>
            </w:pPr>
          </w:p>
        </w:tc>
        <w:tc>
          <w:tcPr>
            <w:tcW w:w="567" w:type="dxa"/>
            <w:shd w:val="clear" w:color="auto" w:fill="auto"/>
            <w:vAlign w:val="center"/>
          </w:tcPr>
          <w:p w:rsidR="004300E2" w:rsidRDefault="004300E2" w:rsidP="004300E2">
            <w:pPr>
              <w:jc w:val="center"/>
            </w:pPr>
          </w:p>
        </w:tc>
      </w:tr>
      <w:tr w:rsidR="004E201D" w:rsidRPr="008129DA" w:rsidDel="00EB2472" w:rsidTr="00940A6F">
        <w:trPr>
          <w:cantSplit/>
        </w:trPr>
        <w:tc>
          <w:tcPr>
            <w:tcW w:w="567" w:type="dxa"/>
            <w:shd w:val="clear" w:color="auto" w:fill="auto"/>
            <w:tcMar>
              <w:left w:w="108" w:type="dxa"/>
              <w:right w:w="0" w:type="dxa"/>
            </w:tcMar>
          </w:tcPr>
          <w:p w:rsidR="004E201D" w:rsidRPr="008A0F36" w:rsidRDefault="004E201D" w:rsidP="004300E2">
            <w:pPr>
              <w:pStyle w:val="Numeroelenco"/>
              <w:ind w:left="0" w:firstLine="57"/>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r w:rsidRPr="008A0F36">
              <w:rPr>
                <w:lang w:val="it-IT"/>
              </w:rPr>
              <w:t>IFRS 8.25</w:t>
            </w:r>
          </w:p>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8129DA">
            <w:pPr>
              <w:spacing w:line="214" w:lineRule="exact"/>
              <w:rPr>
                <w:bCs/>
                <w:lang w:val="it-IT"/>
              </w:rPr>
            </w:pPr>
            <w:r w:rsidRPr="008A0F36">
              <w:rPr>
                <w:lang w:val="it-IT"/>
              </w:rPr>
              <w:t>Gli importi relativi ad ogni voce di settore presentata sono quelli sono quelli inclusi nella determinazione dell’utile della perdita delle attività e delle passività del settore presentati al soggetto che prende operativamente le decisioni a livello di settore e sulla base dei quali tale soggetto decide in merito all’allocazione delle risorse ai vari settori e valuta il rendimento degli stessi.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Del="00EB2472" w:rsidTr="00940A6F">
        <w:trPr>
          <w:cantSplit/>
        </w:trPr>
        <w:tc>
          <w:tcPr>
            <w:tcW w:w="567" w:type="dxa"/>
            <w:shd w:val="clear" w:color="auto" w:fill="auto"/>
            <w:tcMar>
              <w:left w:w="108" w:type="dxa"/>
              <w:right w:w="0" w:type="dxa"/>
            </w:tcMar>
          </w:tcPr>
          <w:p w:rsidR="004300E2" w:rsidRPr="008A0F36" w:rsidRDefault="004300E2" w:rsidP="004300E2">
            <w:pPr>
              <w:pStyle w:val="IAS"/>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r w:rsidRPr="008A0F36">
              <w:rPr>
                <w:lang w:val="it-IT"/>
              </w:rPr>
              <w:t>IFRS 8.25</w:t>
            </w:r>
          </w:p>
          <w:p w:rsidR="004300E2" w:rsidRPr="008A0F36" w:rsidRDefault="004300E2" w:rsidP="004300E2">
            <w:pPr>
              <w:pStyle w:val="IAS"/>
              <w:rPr>
                <w:lang w:val="it-IT"/>
              </w:rPr>
            </w:pPr>
          </w:p>
        </w:tc>
        <w:tc>
          <w:tcPr>
            <w:tcW w:w="7079" w:type="dxa"/>
            <w:shd w:val="clear" w:color="auto" w:fill="auto"/>
            <w:tcMar>
              <w:left w:w="108" w:type="dxa"/>
            </w:tcMar>
          </w:tcPr>
          <w:p w:rsidR="004300E2" w:rsidRPr="008A0F36" w:rsidRDefault="004300E2" w:rsidP="0002186C">
            <w:pPr>
              <w:pStyle w:val="Paragarfobordato"/>
            </w:pPr>
            <w:r w:rsidRPr="008A0F36">
              <w:t>Rettifiche ed eliminazioni fatte per preparare il bilancio e per l’allocazione dei ricavi, dei costi, degli utili e delle perdite saranno inclusi nella valutazione dell’utile o della perdita del settore solo se sono inclusi nella determinazione dell’utile o della perdita di settore che è utilizzato dal soggetto che prende operativamente le decisioni a livello di settore. Allo stesso modo, solo quelle attività e passività che sono utilizzati dal soggetto che prende operativamente le decisioni a livello di settore saranno presentati con riferimento a tale settore. Se gli importi sono allocati all’utile o la perdita del settore oggetto di informativa, o alle attività e le passività di questo ultimo, tali importi saranno allocati su base ragionevole.</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4E201D" w:rsidRPr="008129DA" w:rsidDel="00EB2472" w:rsidTr="00940A6F">
        <w:trPr>
          <w:cantSplit/>
        </w:trPr>
        <w:tc>
          <w:tcPr>
            <w:tcW w:w="567" w:type="dxa"/>
            <w:shd w:val="clear" w:color="auto" w:fill="auto"/>
            <w:tcMar>
              <w:left w:w="108" w:type="dxa"/>
              <w:right w:w="0" w:type="dxa"/>
            </w:tcMar>
          </w:tcPr>
          <w:p w:rsidR="004E201D" w:rsidRPr="008A0F36" w:rsidRDefault="004E201D" w:rsidP="004300E2">
            <w:pPr>
              <w:pStyle w:val="Numeroelenco"/>
              <w:ind w:left="0" w:firstLine="57"/>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r w:rsidRPr="008A0F36">
              <w:rPr>
                <w:lang w:val="it-IT"/>
              </w:rPr>
              <w:t>IFRS 8.26</w:t>
            </w:r>
          </w:p>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8129DA">
            <w:pPr>
              <w:spacing w:line="214" w:lineRule="exact"/>
              <w:rPr>
                <w:lang w:val="it-IT"/>
              </w:rPr>
            </w:pPr>
            <w:r w:rsidRPr="008A0F36">
              <w:rPr>
                <w:lang w:val="it-IT"/>
              </w:rPr>
              <w:t>Se il soggetto che prende operativamente le decisioni a livello di settore utilizza solo una misura/indicatore dell’utile o della perdita delle attività o delle passività del settore, le informazioni di settore sono presentate con riferimento a tale misura/indicatore.</w:t>
            </w:r>
          </w:p>
        </w:tc>
        <w:tc>
          <w:tcPr>
            <w:tcW w:w="575" w:type="dxa"/>
            <w:shd w:val="clear" w:color="auto" w:fill="auto"/>
            <w:tcMar>
              <w:left w:w="85" w:type="dxa"/>
              <w:right w:w="85" w:type="dxa"/>
            </w:tcMar>
            <w:vAlign w:val="center"/>
          </w:tcPr>
          <w:p w:rsidR="004E201D" w:rsidRPr="00BC7990"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BC7990"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BC7990"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Del="00EB2472" w:rsidTr="00940A6F">
        <w:trPr>
          <w:cantSplit/>
        </w:trPr>
        <w:tc>
          <w:tcPr>
            <w:tcW w:w="567" w:type="dxa"/>
            <w:shd w:val="clear" w:color="auto" w:fill="auto"/>
            <w:tcMar>
              <w:left w:w="108" w:type="dxa"/>
              <w:right w:w="0" w:type="dxa"/>
            </w:tcMar>
          </w:tcPr>
          <w:p w:rsidR="004300E2" w:rsidRPr="008A0F36" w:rsidRDefault="004300E2" w:rsidP="004300E2">
            <w:pPr>
              <w:pStyle w:val="IAS"/>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r w:rsidRPr="008A0F36">
              <w:rPr>
                <w:lang w:val="it-IT"/>
              </w:rPr>
              <w:t>IFRS 8.26</w:t>
            </w:r>
          </w:p>
          <w:p w:rsidR="004300E2" w:rsidRPr="008A0F36" w:rsidRDefault="004300E2" w:rsidP="004300E2">
            <w:pPr>
              <w:pStyle w:val="IAS"/>
              <w:rPr>
                <w:lang w:val="it-IT"/>
              </w:rPr>
            </w:pPr>
          </w:p>
        </w:tc>
        <w:tc>
          <w:tcPr>
            <w:tcW w:w="7079" w:type="dxa"/>
            <w:shd w:val="clear" w:color="auto" w:fill="auto"/>
            <w:tcMar>
              <w:left w:w="108" w:type="dxa"/>
            </w:tcMar>
          </w:tcPr>
          <w:p w:rsidR="004300E2" w:rsidRPr="008A0F36" w:rsidRDefault="004300E2" w:rsidP="0002186C">
            <w:pPr>
              <w:pStyle w:val="Paragarfobordato"/>
            </w:pPr>
            <w:r w:rsidRPr="008A0F36">
              <w:t>Se il soggetto che prende operativamente le decisioni a livello di settore utilizza più di una misura/indicatore dell’utile o della perdita delle attività o delle passività del settore, le informazioni di settore saranno determinate sulla base dei principi di valutazione più coerenti con quelli impiegati per la determinazione degli importi presentati nel bilancio.</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4300E2" w:rsidRPr="008A0F36" w:rsidDel="00EB2472" w:rsidTr="00940A6F">
        <w:trPr>
          <w:cantSplit/>
        </w:trPr>
        <w:tc>
          <w:tcPr>
            <w:tcW w:w="567" w:type="dxa"/>
            <w:shd w:val="clear" w:color="auto" w:fill="auto"/>
            <w:tcMar>
              <w:left w:w="108" w:type="dxa"/>
              <w:right w:w="0" w:type="dxa"/>
            </w:tcMar>
          </w:tcPr>
          <w:p w:rsidR="004300E2" w:rsidRPr="008A0F36" w:rsidRDefault="004300E2" w:rsidP="004300E2">
            <w:pPr>
              <w:pStyle w:val="Numeroelenco"/>
              <w:ind w:left="0" w:firstLine="57"/>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r w:rsidRPr="008A0F36">
              <w:rPr>
                <w:lang w:val="it-IT"/>
              </w:rPr>
              <w:t>IFRS 8.27</w:t>
            </w:r>
          </w:p>
          <w:p w:rsidR="004300E2" w:rsidRPr="008A0F36" w:rsidRDefault="004300E2" w:rsidP="004300E2">
            <w:pPr>
              <w:pStyle w:val="IAS"/>
              <w:rPr>
                <w:lang w:val="it-IT"/>
              </w:rPr>
            </w:pPr>
          </w:p>
        </w:tc>
        <w:tc>
          <w:tcPr>
            <w:tcW w:w="7079" w:type="dxa"/>
            <w:shd w:val="clear" w:color="auto" w:fill="auto"/>
            <w:tcMar>
              <w:left w:w="108" w:type="dxa"/>
            </w:tcMar>
          </w:tcPr>
          <w:p w:rsidR="004300E2" w:rsidRPr="008A0F36" w:rsidRDefault="004300E2" w:rsidP="00FC713E">
            <w:pPr>
              <w:spacing w:line="214" w:lineRule="exact"/>
              <w:rPr>
                <w:lang w:val="it-IT"/>
              </w:rPr>
            </w:pPr>
            <w:r w:rsidRPr="008A0F36">
              <w:rPr>
                <w:lang w:val="it-IT"/>
              </w:rPr>
              <w:t>L’entità fornisce una spiegazione in merito alla determinazione dell’utile o della perdita di settore, delle attività e delle passività di ogni settore oggetto di informativa. L’entità, come minimo, deve fornire le seguenti informazioni:</w:t>
            </w:r>
          </w:p>
        </w:tc>
        <w:tc>
          <w:tcPr>
            <w:tcW w:w="575" w:type="dxa"/>
            <w:shd w:val="clear" w:color="auto" w:fill="auto"/>
            <w:tcMar>
              <w:left w:w="85" w:type="dxa"/>
              <w:right w:w="85" w:type="dxa"/>
            </w:tcMar>
            <w:vAlign w:val="center"/>
          </w:tcPr>
          <w:p w:rsidR="004300E2" w:rsidRDefault="004300E2" w:rsidP="004300E2">
            <w:pPr>
              <w:jc w:val="center"/>
            </w:pPr>
          </w:p>
        </w:tc>
        <w:tc>
          <w:tcPr>
            <w:tcW w:w="567" w:type="dxa"/>
            <w:shd w:val="clear" w:color="auto" w:fill="auto"/>
            <w:tcMar>
              <w:left w:w="108" w:type="dxa"/>
            </w:tcMar>
            <w:vAlign w:val="center"/>
          </w:tcPr>
          <w:p w:rsidR="004300E2" w:rsidRDefault="004300E2" w:rsidP="004300E2">
            <w:pPr>
              <w:jc w:val="center"/>
            </w:pPr>
          </w:p>
        </w:tc>
        <w:tc>
          <w:tcPr>
            <w:tcW w:w="567" w:type="dxa"/>
            <w:shd w:val="clear" w:color="auto" w:fill="auto"/>
            <w:vAlign w:val="center"/>
          </w:tcPr>
          <w:p w:rsidR="004300E2" w:rsidRDefault="004300E2" w:rsidP="004300E2">
            <w:pPr>
              <w:jc w:val="center"/>
            </w:pPr>
          </w:p>
        </w:tc>
      </w:tr>
      <w:tr w:rsidR="004E201D" w:rsidRPr="008129DA" w:rsidDel="00EB2472" w:rsidTr="00940A6F">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C713E">
            <w:pPr>
              <w:pStyle w:val="Rientroa"/>
              <w:numPr>
                <w:ilvl w:val="0"/>
                <w:numId w:val="135"/>
              </w:numPr>
              <w:spacing w:line="214" w:lineRule="exact"/>
              <w:rPr>
                <w:iCs/>
              </w:rPr>
            </w:pPr>
            <w:r w:rsidRPr="008A0F36">
              <w:t>la base per la contabilizzazione delle transazioni tra settori oggetto di informativa</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Del="00EB2472" w:rsidTr="00940A6F">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3A3CC8" w:rsidRDefault="004E201D" w:rsidP="00FC713E">
            <w:pPr>
              <w:pStyle w:val="Rientroa"/>
              <w:numPr>
                <w:ilvl w:val="0"/>
                <w:numId w:val="72"/>
              </w:numPr>
              <w:spacing w:line="214" w:lineRule="exact"/>
            </w:pPr>
            <w:r w:rsidRPr="003A3CC8">
              <w:t xml:space="preserve">la natura di qualsiasi differenza tra la valutazione degli utili e delle perdite dei settori oggetto di informativa e dell’utile o della perdita dell’entità prima delle imposte e delle attività operative cessate (se non sono evidenziati dalle riconciliazioni descritte nel punto </w:t>
            </w:r>
            <w:r>
              <w:t>355</w:t>
            </w:r>
            <w:r w:rsidRPr="003A3CC8">
              <w:t>). Tali differenze possono includere principi contabili e principi per l’allocazione dei costi sostenuti centralmente e che sono necessarie al fine di comprendere l’informativa di settore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Del="00EB2472" w:rsidTr="00940A6F">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3A3CC8" w:rsidRDefault="004E201D" w:rsidP="00FC713E">
            <w:pPr>
              <w:pStyle w:val="Rientroa"/>
              <w:numPr>
                <w:ilvl w:val="0"/>
                <w:numId w:val="72"/>
              </w:numPr>
              <w:spacing w:line="214" w:lineRule="exact"/>
            </w:pPr>
            <w:r w:rsidRPr="003A3CC8">
              <w:t xml:space="preserve">la natura di qualsiasi differenza tra la valutazione delle attività di settore e le attività dell’entità nel suo complesso (se non sono evidenti dalle riconciliazioni del punto </w:t>
            </w:r>
            <w:r>
              <w:t>355</w:t>
            </w:r>
            <w:r w:rsidRPr="003A3CC8">
              <w:t>). Tali differenze possono includere principi contabili e principi per l’allocazione di attività utilizzate congiuntamente e che sono necessarie al fine di comprendere l’informativa di settore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Del="00EB2472" w:rsidTr="00940A6F">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3A3CC8" w:rsidRDefault="004E201D" w:rsidP="00FC713E">
            <w:pPr>
              <w:pStyle w:val="Rientroa"/>
              <w:numPr>
                <w:ilvl w:val="0"/>
                <w:numId w:val="72"/>
              </w:numPr>
              <w:spacing w:line="214" w:lineRule="exact"/>
            </w:pPr>
            <w:r w:rsidRPr="003A3CC8">
              <w:t xml:space="preserve">la natura di qualsiasi differenza tra la valutazione delle passività di settore presentate e le passività dell’entità nel suo complesso (se non sono evidenziati dalle riconciliazioni descritte nel punto </w:t>
            </w:r>
            <w:r>
              <w:t>355</w:t>
            </w:r>
            <w:r w:rsidRPr="003A3CC8">
              <w:t>). Tali differenze possono includere principi contabili e principi per l’allocazione di passività utilizzate congiuntamente e che sono necessarie al fine di comprendere l’informativa di settore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Del="00EB2472" w:rsidTr="00940A6F">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C713E">
            <w:pPr>
              <w:pStyle w:val="Rientroa"/>
              <w:numPr>
                <w:ilvl w:val="0"/>
                <w:numId w:val="72"/>
              </w:numPr>
              <w:spacing w:line="214" w:lineRule="exact"/>
            </w:pPr>
            <w:r w:rsidRPr="008A0F36">
              <w:t>la natura di qualsiasi cambiamento rispetto ad esercizi precedenti nelle metodologie di valutazione utilizzate per determinare l’utile o la perdita dei settori oggetto di informativa e l’effetto, se esiste, di tali cambiamenti sulla valutazione dell’utile o della perdita di settore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Del="00EB2472" w:rsidTr="00940A6F">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C713E">
            <w:pPr>
              <w:pStyle w:val="Rientroa"/>
              <w:numPr>
                <w:ilvl w:val="0"/>
                <w:numId w:val="72"/>
              </w:numPr>
              <w:spacing w:line="214" w:lineRule="exact"/>
              <w:ind w:left="391" w:hanging="357"/>
            </w:pPr>
            <w:r w:rsidRPr="008A0F36">
              <w:t>la natura e l’effetto di qualsiasi allocazione asimmetrica ai settori oggetto di informativa. Per esempio, una entità potrebbe allocare l’ammortamento ad un settore senza allocare allo stesso le relative attività</w:t>
            </w:r>
            <w:r>
              <w:t>.</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A0F36" w:rsidDel="00EB2472" w:rsidTr="00940A6F">
        <w:trPr>
          <w:cantSplit/>
        </w:trPr>
        <w:tc>
          <w:tcPr>
            <w:tcW w:w="567" w:type="dxa"/>
            <w:shd w:val="clear" w:color="auto" w:fill="auto"/>
            <w:tcMar>
              <w:left w:w="108" w:type="dxa"/>
              <w:right w:w="0" w:type="dxa"/>
            </w:tcMar>
          </w:tcPr>
          <w:p w:rsidR="004300E2" w:rsidRPr="008A0F36" w:rsidRDefault="004300E2" w:rsidP="004300E2">
            <w:pPr>
              <w:pStyle w:val="IAS"/>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p>
        </w:tc>
        <w:tc>
          <w:tcPr>
            <w:tcW w:w="7079" w:type="dxa"/>
            <w:shd w:val="clear" w:color="auto" w:fill="auto"/>
            <w:tcMar>
              <w:left w:w="108" w:type="dxa"/>
            </w:tcMar>
          </w:tcPr>
          <w:p w:rsidR="004300E2" w:rsidRPr="008A0F36" w:rsidRDefault="004300E2" w:rsidP="004300E2">
            <w:pPr>
              <w:pStyle w:val="Titolo2"/>
              <w:rPr>
                <w:lang w:val="it-IT"/>
              </w:rPr>
            </w:pPr>
            <w:r w:rsidRPr="008A0F36">
              <w:rPr>
                <w:lang w:val="it-IT"/>
              </w:rPr>
              <w:t>Riconciliazioni</w:t>
            </w:r>
          </w:p>
        </w:tc>
        <w:tc>
          <w:tcPr>
            <w:tcW w:w="575" w:type="dxa"/>
            <w:shd w:val="clear" w:color="auto" w:fill="auto"/>
            <w:tcMar>
              <w:left w:w="85" w:type="dxa"/>
              <w:right w:w="85" w:type="dxa"/>
            </w:tcMar>
            <w:vAlign w:val="center"/>
          </w:tcPr>
          <w:p w:rsidR="004300E2" w:rsidRDefault="004300E2" w:rsidP="004300E2">
            <w:pPr>
              <w:jc w:val="center"/>
            </w:pPr>
          </w:p>
        </w:tc>
        <w:tc>
          <w:tcPr>
            <w:tcW w:w="567" w:type="dxa"/>
            <w:shd w:val="clear" w:color="auto" w:fill="auto"/>
            <w:tcMar>
              <w:left w:w="108" w:type="dxa"/>
            </w:tcMar>
            <w:vAlign w:val="center"/>
          </w:tcPr>
          <w:p w:rsidR="004300E2" w:rsidRDefault="004300E2" w:rsidP="004300E2">
            <w:pPr>
              <w:jc w:val="center"/>
            </w:pPr>
          </w:p>
        </w:tc>
        <w:tc>
          <w:tcPr>
            <w:tcW w:w="567" w:type="dxa"/>
            <w:shd w:val="clear" w:color="auto" w:fill="auto"/>
            <w:vAlign w:val="center"/>
          </w:tcPr>
          <w:p w:rsidR="004300E2" w:rsidRDefault="004300E2" w:rsidP="004300E2">
            <w:pPr>
              <w:jc w:val="center"/>
            </w:pPr>
          </w:p>
        </w:tc>
      </w:tr>
      <w:tr w:rsidR="004300E2" w:rsidRPr="00A44ECD" w:rsidDel="00EB2472" w:rsidTr="00940A6F">
        <w:trPr>
          <w:cantSplit/>
        </w:trPr>
        <w:tc>
          <w:tcPr>
            <w:tcW w:w="567" w:type="dxa"/>
            <w:shd w:val="clear" w:color="auto" w:fill="auto"/>
            <w:tcMar>
              <w:left w:w="108" w:type="dxa"/>
              <w:right w:w="0" w:type="dxa"/>
            </w:tcMar>
          </w:tcPr>
          <w:p w:rsidR="004300E2" w:rsidRPr="008A0F36" w:rsidRDefault="004300E2" w:rsidP="004300E2">
            <w:pPr>
              <w:pStyle w:val="Numeroelenco"/>
              <w:ind w:left="0" w:firstLine="57"/>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r w:rsidRPr="008A0F36">
              <w:rPr>
                <w:lang w:val="it-IT"/>
              </w:rPr>
              <w:t>IFRS 8.28</w:t>
            </w:r>
          </w:p>
        </w:tc>
        <w:tc>
          <w:tcPr>
            <w:tcW w:w="7079" w:type="dxa"/>
            <w:shd w:val="clear" w:color="auto" w:fill="auto"/>
            <w:tcMar>
              <w:left w:w="108" w:type="dxa"/>
            </w:tcMar>
          </w:tcPr>
          <w:p w:rsidR="004300E2" w:rsidRPr="008A0F36" w:rsidRDefault="004300E2" w:rsidP="008129DA">
            <w:pPr>
              <w:spacing w:line="214" w:lineRule="exact"/>
              <w:rPr>
                <w:lang w:val="it-IT"/>
              </w:rPr>
            </w:pPr>
            <w:r w:rsidRPr="008A0F36">
              <w:rPr>
                <w:lang w:val="it-IT"/>
              </w:rPr>
              <w:t>L’entità fornisce le seguenti riconciliazioni:</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4E201D" w:rsidRPr="008129DA" w:rsidDel="00EB2472" w:rsidTr="00940A6F">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8129DA">
            <w:pPr>
              <w:pStyle w:val="Rientroa"/>
              <w:numPr>
                <w:ilvl w:val="0"/>
                <w:numId w:val="136"/>
              </w:numPr>
              <w:spacing w:line="214" w:lineRule="exact"/>
              <w:rPr>
                <w:iCs/>
              </w:rPr>
            </w:pPr>
            <w:r w:rsidRPr="008A0F36">
              <w:t>tra il totale dei ricavi dei settori oggetto di informativa ed i ricavi dell’entità</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Del="00EB2472" w:rsidTr="00940A6F">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8129DA">
            <w:pPr>
              <w:pStyle w:val="Rientroa"/>
              <w:numPr>
                <w:ilvl w:val="0"/>
                <w:numId w:val="72"/>
              </w:numPr>
              <w:spacing w:line="214" w:lineRule="exact"/>
            </w:pPr>
            <w:r w:rsidRPr="008A0F36">
              <w:t>tra il totale degli utili o perdite dei settori oggetto di informativa ed il totale dell’utile o della perdita dell’entità prima delle imposte e delle attività operative cessate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Del="00EB2472" w:rsidTr="00940A6F">
        <w:trPr>
          <w:cantSplit/>
        </w:trPr>
        <w:tc>
          <w:tcPr>
            <w:tcW w:w="567" w:type="dxa"/>
            <w:shd w:val="clear" w:color="auto" w:fill="auto"/>
            <w:tcMar>
              <w:left w:w="108" w:type="dxa"/>
              <w:right w:w="0" w:type="dxa"/>
            </w:tcMar>
          </w:tcPr>
          <w:p w:rsidR="004300E2" w:rsidRDefault="004300E2" w:rsidP="004300E2">
            <w:pPr>
              <w:pStyle w:val="IAS"/>
              <w:spacing w:beforeLines="40" w:before="96" w:after="40"/>
              <w:rPr>
                <w:lang w:val="it-IT"/>
              </w:rPr>
            </w:pPr>
          </w:p>
        </w:tc>
        <w:tc>
          <w:tcPr>
            <w:tcW w:w="851" w:type="dxa"/>
            <w:shd w:val="clear" w:color="auto" w:fill="auto"/>
            <w:tcMar>
              <w:left w:w="108" w:type="dxa"/>
              <w:right w:w="0" w:type="dxa"/>
            </w:tcMar>
          </w:tcPr>
          <w:p w:rsidR="004300E2" w:rsidRDefault="004300E2" w:rsidP="004300E2">
            <w:pPr>
              <w:pStyle w:val="IAS"/>
              <w:spacing w:beforeLines="40" w:before="96" w:after="40"/>
              <w:rPr>
                <w:lang w:val="it-IT"/>
              </w:rPr>
            </w:pPr>
          </w:p>
        </w:tc>
        <w:tc>
          <w:tcPr>
            <w:tcW w:w="7079" w:type="dxa"/>
            <w:shd w:val="clear" w:color="auto" w:fill="auto"/>
            <w:tcMar>
              <w:left w:w="108" w:type="dxa"/>
            </w:tcMar>
          </w:tcPr>
          <w:p w:rsidR="004300E2" w:rsidRDefault="004300E2" w:rsidP="0002186C">
            <w:pPr>
              <w:pStyle w:val="Paragarfobordato"/>
            </w:pPr>
            <w:r w:rsidRPr="00C20E79">
              <w:t>Tuttavia, se un’entità alloca ai settori oggetto di informativa voci quali oneri (proventi) fiscali, l’entità può riconciliare il totale degli utili o delle perdite dei settori con l’utile o la perdita dell’entità al netto di tali voci</w:t>
            </w:r>
            <w:r>
              <w:t>.</w:t>
            </w:r>
          </w:p>
        </w:tc>
        <w:tc>
          <w:tcPr>
            <w:tcW w:w="575" w:type="dxa"/>
            <w:shd w:val="clear" w:color="auto" w:fill="auto"/>
            <w:tcMar>
              <w:left w:w="85" w:type="dxa"/>
              <w:right w:w="85" w:type="dxa"/>
            </w:tcMar>
            <w:vAlign w:val="center"/>
          </w:tcPr>
          <w:p w:rsidR="004300E2" w:rsidRDefault="004300E2" w:rsidP="004300E2">
            <w:pPr>
              <w:spacing w:beforeLines="40" w:before="96" w:after="40"/>
              <w:jc w:val="center"/>
              <w:rPr>
                <w:lang w:val="it-IT"/>
              </w:rPr>
            </w:pPr>
          </w:p>
        </w:tc>
        <w:tc>
          <w:tcPr>
            <w:tcW w:w="567" w:type="dxa"/>
            <w:shd w:val="clear" w:color="auto" w:fill="auto"/>
            <w:tcMar>
              <w:left w:w="108" w:type="dxa"/>
            </w:tcMar>
            <w:vAlign w:val="center"/>
          </w:tcPr>
          <w:p w:rsidR="004300E2" w:rsidRDefault="004300E2" w:rsidP="004300E2">
            <w:pPr>
              <w:spacing w:beforeLines="40" w:before="96" w:after="40"/>
              <w:jc w:val="center"/>
              <w:rPr>
                <w:lang w:val="it-IT"/>
              </w:rPr>
            </w:pPr>
          </w:p>
        </w:tc>
        <w:tc>
          <w:tcPr>
            <w:tcW w:w="567" w:type="dxa"/>
            <w:shd w:val="clear" w:color="auto" w:fill="auto"/>
            <w:vAlign w:val="center"/>
          </w:tcPr>
          <w:p w:rsidR="004300E2" w:rsidRDefault="004300E2" w:rsidP="004300E2">
            <w:pPr>
              <w:spacing w:beforeLines="40" w:before="96" w:after="40"/>
              <w:jc w:val="center"/>
              <w:rPr>
                <w:lang w:val="it-IT"/>
              </w:rPr>
            </w:pPr>
          </w:p>
        </w:tc>
      </w:tr>
      <w:tr w:rsidR="004E201D" w:rsidRPr="008129DA" w:rsidDel="00EB2472" w:rsidTr="00940A6F">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tra il totale delle attività dei settori oggetto di informativa ed il totale delle attività dell’entità</w:t>
            </w:r>
            <w:r>
              <w:t>, se le attività sono presentate in accordo all’IFRS 8.23 (vedi punto 350).</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Del="00EB2472" w:rsidTr="00F235B5">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tra il totale delle passività dei settori oggetto di informativa ed il totale delle passività dell’entità se le passività dei settori sono presentate in accordo con l’IFRS 8.23</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Del="00EB2472" w:rsidTr="00F235B5">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FB4B6E">
            <w:pPr>
              <w:pStyle w:val="Rientroa"/>
              <w:numPr>
                <w:ilvl w:val="0"/>
                <w:numId w:val="72"/>
              </w:numPr>
            </w:pPr>
            <w:r w:rsidRPr="008A0F36">
              <w:t>tra il totale degli importi di qualsiasi altro elemento informativo rilevante presentato per i settori oggetto di informativa e l’importo corrispondente a livello di entità.</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Del="00EB2472" w:rsidTr="00F235B5">
        <w:trPr>
          <w:cantSplit/>
        </w:trPr>
        <w:tc>
          <w:tcPr>
            <w:tcW w:w="567" w:type="dxa"/>
            <w:shd w:val="clear" w:color="auto" w:fill="auto"/>
            <w:tcMar>
              <w:left w:w="108" w:type="dxa"/>
              <w:right w:w="0" w:type="dxa"/>
            </w:tcMar>
          </w:tcPr>
          <w:p w:rsidR="004E201D" w:rsidRPr="008A0F36" w:rsidRDefault="004E201D" w:rsidP="004300E2">
            <w:pPr>
              <w:pStyle w:val="Numeroelenco"/>
              <w:ind w:left="0" w:firstLine="57"/>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r w:rsidRPr="008A0F36">
              <w:rPr>
                <w:lang w:val="it-IT"/>
              </w:rPr>
              <w:t>IFRS 8.28</w:t>
            </w:r>
          </w:p>
        </w:tc>
        <w:tc>
          <w:tcPr>
            <w:tcW w:w="7079" w:type="dxa"/>
            <w:shd w:val="clear" w:color="auto" w:fill="auto"/>
            <w:tcMar>
              <w:left w:w="108" w:type="dxa"/>
            </w:tcMar>
          </w:tcPr>
          <w:p w:rsidR="004E201D" w:rsidRPr="008A0F36" w:rsidRDefault="004E201D" w:rsidP="004300E2">
            <w:pPr>
              <w:rPr>
                <w:lang w:val="it-IT"/>
              </w:rPr>
            </w:pPr>
            <w:r w:rsidRPr="008A0F36">
              <w:rPr>
                <w:lang w:val="it-IT"/>
              </w:rPr>
              <w:t>L’entità identifica separatamente e descrive tutti gli elementi di riconciliazione rilevanti.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Del="00EB2472" w:rsidTr="00F235B5">
        <w:trPr>
          <w:cantSplit/>
        </w:trPr>
        <w:tc>
          <w:tcPr>
            <w:tcW w:w="567" w:type="dxa"/>
            <w:shd w:val="clear" w:color="auto" w:fill="auto"/>
            <w:tcMar>
              <w:left w:w="108" w:type="dxa"/>
              <w:right w:w="0" w:type="dxa"/>
            </w:tcMar>
          </w:tcPr>
          <w:p w:rsidR="004300E2" w:rsidRPr="008A0F36" w:rsidRDefault="004300E2" w:rsidP="004300E2">
            <w:pPr>
              <w:pStyle w:val="IAS"/>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r w:rsidRPr="008A0F36">
              <w:rPr>
                <w:lang w:val="it-IT"/>
              </w:rPr>
              <w:t>IFRS 8.28</w:t>
            </w:r>
          </w:p>
        </w:tc>
        <w:tc>
          <w:tcPr>
            <w:tcW w:w="7079" w:type="dxa"/>
            <w:shd w:val="clear" w:color="auto" w:fill="auto"/>
            <w:tcMar>
              <w:left w:w="108" w:type="dxa"/>
            </w:tcMar>
          </w:tcPr>
          <w:p w:rsidR="004300E2" w:rsidRPr="008A0F36" w:rsidRDefault="004300E2" w:rsidP="004300E2">
            <w:pPr>
              <w:pStyle w:val="Commentiriquadro"/>
              <w:rPr>
                <w:lang w:val="it-IT"/>
              </w:rPr>
            </w:pPr>
            <w:r w:rsidRPr="008A0F36">
              <w:rPr>
                <w:lang w:val="it-IT"/>
              </w:rPr>
              <w:t>Per esempio, l’importo di ogni aggiustamento materiale necessario per riconciliare l’utile o la perdita del settore oggetto di informativa all’utile o la perdita dell’entità per effetto delle diverse politiche contabili dovrà essere identificato e spiegato separatamente.</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4300E2" w:rsidRPr="00A44ECD" w:rsidDel="00EB2472" w:rsidTr="00F235B5">
        <w:trPr>
          <w:cantSplit/>
        </w:trPr>
        <w:tc>
          <w:tcPr>
            <w:tcW w:w="567" w:type="dxa"/>
            <w:shd w:val="clear" w:color="auto" w:fill="auto"/>
            <w:tcMar>
              <w:left w:w="108" w:type="dxa"/>
              <w:right w:w="0" w:type="dxa"/>
            </w:tcMar>
          </w:tcPr>
          <w:p w:rsidR="004300E2" w:rsidRPr="008A0F36" w:rsidRDefault="004300E2" w:rsidP="004300E2">
            <w:pPr>
              <w:pStyle w:val="IAS"/>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p>
        </w:tc>
        <w:tc>
          <w:tcPr>
            <w:tcW w:w="7079" w:type="dxa"/>
            <w:shd w:val="clear" w:color="auto" w:fill="auto"/>
            <w:tcMar>
              <w:left w:w="108" w:type="dxa"/>
            </w:tcMar>
          </w:tcPr>
          <w:p w:rsidR="004300E2" w:rsidRPr="008A0F36" w:rsidRDefault="004300E2" w:rsidP="004300E2">
            <w:pPr>
              <w:pStyle w:val="Titolo2"/>
              <w:rPr>
                <w:lang w:val="it-IT"/>
              </w:rPr>
            </w:pPr>
            <w:r w:rsidRPr="008A0F36">
              <w:rPr>
                <w:lang w:val="it-IT"/>
              </w:rPr>
              <w:t>Rideterminazione di informazioni precedentemente presentate</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4E201D" w:rsidRPr="008129DA" w:rsidDel="00EB2472" w:rsidTr="00F235B5">
        <w:trPr>
          <w:cantSplit/>
        </w:trPr>
        <w:tc>
          <w:tcPr>
            <w:tcW w:w="567" w:type="dxa"/>
            <w:shd w:val="clear" w:color="auto" w:fill="auto"/>
            <w:tcMar>
              <w:left w:w="108" w:type="dxa"/>
              <w:right w:w="0" w:type="dxa"/>
            </w:tcMar>
          </w:tcPr>
          <w:p w:rsidR="004E201D" w:rsidRPr="008A0F36" w:rsidRDefault="004E201D" w:rsidP="004300E2">
            <w:pPr>
              <w:pStyle w:val="Numeroelenco"/>
              <w:ind w:left="0" w:firstLine="57"/>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r w:rsidRPr="008A0F36">
              <w:rPr>
                <w:lang w:val="it-IT"/>
              </w:rPr>
              <w:t>IFRS 8.29</w:t>
            </w:r>
          </w:p>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4300E2">
            <w:pPr>
              <w:rPr>
                <w:lang w:val="it-IT"/>
              </w:rPr>
            </w:pPr>
            <w:r w:rsidRPr="008A0F36">
              <w:rPr>
                <w:lang w:val="it-IT"/>
              </w:rPr>
              <w:t xml:space="preserve">Se un’entità ha modificato la struttura organizzativa interna in un modo che determina una variazione nella composizione dei settori oggetto di informativa, le informazioni corrispondenti presentate per i periodi precedenti, inclusi i periodi intermedi, sono state rideterminate a meno che le informazioni non siano disponibili e il costo per la elaborazione non sia eccessivamente onerosa. </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Del="00EB2472" w:rsidTr="00F235B5">
        <w:trPr>
          <w:cantSplit/>
        </w:trPr>
        <w:tc>
          <w:tcPr>
            <w:tcW w:w="567" w:type="dxa"/>
            <w:shd w:val="clear" w:color="auto" w:fill="auto"/>
            <w:tcMar>
              <w:left w:w="108" w:type="dxa"/>
              <w:right w:w="0" w:type="dxa"/>
            </w:tcMar>
          </w:tcPr>
          <w:p w:rsidR="004300E2" w:rsidRDefault="004300E2" w:rsidP="004300E2">
            <w:pPr>
              <w:pStyle w:val="IAS"/>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p>
        </w:tc>
        <w:tc>
          <w:tcPr>
            <w:tcW w:w="7079" w:type="dxa"/>
            <w:shd w:val="clear" w:color="auto" w:fill="auto"/>
            <w:tcMar>
              <w:left w:w="108" w:type="dxa"/>
            </w:tcMar>
          </w:tcPr>
          <w:p w:rsidR="004300E2" w:rsidRPr="008801CB" w:rsidRDefault="004300E2" w:rsidP="0002186C">
            <w:pPr>
              <w:pStyle w:val="Paragarfobordato"/>
            </w:pPr>
            <w:r w:rsidRPr="007E567E">
              <w:t>Per stabilire se le informazioni non siano disponibili e se la loro elaborazione sia eccessivamente onerosa, si deve esaminare individualmente ciascuna voce. A seguito di un cambiamento nella composizione dei settori, un’entità indicherà se ha rideterminato le voci corrispondenti dell’informativa di settore di periodi precedenti.</w:t>
            </w:r>
          </w:p>
        </w:tc>
        <w:tc>
          <w:tcPr>
            <w:tcW w:w="575" w:type="dxa"/>
            <w:shd w:val="clear" w:color="auto" w:fill="auto"/>
            <w:tcMar>
              <w:left w:w="85" w:type="dxa"/>
              <w:right w:w="85" w:type="dxa"/>
            </w:tcMar>
            <w:vAlign w:val="center"/>
          </w:tcPr>
          <w:p w:rsidR="004300E2" w:rsidRPr="00F67D9A" w:rsidRDefault="004300E2" w:rsidP="004300E2">
            <w:pPr>
              <w:jc w:val="center"/>
              <w:rPr>
                <w:lang w:val="it-IT"/>
              </w:rPr>
            </w:pPr>
          </w:p>
        </w:tc>
        <w:tc>
          <w:tcPr>
            <w:tcW w:w="567" w:type="dxa"/>
            <w:shd w:val="clear" w:color="auto" w:fill="auto"/>
            <w:tcMar>
              <w:left w:w="108" w:type="dxa"/>
            </w:tcMar>
            <w:vAlign w:val="center"/>
          </w:tcPr>
          <w:p w:rsidR="004300E2" w:rsidRPr="00F67D9A" w:rsidRDefault="004300E2" w:rsidP="004300E2">
            <w:pPr>
              <w:jc w:val="center"/>
              <w:rPr>
                <w:lang w:val="it-IT"/>
              </w:rPr>
            </w:pPr>
          </w:p>
        </w:tc>
        <w:tc>
          <w:tcPr>
            <w:tcW w:w="567" w:type="dxa"/>
            <w:shd w:val="clear" w:color="auto" w:fill="auto"/>
            <w:vAlign w:val="center"/>
          </w:tcPr>
          <w:p w:rsidR="004300E2" w:rsidRPr="00F67D9A" w:rsidRDefault="004300E2" w:rsidP="004300E2">
            <w:pPr>
              <w:jc w:val="center"/>
              <w:rPr>
                <w:lang w:val="it-IT"/>
              </w:rPr>
            </w:pPr>
          </w:p>
        </w:tc>
      </w:tr>
      <w:tr w:rsidR="004E201D" w:rsidRPr="008129DA" w:rsidDel="00EB2472" w:rsidTr="00F235B5">
        <w:trPr>
          <w:cantSplit/>
        </w:trPr>
        <w:tc>
          <w:tcPr>
            <w:tcW w:w="567" w:type="dxa"/>
            <w:shd w:val="clear" w:color="auto" w:fill="auto"/>
            <w:tcMar>
              <w:left w:w="108" w:type="dxa"/>
              <w:right w:w="0" w:type="dxa"/>
            </w:tcMar>
          </w:tcPr>
          <w:p w:rsidR="004E201D" w:rsidRPr="008A0F36" w:rsidRDefault="004E201D" w:rsidP="004300E2">
            <w:pPr>
              <w:pStyle w:val="Numeroelenco"/>
              <w:ind w:left="0" w:firstLine="57"/>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r w:rsidRPr="008A0F36">
              <w:rPr>
                <w:lang w:val="it-IT"/>
              </w:rPr>
              <w:t>IFRS 8.30</w:t>
            </w:r>
          </w:p>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02186C">
            <w:pPr>
              <w:spacing w:line="224" w:lineRule="exact"/>
              <w:rPr>
                <w:lang w:val="it-IT"/>
              </w:rPr>
            </w:pPr>
            <w:r w:rsidRPr="008A0F36">
              <w:rPr>
                <w:lang w:val="it-IT"/>
              </w:rPr>
              <w:t>Se un’entità ha modificato la struttura organizzativa interna in un modo che determina una variazione nella composizione dei settori oggetto di informativa e se le informazioni presentate per periodi precedenti, inclusi i periodi intermedi, non sono state rideterminate per riflettere il cambiamento, l’entità ha riportato, per l’esercizio in cui le modifiche si sono verificate, l’informativa di settore per il periodo corrente sulla base sia del nuovo che del vecchio criterio di suddivisione settoriale, a meno che le informazioni necessarie non siano disponibili ed il costo per predisporle sarebbe eccessivo.</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Del="00EB2472" w:rsidTr="00F235B5">
        <w:trPr>
          <w:cantSplit/>
        </w:trPr>
        <w:tc>
          <w:tcPr>
            <w:tcW w:w="567" w:type="dxa"/>
            <w:shd w:val="clear" w:color="auto" w:fill="auto"/>
            <w:tcMar>
              <w:left w:w="108" w:type="dxa"/>
              <w:right w:w="0" w:type="dxa"/>
            </w:tcMar>
          </w:tcPr>
          <w:p w:rsidR="004300E2" w:rsidRPr="008A0F36" w:rsidRDefault="004300E2" w:rsidP="004300E2">
            <w:pPr>
              <w:pStyle w:val="IAS"/>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p>
        </w:tc>
        <w:tc>
          <w:tcPr>
            <w:tcW w:w="7079" w:type="dxa"/>
            <w:shd w:val="clear" w:color="auto" w:fill="auto"/>
            <w:tcMar>
              <w:left w:w="108" w:type="dxa"/>
            </w:tcMar>
          </w:tcPr>
          <w:p w:rsidR="004300E2" w:rsidRPr="003A3CC8" w:rsidRDefault="004300E2" w:rsidP="004300E2">
            <w:pPr>
              <w:pStyle w:val="Titolo2"/>
              <w:rPr>
                <w:lang w:val="it-IT"/>
              </w:rPr>
            </w:pPr>
            <w:r w:rsidRPr="003A3CC8">
              <w:rPr>
                <w:lang w:val="it-IT"/>
              </w:rPr>
              <w:t xml:space="preserve">Informazioni a livello di entità </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4300E2" w:rsidRPr="00A44ECD" w:rsidDel="00EB2472" w:rsidTr="00F235B5">
        <w:trPr>
          <w:cantSplit/>
        </w:trPr>
        <w:tc>
          <w:tcPr>
            <w:tcW w:w="567" w:type="dxa"/>
            <w:shd w:val="clear" w:color="auto" w:fill="auto"/>
            <w:tcMar>
              <w:left w:w="108" w:type="dxa"/>
              <w:right w:w="0" w:type="dxa"/>
            </w:tcMar>
          </w:tcPr>
          <w:p w:rsidR="004300E2" w:rsidRPr="008A0F36" w:rsidRDefault="004300E2" w:rsidP="004300E2">
            <w:pPr>
              <w:pStyle w:val="IAS"/>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r w:rsidRPr="008A0F36">
              <w:rPr>
                <w:lang w:val="it-IT"/>
              </w:rPr>
              <w:t>IFRS 8.31</w:t>
            </w:r>
          </w:p>
          <w:p w:rsidR="004300E2" w:rsidRPr="008A0F36" w:rsidRDefault="004300E2" w:rsidP="004300E2">
            <w:pPr>
              <w:pStyle w:val="IAS"/>
              <w:rPr>
                <w:lang w:val="it-IT"/>
              </w:rPr>
            </w:pPr>
          </w:p>
        </w:tc>
        <w:tc>
          <w:tcPr>
            <w:tcW w:w="7079" w:type="dxa"/>
            <w:shd w:val="clear" w:color="auto" w:fill="auto"/>
            <w:tcMar>
              <w:left w:w="108" w:type="dxa"/>
            </w:tcMar>
          </w:tcPr>
          <w:p w:rsidR="004300E2" w:rsidRPr="003A3CC8" w:rsidRDefault="004300E2" w:rsidP="0002186C">
            <w:pPr>
              <w:pStyle w:val="Paragarfobordato"/>
            </w:pPr>
            <w:r w:rsidRPr="003A3CC8">
              <w:t xml:space="preserve">L’informativa a livello di entità nei punti </w:t>
            </w:r>
            <w:r>
              <w:t>3</w:t>
            </w:r>
            <w:r w:rsidR="00354ED6">
              <w:t>59</w:t>
            </w:r>
            <w:r>
              <w:t>-36</w:t>
            </w:r>
            <w:r w:rsidR="00354ED6">
              <w:t>1</w:t>
            </w:r>
            <w:r w:rsidRPr="003A3CC8">
              <w:t xml:space="preserve"> si applica a tutte le entità soggette all’IFRS 8, incluse quelle che hanno un solo settore oggetto di informativa. Queste informazioni devono essere presentate solo nella misura in cui non siano già state fornite come parte dell’informativa di settore richiesta dai punti </w:t>
            </w:r>
            <w:r>
              <w:t>34</w:t>
            </w:r>
            <w:r w:rsidR="00354ED6">
              <w:t>4</w:t>
            </w:r>
            <w:r>
              <w:t>-3</w:t>
            </w:r>
            <w:r w:rsidR="00354ED6">
              <w:t>58</w:t>
            </w:r>
            <w:r w:rsidRPr="003A3CC8">
              <w:t>.</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4300E2" w:rsidRPr="00A44ECD" w:rsidDel="00EB2472" w:rsidTr="00F235B5">
        <w:trPr>
          <w:cantSplit/>
        </w:trPr>
        <w:tc>
          <w:tcPr>
            <w:tcW w:w="567" w:type="dxa"/>
            <w:shd w:val="clear" w:color="auto" w:fill="auto"/>
            <w:tcMar>
              <w:left w:w="108" w:type="dxa"/>
              <w:right w:w="0" w:type="dxa"/>
            </w:tcMar>
          </w:tcPr>
          <w:p w:rsidR="004300E2" w:rsidRPr="008A0F36" w:rsidRDefault="004300E2" w:rsidP="004300E2">
            <w:pPr>
              <w:pStyle w:val="IAS"/>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p>
        </w:tc>
        <w:tc>
          <w:tcPr>
            <w:tcW w:w="7079" w:type="dxa"/>
            <w:shd w:val="clear" w:color="auto" w:fill="auto"/>
            <w:tcMar>
              <w:left w:w="108" w:type="dxa"/>
            </w:tcMar>
          </w:tcPr>
          <w:p w:rsidR="004300E2" w:rsidRPr="008A0F36" w:rsidRDefault="004300E2" w:rsidP="004300E2">
            <w:pPr>
              <w:pStyle w:val="Titolo3"/>
              <w:rPr>
                <w:lang w:val="it-IT"/>
              </w:rPr>
            </w:pPr>
            <w:r w:rsidRPr="008A0F36">
              <w:rPr>
                <w:lang w:val="it-IT"/>
              </w:rPr>
              <w:t>Informazioni su prodotti e servizi</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4E201D" w:rsidRPr="008A0F36" w:rsidDel="00EB2472" w:rsidTr="00F235B5">
        <w:trPr>
          <w:cantSplit/>
        </w:trPr>
        <w:tc>
          <w:tcPr>
            <w:tcW w:w="567" w:type="dxa"/>
            <w:shd w:val="clear" w:color="auto" w:fill="auto"/>
            <w:tcMar>
              <w:left w:w="108" w:type="dxa"/>
              <w:right w:w="0" w:type="dxa"/>
            </w:tcMar>
          </w:tcPr>
          <w:p w:rsidR="004E201D" w:rsidRPr="008A0F36" w:rsidRDefault="004E201D" w:rsidP="004300E2">
            <w:pPr>
              <w:pStyle w:val="Numeroelenco"/>
              <w:ind w:left="0" w:firstLine="57"/>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r w:rsidRPr="008A0F36">
              <w:rPr>
                <w:lang w:val="it-IT"/>
              </w:rPr>
              <w:t>IFRS 8.32</w:t>
            </w:r>
          </w:p>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02186C">
            <w:pPr>
              <w:spacing w:line="224" w:lineRule="exact"/>
              <w:rPr>
                <w:lang w:val="it-IT"/>
              </w:rPr>
            </w:pPr>
            <w:r w:rsidRPr="008A0F36">
              <w:rPr>
                <w:lang w:val="it-IT"/>
              </w:rPr>
              <w:t>L’entità deve presentare i ricavi da clienti esterni per ogni prodotto o servizio, o gruppi omogenei di prodotti e servizi, a meno che le informazioni necessarie non sono disponibili e il costo per la loro predisposizione sarebbe eccessivo. In questo caso, tale fatto sarà indicato.</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Del="00EB2472" w:rsidTr="00F235B5">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02186C">
            <w:pPr>
              <w:spacing w:line="224" w:lineRule="exact"/>
              <w:rPr>
                <w:lang w:val="it-IT"/>
              </w:rPr>
            </w:pPr>
            <w:r w:rsidRPr="008A0F36">
              <w:rPr>
                <w:lang w:val="it-IT"/>
              </w:rPr>
              <w:t>Gli importi presentati s</w:t>
            </w:r>
            <w:r>
              <w:rPr>
                <w:lang w:val="it-IT"/>
              </w:rPr>
              <w:t>ono</w:t>
            </w:r>
            <w:r w:rsidRPr="008A0F36">
              <w:rPr>
                <w:lang w:val="it-IT"/>
              </w:rPr>
              <w:t xml:space="preserve"> determinati sulla base delle informazioni finanziarie utilizzate per predisporre il bilancio dell’entità.</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A0F36" w:rsidDel="00EB2472" w:rsidTr="00F235B5">
        <w:trPr>
          <w:cantSplit/>
        </w:trPr>
        <w:tc>
          <w:tcPr>
            <w:tcW w:w="567" w:type="dxa"/>
            <w:shd w:val="clear" w:color="auto" w:fill="auto"/>
            <w:tcMar>
              <w:left w:w="108" w:type="dxa"/>
              <w:right w:w="0" w:type="dxa"/>
            </w:tcMar>
          </w:tcPr>
          <w:p w:rsidR="004300E2" w:rsidRDefault="004300E2" w:rsidP="004300E2">
            <w:pPr>
              <w:pStyle w:val="IAS"/>
              <w:rPr>
                <w:b/>
                <w:bCs/>
                <w:i/>
                <w:lang w:val="it-IT"/>
              </w:rPr>
            </w:pPr>
          </w:p>
        </w:tc>
        <w:tc>
          <w:tcPr>
            <w:tcW w:w="851" w:type="dxa"/>
            <w:shd w:val="clear" w:color="auto" w:fill="auto"/>
            <w:tcMar>
              <w:left w:w="108" w:type="dxa"/>
              <w:right w:w="0" w:type="dxa"/>
            </w:tcMar>
          </w:tcPr>
          <w:p w:rsidR="004300E2" w:rsidRDefault="004300E2" w:rsidP="004300E2">
            <w:pPr>
              <w:pStyle w:val="IAS"/>
              <w:rPr>
                <w:b/>
                <w:bCs/>
                <w:i/>
                <w:lang w:val="it-IT"/>
              </w:rPr>
            </w:pPr>
          </w:p>
        </w:tc>
        <w:tc>
          <w:tcPr>
            <w:tcW w:w="7079" w:type="dxa"/>
            <w:shd w:val="clear" w:color="auto" w:fill="auto"/>
            <w:tcMar>
              <w:left w:w="108" w:type="dxa"/>
            </w:tcMar>
          </w:tcPr>
          <w:p w:rsidR="004300E2" w:rsidRDefault="004300E2" w:rsidP="004300E2">
            <w:pPr>
              <w:pStyle w:val="Titolo3"/>
              <w:keepNext w:val="0"/>
              <w:rPr>
                <w:lang w:val="it-IT"/>
              </w:rPr>
            </w:pPr>
            <w:r w:rsidRPr="008A0F36">
              <w:rPr>
                <w:lang w:val="it-IT"/>
              </w:rPr>
              <w:t>Informazioni su aree geografiche</w:t>
            </w:r>
          </w:p>
        </w:tc>
        <w:tc>
          <w:tcPr>
            <w:tcW w:w="575" w:type="dxa"/>
            <w:shd w:val="clear" w:color="auto" w:fill="auto"/>
            <w:tcMar>
              <w:left w:w="85" w:type="dxa"/>
              <w:right w:w="85" w:type="dxa"/>
            </w:tcMar>
            <w:vAlign w:val="center"/>
          </w:tcPr>
          <w:p w:rsidR="004300E2" w:rsidRDefault="004300E2" w:rsidP="004300E2">
            <w:pPr>
              <w:jc w:val="center"/>
            </w:pPr>
          </w:p>
        </w:tc>
        <w:tc>
          <w:tcPr>
            <w:tcW w:w="567" w:type="dxa"/>
            <w:shd w:val="clear" w:color="auto" w:fill="auto"/>
            <w:tcMar>
              <w:left w:w="108" w:type="dxa"/>
            </w:tcMar>
            <w:vAlign w:val="center"/>
          </w:tcPr>
          <w:p w:rsidR="004300E2" w:rsidRDefault="004300E2" w:rsidP="004300E2">
            <w:pPr>
              <w:jc w:val="center"/>
            </w:pPr>
          </w:p>
        </w:tc>
        <w:tc>
          <w:tcPr>
            <w:tcW w:w="567" w:type="dxa"/>
            <w:shd w:val="clear" w:color="auto" w:fill="auto"/>
            <w:vAlign w:val="center"/>
          </w:tcPr>
          <w:p w:rsidR="004300E2" w:rsidRDefault="004300E2" w:rsidP="004300E2">
            <w:pPr>
              <w:jc w:val="center"/>
            </w:pPr>
          </w:p>
        </w:tc>
      </w:tr>
      <w:tr w:rsidR="004300E2" w:rsidRPr="00A44ECD" w:rsidDel="00EB2472" w:rsidTr="00F235B5">
        <w:trPr>
          <w:cantSplit/>
        </w:trPr>
        <w:tc>
          <w:tcPr>
            <w:tcW w:w="567" w:type="dxa"/>
            <w:shd w:val="clear" w:color="auto" w:fill="auto"/>
            <w:tcMar>
              <w:left w:w="108" w:type="dxa"/>
              <w:right w:w="0" w:type="dxa"/>
            </w:tcMar>
          </w:tcPr>
          <w:p w:rsidR="004300E2" w:rsidRPr="008A0F36" w:rsidRDefault="004300E2" w:rsidP="004300E2">
            <w:pPr>
              <w:pStyle w:val="Numeroelenco"/>
              <w:ind w:left="0" w:firstLine="57"/>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r w:rsidRPr="008A0F36">
              <w:rPr>
                <w:lang w:val="it-IT"/>
              </w:rPr>
              <w:t>IFRS 8.33</w:t>
            </w:r>
          </w:p>
        </w:tc>
        <w:tc>
          <w:tcPr>
            <w:tcW w:w="7079" w:type="dxa"/>
            <w:shd w:val="clear" w:color="auto" w:fill="auto"/>
            <w:tcMar>
              <w:left w:w="108" w:type="dxa"/>
            </w:tcMar>
          </w:tcPr>
          <w:p w:rsidR="004300E2" w:rsidRPr="008A0F36" w:rsidRDefault="004300E2" w:rsidP="0002186C">
            <w:pPr>
              <w:spacing w:line="224" w:lineRule="exact"/>
              <w:rPr>
                <w:lang w:val="it-IT"/>
              </w:rPr>
            </w:pPr>
            <w:r w:rsidRPr="008A0F36">
              <w:rPr>
                <w:lang w:val="it-IT"/>
              </w:rPr>
              <w:t>L’entità ha presentato le seguenti informazioni per area geografica:</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4E201D" w:rsidRPr="008A0F36" w:rsidDel="00EB2472" w:rsidTr="00F235B5">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02186C">
            <w:pPr>
              <w:pStyle w:val="Rientroa"/>
              <w:numPr>
                <w:ilvl w:val="0"/>
                <w:numId w:val="137"/>
              </w:numPr>
              <w:spacing w:line="224" w:lineRule="exact"/>
            </w:pPr>
            <w:r w:rsidRPr="008A0F36">
              <w:t>ricavi da clienti esterni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Del="00EB2472" w:rsidTr="00F235B5">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02186C">
            <w:pPr>
              <w:pStyle w:val="Rientroisottoa"/>
              <w:spacing w:line="224" w:lineRule="exact"/>
            </w:pPr>
            <w:r w:rsidRPr="008A0F36">
              <w:t>i)</w:t>
            </w:r>
            <w:r w:rsidRPr="008A0F36">
              <w:tab/>
              <w:t>attribuiti al paese in cui ha sede l’entità</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Del="00EB2472" w:rsidTr="00F235B5">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02186C">
            <w:pPr>
              <w:pStyle w:val="Rientroisottoa"/>
              <w:spacing w:line="224" w:lineRule="exact"/>
            </w:pPr>
            <w:r w:rsidRPr="008A0F36">
              <w:t>ii)</w:t>
            </w:r>
            <w:r w:rsidRPr="008A0F36">
              <w:tab/>
              <w:t>attribuiti a tutti i paesi esteri, complessivamente considerati, da cui l’entità ottiene i propri ricavi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Del="00EB2472" w:rsidTr="00F235B5">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02186C">
            <w:pPr>
              <w:pStyle w:val="Rientroisottoa"/>
              <w:spacing w:line="224" w:lineRule="exact"/>
            </w:pPr>
            <w:r w:rsidRPr="008A0F36">
              <w:t>iii)</w:t>
            </w:r>
            <w:r w:rsidRPr="008A0F36">
              <w:tab/>
              <w:t>attribuiti ad un singolo paese estero, se significativo; 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Del="00EB2472" w:rsidTr="00F235B5">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02186C">
            <w:pPr>
              <w:pStyle w:val="Rientroisottoa"/>
              <w:spacing w:line="224" w:lineRule="exact"/>
            </w:pPr>
            <w:r w:rsidRPr="008A0F36">
              <w:t>iv)</w:t>
            </w:r>
            <w:r w:rsidRPr="008A0F36">
              <w:tab/>
              <w:t>la base per l’attribuzione dei ricavi da clienti esteri ai singoli paesi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Del="00EB2472" w:rsidTr="00F235B5">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02186C">
            <w:pPr>
              <w:pStyle w:val="Rientroa"/>
              <w:numPr>
                <w:ilvl w:val="0"/>
                <w:numId w:val="72"/>
              </w:numPr>
              <w:spacing w:line="224" w:lineRule="exact"/>
            </w:pPr>
            <w:r w:rsidRPr="008A0F36">
              <w:t>attività non correnti, diverse dagli strumenti finanziari, dalle attività per imposte differite, dalle attività connesse a benefici per i dipendenti e dai diritti derivanti da contratti assicurativi, presenti: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Del="00EB2472" w:rsidTr="00F235B5">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02186C">
            <w:pPr>
              <w:pStyle w:val="Rientroisottoa"/>
              <w:spacing w:line="224" w:lineRule="exact"/>
            </w:pPr>
            <w:r w:rsidRPr="008A0F36">
              <w:t>i)</w:t>
            </w:r>
            <w:r w:rsidRPr="008A0F36">
              <w:tab/>
              <w:t>nel paese in cui ha sede l’entità</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Del="00EB2472" w:rsidTr="00F235B5">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02186C">
            <w:pPr>
              <w:pStyle w:val="Rientroisottoa"/>
              <w:spacing w:line="224" w:lineRule="exact"/>
            </w:pPr>
            <w:r w:rsidRPr="008A0F36">
              <w:t>ii)</w:t>
            </w:r>
            <w:r w:rsidRPr="008A0F36">
              <w:tab/>
              <w:t>in tutti i paesi esteri, complessivamente considerati, in cui l’entità detiene attività; 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Del="00EB2472" w:rsidTr="00F235B5">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02186C">
            <w:pPr>
              <w:pStyle w:val="Rientroisottoa"/>
              <w:spacing w:line="224" w:lineRule="exact"/>
            </w:pPr>
            <w:r w:rsidRPr="008A0F36">
              <w:t>iii)</w:t>
            </w:r>
            <w:r w:rsidRPr="008A0F36">
              <w:tab/>
              <w:t>in un singolo paese estero, se significativo</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Del="00EB2472" w:rsidTr="00F235B5">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Default="004E201D" w:rsidP="0002186C">
            <w:pPr>
              <w:pStyle w:val="Rientroa"/>
              <w:numPr>
                <w:ilvl w:val="0"/>
                <w:numId w:val="72"/>
              </w:numPr>
              <w:spacing w:line="224" w:lineRule="exact"/>
            </w:pPr>
            <w:r>
              <w:t>s</w:t>
            </w:r>
            <w:r w:rsidRPr="008A0F36">
              <w:t>e le informazioni necessarie non sono disponibili ed il costo per predisporle sarebbe eccessivo, l’entità dà informativa di tale fatto.</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Del="00EB2472" w:rsidTr="00F235B5">
        <w:trPr>
          <w:cantSplit/>
        </w:trPr>
        <w:tc>
          <w:tcPr>
            <w:tcW w:w="567" w:type="dxa"/>
            <w:shd w:val="clear" w:color="auto" w:fill="auto"/>
            <w:tcMar>
              <w:left w:w="108" w:type="dxa"/>
              <w:right w:w="0" w:type="dxa"/>
            </w:tcMar>
          </w:tcPr>
          <w:p w:rsidR="004300E2" w:rsidRPr="008A0F36" w:rsidRDefault="004300E2" w:rsidP="004300E2">
            <w:pPr>
              <w:pStyle w:val="IAS"/>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r w:rsidRPr="008A0F36">
              <w:rPr>
                <w:lang w:val="it-IT"/>
              </w:rPr>
              <w:t>IFRS 8.33</w:t>
            </w:r>
          </w:p>
        </w:tc>
        <w:tc>
          <w:tcPr>
            <w:tcW w:w="7079" w:type="dxa"/>
            <w:shd w:val="clear" w:color="auto" w:fill="auto"/>
            <w:tcMar>
              <w:left w:w="108" w:type="dxa"/>
            </w:tcMar>
          </w:tcPr>
          <w:p w:rsidR="004300E2" w:rsidRPr="008A0F36" w:rsidRDefault="004300E2" w:rsidP="0002186C">
            <w:pPr>
              <w:pStyle w:val="Paragarfobordato"/>
              <w:rPr>
                <w:i/>
              </w:rPr>
            </w:pPr>
            <w:r w:rsidRPr="008A0F36">
              <w:t>Gli importi presentati in questo punto saranno determinati sulla base delle informazioni finanziarie utilizzate per predisporre il bilancio dell’entità. Un’entità potrebbe predisporre dei subtotali delle informazioni geografiche per gruppi di paesi.</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4300E2" w:rsidRPr="008A0F36" w:rsidDel="00EB2472" w:rsidTr="00F235B5">
        <w:trPr>
          <w:cantSplit/>
        </w:trPr>
        <w:tc>
          <w:tcPr>
            <w:tcW w:w="567" w:type="dxa"/>
            <w:shd w:val="clear" w:color="auto" w:fill="auto"/>
            <w:tcMar>
              <w:left w:w="108" w:type="dxa"/>
              <w:right w:w="0" w:type="dxa"/>
            </w:tcMar>
          </w:tcPr>
          <w:p w:rsidR="004300E2" w:rsidRPr="008A0F36" w:rsidRDefault="004300E2" w:rsidP="004300E2">
            <w:pPr>
              <w:pStyle w:val="IAS"/>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p>
        </w:tc>
        <w:tc>
          <w:tcPr>
            <w:tcW w:w="7079" w:type="dxa"/>
            <w:shd w:val="clear" w:color="auto" w:fill="auto"/>
            <w:tcMar>
              <w:left w:w="108" w:type="dxa"/>
            </w:tcMar>
          </w:tcPr>
          <w:p w:rsidR="004300E2" w:rsidRPr="008A0F36" w:rsidRDefault="004300E2" w:rsidP="004300E2">
            <w:pPr>
              <w:pStyle w:val="Titolo3"/>
              <w:rPr>
                <w:lang w:val="it-IT"/>
              </w:rPr>
            </w:pPr>
            <w:r w:rsidRPr="008A0F36">
              <w:rPr>
                <w:lang w:val="it-IT"/>
              </w:rPr>
              <w:t>Informazioni sui maggiori clienti</w:t>
            </w:r>
          </w:p>
        </w:tc>
        <w:tc>
          <w:tcPr>
            <w:tcW w:w="575" w:type="dxa"/>
            <w:shd w:val="clear" w:color="auto" w:fill="auto"/>
            <w:tcMar>
              <w:left w:w="85" w:type="dxa"/>
              <w:right w:w="85" w:type="dxa"/>
            </w:tcMar>
            <w:vAlign w:val="center"/>
          </w:tcPr>
          <w:p w:rsidR="004300E2" w:rsidRDefault="004300E2" w:rsidP="004300E2">
            <w:pPr>
              <w:jc w:val="center"/>
            </w:pPr>
          </w:p>
        </w:tc>
        <w:tc>
          <w:tcPr>
            <w:tcW w:w="567" w:type="dxa"/>
            <w:shd w:val="clear" w:color="auto" w:fill="auto"/>
            <w:tcMar>
              <w:left w:w="108" w:type="dxa"/>
            </w:tcMar>
            <w:vAlign w:val="center"/>
          </w:tcPr>
          <w:p w:rsidR="004300E2" w:rsidRDefault="004300E2" w:rsidP="004300E2">
            <w:pPr>
              <w:jc w:val="center"/>
            </w:pPr>
          </w:p>
        </w:tc>
        <w:tc>
          <w:tcPr>
            <w:tcW w:w="567" w:type="dxa"/>
            <w:shd w:val="clear" w:color="auto" w:fill="auto"/>
            <w:vAlign w:val="center"/>
          </w:tcPr>
          <w:p w:rsidR="004300E2" w:rsidRDefault="004300E2" w:rsidP="004300E2">
            <w:pPr>
              <w:jc w:val="center"/>
            </w:pPr>
          </w:p>
        </w:tc>
      </w:tr>
      <w:tr w:rsidR="004300E2" w:rsidRPr="00A44ECD" w:rsidDel="00EB2472" w:rsidTr="00F235B5">
        <w:trPr>
          <w:cantSplit/>
        </w:trPr>
        <w:tc>
          <w:tcPr>
            <w:tcW w:w="567" w:type="dxa"/>
            <w:shd w:val="clear" w:color="auto" w:fill="auto"/>
            <w:tcMar>
              <w:left w:w="108" w:type="dxa"/>
              <w:right w:w="0" w:type="dxa"/>
            </w:tcMar>
          </w:tcPr>
          <w:p w:rsidR="004300E2" w:rsidRPr="008A0F36" w:rsidRDefault="004300E2" w:rsidP="004300E2">
            <w:pPr>
              <w:pStyle w:val="Numeroelenco"/>
              <w:ind w:left="0" w:firstLine="57"/>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r w:rsidRPr="008A0F36">
              <w:rPr>
                <w:lang w:val="it-IT"/>
              </w:rPr>
              <w:t>IFRS 8.34</w:t>
            </w:r>
          </w:p>
        </w:tc>
        <w:tc>
          <w:tcPr>
            <w:tcW w:w="7079" w:type="dxa"/>
            <w:shd w:val="clear" w:color="auto" w:fill="auto"/>
            <w:tcMar>
              <w:left w:w="108" w:type="dxa"/>
            </w:tcMar>
          </w:tcPr>
          <w:p w:rsidR="004300E2" w:rsidRPr="008A0F36" w:rsidRDefault="004300E2" w:rsidP="0002186C">
            <w:pPr>
              <w:rPr>
                <w:lang w:val="it-IT"/>
              </w:rPr>
            </w:pPr>
            <w:r w:rsidRPr="008A0F36">
              <w:rPr>
                <w:lang w:val="it-IT"/>
              </w:rPr>
              <w:t>Se i ricavi dalle transazioni con un singolo cliente esterno ammontano al 10% o più dei ricavi dell’entità, l’entità ha fornito le seguenti informazioni:</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4E201D" w:rsidRPr="008A0F36" w:rsidDel="00EB2472" w:rsidTr="00F235B5">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02186C">
            <w:pPr>
              <w:pStyle w:val="Rientroa"/>
              <w:numPr>
                <w:ilvl w:val="0"/>
                <w:numId w:val="138"/>
              </w:numPr>
            </w:pPr>
            <w:r w:rsidRPr="008A0F36">
              <w:t>tale fatto</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Del="00EB2472" w:rsidTr="00F235B5">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02186C">
            <w:pPr>
              <w:pStyle w:val="Rientroa"/>
              <w:numPr>
                <w:ilvl w:val="0"/>
                <w:numId w:val="72"/>
              </w:numPr>
            </w:pPr>
            <w:r w:rsidRPr="008A0F36">
              <w:t>l’importo complessivo dei ricavi per ogni suddetto cliente; 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Del="00EB2472" w:rsidTr="00F235B5">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02186C">
            <w:pPr>
              <w:pStyle w:val="Rientroa"/>
              <w:numPr>
                <w:ilvl w:val="0"/>
                <w:numId w:val="72"/>
              </w:numPr>
            </w:pPr>
            <w:r w:rsidRPr="008A0F36">
              <w:t>l’identificazione del settore o dei settori a cui competono tali ricavi.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Del="00EB2472" w:rsidTr="00F235B5">
        <w:trPr>
          <w:cantSplit/>
        </w:trPr>
        <w:tc>
          <w:tcPr>
            <w:tcW w:w="567" w:type="dxa"/>
            <w:shd w:val="clear" w:color="auto" w:fill="auto"/>
            <w:tcMar>
              <w:left w:w="108" w:type="dxa"/>
              <w:right w:w="0" w:type="dxa"/>
            </w:tcMar>
          </w:tcPr>
          <w:p w:rsidR="004300E2" w:rsidRPr="008A0F36" w:rsidRDefault="004300E2" w:rsidP="004300E2">
            <w:pPr>
              <w:pStyle w:val="IAS"/>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r w:rsidRPr="008A0F36">
              <w:rPr>
                <w:lang w:val="it-IT"/>
              </w:rPr>
              <w:t>IFRS 8.34</w:t>
            </w:r>
          </w:p>
          <w:p w:rsidR="004300E2" w:rsidRPr="008A0F36" w:rsidRDefault="004300E2" w:rsidP="004300E2">
            <w:pPr>
              <w:pStyle w:val="IAS"/>
              <w:rPr>
                <w:lang w:val="it-IT"/>
              </w:rPr>
            </w:pPr>
          </w:p>
        </w:tc>
        <w:tc>
          <w:tcPr>
            <w:tcW w:w="7079" w:type="dxa"/>
            <w:shd w:val="clear" w:color="auto" w:fill="auto"/>
            <w:tcMar>
              <w:left w:w="108" w:type="dxa"/>
            </w:tcMar>
          </w:tcPr>
          <w:p w:rsidR="004300E2" w:rsidRPr="008A0F36" w:rsidRDefault="004300E2" w:rsidP="0002186C">
            <w:pPr>
              <w:pStyle w:val="Paragarfobordato"/>
              <w:rPr>
                <w:lang w:eastAsia="ko-KR"/>
              </w:rPr>
            </w:pPr>
            <w:r w:rsidRPr="008A0F36">
              <w:rPr>
                <w:lang w:eastAsia="ko-KR"/>
              </w:rPr>
              <w:t xml:space="preserve">L’entità non è tenuta a comunicare l’identità di un cliente importante o l’importo dei ricavi che ciascun settore ottiene da tale cliente. Ai fini dell’IFRS 8, un gruppo di entità, che un’entità sa essere soggette ad un controllo comune, devono essere considerate come un cliente unico ed entità, che l’entità sa essere soggette al controllo di un governo (nazionale, statale, provinciale, territoriale, locale o estero), devono essere considerate come un cliente unico. </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4300E2" w:rsidRPr="008A0F36" w:rsidDel="00EB2472" w:rsidTr="00F235B5">
        <w:trPr>
          <w:cantSplit/>
        </w:trPr>
        <w:tc>
          <w:tcPr>
            <w:tcW w:w="567" w:type="dxa"/>
            <w:shd w:val="clear" w:color="auto" w:fill="auto"/>
            <w:tcMar>
              <w:left w:w="108" w:type="dxa"/>
              <w:right w:w="0" w:type="dxa"/>
            </w:tcMar>
          </w:tcPr>
          <w:p w:rsidR="004300E2" w:rsidRPr="008A0F36" w:rsidRDefault="004300E2" w:rsidP="004300E2">
            <w:pPr>
              <w:pStyle w:val="IAS"/>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p>
        </w:tc>
        <w:tc>
          <w:tcPr>
            <w:tcW w:w="7079" w:type="dxa"/>
            <w:shd w:val="clear" w:color="auto" w:fill="auto"/>
            <w:tcMar>
              <w:left w:w="108" w:type="dxa"/>
            </w:tcMar>
            <w:vAlign w:val="center"/>
          </w:tcPr>
          <w:p w:rsidR="004300E2" w:rsidRPr="008A0F36" w:rsidRDefault="004300E2" w:rsidP="0002186C">
            <w:pPr>
              <w:pStyle w:val="Titolo1"/>
              <w:spacing w:before="20" w:after="20"/>
            </w:pPr>
            <w:r w:rsidRPr="008A0F36">
              <w:t>IMMOBILI, IMPIANTI E MACCHINARI</w:t>
            </w:r>
          </w:p>
        </w:tc>
        <w:tc>
          <w:tcPr>
            <w:tcW w:w="575" w:type="dxa"/>
            <w:shd w:val="clear" w:color="auto" w:fill="auto"/>
            <w:tcMar>
              <w:left w:w="85" w:type="dxa"/>
              <w:right w:w="85" w:type="dxa"/>
            </w:tcMar>
            <w:vAlign w:val="center"/>
          </w:tcPr>
          <w:p w:rsidR="004300E2" w:rsidRDefault="004300E2" w:rsidP="004300E2">
            <w:pPr>
              <w:jc w:val="center"/>
            </w:pPr>
          </w:p>
        </w:tc>
        <w:tc>
          <w:tcPr>
            <w:tcW w:w="567" w:type="dxa"/>
            <w:shd w:val="clear" w:color="auto" w:fill="auto"/>
            <w:tcMar>
              <w:left w:w="108" w:type="dxa"/>
            </w:tcMar>
            <w:vAlign w:val="center"/>
          </w:tcPr>
          <w:p w:rsidR="004300E2" w:rsidRDefault="004300E2" w:rsidP="004300E2">
            <w:pPr>
              <w:jc w:val="center"/>
            </w:pPr>
          </w:p>
        </w:tc>
        <w:tc>
          <w:tcPr>
            <w:tcW w:w="567" w:type="dxa"/>
            <w:shd w:val="clear" w:color="auto" w:fill="auto"/>
            <w:vAlign w:val="center"/>
          </w:tcPr>
          <w:p w:rsidR="004300E2" w:rsidRDefault="004300E2" w:rsidP="004300E2">
            <w:pPr>
              <w:jc w:val="center"/>
            </w:pPr>
          </w:p>
        </w:tc>
      </w:tr>
      <w:tr w:rsidR="004E201D" w:rsidRPr="008129DA" w:rsidTr="00F235B5">
        <w:trPr>
          <w:cantSplit/>
        </w:trPr>
        <w:tc>
          <w:tcPr>
            <w:tcW w:w="567" w:type="dxa"/>
            <w:shd w:val="clear" w:color="auto" w:fill="auto"/>
            <w:tcMar>
              <w:left w:w="108" w:type="dxa"/>
              <w:right w:w="0" w:type="dxa"/>
            </w:tcMar>
          </w:tcPr>
          <w:p w:rsidR="004E201D" w:rsidRPr="008A0F36" w:rsidRDefault="004E201D" w:rsidP="004300E2">
            <w:pPr>
              <w:pStyle w:val="Numeroelenco"/>
              <w:ind w:left="0" w:firstLine="57"/>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r w:rsidRPr="008A0F36">
              <w:rPr>
                <w:lang w:val="it-IT"/>
              </w:rPr>
              <w:t xml:space="preserve">IAS 16.42, </w:t>
            </w:r>
            <w:r w:rsidRPr="008A0F36">
              <w:rPr>
                <w:lang w:val="it-IT"/>
              </w:rPr>
              <w:br/>
              <w:t>IAS 12.65</w:t>
            </w:r>
          </w:p>
        </w:tc>
        <w:tc>
          <w:tcPr>
            <w:tcW w:w="7079" w:type="dxa"/>
            <w:shd w:val="clear" w:color="auto" w:fill="auto"/>
            <w:tcMar>
              <w:left w:w="108" w:type="dxa"/>
            </w:tcMar>
          </w:tcPr>
          <w:p w:rsidR="004E201D" w:rsidRPr="008A0F36" w:rsidRDefault="004E201D" w:rsidP="0002186C">
            <w:pPr>
              <w:spacing w:line="224" w:lineRule="exact"/>
              <w:rPr>
                <w:lang w:val="it-IT"/>
              </w:rPr>
            </w:pPr>
            <w:r w:rsidRPr="008A0F36">
              <w:rPr>
                <w:lang w:val="it-IT"/>
              </w:rPr>
              <w:t>L’entità ha indicato gli effetti delle imposte sul reddito, se esistenti, risultanti dalla rivalutazione degli immobili, impianti e macchinari in conformità allo IAS 12</w:t>
            </w:r>
            <w:r>
              <w:rPr>
                <w:lang w:val="it-IT"/>
              </w:rPr>
              <w:t>.</w:t>
            </w:r>
            <w:r w:rsidRPr="008A0F36">
              <w:rPr>
                <w:lang w:val="it-IT"/>
              </w:rPr>
              <w:t>?</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F235B5">
        <w:trPr>
          <w:cantSplit/>
        </w:trPr>
        <w:tc>
          <w:tcPr>
            <w:tcW w:w="567" w:type="dxa"/>
            <w:shd w:val="clear" w:color="auto" w:fill="auto"/>
            <w:tcMar>
              <w:left w:w="108" w:type="dxa"/>
              <w:right w:w="0" w:type="dxa"/>
            </w:tcMar>
          </w:tcPr>
          <w:p w:rsidR="004300E2" w:rsidRPr="008A0F36" w:rsidRDefault="004300E2" w:rsidP="004300E2">
            <w:pPr>
              <w:pStyle w:val="Numeroelenco"/>
              <w:ind w:left="0" w:firstLine="57"/>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r w:rsidRPr="008A0F36">
              <w:rPr>
                <w:lang w:val="it-IT"/>
              </w:rPr>
              <w:t>IAS 16.73</w:t>
            </w:r>
          </w:p>
        </w:tc>
        <w:tc>
          <w:tcPr>
            <w:tcW w:w="7079" w:type="dxa"/>
            <w:shd w:val="clear" w:color="auto" w:fill="auto"/>
            <w:tcMar>
              <w:left w:w="108" w:type="dxa"/>
            </w:tcMar>
          </w:tcPr>
          <w:p w:rsidR="004300E2" w:rsidRPr="008A0F36" w:rsidRDefault="004300E2" w:rsidP="0002186C">
            <w:pPr>
              <w:spacing w:line="224" w:lineRule="exact"/>
              <w:rPr>
                <w:lang w:val="it-IT"/>
              </w:rPr>
            </w:pPr>
            <w:r w:rsidRPr="008A0F36">
              <w:rPr>
                <w:lang w:val="it-IT"/>
              </w:rPr>
              <w:t>Sono state date le seguenti informazioni per ogni classe di immobili, impianti e macchinari:</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4E201D" w:rsidRPr="008129DA" w:rsidTr="00F235B5">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02186C">
            <w:pPr>
              <w:pStyle w:val="Rientroa"/>
              <w:numPr>
                <w:ilvl w:val="0"/>
                <w:numId w:val="139"/>
              </w:numPr>
              <w:spacing w:line="224" w:lineRule="exact"/>
            </w:pPr>
            <w:r w:rsidRPr="008A0F36">
              <w:t>i criteri impiegati nella determinazione del valore contabile lordo</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F235B5">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02186C">
            <w:pPr>
              <w:pStyle w:val="Rientroa"/>
              <w:numPr>
                <w:ilvl w:val="0"/>
                <w:numId w:val="72"/>
              </w:numPr>
              <w:spacing w:line="224" w:lineRule="exact"/>
            </w:pPr>
            <w:r w:rsidRPr="008A0F36">
              <w:t>i criteri di ammortamento impiegati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F235B5">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02186C">
            <w:pPr>
              <w:pStyle w:val="Rientroa"/>
              <w:numPr>
                <w:ilvl w:val="0"/>
                <w:numId w:val="72"/>
              </w:numPr>
              <w:spacing w:line="224" w:lineRule="exact"/>
            </w:pPr>
            <w:r w:rsidRPr="008A0F36">
              <w:t>le vite utili o le aliquote di ammortamento impiegate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F235B5">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02186C">
            <w:pPr>
              <w:pStyle w:val="Rientroa"/>
              <w:numPr>
                <w:ilvl w:val="0"/>
                <w:numId w:val="72"/>
              </w:numPr>
              <w:spacing w:line="224" w:lineRule="exact"/>
            </w:pPr>
            <w:r w:rsidRPr="008A0F36">
              <w:t>il valore contabile lordo e l’ammortamento accumulato (aggregato con le perdite per riduzione di valore accumulate) all’inizio e al termine dell’esercizio</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F235B5">
        <w:trPr>
          <w:cantSplit/>
        </w:trPr>
        <w:tc>
          <w:tcPr>
            <w:tcW w:w="567" w:type="dxa"/>
            <w:shd w:val="clear" w:color="auto" w:fill="auto"/>
            <w:tcMar>
              <w:left w:w="108" w:type="dxa"/>
              <w:right w:w="0" w:type="dxa"/>
            </w:tcMar>
          </w:tcPr>
          <w:p w:rsidR="004E201D" w:rsidRPr="008A0F36" w:rsidRDefault="004E201D" w:rsidP="0002186C">
            <w:pPr>
              <w:pStyle w:val="IAS"/>
              <w:pageBreakBefore/>
              <w:rPr>
                <w:lang w:val="it-IT"/>
              </w:rPr>
            </w:pPr>
          </w:p>
        </w:tc>
        <w:tc>
          <w:tcPr>
            <w:tcW w:w="851" w:type="dxa"/>
            <w:shd w:val="clear" w:color="auto" w:fill="auto"/>
            <w:tcMar>
              <w:left w:w="108" w:type="dxa"/>
              <w:right w:w="0" w:type="dxa"/>
            </w:tcMar>
          </w:tcPr>
          <w:p w:rsidR="004E201D" w:rsidRPr="008A0F36" w:rsidRDefault="004E201D" w:rsidP="0002186C">
            <w:pPr>
              <w:pStyle w:val="IAS"/>
              <w:pageBreakBefore/>
              <w:rPr>
                <w:lang w:val="it-IT"/>
              </w:rPr>
            </w:pPr>
          </w:p>
        </w:tc>
        <w:tc>
          <w:tcPr>
            <w:tcW w:w="7079" w:type="dxa"/>
            <w:shd w:val="clear" w:color="auto" w:fill="auto"/>
            <w:tcMar>
              <w:left w:w="108" w:type="dxa"/>
            </w:tcMar>
          </w:tcPr>
          <w:p w:rsidR="004E201D" w:rsidRPr="008A0F36" w:rsidRDefault="004E201D" w:rsidP="0002186C">
            <w:pPr>
              <w:pStyle w:val="Rientroa"/>
              <w:pageBreakBefore/>
              <w:numPr>
                <w:ilvl w:val="0"/>
                <w:numId w:val="72"/>
              </w:numPr>
              <w:spacing w:line="224" w:lineRule="exact"/>
            </w:pPr>
            <w:r w:rsidRPr="008A0F36">
              <w:t>una riconciliazione del valore contabile all’inizio e al termine dell’esercizio riportante:</w:t>
            </w:r>
          </w:p>
        </w:tc>
        <w:tc>
          <w:tcPr>
            <w:tcW w:w="575" w:type="dxa"/>
            <w:shd w:val="clear" w:color="auto" w:fill="auto"/>
            <w:tcMar>
              <w:left w:w="85" w:type="dxa"/>
              <w:right w:w="85" w:type="dxa"/>
            </w:tcMar>
            <w:vAlign w:val="center"/>
          </w:tcPr>
          <w:p w:rsidR="004E201D" w:rsidRPr="00A32A16" w:rsidRDefault="004E201D" w:rsidP="0002186C">
            <w:pPr>
              <w:pageBreakBefore/>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02186C">
            <w:pPr>
              <w:pageBreakBefore/>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02186C">
            <w:pPr>
              <w:pageBreakBefore/>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A0F36" w:rsidTr="00F235B5">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spacing w:before="0" w:line="216" w:lineRule="exact"/>
              <w:rPr>
                <w:lang w:val="it-IT"/>
              </w:rPr>
            </w:pPr>
          </w:p>
        </w:tc>
        <w:tc>
          <w:tcPr>
            <w:tcW w:w="7079" w:type="dxa"/>
            <w:shd w:val="clear" w:color="auto" w:fill="auto"/>
            <w:tcMar>
              <w:left w:w="108" w:type="dxa"/>
            </w:tcMar>
          </w:tcPr>
          <w:p w:rsidR="004E201D" w:rsidRPr="008A0F36" w:rsidRDefault="004E201D" w:rsidP="0002186C">
            <w:pPr>
              <w:pStyle w:val="Rientroisottoa"/>
              <w:spacing w:line="224" w:lineRule="exact"/>
            </w:pPr>
            <w:r w:rsidRPr="008A0F36">
              <w:t>i)</w:t>
            </w:r>
            <w:r w:rsidRPr="008A0F36">
              <w:tab/>
              <w:t>incrementi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F235B5">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spacing w:before="0" w:line="216" w:lineRule="exact"/>
              <w:rPr>
                <w:lang w:val="it-IT"/>
              </w:rPr>
            </w:pPr>
          </w:p>
        </w:tc>
        <w:tc>
          <w:tcPr>
            <w:tcW w:w="7079" w:type="dxa"/>
            <w:shd w:val="clear" w:color="auto" w:fill="auto"/>
            <w:tcMar>
              <w:left w:w="108" w:type="dxa"/>
            </w:tcMar>
          </w:tcPr>
          <w:p w:rsidR="004E201D" w:rsidRPr="008A0F36" w:rsidRDefault="004E201D" w:rsidP="0002186C">
            <w:pPr>
              <w:pStyle w:val="Rientroisottoa"/>
              <w:spacing w:before="0" w:line="224" w:lineRule="exact"/>
            </w:pPr>
            <w:r w:rsidRPr="008A0F36">
              <w:t>ii)</w:t>
            </w:r>
            <w:r w:rsidRPr="008A0F36">
              <w:tab/>
              <w:t>attività classificate come beni detenuti per la vendita o inclusi in gruppi in dismissione classificati come detenuti per la vendita in conformità con l’IFRS 5 e altre dismissioni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F235B5">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spacing w:before="0" w:line="216" w:lineRule="exact"/>
              <w:rPr>
                <w:lang w:val="it-IT"/>
              </w:rPr>
            </w:pPr>
          </w:p>
        </w:tc>
        <w:tc>
          <w:tcPr>
            <w:tcW w:w="7079" w:type="dxa"/>
            <w:shd w:val="clear" w:color="auto" w:fill="auto"/>
            <w:tcMar>
              <w:left w:w="108" w:type="dxa"/>
            </w:tcMar>
          </w:tcPr>
          <w:p w:rsidR="004E201D" w:rsidRPr="008A0F36" w:rsidRDefault="004E201D" w:rsidP="0002186C">
            <w:pPr>
              <w:pStyle w:val="Rientroisottoa"/>
              <w:spacing w:before="0" w:line="224" w:lineRule="exact"/>
            </w:pPr>
            <w:r w:rsidRPr="008A0F36">
              <w:t>iii)</w:t>
            </w:r>
            <w:r w:rsidRPr="008A0F36">
              <w:tab/>
              <w:t>acquisizioni a seguito di aggregazioni aziendali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F235B5">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spacing w:before="0" w:line="216" w:lineRule="exact"/>
              <w:rPr>
                <w:lang w:val="it-IT"/>
              </w:rPr>
            </w:pPr>
          </w:p>
        </w:tc>
        <w:tc>
          <w:tcPr>
            <w:tcW w:w="7079" w:type="dxa"/>
            <w:shd w:val="clear" w:color="auto" w:fill="auto"/>
            <w:tcMar>
              <w:left w:w="108" w:type="dxa"/>
            </w:tcMar>
          </w:tcPr>
          <w:p w:rsidR="004E201D" w:rsidRPr="008A0F36" w:rsidRDefault="004E201D" w:rsidP="0002186C">
            <w:pPr>
              <w:pStyle w:val="Rientroisottoa"/>
              <w:spacing w:before="0" w:line="224" w:lineRule="exact"/>
            </w:pPr>
            <w:r w:rsidRPr="008A0F36">
              <w:t>iv)</w:t>
            </w:r>
            <w:r w:rsidRPr="008A0F36">
              <w:tab/>
              <w:t>incrementi o decrementi derivanti nel corso dell’esercizio da rivalutazioni (secondo quanto previsto dallo IAS 16 paragrafi 31, 39 e 40) e da perdite per riduzione di valore (qualora esistano) rilevate/</w:t>
            </w:r>
            <w:r>
              <w:t>riversate</w:t>
            </w:r>
            <w:r w:rsidRPr="008A0F36">
              <w:t xml:space="preserve"> nelle/dalle altre componenti </w:t>
            </w:r>
            <w:r>
              <w:t xml:space="preserve">di </w:t>
            </w:r>
            <w:r w:rsidRPr="008A0F36">
              <w:t>conto economico complessivo secondo quanto previsto dallo IAS 36</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F235B5">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spacing w:before="0" w:line="216" w:lineRule="exact"/>
              <w:rPr>
                <w:lang w:val="it-IT"/>
              </w:rPr>
            </w:pPr>
          </w:p>
        </w:tc>
        <w:tc>
          <w:tcPr>
            <w:tcW w:w="7079" w:type="dxa"/>
            <w:shd w:val="clear" w:color="auto" w:fill="auto"/>
            <w:tcMar>
              <w:left w:w="108" w:type="dxa"/>
            </w:tcMar>
          </w:tcPr>
          <w:p w:rsidR="004E201D" w:rsidRPr="008A0F36" w:rsidRDefault="004E201D" w:rsidP="0002186C">
            <w:pPr>
              <w:pStyle w:val="Rientroisottoa"/>
              <w:spacing w:before="0" w:line="224" w:lineRule="exact"/>
            </w:pPr>
            <w:r w:rsidRPr="008A0F36">
              <w:t>v)</w:t>
            </w:r>
            <w:r w:rsidRPr="008A0F36">
              <w:tab/>
              <w:t xml:space="preserve">perdite per riduzione di valore (qualora esistano) </w:t>
            </w:r>
            <w:r>
              <w:t>rilevate nell’utile/(perdita) d</w:t>
            </w:r>
            <w:r w:rsidRPr="008A0F36">
              <w:t>’esercizio secondo quanto previsto dallo IAS 36</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F235B5">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spacing w:before="0" w:line="216" w:lineRule="exact"/>
              <w:rPr>
                <w:lang w:val="it-IT"/>
              </w:rPr>
            </w:pPr>
          </w:p>
        </w:tc>
        <w:tc>
          <w:tcPr>
            <w:tcW w:w="7079" w:type="dxa"/>
            <w:shd w:val="clear" w:color="auto" w:fill="auto"/>
            <w:tcMar>
              <w:left w:w="108" w:type="dxa"/>
            </w:tcMar>
          </w:tcPr>
          <w:p w:rsidR="004E201D" w:rsidRPr="008A0F36" w:rsidRDefault="004E201D" w:rsidP="0002186C">
            <w:pPr>
              <w:pStyle w:val="Rientroisottoa"/>
              <w:spacing w:before="0" w:line="224" w:lineRule="exact"/>
            </w:pPr>
            <w:r w:rsidRPr="008A0F36">
              <w:t>vi)</w:t>
            </w:r>
            <w:r w:rsidRPr="008A0F36">
              <w:tab/>
              <w:t xml:space="preserve">perdite per riduzione di valore (qualora esistano) riversate </w:t>
            </w:r>
            <w:r>
              <w:t>nell’utile/(perdita) d</w:t>
            </w:r>
            <w:r w:rsidRPr="008A0F36">
              <w:t>’esercizio secondo quanto previsto dallo IAS 36</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F235B5">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spacing w:before="0" w:line="216" w:lineRule="exact"/>
              <w:rPr>
                <w:lang w:val="it-IT"/>
              </w:rPr>
            </w:pPr>
            <w:r w:rsidRPr="008A0F36">
              <w:rPr>
                <w:lang w:val="it-IT"/>
              </w:rPr>
              <w:t>IAS 16.75</w:t>
            </w:r>
          </w:p>
        </w:tc>
        <w:tc>
          <w:tcPr>
            <w:tcW w:w="7079" w:type="dxa"/>
            <w:shd w:val="clear" w:color="auto" w:fill="auto"/>
            <w:tcMar>
              <w:left w:w="108" w:type="dxa"/>
            </w:tcMar>
          </w:tcPr>
          <w:p w:rsidR="004E201D" w:rsidRPr="008A0F36" w:rsidRDefault="004E201D" w:rsidP="0002186C">
            <w:pPr>
              <w:pStyle w:val="Rientroisottoa"/>
              <w:spacing w:before="0" w:line="224" w:lineRule="exact"/>
            </w:pPr>
            <w:r w:rsidRPr="008A0F36">
              <w:t>vii)</w:t>
            </w:r>
            <w:r w:rsidRPr="008A0F36">
              <w:tab/>
              <w:t xml:space="preserve">ammortamento (iscritto </w:t>
            </w:r>
            <w:r>
              <w:t xml:space="preserve">come costo nell’utile/(perdita) d’esercizio </w:t>
            </w:r>
            <w:r w:rsidRPr="008A0F36">
              <w:t>o rilevato come componente del costo di altre attività)</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F235B5">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spacing w:before="0" w:line="216" w:lineRule="exact"/>
              <w:rPr>
                <w:lang w:val="it-IT"/>
              </w:rPr>
            </w:pPr>
          </w:p>
        </w:tc>
        <w:tc>
          <w:tcPr>
            <w:tcW w:w="7079" w:type="dxa"/>
            <w:shd w:val="clear" w:color="auto" w:fill="auto"/>
            <w:tcMar>
              <w:left w:w="108" w:type="dxa"/>
            </w:tcMar>
          </w:tcPr>
          <w:p w:rsidR="004E201D" w:rsidRPr="008A0F36" w:rsidRDefault="004E201D" w:rsidP="0002186C">
            <w:pPr>
              <w:pStyle w:val="Rientroisottoa"/>
              <w:spacing w:before="0" w:line="224" w:lineRule="exact"/>
            </w:pPr>
            <w:r w:rsidRPr="008A0F36">
              <w:t>viii)</w:t>
            </w:r>
            <w:r w:rsidRPr="008A0F36">
              <w:tab/>
              <w:t>differenze nette di cambio derivanti dalla conversione del bilancio di una entità economica estera in una diversa moneta di presentazione e altre conversioni di operazioni in valuta nella moneta di presentazione dell’entità</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A0F36" w:rsidTr="00F235B5">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spacing w:before="0" w:line="216" w:lineRule="exact"/>
              <w:rPr>
                <w:lang w:val="it-IT"/>
              </w:rPr>
            </w:pPr>
          </w:p>
        </w:tc>
        <w:tc>
          <w:tcPr>
            <w:tcW w:w="7079" w:type="dxa"/>
            <w:shd w:val="clear" w:color="auto" w:fill="auto"/>
            <w:tcMar>
              <w:left w:w="108" w:type="dxa"/>
            </w:tcMar>
          </w:tcPr>
          <w:p w:rsidR="004E201D" w:rsidRPr="008A0F36" w:rsidRDefault="004E201D" w:rsidP="0002186C">
            <w:pPr>
              <w:pStyle w:val="Rientroisottoa"/>
              <w:spacing w:before="0" w:line="224" w:lineRule="exact"/>
            </w:pPr>
            <w:r w:rsidRPr="008A0F36">
              <w:t>ix)</w:t>
            </w:r>
            <w:r w:rsidRPr="008A0F36">
              <w:tab/>
              <w:t>altri movimenti.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F235B5">
        <w:trPr>
          <w:cantSplit/>
        </w:trPr>
        <w:tc>
          <w:tcPr>
            <w:tcW w:w="567" w:type="dxa"/>
            <w:shd w:val="clear" w:color="auto" w:fill="auto"/>
            <w:tcMar>
              <w:left w:w="108" w:type="dxa"/>
              <w:right w:w="0" w:type="dxa"/>
            </w:tcMar>
          </w:tcPr>
          <w:p w:rsidR="004300E2" w:rsidRPr="008A0F36" w:rsidRDefault="004300E2" w:rsidP="004300E2">
            <w:pPr>
              <w:pStyle w:val="IAS"/>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r w:rsidRPr="008A0F36">
              <w:rPr>
                <w:lang w:val="it-IT"/>
              </w:rPr>
              <w:t>IAS 16.78</w:t>
            </w:r>
          </w:p>
        </w:tc>
        <w:tc>
          <w:tcPr>
            <w:tcW w:w="7079" w:type="dxa"/>
            <w:shd w:val="clear" w:color="auto" w:fill="auto"/>
            <w:tcMar>
              <w:left w:w="108" w:type="dxa"/>
            </w:tcMar>
          </w:tcPr>
          <w:p w:rsidR="004300E2" w:rsidRPr="008A0F36" w:rsidRDefault="004300E2" w:rsidP="0002186C">
            <w:pPr>
              <w:pStyle w:val="Paragarfobordato"/>
            </w:pPr>
            <w:r w:rsidRPr="008A0F36">
              <w:t>In aggiunta alle informazioni richieste dallo IAS 16.73(e)(iv)-(vi), un’entità deve fornire specifica informativa su immobili, impianti e macchinari per i quali sono state rilevate perdite per riduzione di valore in conformità allo IAS 36.</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4300E2" w:rsidRPr="00A44ECD" w:rsidTr="00F235B5">
        <w:trPr>
          <w:cantSplit/>
        </w:trPr>
        <w:tc>
          <w:tcPr>
            <w:tcW w:w="567" w:type="dxa"/>
            <w:shd w:val="clear" w:color="auto" w:fill="auto"/>
            <w:tcMar>
              <w:left w:w="108" w:type="dxa"/>
              <w:right w:w="0" w:type="dxa"/>
            </w:tcMar>
          </w:tcPr>
          <w:p w:rsidR="004300E2" w:rsidRPr="008A0F36" w:rsidRDefault="004300E2" w:rsidP="004300E2">
            <w:pPr>
              <w:pStyle w:val="Numeroelenco"/>
              <w:ind w:left="0" w:firstLine="57"/>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r w:rsidRPr="008A0F36">
              <w:rPr>
                <w:lang w:val="it-IT"/>
              </w:rPr>
              <w:t>IAS 16.74</w:t>
            </w:r>
          </w:p>
        </w:tc>
        <w:tc>
          <w:tcPr>
            <w:tcW w:w="7079" w:type="dxa"/>
            <w:shd w:val="clear" w:color="auto" w:fill="auto"/>
            <w:tcMar>
              <w:left w:w="108" w:type="dxa"/>
            </w:tcMar>
          </w:tcPr>
          <w:p w:rsidR="004300E2" w:rsidRPr="008A0F36" w:rsidRDefault="004300E2" w:rsidP="0002186C">
            <w:pPr>
              <w:spacing w:line="224" w:lineRule="exact"/>
              <w:rPr>
                <w:lang w:val="it-IT"/>
              </w:rPr>
            </w:pPr>
            <w:r w:rsidRPr="008A0F36">
              <w:rPr>
                <w:lang w:val="it-IT"/>
              </w:rPr>
              <w:t>Sono state date le seguenti informazioni:</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4E201D" w:rsidRPr="008129DA" w:rsidTr="00F235B5">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02186C">
            <w:pPr>
              <w:pStyle w:val="Rientroa"/>
              <w:numPr>
                <w:ilvl w:val="0"/>
                <w:numId w:val="140"/>
              </w:numPr>
              <w:spacing w:line="224" w:lineRule="exact"/>
            </w:pPr>
            <w:r w:rsidRPr="008A0F36">
              <w:t>l’esistenza e l’ammontare di restrizioni sulla titolarità e proprietà di immobili, impianti e macchinari impegnati a garanzia di passività</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F235B5">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02186C">
            <w:pPr>
              <w:pStyle w:val="Rientroa"/>
              <w:numPr>
                <w:ilvl w:val="0"/>
                <w:numId w:val="72"/>
              </w:numPr>
              <w:spacing w:line="224" w:lineRule="exact"/>
            </w:pPr>
            <w:r w:rsidRPr="008A0F36">
              <w:t>l’ammontare dei costi rilevati nel valore contabile di elementi di immobili, impianti e macchinari nel corso della sua costruzione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F235B5">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02186C">
            <w:pPr>
              <w:pStyle w:val="Rientroa"/>
              <w:numPr>
                <w:ilvl w:val="0"/>
                <w:numId w:val="72"/>
              </w:numPr>
              <w:spacing w:line="224" w:lineRule="exact"/>
            </w:pPr>
            <w:r w:rsidRPr="008A0F36">
              <w:t xml:space="preserve">il valore degli ordini emessi per l’acquisto di immobili, impianti e macchinari; e </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F235B5">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02186C">
            <w:pPr>
              <w:pStyle w:val="Rientroa"/>
              <w:numPr>
                <w:ilvl w:val="0"/>
                <w:numId w:val="72"/>
              </w:numPr>
              <w:spacing w:line="224" w:lineRule="exact"/>
            </w:pPr>
            <w:r w:rsidRPr="008A0F36">
              <w:t xml:space="preserve">se non è indicato separatamente nel prospetto </w:t>
            </w:r>
            <w:r>
              <w:t xml:space="preserve">(nei prospetti) dell’utile/(perdita) d’esercizio e delle altre componenti </w:t>
            </w:r>
            <w:r w:rsidRPr="008A0F36">
              <w:t>di conto economico complessivo, l’ammontare del risarcimento da terze parti per elementi di immobili, impianti e macchinari che hanno subito una perdita per riduzione di valore, perduti o dismessi.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F235B5">
        <w:trPr>
          <w:cantSplit/>
        </w:trPr>
        <w:tc>
          <w:tcPr>
            <w:tcW w:w="567" w:type="dxa"/>
            <w:shd w:val="clear" w:color="auto" w:fill="auto"/>
            <w:tcMar>
              <w:left w:w="108" w:type="dxa"/>
              <w:right w:w="0" w:type="dxa"/>
            </w:tcMar>
          </w:tcPr>
          <w:p w:rsidR="004300E2" w:rsidRPr="008A0F36" w:rsidRDefault="004300E2" w:rsidP="004300E2">
            <w:pPr>
              <w:pStyle w:val="Numeroelenco"/>
              <w:ind w:left="0" w:firstLine="57"/>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r w:rsidRPr="008A0F36">
              <w:rPr>
                <w:lang w:val="it-IT"/>
              </w:rPr>
              <w:t>IAS 16.77</w:t>
            </w:r>
          </w:p>
        </w:tc>
        <w:tc>
          <w:tcPr>
            <w:tcW w:w="7079" w:type="dxa"/>
            <w:shd w:val="clear" w:color="auto" w:fill="auto"/>
            <w:tcMar>
              <w:left w:w="108" w:type="dxa"/>
            </w:tcMar>
          </w:tcPr>
          <w:p w:rsidR="004300E2" w:rsidRPr="008A0F36" w:rsidRDefault="004300E2" w:rsidP="0002186C">
            <w:pPr>
              <w:spacing w:line="224" w:lineRule="exact"/>
              <w:rPr>
                <w:lang w:val="it-IT"/>
              </w:rPr>
            </w:pPr>
            <w:r w:rsidRPr="008A0F36">
              <w:rPr>
                <w:lang w:val="it-IT"/>
              </w:rPr>
              <w:t>Quando elementi di immobili, impianti e macchinari sono iscritti a valori rivalutati sono state indicate le seguenti informazioni:</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4E201D" w:rsidRPr="008A0F36" w:rsidTr="00F235B5">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02186C">
            <w:pPr>
              <w:pStyle w:val="Rientroa"/>
              <w:numPr>
                <w:ilvl w:val="0"/>
                <w:numId w:val="141"/>
              </w:numPr>
              <w:spacing w:line="224" w:lineRule="exact"/>
            </w:pPr>
            <w:r w:rsidRPr="008A0F36">
              <w:t>la data della rivalutazione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F235B5">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02186C">
            <w:pPr>
              <w:pStyle w:val="Rientroa"/>
              <w:numPr>
                <w:ilvl w:val="0"/>
                <w:numId w:val="72"/>
              </w:numPr>
              <w:spacing w:line="224" w:lineRule="exact"/>
            </w:pPr>
            <w:r w:rsidRPr="008A0F36">
              <w:t>se è stato utilizzato un perito indipendente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F235B5">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r>
              <w:rPr>
                <w:lang w:val="it-IT"/>
              </w:rPr>
              <w:t>IFRS 13.5-7</w:t>
            </w:r>
          </w:p>
        </w:tc>
        <w:tc>
          <w:tcPr>
            <w:tcW w:w="7079" w:type="dxa"/>
            <w:shd w:val="clear" w:color="auto" w:fill="auto"/>
            <w:tcMar>
              <w:left w:w="108" w:type="dxa"/>
            </w:tcMar>
          </w:tcPr>
          <w:p w:rsidR="004E201D" w:rsidRPr="008A0F36" w:rsidRDefault="004E201D" w:rsidP="0002186C">
            <w:pPr>
              <w:pStyle w:val="Rientroa"/>
              <w:numPr>
                <w:ilvl w:val="0"/>
                <w:numId w:val="72"/>
              </w:numPr>
              <w:spacing w:line="224" w:lineRule="exact"/>
            </w:pPr>
            <w:r>
              <w:t xml:space="preserve">l’informativa sulla valutazione del </w:t>
            </w:r>
            <w:r>
              <w:rPr>
                <w:i/>
              </w:rPr>
              <w:t xml:space="preserve">fair value </w:t>
            </w:r>
            <w:r>
              <w:t xml:space="preserve">richiesta dall’IFRS </w:t>
            </w:r>
            <w:r w:rsidRPr="003A3CC8">
              <w:t xml:space="preserve">13 (vedi punti </w:t>
            </w:r>
            <w:r>
              <w:t>221-229</w:t>
            </w:r>
            <w:r w:rsidRPr="003A3CC8">
              <w:t>)</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F235B5">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02186C">
            <w:pPr>
              <w:pStyle w:val="Rientroa"/>
              <w:numPr>
                <w:ilvl w:val="0"/>
                <w:numId w:val="72"/>
              </w:numPr>
              <w:spacing w:line="224" w:lineRule="exact"/>
            </w:pPr>
            <w:r w:rsidRPr="008A0F36">
              <w:t>per ogni classe di immobili, impianti e macchinari rivalutati, il valore che sarebbe stato iscritto in bilancio se i beni fossero stati iscritti al costo</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F235B5">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8A0F36" w:rsidRDefault="004E201D" w:rsidP="0002186C">
            <w:pPr>
              <w:pStyle w:val="Rientroa"/>
              <w:numPr>
                <w:ilvl w:val="0"/>
                <w:numId w:val="72"/>
              </w:numPr>
              <w:spacing w:line="224" w:lineRule="exact"/>
            </w:pPr>
            <w:r w:rsidRPr="008A0F36">
              <w:t>la riserva di rivalutazione, con indicazione delle variazioni d’esercizio ed eventuali limitazioni nella distribuzione del saldo ai soci.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F235B5">
        <w:trPr>
          <w:cantSplit/>
        </w:trPr>
        <w:tc>
          <w:tcPr>
            <w:tcW w:w="567" w:type="dxa"/>
            <w:shd w:val="clear" w:color="auto" w:fill="auto"/>
            <w:tcMar>
              <w:left w:w="108" w:type="dxa"/>
              <w:right w:w="0" w:type="dxa"/>
            </w:tcMar>
          </w:tcPr>
          <w:p w:rsidR="004300E2" w:rsidRPr="008A0F36" w:rsidRDefault="004300E2" w:rsidP="004300E2">
            <w:pPr>
              <w:pStyle w:val="Numeroelenco"/>
              <w:ind w:left="0" w:firstLine="57"/>
              <w:rPr>
                <w:lang w:val="it-IT"/>
              </w:rPr>
            </w:pPr>
          </w:p>
        </w:tc>
        <w:tc>
          <w:tcPr>
            <w:tcW w:w="851" w:type="dxa"/>
            <w:shd w:val="clear" w:color="auto" w:fill="auto"/>
            <w:tcMar>
              <w:left w:w="108" w:type="dxa"/>
              <w:right w:w="0" w:type="dxa"/>
            </w:tcMar>
          </w:tcPr>
          <w:p w:rsidR="004300E2" w:rsidRPr="008A0F36" w:rsidRDefault="004300E2" w:rsidP="004300E2">
            <w:pPr>
              <w:pStyle w:val="IAS"/>
              <w:rPr>
                <w:lang w:val="it-IT"/>
              </w:rPr>
            </w:pPr>
            <w:r w:rsidRPr="008A0F36">
              <w:rPr>
                <w:lang w:val="it-IT"/>
              </w:rPr>
              <w:t>IAS 16.79</w:t>
            </w:r>
          </w:p>
        </w:tc>
        <w:tc>
          <w:tcPr>
            <w:tcW w:w="7079" w:type="dxa"/>
            <w:shd w:val="clear" w:color="auto" w:fill="auto"/>
            <w:tcMar>
              <w:left w:w="108" w:type="dxa"/>
            </w:tcMar>
          </w:tcPr>
          <w:p w:rsidR="004300E2" w:rsidRPr="00BF03D1" w:rsidRDefault="004300E2" w:rsidP="0002186C">
            <w:pPr>
              <w:pStyle w:val="Didascalia"/>
              <w:spacing w:after="0" w:line="224" w:lineRule="exact"/>
              <w:rPr>
                <w:b w:val="0"/>
                <w:color w:val="auto"/>
                <w:sz w:val="20"/>
                <w:lang w:val="it-IT"/>
              </w:rPr>
            </w:pPr>
            <w:r w:rsidRPr="00BF03D1">
              <w:rPr>
                <w:b w:val="0"/>
                <w:color w:val="auto"/>
                <w:sz w:val="20"/>
                <w:lang w:val="it-IT"/>
              </w:rPr>
              <w:t>Sono state date le seguenti informazioni (facoltative, ma comunque incoraggiate):</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4E201D" w:rsidRPr="008129DA" w:rsidTr="00F235B5">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BF03D1" w:rsidRDefault="004E201D" w:rsidP="0002186C">
            <w:pPr>
              <w:pStyle w:val="Rientroa"/>
              <w:numPr>
                <w:ilvl w:val="0"/>
                <w:numId w:val="142"/>
              </w:numPr>
              <w:spacing w:line="224" w:lineRule="exact"/>
            </w:pPr>
            <w:r w:rsidRPr="00BF03D1">
              <w:t>il valore contabile di immobili, impianti e macchinari temporaneamente inattivi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F235B5">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BF03D1" w:rsidRDefault="004E201D" w:rsidP="0002186C">
            <w:pPr>
              <w:pStyle w:val="Rientroa"/>
              <w:numPr>
                <w:ilvl w:val="0"/>
                <w:numId w:val="72"/>
              </w:numPr>
              <w:spacing w:line="224" w:lineRule="exact"/>
            </w:pPr>
            <w:r w:rsidRPr="00BF03D1">
              <w:t>il valore lordo contabile di immobili, impianti e macchinari totalmente ammortizzati e ancora in uso</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F235B5">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BF03D1" w:rsidRDefault="004E201D" w:rsidP="0002186C">
            <w:pPr>
              <w:pStyle w:val="Rientroa"/>
              <w:numPr>
                <w:ilvl w:val="0"/>
                <w:numId w:val="72"/>
              </w:numPr>
              <w:spacing w:line="224" w:lineRule="exact"/>
            </w:pPr>
            <w:r w:rsidRPr="00BF03D1">
              <w:t>il valore contabile di immobili, impianti e macchinari non più in uso e non classificati come posseduti per la vendita in accordo con l’IFRS 5; 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F235B5">
        <w:trPr>
          <w:cantSplit/>
        </w:trPr>
        <w:tc>
          <w:tcPr>
            <w:tcW w:w="567" w:type="dxa"/>
            <w:shd w:val="clear" w:color="auto" w:fill="auto"/>
            <w:tcMar>
              <w:left w:w="108" w:type="dxa"/>
              <w:right w:w="0" w:type="dxa"/>
            </w:tcMar>
          </w:tcPr>
          <w:p w:rsidR="004E201D" w:rsidRPr="008A0F36" w:rsidRDefault="004E201D" w:rsidP="004300E2">
            <w:pPr>
              <w:pStyle w:val="IAS"/>
              <w:rPr>
                <w:lang w:val="it-IT"/>
              </w:rPr>
            </w:pPr>
          </w:p>
        </w:tc>
        <w:tc>
          <w:tcPr>
            <w:tcW w:w="851" w:type="dxa"/>
            <w:shd w:val="clear" w:color="auto" w:fill="auto"/>
            <w:tcMar>
              <w:left w:w="108" w:type="dxa"/>
              <w:right w:w="0" w:type="dxa"/>
            </w:tcMar>
          </w:tcPr>
          <w:p w:rsidR="004E201D" w:rsidRPr="008A0F36" w:rsidRDefault="004E201D" w:rsidP="004300E2">
            <w:pPr>
              <w:pStyle w:val="IAS"/>
              <w:rPr>
                <w:lang w:val="it-IT"/>
              </w:rPr>
            </w:pPr>
          </w:p>
        </w:tc>
        <w:tc>
          <w:tcPr>
            <w:tcW w:w="7079" w:type="dxa"/>
            <w:shd w:val="clear" w:color="auto" w:fill="auto"/>
            <w:tcMar>
              <w:left w:w="108" w:type="dxa"/>
            </w:tcMar>
          </w:tcPr>
          <w:p w:rsidR="004E201D" w:rsidRPr="00BF03D1" w:rsidRDefault="004E201D" w:rsidP="0002186C">
            <w:pPr>
              <w:pStyle w:val="Rientroa"/>
              <w:numPr>
                <w:ilvl w:val="0"/>
                <w:numId w:val="72"/>
              </w:numPr>
              <w:spacing w:line="224" w:lineRule="exact"/>
            </w:pPr>
            <w:r w:rsidRPr="00BF03D1">
              <w:t xml:space="preserve">quando viene adottato il modello del costo, il </w:t>
            </w:r>
            <w:r w:rsidRPr="000F56BA">
              <w:rPr>
                <w:i/>
              </w:rPr>
              <w:t>fair value</w:t>
            </w:r>
            <w:r w:rsidRPr="00BF03D1">
              <w:t xml:space="preserve"> di immobili, impianti e macchinari quando questo è notevolmente differente dal valore contabile.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F235B5">
        <w:trPr>
          <w:cantSplit/>
        </w:trPr>
        <w:tc>
          <w:tcPr>
            <w:tcW w:w="567" w:type="dxa"/>
            <w:shd w:val="clear" w:color="auto" w:fill="auto"/>
            <w:tcMar>
              <w:left w:w="108" w:type="dxa"/>
              <w:right w:w="0" w:type="dxa"/>
            </w:tcMar>
            <w:vAlign w:val="center"/>
          </w:tcPr>
          <w:p w:rsidR="004300E2" w:rsidRPr="008A0F36" w:rsidRDefault="004300E2" w:rsidP="0002186C">
            <w:pPr>
              <w:pStyle w:val="IAS"/>
              <w:jc w:val="left"/>
              <w:rPr>
                <w:lang w:val="it-IT"/>
              </w:rPr>
            </w:pPr>
          </w:p>
        </w:tc>
        <w:tc>
          <w:tcPr>
            <w:tcW w:w="851" w:type="dxa"/>
            <w:shd w:val="clear" w:color="auto" w:fill="auto"/>
            <w:tcMar>
              <w:left w:w="108" w:type="dxa"/>
              <w:right w:w="0" w:type="dxa"/>
            </w:tcMar>
            <w:vAlign w:val="center"/>
          </w:tcPr>
          <w:p w:rsidR="004300E2" w:rsidRPr="008A0F36" w:rsidRDefault="004300E2" w:rsidP="0002186C">
            <w:pPr>
              <w:pStyle w:val="IAS"/>
              <w:jc w:val="left"/>
              <w:rPr>
                <w:lang w:val="it-IT"/>
              </w:rPr>
            </w:pPr>
          </w:p>
        </w:tc>
        <w:tc>
          <w:tcPr>
            <w:tcW w:w="7079" w:type="dxa"/>
            <w:shd w:val="clear" w:color="auto" w:fill="auto"/>
            <w:tcMar>
              <w:left w:w="108" w:type="dxa"/>
            </w:tcMar>
            <w:vAlign w:val="center"/>
          </w:tcPr>
          <w:p w:rsidR="004300E2" w:rsidRPr="008A0F36" w:rsidRDefault="004300E2" w:rsidP="0002186C">
            <w:pPr>
              <w:pStyle w:val="Titolo1"/>
              <w:keepNext w:val="0"/>
            </w:pPr>
            <w:r w:rsidRPr="008A0F36">
              <w:t>Accantonamenti, passività e attività potenziali</w:t>
            </w:r>
          </w:p>
        </w:tc>
        <w:tc>
          <w:tcPr>
            <w:tcW w:w="575" w:type="dxa"/>
            <w:shd w:val="clear" w:color="auto" w:fill="auto"/>
            <w:tcMar>
              <w:left w:w="85" w:type="dxa"/>
              <w:right w:w="85" w:type="dxa"/>
            </w:tcMar>
            <w:vAlign w:val="center"/>
          </w:tcPr>
          <w:p w:rsidR="004300E2" w:rsidRPr="00090BE7" w:rsidRDefault="004300E2" w:rsidP="0002186C">
            <w:pPr>
              <w:jc w:val="left"/>
              <w:rPr>
                <w:lang w:val="it-IT"/>
              </w:rPr>
            </w:pPr>
          </w:p>
        </w:tc>
        <w:tc>
          <w:tcPr>
            <w:tcW w:w="567" w:type="dxa"/>
            <w:shd w:val="clear" w:color="auto" w:fill="auto"/>
            <w:tcMar>
              <w:left w:w="108" w:type="dxa"/>
            </w:tcMar>
            <w:vAlign w:val="center"/>
          </w:tcPr>
          <w:p w:rsidR="004300E2" w:rsidRPr="00090BE7" w:rsidRDefault="004300E2" w:rsidP="0002186C">
            <w:pPr>
              <w:jc w:val="left"/>
              <w:rPr>
                <w:lang w:val="it-IT"/>
              </w:rPr>
            </w:pPr>
          </w:p>
        </w:tc>
        <w:tc>
          <w:tcPr>
            <w:tcW w:w="567" w:type="dxa"/>
            <w:shd w:val="clear" w:color="auto" w:fill="auto"/>
            <w:vAlign w:val="center"/>
          </w:tcPr>
          <w:p w:rsidR="004300E2" w:rsidRPr="00090BE7" w:rsidRDefault="004300E2" w:rsidP="0002186C">
            <w:pPr>
              <w:jc w:val="left"/>
              <w:rPr>
                <w:lang w:val="it-IT"/>
              </w:rPr>
            </w:pPr>
          </w:p>
        </w:tc>
      </w:tr>
      <w:tr w:rsidR="004300E2" w:rsidRPr="008A0F36" w:rsidTr="00F235B5">
        <w:trPr>
          <w:cantSplit/>
        </w:trPr>
        <w:tc>
          <w:tcPr>
            <w:tcW w:w="567" w:type="dxa"/>
            <w:shd w:val="clear" w:color="auto" w:fill="auto"/>
            <w:tcMar>
              <w:left w:w="108" w:type="dxa"/>
              <w:right w:w="0" w:type="dxa"/>
            </w:tcMar>
          </w:tcPr>
          <w:p w:rsidR="004300E2" w:rsidRPr="00237EFA" w:rsidRDefault="004300E2" w:rsidP="004300E2">
            <w:pPr>
              <w:pStyle w:val="Numeroelenco"/>
              <w:ind w:left="0" w:firstLine="57"/>
              <w:rPr>
                <w:lang w:val="it-IT"/>
              </w:rPr>
            </w:pPr>
          </w:p>
        </w:tc>
        <w:tc>
          <w:tcPr>
            <w:tcW w:w="851" w:type="dxa"/>
            <w:shd w:val="clear" w:color="auto" w:fill="auto"/>
            <w:tcMar>
              <w:left w:w="108" w:type="dxa"/>
              <w:right w:w="0" w:type="dxa"/>
            </w:tcMar>
          </w:tcPr>
          <w:p w:rsidR="004300E2" w:rsidRPr="00237EFA" w:rsidRDefault="004300E2" w:rsidP="004300E2">
            <w:pPr>
              <w:pStyle w:val="IAS"/>
              <w:rPr>
                <w:lang w:val="it-IT"/>
              </w:rPr>
            </w:pPr>
            <w:r w:rsidRPr="00237EFA">
              <w:rPr>
                <w:lang w:val="it-IT"/>
              </w:rPr>
              <w:t>IAS 37.92</w:t>
            </w:r>
          </w:p>
        </w:tc>
        <w:tc>
          <w:tcPr>
            <w:tcW w:w="7079" w:type="dxa"/>
            <w:shd w:val="clear" w:color="auto" w:fill="auto"/>
            <w:tcMar>
              <w:left w:w="108" w:type="dxa"/>
            </w:tcMar>
          </w:tcPr>
          <w:p w:rsidR="004300E2" w:rsidRPr="00237EFA" w:rsidRDefault="004300E2" w:rsidP="004300E2">
            <w:pPr>
              <w:rPr>
                <w:lang w:val="it-IT"/>
              </w:rPr>
            </w:pPr>
            <w:r w:rsidRPr="00237EFA">
              <w:rPr>
                <w:lang w:val="it-IT"/>
              </w:rPr>
              <w:t>In casi estremamente rari, l’indicazione di alcune o di tutte le informazioni richieste relativamente ad accantonamenti, passività e attività potenziali potrebbe pregiudicare seriamente la posizione della società in una controversia con terzi sulla materia alla base dell’accantonamento, della passività potenziale o della attività potenziale. In tali circostanze, l’entità indicherà:</w:t>
            </w:r>
          </w:p>
        </w:tc>
        <w:tc>
          <w:tcPr>
            <w:tcW w:w="575" w:type="dxa"/>
            <w:shd w:val="clear" w:color="auto" w:fill="auto"/>
            <w:tcMar>
              <w:left w:w="85" w:type="dxa"/>
              <w:right w:w="85" w:type="dxa"/>
            </w:tcMar>
            <w:vAlign w:val="center"/>
          </w:tcPr>
          <w:p w:rsidR="004300E2" w:rsidRDefault="004300E2" w:rsidP="004300E2">
            <w:pPr>
              <w:jc w:val="center"/>
            </w:pPr>
          </w:p>
        </w:tc>
        <w:tc>
          <w:tcPr>
            <w:tcW w:w="567" w:type="dxa"/>
            <w:shd w:val="clear" w:color="auto" w:fill="auto"/>
            <w:tcMar>
              <w:left w:w="108" w:type="dxa"/>
            </w:tcMar>
            <w:vAlign w:val="center"/>
          </w:tcPr>
          <w:p w:rsidR="004300E2" w:rsidRDefault="004300E2" w:rsidP="004300E2">
            <w:pPr>
              <w:jc w:val="center"/>
            </w:pPr>
          </w:p>
        </w:tc>
        <w:tc>
          <w:tcPr>
            <w:tcW w:w="567" w:type="dxa"/>
            <w:shd w:val="clear" w:color="auto" w:fill="auto"/>
            <w:vAlign w:val="center"/>
          </w:tcPr>
          <w:p w:rsidR="004300E2" w:rsidRDefault="004300E2" w:rsidP="004300E2">
            <w:pPr>
              <w:jc w:val="center"/>
            </w:pPr>
          </w:p>
        </w:tc>
      </w:tr>
      <w:tr w:rsidR="004E201D" w:rsidRPr="008129DA" w:rsidTr="00F235B5">
        <w:trPr>
          <w:cantSplit/>
        </w:trPr>
        <w:tc>
          <w:tcPr>
            <w:tcW w:w="567" w:type="dxa"/>
            <w:shd w:val="clear" w:color="auto" w:fill="auto"/>
            <w:tcMar>
              <w:left w:w="108" w:type="dxa"/>
              <w:right w:w="0" w:type="dxa"/>
            </w:tcMar>
          </w:tcPr>
          <w:p w:rsidR="004E201D" w:rsidRPr="00237EFA" w:rsidRDefault="004E201D" w:rsidP="004300E2">
            <w:pPr>
              <w:pStyle w:val="IAS"/>
              <w:rPr>
                <w:lang w:val="it-IT"/>
              </w:rPr>
            </w:pPr>
          </w:p>
        </w:tc>
        <w:tc>
          <w:tcPr>
            <w:tcW w:w="851" w:type="dxa"/>
            <w:shd w:val="clear" w:color="auto" w:fill="auto"/>
            <w:tcMar>
              <w:left w:w="108" w:type="dxa"/>
              <w:right w:w="0" w:type="dxa"/>
            </w:tcMar>
          </w:tcPr>
          <w:p w:rsidR="004E201D" w:rsidRPr="00237EFA" w:rsidRDefault="004E201D" w:rsidP="004300E2">
            <w:pPr>
              <w:pStyle w:val="IAS"/>
              <w:rPr>
                <w:lang w:val="it-IT"/>
              </w:rPr>
            </w:pPr>
          </w:p>
        </w:tc>
        <w:tc>
          <w:tcPr>
            <w:tcW w:w="7079" w:type="dxa"/>
            <w:shd w:val="clear" w:color="auto" w:fill="auto"/>
            <w:tcMar>
              <w:left w:w="108" w:type="dxa"/>
            </w:tcMar>
          </w:tcPr>
          <w:p w:rsidR="004E201D" w:rsidRPr="00237EFA" w:rsidRDefault="004E201D" w:rsidP="004300E2">
            <w:pPr>
              <w:pStyle w:val="Rientroa"/>
              <w:numPr>
                <w:ilvl w:val="0"/>
                <w:numId w:val="143"/>
              </w:numPr>
            </w:pPr>
            <w:r w:rsidRPr="00237EFA">
              <w:t>la natura generale della vertenza; 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F235B5">
        <w:trPr>
          <w:cantSplit/>
        </w:trPr>
        <w:tc>
          <w:tcPr>
            <w:tcW w:w="567" w:type="dxa"/>
            <w:shd w:val="clear" w:color="auto" w:fill="auto"/>
            <w:tcMar>
              <w:left w:w="108" w:type="dxa"/>
              <w:right w:w="0" w:type="dxa"/>
            </w:tcMar>
          </w:tcPr>
          <w:p w:rsidR="004E201D" w:rsidRPr="00237EFA" w:rsidRDefault="004E201D" w:rsidP="004300E2">
            <w:pPr>
              <w:pStyle w:val="IAS"/>
              <w:rPr>
                <w:lang w:val="it-IT"/>
              </w:rPr>
            </w:pPr>
          </w:p>
        </w:tc>
        <w:tc>
          <w:tcPr>
            <w:tcW w:w="851" w:type="dxa"/>
            <w:shd w:val="clear" w:color="auto" w:fill="auto"/>
            <w:tcMar>
              <w:left w:w="108" w:type="dxa"/>
              <w:right w:w="0" w:type="dxa"/>
            </w:tcMar>
          </w:tcPr>
          <w:p w:rsidR="004E201D" w:rsidRPr="00237EFA" w:rsidRDefault="004E201D" w:rsidP="004300E2">
            <w:pPr>
              <w:pStyle w:val="IAS"/>
              <w:rPr>
                <w:lang w:val="it-IT"/>
              </w:rPr>
            </w:pPr>
          </w:p>
        </w:tc>
        <w:tc>
          <w:tcPr>
            <w:tcW w:w="7079" w:type="dxa"/>
            <w:shd w:val="clear" w:color="auto" w:fill="auto"/>
            <w:tcMar>
              <w:left w:w="108" w:type="dxa"/>
            </w:tcMar>
          </w:tcPr>
          <w:p w:rsidR="004E201D" w:rsidRPr="00237EFA" w:rsidRDefault="004E201D" w:rsidP="00FB4B6E">
            <w:pPr>
              <w:pStyle w:val="Rientroa"/>
              <w:numPr>
                <w:ilvl w:val="0"/>
                <w:numId w:val="72"/>
              </w:numPr>
            </w:pPr>
            <w:r w:rsidRPr="00237EFA">
              <w:t>il fatto che, e il motivo per cui, l’informazione non è stata indicata.</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A0F36" w:rsidTr="00F235B5">
        <w:trPr>
          <w:cantSplit/>
        </w:trPr>
        <w:tc>
          <w:tcPr>
            <w:tcW w:w="567" w:type="dxa"/>
            <w:shd w:val="clear" w:color="auto" w:fill="auto"/>
            <w:tcMar>
              <w:left w:w="108" w:type="dxa"/>
              <w:right w:w="0" w:type="dxa"/>
            </w:tcMar>
          </w:tcPr>
          <w:p w:rsidR="004300E2" w:rsidRPr="00237EFA" w:rsidRDefault="004300E2" w:rsidP="0002186C">
            <w:pPr>
              <w:pStyle w:val="IAS"/>
              <w:pageBreakBefore/>
              <w:rPr>
                <w:lang w:val="it-IT"/>
              </w:rPr>
            </w:pPr>
          </w:p>
        </w:tc>
        <w:tc>
          <w:tcPr>
            <w:tcW w:w="851" w:type="dxa"/>
            <w:shd w:val="clear" w:color="auto" w:fill="auto"/>
            <w:tcMar>
              <w:left w:w="108" w:type="dxa"/>
              <w:right w:w="0" w:type="dxa"/>
            </w:tcMar>
          </w:tcPr>
          <w:p w:rsidR="004300E2" w:rsidRPr="00237EFA" w:rsidRDefault="004300E2" w:rsidP="0002186C">
            <w:pPr>
              <w:pStyle w:val="IAS"/>
              <w:pageBreakBefore/>
              <w:rPr>
                <w:lang w:val="it-IT"/>
              </w:rPr>
            </w:pPr>
          </w:p>
        </w:tc>
        <w:tc>
          <w:tcPr>
            <w:tcW w:w="7079" w:type="dxa"/>
            <w:shd w:val="clear" w:color="auto" w:fill="auto"/>
            <w:tcMar>
              <w:left w:w="108" w:type="dxa"/>
            </w:tcMar>
          </w:tcPr>
          <w:p w:rsidR="004300E2" w:rsidRPr="00237EFA" w:rsidRDefault="004300E2" w:rsidP="0002186C">
            <w:pPr>
              <w:pStyle w:val="Titolo2"/>
              <w:pageBreakBefore/>
              <w:rPr>
                <w:lang w:val="it-IT"/>
              </w:rPr>
            </w:pPr>
            <w:r w:rsidRPr="00237EFA">
              <w:rPr>
                <w:lang w:val="it-IT"/>
              </w:rPr>
              <w:t>Accantonamenti</w:t>
            </w:r>
          </w:p>
        </w:tc>
        <w:tc>
          <w:tcPr>
            <w:tcW w:w="575" w:type="dxa"/>
            <w:shd w:val="clear" w:color="auto" w:fill="auto"/>
            <w:tcMar>
              <w:left w:w="85" w:type="dxa"/>
              <w:right w:w="85" w:type="dxa"/>
            </w:tcMar>
            <w:vAlign w:val="center"/>
          </w:tcPr>
          <w:p w:rsidR="004300E2" w:rsidRDefault="004300E2" w:rsidP="0002186C">
            <w:pPr>
              <w:pageBreakBefore/>
              <w:jc w:val="center"/>
            </w:pPr>
          </w:p>
        </w:tc>
        <w:tc>
          <w:tcPr>
            <w:tcW w:w="567" w:type="dxa"/>
            <w:shd w:val="clear" w:color="auto" w:fill="auto"/>
            <w:tcMar>
              <w:left w:w="108" w:type="dxa"/>
            </w:tcMar>
            <w:vAlign w:val="center"/>
          </w:tcPr>
          <w:p w:rsidR="004300E2" w:rsidRDefault="004300E2" w:rsidP="0002186C">
            <w:pPr>
              <w:pageBreakBefore/>
              <w:jc w:val="center"/>
            </w:pPr>
          </w:p>
        </w:tc>
        <w:tc>
          <w:tcPr>
            <w:tcW w:w="567" w:type="dxa"/>
            <w:shd w:val="clear" w:color="auto" w:fill="auto"/>
            <w:vAlign w:val="center"/>
          </w:tcPr>
          <w:p w:rsidR="004300E2" w:rsidRDefault="004300E2" w:rsidP="0002186C">
            <w:pPr>
              <w:pageBreakBefore/>
              <w:jc w:val="center"/>
            </w:pPr>
          </w:p>
        </w:tc>
      </w:tr>
      <w:tr w:rsidR="004300E2" w:rsidRPr="00A44ECD" w:rsidTr="00F235B5">
        <w:trPr>
          <w:cantSplit/>
        </w:trPr>
        <w:tc>
          <w:tcPr>
            <w:tcW w:w="567" w:type="dxa"/>
            <w:shd w:val="clear" w:color="auto" w:fill="auto"/>
            <w:tcMar>
              <w:left w:w="108" w:type="dxa"/>
              <w:right w:w="0" w:type="dxa"/>
            </w:tcMar>
          </w:tcPr>
          <w:p w:rsidR="004300E2" w:rsidRPr="00237EFA" w:rsidRDefault="004300E2" w:rsidP="004300E2">
            <w:pPr>
              <w:pStyle w:val="Numeroelenco"/>
              <w:ind w:left="0" w:firstLine="57"/>
              <w:rPr>
                <w:lang w:val="it-IT"/>
              </w:rPr>
            </w:pPr>
          </w:p>
        </w:tc>
        <w:tc>
          <w:tcPr>
            <w:tcW w:w="851" w:type="dxa"/>
            <w:shd w:val="clear" w:color="auto" w:fill="auto"/>
            <w:tcMar>
              <w:left w:w="108" w:type="dxa"/>
              <w:right w:w="0" w:type="dxa"/>
            </w:tcMar>
          </w:tcPr>
          <w:p w:rsidR="004300E2" w:rsidRPr="00237EFA" w:rsidRDefault="004300E2" w:rsidP="004300E2">
            <w:pPr>
              <w:pStyle w:val="IAS"/>
              <w:rPr>
                <w:lang w:val="it-IT"/>
              </w:rPr>
            </w:pPr>
            <w:r w:rsidRPr="00237EFA">
              <w:rPr>
                <w:lang w:val="it-IT"/>
              </w:rPr>
              <w:t>IAS 37.84</w:t>
            </w:r>
          </w:p>
        </w:tc>
        <w:tc>
          <w:tcPr>
            <w:tcW w:w="7079" w:type="dxa"/>
            <w:shd w:val="clear" w:color="auto" w:fill="auto"/>
            <w:tcMar>
              <w:left w:w="108" w:type="dxa"/>
            </w:tcMar>
          </w:tcPr>
          <w:p w:rsidR="004300E2" w:rsidRPr="00237EFA" w:rsidRDefault="004300E2" w:rsidP="004300E2">
            <w:pPr>
              <w:rPr>
                <w:lang w:val="it-IT"/>
              </w:rPr>
            </w:pPr>
            <w:r w:rsidRPr="00237EFA">
              <w:rPr>
                <w:lang w:val="it-IT"/>
              </w:rPr>
              <w:t>Per ogni classe di accantonamenti (non sono richieste informazioni comparative), sono state fornite le seguenti informazioni:</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4E201D" w:rsidRPr="008129DA" w:rsidTr="00F235B5">
        <w:trPr>
          <w:cantSplit/>
        </w:trPr>
        <w:tc>
          <w:tcPr>
            <w:tcW w:w="567" w:type="dxa"/>
            <w:shd w:val="clear" w:color="auto" w:fill="auto"/>
            <w:tcMar>
              <w:left w:w="108" w:type="dxa"/>
              <w:right w:w="0" w:type="dxa"/>
            </w:tcMar>
          </w:tcPr>
          <w:p w:rsidR="004E201D" w:rsidRPr="00237EFA" w:rsidRDefault="004E201D" w:rsidP="004300E2">
            <w:pPr>
              <w:pStyle w:val="IAS"/>
              <w:rPr>
                <w:lang w:val="it-IT"/>
              </w:rPr>
            </w:pPr>
          </w:p>
        </w:tc>
        <w:tc>
          <w:tcPr>
            <w:tcW w:w="851" w:type="dxa"/>
            <w:shd w:val="clear" w:color="auto" w:fill="auto"/>
            <w:tcMar>
              <w:left w:w="108" w:type="dxa"/>
              <w:right w:w="0" w:type="dxa"/>
            </w:tcMar>
          </w:tcPr>
          <w:p w:rsidR="004E201D" w:rsidRPr="00237EFA" w:rsidRDefault="004E201D" w:rsidP="004300E2">
            <w:pPr>
              <w:pStyle w:val="IAS"/>
              <w:rPr>
                <w:lang w:val="it-IT"/>
              </w:rPr>
            </w:pPr>
          </w:p>
        </w:tc>
        <w:tc>
          <w:tcPr>
            <w:tcW w:w="7079" w:type="dxa"/>
            <w:shd w:val="clear" w:color="auto" w:fill="auto"/>
            <w:tcMar>
              <w:left w:w="108" w:type="dxa"/>
            </w:tcMar>
          </w:tcPr>
          <w:p w:rsidR="004E201D" w:rsidRPr="00237EFA" w:rsidRDefault="004E201D" w:rsidP="004300E2">
            <w:pPr>
              <w:pStyle w:val="Rientroa"/>
              <w:numPr>
                <w:ilvl w:val="0"/>
                <w:numId w:val="144"/>
              </w:numPr>
            </w:pPr>
            <w:r w:rsidRPr="00237EFA">
              <w:t>il valore contabile di inizio e fine esercizio</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F235B5">
        <w:trPr>
          <w:cantSplit/>
        </w:trPr>
        <w:tc>
          <w:tcPr>
            <w:tcW w:w="567" w:type="dxa"/>
            <w:shd w:val="clear" w:color="auto" w:fill="auto"/>
            <w:tcMar>
              <w:left w:w="108" w:type="dxa"/>
              <w:right w:w="0" w:type="dxa"/>
            </w:tcMar>
          </w:tcPr>
          <w:p w:rsidR="004E201D" w:rsidRPr="00237EFA" w:rsidRDefault="004E201D" w:rsidP="004300E2">
            <w:pPr>
              <w:pStyle w:val="IAS"/>
              <w:rPr>
                <w:lang w:val="it-IT"/>
              </w:rPr>
            </w:pPr>
          </w:p>
        </w:tc>
        <w:tc>
          <w:tcPr>
            <w:tcW w:w="851" w:type="dxa"/>
            <w:shd w:val="clear" w:color="auto" w:fill="auto"/>
            <w:tcMar>
              <w:left w:w="108" w:type="dxa"/>
              <w:right w:w="0" w:type="dxa"/>
            </w:tcMar>
          </w:tcPr>
          <w:p w:rsidR="004E201D" w:rsidRPr="00237EFA" w:rsidRDefault="004E201D" w:rsidP="004300E2">
            <w:pPr>
              <w:pStyle w:val="IAS"/>
              <w:rPr>
                <w:lang w:val="it-IT"/>
              </w:rPr>
            </w:pPr>
          </w:p>
        </w:tc>
        <w:tc>
          <w:tcPr>
            <w:tcW w:w="7079" w:type="dxa"/>
            <w:shd w:val="clear" w:color="auto" w:fill="auto"/>
            <w:tcMar>
              <w:left w:w="108" w:type="dxa"/>
            </w:tcMar>
          </w:tcPr>
          <w:p w:rsidR="004E201D" w:rsidRPr="00237EFA" w:rsidRDefault="004E201D" w:rsidP="00FB4B6E">
            <w:pPr>
              <w:pStyle w:val="Rientroa"/>
              <w:numPr>
                <w:ilvl w:val="0"/>
                <w:numId w:val="72"/>
              </w:numPr>
            </w:pPr>
            <w:r w:rsidRPr="00237EFA">
              <w:t>gli accantonamenti aggiuntivi effettuati nell’esercizio, inclusi gli aumenti agli accantonamenti esistenti</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F235B5">
        <w:trPr>
          <w:cantSplit/>
        </w:trPr>
        <w:tc>
          <w:tcPr>
            <w:tcW w:w="567" w:type="dxa"/>
            <w:shd w:val="clear" w:color="auto" w:fill="auto"/>
            <w:tcMar>
              <w:left w:w="108" w:type="dxa"/>
              <w:right w:w="0" w:type="dxa"/>
            </w:tcMar>
          </w:tcPr>
          <w:p w:rsidR="004E201D" w:rsidRPr="00237EFA" w:rsidRDefault="004E201D" w:rsidP="004300E2">
            <w:pPr>
              <w:pStyle w:val="IAS"/>
              <w:rPr>
                <w:lang w:val="it-IT"/>
              </w:rPr>
            </w:pPr>
          </w:p>
        </w:tc>
        <w:tc>
          <w:tcPr>
            <w:tcW w:w="851" w:type="dxa"/>
            <w:shd w:val="clear" w:color="auto" w:fill="auto"/>
            <w:tcMar>
              <w:left w:w="108" w:type="dxa"/>
              <w:right w:w="0" w:type="dxa"/>
            </w:tcMar>
          </w:tcPr>
          <w:p w:rsidR="004E201D" w:rsidRPr="00237EFA" w:rsidRDefault="004E201D" w:rsidP="004300E2">
            <w:pPr>
              <w:pStyle w:val="IAS"/>
              <w:rPr>
                <w:lang w:val="it-IT"/>
              </w:rPr>
            </w:pPr>
          </w:p>
        </w:tc>
        <w:tc>
          <w:tcPr>
            <w:tcW w:w="7079" w:type="dxa"/>
            <w:shd w:val="clear" w:color="auto" w:fill="auto"/>
            <w:tcMar>
              <w:left w:w="108" w:type="dxa"/>
            </w:tcMar>
          </w:tcPr>
          <w:p w:rsidR="004E201D" w:rsidRPr="00237EFA" w:rsidRDefault="004E201D" w:rsidP="00FB4B6E">
            <w:pPr>
              <w:pStyle w:val="Rientroa"/>
              <w:numPr>
                <w:ilvl w:val="0"/>
                <w:numId w:val="72"/>
              </w:numPr>
            </w:pPr>
            <w:r w:rsidRPr="00237EFA">
              <w:t>gli importi utilizzati (cioè costi sostenuti e imputati contro il fondo) durante l’esercizio</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F235B5">
        <w:trPr>
          <w:cantSplit/>
        </w:trPr>
        <w:tc>
          <w:tcPr>
            <w:tcW w:w="567" w:type="dxa"/>
            <w:shd w:val="clear" w:color="auto" w:fill="auto"/>
            <w:tcMar>
              <w:left w:w="108" w:type="dxa"/>
              <w:right w:w="0" w:type="dxa"/>
            </w:tcMar>
          </w:tcPr>
          <w:p w:rsidR="004E201D" w:rsidRPr="00237EFA" w:rsidRDefault="004E201D" w:rsidP="004300E2">
            <w:pPr>
              <w:pStyle w:val="IAS"/>
              <w:rPr>
                <w:lang w:val="it-IT"/>
              </w:rPr>
            </w:pPr>
          </w:p>
        </w:tc>
        <w:tc>
          <w:tcPr>
            <w:tcW w:w="851" w:type="dxa"/>
            <w:shd w:val="clear" w:color="auto" w:fill="auto"/>
            <w:tcMar>
              <w:left w:w="108" w:type="dxa"/>
              <w:right w:w="0" w:type="dxa"/>
            </w:tcMar>
          </w:tcPr>
          <w:p w:rsidR="004E201D" w:rsidRPr="00237EFA" w:rsidRDefault="004E201D" w:rsidP="004300E2">
            <w:pPr>
              <w:pStyle w:val="IAS"/>
              <w:rPr>
                <w:lang w:val="it-IT"/>
              </w:rPr>
            </w:pPr>
          </w:p>
        </w:tc>
        <w:tc>
          <w:tcPr>
            <w:tcW w:w="7079" w:type="dxa"/>
            <w:shd w:val="clear" w:color="auto" w:fill="auto"/>
            <w:tcMar>
              <w:left w:w="108" w:type="dxa"/>
            </w:tcMar>
          </w:tcPr>
          <w:p w:rsidR="004E201D" w:rsidRPr="00237EFA" w:rsidRDefault="004E201D" w:rsidP="00FB4B6E">
            <w:pPr>
              <w:pStyle w:val="Rientroa"/>
              <w:numPr>
                <w:ilvl w:val="0"/>
                <w:numId w:val="72"/>
              </w:numPr>
            </w:pPr>
            <w:r w:rsidRPr="00237EFA">
              <w:t>gli importi non utilizzati e stornati durante l’esercizio; 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E201D" w:rsidRPr="008129DA" w:rsidTr="00F235B5">
        <w:trPr>
          <w:cantSplit/>
        </w:trPr>
        <w:tc>
          <w:tcPr>
            <w:tcW w:w="567" w:type="dxa"/>
            <w:shd w:val="clear" w:color="auto" w:fill="auto"/>
            <w:tcMar>
              <w:left w:w="108" w:type="dxa"/>
              <w:right w:w="0" w:type="dxa"/>
            </w:tcMar>
          </w:tcPr>
          <w:p w:rsidR="004E201D" w:rsidRPr="00237EFA" w:rsidRDefault="004E201D" w:rsidP="004300E2">
            <w:pPr>
              <w:pStyle w:val="IAS"/>
              <w:rPr>
                <w:lang w:val="it-IT"/>
              </w:rPr>
            </w:pPr>
          </w:p>
        </w:tc>
        <w:tc>
          <w:tcPr>
            <w:tcW w:w="851" w:type="dxa"/>
            <w:shd w:val="clear" w:color="auto" w:fill="auto"/>
            <w:tcMar>
              <w:left w:w="108" w:type="dxa"/>
              <w:right w:w="0" w:type="dxa"/>
            </w:tcMar>
          </w:tcPr>
          <w:p w:rsidR="004E201D" w:rsidRPr="00237EFA" w:rsidRDefault="004E201D" w:rsidP="004300E2">
            <w:pPr>
              <w:pStyle w:val="IAS"/>
              <w:rPr>
                <w:lang w:val="it-IT"/>
              </w:rPr>
            </w:pPr>
          </w:p>
        </w:tc>
        <w:tc>
          <w:tcPr>
            <w:tcW w:w="7079" w:type="dxa"/>
            <w:shd w:val="clear" w:color="auto" w:fill="auto"/>
            <w:tcMar>
              <w:left w:w="108" w:type="dxa"/>
            </w:tcMar>
          </w:tcPr>
          <w:p w:rsidR="004E201D" w:rsidRPr="00237EFA" w:rsidRDefault="004E201D" w:rsidP="00FB4B6E">
            <w:pPr>
              <w:pStyle w:val="Rientroa"/>
              <w:numPr>
                <w:ilvl w:val="0"/>
                <w:numId w:val="72"/>
              </w:numPr>
            </w:pPr>
            <w:r w:rsidRPr="00237EFA">
              <w:t>gli incrementi durante l’esercizio negli importi attualizzati dovuti al passare del tempo e l’effetto di ogni cambiamento del tasso di attualizzazione.</w:t>
            </w:r>
          </w:p>
        </w:tc>
        <w:tc>
          <w:tcPr>
            <w:tcW w:w="575" w:type="dxa"/>
            <w:shd w:val="clear" w:color="auto" w:fill="auto"/>
            <w:tcMar>
              <w:left w:w="85" w:type="dxa"/>
              <w:right w:w="85"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4E201D" w:rsidRPr="00A32A16" w:rsidRDefault="004E201D"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F235B5">
        <w:trPr>
          <w:cantSplit/>
        </w:trPr>
        <w:tc>
          <w:tcPr>
            <w:tcW w:w="567" w:type="dxa"/>
            <w:shd w:val="clear" w:color="auto" w:fill="auto"/>
            <w:tcMar>
              <w:left w:w="108" w:type="dxa"/>
              <w:right w:w="0" w:type="dxa"/>
            </w:tcMar>
          </w:tcPr>
          <w:p w:rsidR="004300E2" w:rsidRPr="00237EFA" w:rsidRDefault="004300E2" w:rsidP="004300E2">
            <w:pPr>
              <w:pStyle w:val="Numeroelenco"/>
              <w:ind w:left="0" w:firstLine="57"/>
              <w:rPr>
                <w:lang w:val="it-IT"/>
              </w:rPr>
            </w:pPr>
          </w:p>
        </w:tc>
        <w:tc>
          <w:tcPr>
            <w:tcW w:w="851" w:type="dxa"/>
            <w:shd w:val="clear" w:color="auto" w:fill="auto"/>
            <w:tcMar>
              <w:left w:w="108" w:type="dxa"/>
              <w:right w:w="0" w:type="dxa"/>
            </w:tcMar>
          </w:tcPr>
          <w:p w:rsidR="004300E2" w:rsidRPr="00237EFA" w:rsidRDefault="004300E2" w:rsidP="004300E2">
            <w:pPr>
              <w:pStyle w:val="IAS"/>
              <w:rPr>
                <w:lang w:val="it-IT"/>
              </w:rPr>
            </w:pPr>
            <w:r w:rsidRPr="00237EFA">
              <w:rPr>
                <w:lang w:val="it-IT"/>
              </w:rPr>
              <w:t>IAS 37.85</w:t>
            </w:r>
          </w:p>
        </w:tc>
        <w:tc>
          <w:tcPr>
            <w:tcW w:w="7079" w:type="dxa"/>
            <w:shd w:val="clear" w:color="auto" w:fill="auto"/>
            <w:tcMar>
              <w:left w:w="108" w:type="dxa"/>
            </w:tcMar>
          </w:tcPr>
          <w:p w:rsidR="004300E2" w:rsidRPr="00237EFA" w:rsidRDefault="004300E2" w:rsidP="004300E2">
            <w:pPr>
              <w:rPr>
                <w:lang w:val="it-IT"/>
              </w:rPr>
            </w:pPr>
            <w:r w:rsidRPr="00237EFA">
              <w:rPr>
                <w:lang w:val="it-IT"/>
              </w:rPr>
              <w:t>Per ogni classe di accantonamenti sono state fornite le seguenti informazioni:</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892FE4" w:rsidRPr="008129DA" w:rsidTr="00F235B5">
        <w:trPr>
          <w:cantSplit/>
        </w:trPr>
        <w:tc>
          <w:tcPr>
            <w:tcW w:w="567" w:type="dxa"/>
            <w:shd w:val="clear" w:color="auto" w:fill="auto"/>
            <w:tcMar>
              <w:left w:w="108" w:type="dxa"/>
              <w:right w:w="0" w:type="dxa"/>
            </w:tcMar>
          </w:tcPr>
          <w:p w:rsidR="00892FE4" w:rsidRPr="00237EFA" w:rsidRDefault="00892FE4" w:rsidP="004300E2">
            <w:pPr>
              <w:pStyle w:val="IAS"/>
              <w:rPr>
                <w:lang w:val="it-IT"/>
              </w:rPr>
            </w:pPr>
          </w:p>
        </w:tc>
        <w:tc>
          <w:tcPr>
            <w:tcW w:w="851" w:type="dxa"/>
            <w:shd w:val="clear" w:color="auto" w:fill="auto"/>
            <w:tcMar>
              <w:left w:w="108" w:type="dxa"/>
              <w:right w:w="0" w:type="dxa"/>
            </w:tcMar>
          </w:tcPr>
          <w:p w:rsidR="00892FE4" w:rsidRPr="00237EFA" w:rsidRDefault="00892FE4" w:rsidP="004300E2">
            <w:pPr>
              <w:pStyle w:val="IAS"/>
              <w:rPr>
                <w:lang w:val="it-IT"/>
              </w:rPr>
            </w:pPr>
          </w:p>
        </w:tc>
        <w:tc>
          <w:tcPr>
            <w:tcW w:w="7079" w:type="dxa"/>
            <w:shd w:val="clear" w:color="auto" w:fill="auto"/>
            <w:tcMar>
              <w:left w:w="108" w:type="dxa"/>
            </w:tcMar>
          </w:tcPr>
          <w:p w:rsidR="00892FE4" w:rsidRPr="00237EFA" w:rsidRDefault="00892FE4" w:rsidP="004300E2">
            <w:pPr>
              <w:pStyle w:val="Rientroa"/>
              <w:numPr>
                <w:ilvl w:val="0"/>
                <w:numId w:val="145"/>
              </w:numPr>
              <w:spacing w:before="0" w:after="0"/>
              <w:ind w:left="391" w:hanging="357"/>
            </w:pPr>
            <w:r w:rsidRPr="00237EFA">
              <w:t>una breve descrizione della natura dell’obbligazione e la tempistica prevista per gli esborsi</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892FE4" w:rsidRPr="008129DA" w:rsidTr="00F235B5">
        <w:trPr>
          <w:cantSplit/>
        </w:trPr>
        <w:tc>
          <w:tcPr>
            <w:tcW w:w="567" w:type="dxa"/>
            <w:shd w:val="clear" w:color="auto" w:fill="auto"/>
            <w:tcMar>
              <w:left w:w="108" w:type="dxa"/>
              <w:right w:w="0" w:type="dxa"/>
            </w:tcMar>
          </w:tcPr>
          <w:p w:rsidR="00892FE4" w:rsidRPr="00237EFA" w:rsidRDefault="00892FE4" w:rsidP="004300E2">
            <w:pPr>
              <w:pStyle w:val="IAS"/>
              <w:rPr>
                <w:lang w:val="it-IT"/>
              </w:rPr>
            </w:pPr>
          </w:p>
        </w:tc>
        <w:tc>
          <w:tcPr>
            <w:tcW w:w="851" w:type="dxa"/>
            <w:shd w:val="clear" w:color="auto" w:fill="auto"/>
            <w:tcMar>
              <w:left w:w="108" w:type="dxa"/>
              <w:right w:w="0" w:type="dxa"/>
            </w:tcMar>
          </w:tcPr>
          <w:p w:rsidR="00892FE4" w:rsidRPr="00237EFA" w:rsidRDefault="00892FE4" w:rsidP="004300E2">
            <w:pPr>
              <w:pStyle w:val="IAS"/>
              <w:rPr>
                <w:lang w:val="it-IT"/>
              </w:rPr>
            </w:pPr>
            <w:r w:rsidRPr="00237EFA">
              <w:rPr>
                <w:lang w:val="it-IT"/>
              </w:rPr>
              <w:t>IAS 37.49</w:t>
            </w:r>
          </w:p>
        </w:tc>
        <w:tc>
          <w:tcPr>
            <w:tcW w:w="7079" w:type="dxa"/>
            <w:shd w:val="clear" w:color="auto" w:fill="auto"/>
            <w:tcMar>
              <w:left w:w="108" w:type="dxa"/>
            </w:tcMar>
          </w:tcPr>
          <w:p w:rsidR="00892FE4" w:rsidRPr="00237EFA" w:rsidRDefault="00892FE4" w:rsidP="00FB4B6E">
            <w:pPr>
              <w:pStyle w:val="Rientroa"/>
              <w:numPr>
                <w:ilvl w:val="0"/>
                <w:numId w:val="72"/>
              </w:numPr>
              <w:spacing w:before="0" w:after="0"/>
              <w:ind w:left="391" w:hanging="357"/>
            </w:pPr>
            <w:r w:rsidRPr="00237EFA">
              <w:t>un’indicazione delle incertezze relative all’ammontare o alla tempistica di tali esborsi. Laddove risulti necessario al fine di fornire adeguate informazioni, l’entità deve evidenziare le principali ipotesi formulate su fatti futuri, (vedi IAS 37.48-50 per ulteriori indicazioni)</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892FE4" w:rsidRPr="008129DA" w:rsidTr="00F235B5">
        <w:trPr>
          <w:cantSplit/>
        </w:trPr>
        <w:tc>
          <w:tcPr>
            <w:tcW w:w="567" w:type="dxa"/>
            <w:shd w:val="clear" w:color="auto" w:fill="auto"/>
            <w:tcMar>
              <w:left w:w="108" w:type="dxa"/>
              <w:right w:w="0" w:type="dxa"/>
            </w:tcMar>
          </w:tcPr>
          <w:p w:rsidR="00892FE4" w:rsidRPr="00237EFA" w:rsidRDefault="00892FE4" w:rsidP="004300E2">
            <w:pPr>
              <w:pStyle w:val="IAS"/>
              <w:rPr>
                <w:lang w:val="it-IT"/>
              </w:rPr>
            </w:pPr>
          </w:p>
        </w:tc>
        <w:tc>
          <w:tcPr>
            <w:tcW w:w="851" w:type="dxa"/>
            <w:shd w:val="clear" w:color="auto" w:fill="auto"/>
            <w:tcMar>
              <w:left w:w="108" w:type="dxa"/>
              <w:right w:w="0" w:type="dxa"/>
            </w:tcMar>
          </w:tcPr>
          <w:p w:rsidR="00892FE4" w:rsidRPr="00237EFA" w:rsidRDefault="00892FE4" w:rsidP="004300E2">
            <w:pPr>
              <w:pStyle w:val="IAS"/>
              <w:rPr>
                <w:lang w:val="it-IT"/>
              </w:rPr>
            </w:pPr>
          </w:p>
        </w:tc>
        <w:tc>
          <w:tcPr>
            <w:tcW w:w="7079" w:type="dxa"/>
            <w:shd w:val="clear" w:color="auto" w:fill="auto"/>
            <w:tcMar>
              <w:left w:w="108" w:type="dxa"/>
            </w:tcMar>
          </w:tcPr>
          <w:p w:rsidR="00892FE4" w:rsidRPr="00237EFA" w:rsidRDefault="00892FE4" w:rsidP="00FB4B6E">
            <w:pPr>
              <w:pStyle w:val="Rientroa"/>
              <w:numPr>
                <w:ilvl w:val="0"/>
                <w:numId w:val="72"/>
              </w:numPr>
              <w:spacing w:before="0" w:after="0"/>
              <w:ind w:left="391" w:hanging="357"/>
            </w:pPr>
            <w:r w:rsidRPr="00237EFA">
              <w:t>l’ammontare di qualsiasi indennizzo previsto, specificando l’ammontare di ciascuna attività rilevata per l’indennizzo atteso.</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A0F36" w:rsidTr="00F235B5">
        <w:trPr>
          <w:cantSplit/>
        </w:trPr>
        <w:tc>
          <w:tcPr>
            <w:tcW w:w="567" w:type="dxa"/>
            <w:shd w:val="clear" w:color="auto" w:fill="auto"/>
            <w:tcMar>
              <w:left w:w="108" w:type="dxa"/>
              <w:right w:w="0" w:type="dxa"/>
            </w:tcMar>
          </w:tcPr>
          <w:p w:rsidR="004300E2" w:rsidRPr="00237EFA" w:rsidRDefault="004300E2" w:rsidP="004300E2">
            <w:pPr>
              <w:pStyle w:val="IAS"/>
              <w:rPr>
                <w:lang w:val="it-IT"/>
              </w:rPr>
            </w:pPr>
          </w:p>
        </w:tc>
        <w:tc>
          <w:tcPr>
            <w:tcW w:w="851" w:type="dxa"/>
            <w:shd w:val="clear" w:color="auto" w:fill="auto"/>
            <w:tcMar>
              <w:left w:w="108" w:type="dxa"/>
              <w:right w:w="0" w:type="dxa"/>
            </w:tcMar>
          </w:tcPr>
          <w:p w:rsidR="004300E2" w:rsidRPr="00237EFA" w:rsidRDefault="004300E2" w:rsidP="004300E2">
            <w:pPr>
              <w:pStyle w:val="IAS"/>
              <w:rPr>
                <w:lang w:val="it-IT"/>
              </w:rPr>
            </w:pPr>
          </w:p>
        </w:tc>
        <w:tc>
          <w:tcPr>
            <w:tcW w:w="7079" w:type="dxa"/>
            <w:shd w:val="clear" w:color="auto" w:fill="auto"/>
            <w:tcMar>
              <w:left w:w="108" w:type="dxa"/>
            </w:tcMar>
          </w:tcPr>
          <w:p w:rsidR="004300E2" w:rsidRPr="00237EFA" w:rsidRDefault="004300E2" w:rsidP="004300E2">
            <w:pPr>
              <w:pStyle w:val="Titolo2"/>
              <w:rPr>
                <w:lang w:val="it-IT"/>
              </w:rPr>
            </w:pPr>
            <w:r w:rsidRPr="00237EFA">
              <w:rPr>
                <w:lang w:val="it-IT"/>
              </w:rPr>
              <w:t>Passività potenziali</w:t>
            </w:r>
          </w:p>
        </w:tc>
        <w:tc>
          <w:tcPr>
            <w:tcW w:w="575" w:type="dxa"/>
            <w:shd w:val="clear" w:color="auto" w:fill="auto"/>
            <w:tcMar>
              <w:left w:w="85" w:type="dxa"/>
              <w:right w:w="85" w:type="dxa"/>
            </w:tcMar>
            <w:vAlign w:val="center"/>
          </w:tcPr>
          <w:p w:rsidR="004300E2" w:rsidRDefault="004300E2" w:rsidP="004300E2">
            <w:pPr>
              <w:jc w:val="center"/>
            </w:pPr>
          </w:p>
        </w:tc>
        <w:tc>
          <w:tcPr>
            <w:tcW w:w="567" w:type="dxa"/>
            <w:shd w:val="clear" w:color="auto" w:fill="auto"/>
            <w:tcMar>
              <w:left w:w="108" w:type="dxa"/>
            </w:tcMar>
            <w:vAlign w:val="center"/>
          </w:tcPr>
          <w:p w:rsidR="004300E2" w:rsidRDefault="004300E2" w:rsidP="004300E2">
            <w:pPr>
              <w:jc w:val="center"/>
            </w:pPr>
          </w:p>
        </w:tc>
        <w:tc>
          <w:tcPr>
            <w:tcW w:w="567" w:type="dxa"/>
            <w:shd w:val="clear" w:color="auto" w:fill="auto"/>
            <w:vAlign w:val="center"/>
          </w:tcPr>
          <w:p w:rsidR="004300E2" w:rsidRDefault="004300E2" w:rsidP="004300E2">
            <w:pPr>
              <w:jc w:val="center"/>
            </w:pPr>
          </w:p>
        </w:tc>
      </w:tr>
      <w:tr w:rsidR="004300E2" w:rsidRPr="00A44ECD" w:rsidTr="00F235B5">
        <w:trPr>
          <w:cantSplit/>
        </w:trPr>
        <w:tc>
          <w:tcPr>
            <w:tcW w:w="567" w:type="dxa"/>
            <w:shd w:val="clear" w:color="auto" w:fill="auto"/>
            <w:tcMar>
              <w:left w:w="108" w:type="dxa"/>
              <w:right w:w="0" w:type="dxa"/>
            </w:tcMar>
          </w:tcPr>
          <w:p w:rsidR="004300E2" w:rsidRPr="00237EFA" w:rsidRDefault="004300E2" w:rsidP="004300E2">
            <w:pPr>
              <w:pStyle w:val="Numeroelenco"/>
              <w:ind w:left="0" w:firstLine="57"/>
              <w:rPr>
                <w:lang w:val="it-IT"/>
              </w:rPr>
            </w:pPr>
          </w:p>
        </w:tc>
        <w:tc>
          <w:tcPr>
            <w:tcW w:w="851" w:type="dxa"/>
            <w:shd w:val="clear" w:color="auto" w:fill="auto"/>
            <w:tcMar>
              <w:left w:w="108" w:type="dxa"/>
              <w:right w:w="0" w:type="dxa"/>
            </w:tcMar>
          </w:tcPr>
          <w:p w:rsidR="004300E2" w:rsidRPr="00237EFA" w:rsidRDefault="004300E2" w:rsidP="004300E2">
            <w:pPr>
              <w:pStyle w:val="IAS"/>
              <w:rPr>
                <w:lang w:val="it-IT"/>
              </w:rPr>
            </w:pPr>
            <w:r w:rsidRPr="00237EFA">
              <w:rPr>
                <w:lang w:val="it-IT"/>
              </w:rPr>
              <w:t>IAS 37.86</w:t>
            </w:r>
          </w:p>
          <w:p w:rsidR="004300E2" w:rsidRPr="00237EFA" w:rsidRDefault="004300E2" w:rsidP="004300E2">
            <w:pPr>
              <w:pStyle w:val="IAS"/>
              <w:rPr>
                <w:lang w:val="it-IT"/>
              </w:rPr>
            </w:pPr>
            <w:r w:rsidRPr="00237EFA">
              <w:rPr>
                <w:lang w:val="it-IT"/>
              </w:rPr>
              <w:t xml:space="preserve"> IAS 37.91</w:t>
            </w:r>
          </w:p>
        </w:tc>
        <w:tc>
          <w:tcPr>
            <w:tcW w:w="7079" w:type="dxa"/>
            <w:shd w:val="clear" w:color="auto" w:fill="auto"/>
            <w:tcMar>
              <w:left w:w="108" w:type="dxa"/>
            </w:tcMar>
          </w:tcPr>
          <w:p w:rsidR="004300E2" w:rsidRPr="00237EFA" w:rsidRDefault="004300E2" w:rsidP="00E84DDF">
            <w:pPr>
              <w:spacing w:line="200" w:lineRule="exact"/>
              <w:rPr>
                <w:lang w:val="it-IT"/>
              </w:rPr>
            </w:pPr>
            <w:r w:rsidRPr="00237EFA">
              <w:rPr>
                <w:lang w:val="it-IT"/>
              </w:rPr>
              <w:t>A meno che la probabilità di impiegare qualsiasi risorsa per estinguere l’obbligazione sia remota, l’entità ha evidenziato per ciascuna classe di passività potenziale alla data di chiusura dell’esercizio:</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892FE4" w:rsidRPr="008129DA" w:rsidTr="00F235B5">
        <w:trPr>
          <w:cantSplit/>
        </w:trPr>
        <w:tc>
          <w:tcPr>
            <w:tcW w:w="567" w:type="dxa"/>
            <w:shd w:val="clear" w:color="auto" w:fill="auto"/>
            <w:tcMar>
              <w:left w:w="108" w:type="dxa"/>
              <w:right w:w="0" w:type="dxa"/>
            </w:tcMar>
          </w:tcPr>
          <w:p w:rsidR="00892FE4" w:rsidRPr="00237EFA" w:rsidRDefault="00892FE4" w:rsidP="004300E2">
            <w:pPr>
              <w:pStyle w:val="IAS"/>
              <w:rPr>
                <w:lang w:val="it-IT"/>
              </w:rPr>
            </w:pPr>
          </w:p>
        </w:tc>
        <w:tc>
          <w:tcPr>
            <w:tcW w:w="851" w:type="dxa"/>
            <w:shd w:val="clear" w:color="auto" w:fill="auto"/>
            <w:tcMar>
              <w:left w:w="108" w:type="dxa"/>
              <w:right w:w="0" w:type="dxa"/>
            </w:tcMar>
          </w:tcPr>
          <w:p w:rsidR="00892FE4" w:rsidRPr="00237EFA" w:rsidRDefault="00892FE4" w:rsidP="004300E2">
            <w:pPr>
              <w:pStyle w:val="IAS"/>
              <w:rPr>
                <w:lang w:val="it-IT"/>
              </w:rPr>
            </w:pPr>
            <w:r w:rsidRPr="00237EFA">
              <w:rPr>
                <w:lang w:val="it-IT"/>
              </w:rPr>
              <w:t> </w:t>
            </w:r>
          </w:p>
        </w:tc>
        <w:tc>
          <w:tcPr>
            <w:tcW w:w="7079" w:type="dxa"/>
            <w:shd w:val="clear" w:color="auto" w:fill="auto"/>
            <w:tcMar>
              <w:left w:w="108" w:type="dxa"/>
            </w:tcMar>
          </w:tcPr>
          <w:p w:rsidR="00892FE4" w:rsidRPr="00237EFA" w:rsidRDefault="00892FE4" w:rsidP="004300E2">
            <w:pPr>
              <w:pStyle w:val="Rientroa"/>
              <w:numPr>
                <w:ilvl w:val="0"/>
                <w:numId w:val="146"/>
              </w:numPr>
            </w:pPr>
            <w:r w:rsidRPr="00237EFA">
              <w:t>una breve descrizione della natura della passività potenziale</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892FE4" w:rsidRPr="008129DA" w:rsidTr="00F235B5">
        <w:trPr>
          <w:cantSplit/>
        </w:trPr>
        <w:tc>
          <w:tcPr>
            <w:tcW w:w="567" w:type="dxa"/>
            <w:shd w:val="clear" w:color="auto" w:fill="auto"/>
            <w:tcMar>
              <w:left w:w="108" w:type="dxa"/>
              <w:right w:w="0" w:type="dxa"/>
            </w:tcMar>
          </w:tcPr>
          <w:p w:rsidR="00892FE4" w:rsidRPr="00237EFA" w:rsidRDefault="00892FE4" w:rsidP="004300E2">
            <w:pPr>
              <w:pStyle w:val="IAS"/>
              <w:rPr>
                <w:lang w:val="it-IT"/>
              </w:rPr>
            </w:pPr>
          </w:p>
        </w:tc>
        <w:tc>
          <w:tcPr>
            <w:tcW w:w="851" w:type="dxa"/>
            <w:shd w:val="clear" w:color="auto" w:fill="auto"/>
            <w:tcMar>
              <w:left w:w="108" w:type="dxa"/>
              <w:right w:w="0" w:type="dxa"/>
            </w:tcMar>
          </w:tcPr>
          <w:p w:rsidR="00892FE4" w:rsidRPr="00237EFA" w:rsidRDefault="00892FE4" w:rsidP="004300E2">
            <w:pPr>
              <w:pStyle w:val="IAS"/>
              <w:rPr>
                <w:lang w:val="it-IT"/>
              </w:rPr>
            </w:pPr>
            <w:r w:rsidRPr="00237EFA">
              <w:rPr>
                <w:lang w:val="it-IT"/>
              </w:rPr>
              <w:t>IAS 37.36</w:t>
            </w:r>
          </w:p>
        </w:tc>
        <w:tc>
          <w:tcPr>
            <w:tcW w:w="7079" w:type="dxa"/>
            <w:shd w:val="clear" w:color="auto" w:fill="auto"/>
            <w:tcMar>
              <w:left w:w="108" w:type="dxa"/>
            </w:tcMar>
          </w:tcPr>
          <w:p w:rsidR="00892FE4" w:rsidRPr="00237EFA" w:rsidRDefault="00892FE4" w:rsidP="00FB4B6E">
            <w:pPr>
              <w:pStyle w:val="Rientroa"/>
              <w:numPr>
                <w:ilvl w:val="0"/>
                <w:numId w:val="72"/>
              </w:numPr>
            </w:pPr>
            <w:r w:rsidRPr="00237EFA">
              <w:t>una stima dei suoi effetti finanziari, determinati secondo le disposizioni relative alla valutazione degli accantonamenti (secondo lo IAS 37.36-52)</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892FE4" w:rsidRPr="008129DA" w:rsidTr="00F235B5">
        <w:trPr>
          <w:cantSplit/>
        </w:trPr>
        <w:tc>
          <w:tcPr>
            <w:tcW w:w="567" w:type="dxa"/>
            <w:shd w:val="clear" w:color="auto" w:fill="auto"/>
            <w:tcMar>
              <w:left w:w="108" w:type="dxa"/>
              <w:right w:w="0" w:type="dxa"/>
            </w:tcMar>
          </w:tcPr>
          <w:p w:rsidR="00892FE4" w:rsidRPr="00237EFA" w:rsidRDefault="00892FE4" w:rsidP="004300E2">
            <w:pPr>
              <w:pStyle w:val="IAS"/>
              <w:rPr>
                <w:lang w:val="it-IT"/>
              </w:rPr>
            </w:pPr>
          </w:p>
        </w:tc>
        <w:tc>
          <w:tcPr>
            <w:tcW w:w="851" w:type="dxa"/>
            <w:shd w:val="clear" w:color="auto" w:fill="auto"/>
            <w:tcMar>
              <w:left w:w="108" w:type="dxa"/>
              <w:right w:w="0" w:type="dxa"/>
            </w:tcMar>
          </w:tcPr>
          <w:p w:rsidR="00892FE4" w:rsidRPr="00237EFA" w:rsidRDefault="00892FE4" w:rsidP="004300E2">
            <w:pPr>
              <w:pStyle w:val="IAS"/>
              <w:rPr>
                <w:lang w:val="it-IT"/>
              </w:rPr>
            </w:pPr>
          </w:p>
        </w:tc>
        <w:tc>
          <w:tcPr>
            <w:tcW w:w="7079" w:type="dxa"/>
            <w:shd w:val="clear" w:color="auto" w:fill="auto"/>
            <w:tcMar>
              <w:left w:w="108" w:type="dxa"/>
            </w:tcMar>
          </w:tcPr>
          <w:p w:rsidR="00892FE4" w:rsidRPr="00237EFA" w:rsidRDefault="00892FE4" w:rsidP="00FB4B6E">
            <w:pPr>
              <w:pStyle w:val="Rientroa"/>
              <w:numPr>
                <w:ilvl w:val="0"/>
                <w:numId w:val="72"/>
              </w:numPr>
            </w:pPr>
            <w:r w:rsidRPr="00237EFA">
              <w:t>una indicazione delle incertezze relative all’ammontare o al momento di sopravvenienza di ciascun impiego</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892FE4" w:rsidRPr="008129DA" w:rsidTr="00F235B5">
        <w:trPr>
          <w:cantSplit/>
        </w:trPr>
        <w:tc>
          <w:tcPr>
            <w:tcW w:w="567" w:type="dxa"/>
            <w:shd w:val="clear" w:color="auto" w:fill="auto"/>
            <w:tcMar>
              <w:left w:w="108" w:type="dxa"/>
              <w:right w:w="0" w:type="dxa"/>
            </w:tcMar>
          </w:tcPr>
          <w:p w:rsidR="00892FE4" w:rsidRPr="00237EFA" w:rsidRDefault="00892FE4" w:rsidP="004300E2">
            <w:pPr>
              <w:pStyle w:val="IAS"/>
              <w:rPr>
                <w:lang w:val="it-IT"/>
              </w:rPr>
            </w:pPr>
          </w:p>
        </w:tc>
        <w:tc>
          <w:tcPr>
            <w:tcW w:w="851" w:type="dxa"/>
            <w:shd w:val="clear" w:color="auto" w:fill="auto"/>
            <w:tcMar>
              <w:left w:w="108" w:type="dxa"/>
              <w:right w:w="0" w:type="dxa"/>
            </w:tcMar>
          </w:tcPr>
          <w:p w:rsidR="00892FE4" w:rsidRPr="00237EFA" w:rsidRDefault="00892FE4" w:rsidP="004300E2">
            <w:pPr>
              <w:pStyle w:val="IAS"/>
              <w:rPr>
                <w:lang w:val="it-IT"/>
              </w:rPr>
            </w:pPr>
          </w:p>
        </w:tc>
        <w:tc>
          <w:tcPr>
            <w:tcW w:w="7079" w:type="dxa"/>
            <w:shd w:val="clear" w:color="auto" w:fill="auto"/>
            <w:tcMar>
              <w:left w:w="108" w:type="dxa"/>
            </w:tcMar>
          </w:tcPr>
          <w:p w:rsidR="00892FE4" w:rsidRPr="00237EFA" w:rsidRDefault="00892FE4" w:rsidP="00FB4B6E">
            <w:pPr>
              <w:pStyle w:val="Rientroa"/>
              <w:numPr>
                <w:ilvl w:val="0"/>
                <w:numId w:val="72"/>
              </w:numPr>
            </w:pPr>
            <w:r w:rsidRPr="00237EFA">
              <w:t>la probabilità di ciascun indennizzo; e</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892FE4" w:rsidRPr="008129DA" w:rsidTr="00F235B5">
        <w:trPr>
          <w:cantSplit/>
        </w:trPr>
        <w:tc>
          <w:tcPr>
            <w:tcW w:w="567" w:type="dxa"/>
            <w:shd w:val="clear" w:color="auto" w:fill="auto"/>
            <w:tcMar>
              <w:left w:w="108" w:type="dxa"/>
              <w:right w:w="0" w:type="dxa"/>
            </w:tcMar>
          </w:tcPr>
          <w:p w:rsidR="00892FE4" w:rsidRPr="00237EFA" w:rsidRDefault="00892FE4" w:rsidP="004300E2">
            <w:pPr>
              <w:pStyle w:val="IAS"/>
              <w:rPr>
                <w:lang w:val="it-IT"/>
              </w:rPr>
            </w:pPr>
          </w:p>
        </w:tc>
        <w:tc>
          <w:tcPr>
            <w:tcW w:w="851" w:type="dxa"/>
            <w:shd w:val="clear" w:color="auto" w:fill="auto"/>
            <w:tcMar>
              <w:left w:w="108" w:type="dxa"/>
              <w:right w:w="0" w:type="dxa"/>
            </w:tcMar>
          </w:tcPr>
          <w:p w:rsidR="00892FE4" w:rsidRPr="00237EFA" w:rsidRDefault="00892FE4" w:rsidP="004300E2">
            <w:pPr>
              <w:pStyle w:val="IAS"/>
              <w:rPr>
                <w:lang w:val="it-IT"/>
              </w:rPr>
            </w:pPr>
            <w:r w:rsidRPr="00237EFA">
              <w:rPr>
                <w:lang w:val="it-IT"/>
              </w:rPr>
              <w:t>IAS 37.91</w:t>
            </w:r>
          </w:p>
        </w:tc>
        <w:tc>
          <w:tcPr>
            <w:tcW w:w="7079" w:type="dxa"/>
            <w:shd w:val="clear" w:color="auto" w:fill="auto"/>
            <w:tcMar>
              <w:left w:w="108" w:type="dxa"/>
            </w:tcMar>
          </w:tcPr>
          <w:p w:rsidR="00892FE4" w:rsidRPr="00237EFA" w:rsidRDefault="00892FE4" w:rsidP="00FB4B6E">
            <w:pPr>
              <w:pStyle w:val="Rientroa"/>
              <w:numPr>
                <w:ilvl w:val="0"/>
                <w:numId w:val="72"/>
              </w:numPr>
            </w:pPr>
            <w:r w:rsidRPr="00237EFA">
              <w:t>se qualcuna delle informazioni sopra indicate in a) - d) non è fornita, il fatto per cui non è stato possibile farlo.</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892FE4" w:rsidRPr="008129DA" w:rsidTr="00F235B5">
        <w:trPr>
          <w:cantSplit/>
          <w:trHeight w:val="425"/>
        </w:trPr>
        <w:tc>
          <w:tcPr>
            <w:tcW w:w="567" w:type="dxa"/>
            <w:shd w:val="clear" w:color="auto" w:fill="auto"/>
            <w:tcMar>
              <w:left w:w="108" w:type="dxa"/>
              <w:right w:w="0" w:type="dxa"/>
            </w:tcMar>
          </w:tcPr>
          <w:p w:rsidR="00892FE4" w:rsidRPr="00237EFA" w:rsidRDefault="00892FE4" w:rsidP="004300E2">
            <w:pPr>
              <w:pStyle w:val="Numeroelenco"/>
              <w:ind w:left="0" w:firstLine="57"/>
              <w:rPr>
                <w:lang w:val="it-IT"/>
              </w:rPr>
            </w:pPr>
          </w:p>
        </w:tc>
        <w:tc>
          <w:tcPr>
            <w:tcW w:w="851" w:type="dxa"/>
            <w:shd w:val="clear" w:color="auto" w:fill="auto"/>
            <w:tcMar>
              <w:right w:w="0" w:type="dxa"/>
            </w:tcMar>
          </w:tcPr>
          <w:p w:rsidR="00892FE4" w:rsidRPr="00237EFA" w:rsidRDefault="00892FE4" w:rsidP="004300E2">
            <w:pPr>
              <w:pStyle w:val="IAS"/>
              <w:rPr>
                <w:lang w:val="it-IT"/>
              </w:rPr>
            </w:pPr>
            <w:r w:rsidRPr="00237EFA">
              <w:rPr>
                <w:lang w:val="it-IT"/>
              </w:rPr>
              <w:t>IAS 37.88</w:t>
            </w:r>
          </w:p>
        </w:tc>
        <w:tc>
          <w:tcPr>
            <w:tcW w:w="7079" w:type="dxa"/>
            <w:shd w:val="clear" w:color="auto" w:fill="auto"/>
          </w:tcPr>
          <w:p w:rsidR="00892FE4" w:rsidRPr="00237EFA" w:rsidRDefault="00892FE4" w:rsidP="00C21C31">
            <w:pPr>
              <w:rPr>
                <w:lang w:val="it-IT"/>
              </w:rPr>
            </w:pPr>
            <w:r w:rsidRPr="00237EFA">
              <w:rPr>
                <w:lang w:val="it-IT"/>
              </w:rPr>
              <w:t xml:space="preserve">Se un accantonamento e una passività potenziale derivano dallo stesso insieme di circostanze, l’entità ha fornito l’informativa richiesta dai </w:t>
            </w:r>
            <w:r w:rsidRPr="00DA0558">
              <w:rPr>
                <w:lang w:val="it-IT"/>
              </w:rPr>
              <w:t>punti 3</w:t>
            </w:r>
            <w:r>
              <w:rPr>
                <w:lang w:val="it-IT"/>
              </w:rPr>
              <w:t>68</w:t>
            </w:r>
            <w:r w:rsidRPr="00DA0558">
              <w:rPr>
                <w:lang w:val="it-IT"/>
              </w:rPr>
              <w:t>-37</w:t>
            </w:r>
            <w:r>
              <w:rPr>
                <w:lang w:val="it-IT"/>
              </w:rPr>
              <w:t>0</w:t>
            </w:r>
            <w:r w:rsidRPr="00237EFA">
              <w:rPr>
                <w:lang w:val="it-IT"/>
              </w:rPr>
              <w:t xml:space="preserve"> in maniera tale da mostrare il collegamento tra l’accantonamento e la passività potenziale</w:t>
            </w:r>
            <w:r>
              <w:rPr>
                <w:lang w:val="it-IT"/>
              </w:rPr>
              <w:t>.</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A0F36" w:rsidTr="00F235B5">
        <w:trPr>
          <w:cantSplit/>
        </w:trPr>
        <w:tc>
          <w:tcPr>
            <w:tcW w:w="567" w:type="dxa"/>
            <w:shd w:val="clear" w:color="auto" w:fill="auto"/>
            <w:tcMar>
              <w:left w:w="108" w:type="dxa"/>
              <w:right w:w="0" w:type="dxa"/>
            </w:tcMar>
          </w:tcPr>
          <w:p w:rsidR="004300E2" w:rsidRPr="00237EFA" w:rsidRDefault="004300E2" w:rsidP="004300E2">
            <w:pPr>
              <w:pStyle w:val="IAS"/>
              <w:rPr>
                <w:lang w:val="it-IT"/>
              </w:rPr>
            </w:pPr>
          </w:p>
        </w:tc>
        <w:tc>
          <w:tcPr>
            <w:tcW w:w="851" w:type="dxa"/>
            <w:shd w:val="clear" w:color="auto" w:fill="auto"/>
            <w:tcMar>
              <w:left w:w="108" w:type="dxa"/>
              <w:right w:w="0" w:type="dxa"/>
            </w:tcMar>
          </w:tcPr>
          <w:p w:rsidR="004300E2" w:rsidRPr="00237EFA" w:rsidRDefault="004300E2" w:rsidP="004300E2">
            <w:pPr>
              <w:pStyle w:val="IAS"/>
              <w:rPr>
                <w:lang w:val="it-IT"/>
              </w:rPr>
            </w:pPr>
          </w:p>
        </w:tc>
        <w:tc>
          <w:tcPr>
            <w:tcW w:w="7079" w:type="dxa"/>
            <w:shd w:val="clear" w:color="auto" w:fill="auto"/>
            <w:tcMar>
              <w:left w:w="108" w:type="dxa"/>
            </w:tcMar>
          </w:tcPr>
          <w:p w:rsidR="004300E2" w:rsidRPr="00237EFA" w:rsidRDefault="004300E2" w:rsidP="004300E2">
            <w:pPr>
              <w:pStyle w:val="Titolo2"/>
              <w:rPr>
                <w:lang w:val="it-IT"/>
              </w:rPr>
            </w:pPr>
            <w:r w:rsidRPr="00237EFA">
              <w:rPr>
                <w:lang w:val="it-IT"/>
              </w:rPr>
              <w:t>Attività potenziali</w:t>
            </w:r>
          </w:p>
        </w:tc>
        <w:tc>
          <w:tcPr>
            <w:tcW w:w="575" w:type="dxa"/>
            <w:shd w:val="clear" w:color="auto" w:fill="auto"/>
            <w:tcMar>
              <w:left w:w="85" w:type="dxa"/>
              <w:right w:w="85" w:type="dxa"/>
            </w:tcMar>
            <w:vAlign w:val="center"/>
          </w:tcPr>
          <w:p w:rsidR="004300E2" w:rsidRDefault="004300E2" w:rsidP="004300E2">
            <w:pPr>
              <w:jc w:val="center"/>
            </w:pPr>
          </w:p>
        </w:tc>
        <w:tc>
          <w:tcPr>
            <w:tcW w:w="567" w:type="dxa"/>
            <w:shd w:val="clear" w:color="auto" w:fill="auto"/>
            <w:tcMar>
              <w:left w:w="108" w:type="dxa"/>
            </w:tcMar>
            <w:vAlign w:val="center"/>
          </w:tcPr>
          <w:p w:rsidR="004300E2" w:rsidRDefault="004300E2" w:rsidP="004300E2">
            <w:pPr>
              <w:jc w:val="center"/>
            </w:pPr>
          </w:p>
        </w:tc>
        <w:tc>
          <w:tcPr>
            <w:tcW w:w="567" w:type="dxa"/>
            <w:shd w:val="clear" w:color="auto" w:fill="auto"/>
            <w:vAlign w:val="center"/>
          </w:tcPr>
          <w:p w:rsidR="004300E2" w:rsidRDefault="004300E2" w:rsidP="004300E2">
            <w:pPr>
              <w:jc w:val="center"/>
            </w:pPr>
          </w:p>
        </w:tc>
      </w:tr>
      <w:tr w:rsidR="004300E2" w:rsidRPr="00A44ECD" w:rsidTr="00F235B5">
        <w:trPr>
          <w:cantSplit/>
        </w:trPr>
        <w:tc>
          <w:tcPr>
            <w:tcW w:w="567" w:type="dxa"/>
            <w:shd w:val="clear" w:color="auto" w:fill="auto"/>
            <w:tcMar>
              <w:left w:w="108" w:type="dxa"/>
              <w:right w:w="0" w:type="dxa"/>
            </w:tcMar>
          </w:tcPr>
          <w:p w:rsidR="004300E2" w:rsidRPr="00237EFA" w:rsidRDefault="004300E2" w:rsidP="004300E2">
            <w:pPr>
              <w:pStyle w:val="Numeroelenco"/>
              <w:ind w:left="0" w:firstLine="57"/>
              <w:rPr>
                <w:lang w:val="it-IT"/>
              </w:rPr>
            </w:pPr>
          </w:p>
        </w:tc>
        <w:tc>
          <w:tcPr>
            <w:tcW w:w="851" w:type="dxa"/>
            <w:shd w:val="clear" w:color="auto" w:fill="auto"/>
            <w:tcMar>
              <w:left w:w="108" w:type="dxa"/>
              <w:right w:w="0" w:type="dxa"/>
            </w:tcMar>
          </w:tcPr>
          <w:p w:rsidR="004300E2" w:rsidRPr="00237EFA" w:rsidRDefault="004300E2" w:rsidP="004300E2">
            <w:pPr>
              <w:pStyle w:val="IAS"/>
              <w:rPr>
                <w:lang w:val="it-IT"/>
              </w:rPr>
            </w:pPr>
            <w:r w:rsidRPr="00237EFA">
              <w:rPr>
                <w:lang w:val="it-IT"/>
              </w:rPr>
              <w:t>IAS 37.89</w:t>
            </w:r>
          </w:p>
          <w:p w:rsidR="004300E2" w:rsidRPr="00237EFA" w:rsidRDefault="004300E2" w:rsidP="004300E2">
            <w:pPr>
              <w:pStyle w:val="IAS"/>
              <w:rPr>
                <w:lang w:val="it-IT"/>
              </w:rPr>
            </w:pPr>
            <w:r w:rsidRPr="00237EFA">
              <w:rPr>
                <w:lang w:val="it-IT"/>
              </w:rPr>
              <w:t xml:space="preserve"> IAS 37.91</w:t>
            </w:r>
          </w:p>
        </w:tc>
        <w:tc>
          <w:tcPr>
            <w:tcW w:w="7079" w:type="dxa"/>
            <w:shd w:val="clear" w:color="auto" w:fill="auto"/>
            <w:tcMar>
              <w:left w:w="108" w:type="dxa"/>
            </w:tcMar>
          </w:tcPr>
          <w:p w:rsidR="004300E2" w:rsidRPr="00237EFA" w:rsidRDefault="004300E2" w:rsidP="004300E2">
            <w:pPr>
              <w:keepNext/>
              <w:rPr>
                <w:lang w:val="it-IT"/>
              </w:rPr>
            </w:pPr>
            <w:r w:rsidRPr="00237EFA">
              <w:rPr>
                <w:lang w:val="it-IT"/>
              </w:rPr>
              <w:t>Quando si ritiene probabile che vi sarà un incremento delle attività, l’entità ha presentato:</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892FE4" w:rsidRPr="008129DA" w:rsidTr="00F235B5">
        <w:trPr>
          <w:cantSplit/>
        </w:trPr>
        <w:tc>
          <w:tcPr>
            <w:tcW w:w="567" w:type="dxa"/>
            <w:shd w:val="clear" w:color="auto" w:fill="auto"/>
            <w:tcMar>
              <w:left w:w="108" w:type="dxa"/>
              <w:right w:w="0" w:type="dxa"/>
            </w:tcMar>
          </w:tcPr>
          <w:p w:rsidR="00892FE4" w:rsidRPr="00237EFA" w:rsidRDefault="00892FE4" w:rsidP="004300E2">
            <w:pPr>
              <w:pStyle w:val="IAS"/>
              <w:rPr>
                <w:lang w:val="it-IT"/>
              </w:rPr>
            </w:pPr>
          </w:p>
        </w:tc>
        <w:tc>
          <w:tcPr>
            <w:tcW w:w="851" w:type="dxa"/>
            <w:shd w:val="clear" w:color="auto" w:fill="auto"/>
            <w:tcMar>
              <w:left w:w="108" w:type="dxa"/>
              <w:right w:w="0" w:type="dxa"/>
            </w:tcMar>
          </w:tcPr>
          <w:p w:rsidR="00892FE4" w:rsidRPr="00237EFA" w:rsidRDefault="00892FE4" w:rsidP="004300E2">
            <w:pPr>
              <w:pStyle w:val="IAS"/>
              <w:rPr>
                <w:lang w:val="it-IT"/>
              </w:rPr>
            </w:pPr>
          </w:p>
        </w:tc>
        <w:tc>
          <w:tcPr>
            <w:tcW w:w="7079" w:type="dxa"/>
            <w:shd w:val="clear" w:color="auto" w:fill="auto"/>
            <w:tcMar>
              <w:left w:w="108" w:type="dxa"/>
            </w:tcMar>
          </w:tcPr>
          <w:p w:rsidR="00892FE4" w:rsidRPr="00237EFA" w:rsidRDefault="00892FE4" w:rsidP="004300E2">
            <w:pPr>
              <w:pStyle w:val="Rientroa"/>
              <w:numPr>
                <w:ilvl w:val="0"/>
                <w:numId w:val="147"/>
              </w:numPr>
            </w:pPr>
            <w:r w:rsidRPr="00237EFA">
              <w:t>una breve descrizione della natura delle attività potenziali alla data di chiusura dell’esercizio; e</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892FE4" w:rsidRPr="008129DA" w:rsidTr="00F235B5">
        <w:trPr>
          <w:cantSplit/>
        </w:trPr>
        <w:tc>
          <w:tcPr>
            <w:tcW w:w="567" w:type="dxa"/>
            <w:shd w:val="clear" w:color="auto" w:fill="auto"/>
            <w:tcMar>
              <w:left w:w="108" w:type="dxa"/>
              <w:right w:w="0" w:type="dxa"/>
            </w:tcMar>
          </w:tcPr>
          <w:p w:rsidR="00892FE4" w:rsidRPr="00237EFA" w:rsidRDefault="00892FE4" w:rsidP="004300E2">
            <w:pPr>
              <w:pStyle w:val="IAS"/>
              <w:rPr>
                <w:lang w:val="it-IT"/>
              </w:rPr>
            </w:pPr>
          </w:p>
        </w:tc>
        <w:tc>
          <w:tcPr>
            <w:tcW w:w="851" w:type="dxa"/>
            <w:shd w:val="clear" w:color="auto" w:fill="auto"/>
            <w:tcMar>
              <w:left w:w="108" w:type="dxa"/>
              <w:right w:w="0" w:type="dxa"/>
            </w:tcMar>
          </w:tcPr>
          <w:p w:rsidR="00892FE4" w:rsidRPr="00237EFA" w:rsidRDefault="00892FE4" w:rsidP="004300E2">
            <w:pPr>
              <w:pStyle w:val="IAS"/>
              <w:rPr>
                <w:lang w:val="it-IT"/>
              </w:rPr>
            </w:pPr>
            <w:r w:rsidRPr="00237EFA">
              <w:rPr>
                <w:lang w:val="it-IT"/>
              </w:rPr>
              <w:t>IAS 37.36</w:t>
            </w:r>
          </w:p>
          <w:p w:rsidR="00892FE4" w:rsidRPr="00237EFA" w:rsidRDefault="00892FE4" w:rsidP="004300E2">
            <w:pPr>
              <w:pStyle w:val="IAS"/>
              <w:rPr>
                <w:lang w:val="it-IT"/>
              </w:rPr>
            </w:pPr>
          </w:p>
        </w:tc>
        <w:tc>
          <w:tcPr>
            <w:tcW w:w="7079" w:type="dxa"/>
            <w:shd w:val="clear" w:color="auto" w:fill="auto"/>
            <w:tcMar>
              <w:left w:w="108" w:type="dxa"/>
            </w:tcMar>
          </w:tcPr>
          <w:p w:rsidR="00892FE4" w:rsidRPr="00237EFA" w:rsidRDefault="00892FE4" w:rsidP="00FB4B6E">
            <w:pPr>
              <w:pStyle w:val="Rientroa"/>
              <w:numPr>
                <w:ilvl w:val="0"/>
                <w:numId w:val="72"/>
              </w:numPr>
            </w:pPr>
            <w:r w:rsidRPr="00237EFA">
              <w:t>ove possibile, una stima del loro effetto finanziario, determinato utilizzando i criteri previsti per gli accantonamenti (IAS 37.36-52)</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892FE4" w:rsidRPr="008129DA" w:rsidTr="00F235B5">
        <w:trPr>
          <w:cantSplit/>
        </w:trPr>
        <w:tc>
          <w:tcPr>
            <w:tcW w:w="567" w:type="dxa"/>
            <w:shd w:val="clear" w:color="auto" w:fill="auto"/>
            <w:tcMar>
              <w:left w:w="108" w:type="dxa"/>
              <w:right w:w="0" w:type="dxa"/>
            </w:tcMar>
          </w:tcPr>
          <w:p w:rsidR="00892FE4" w:rsidRPr="00237EFA" w:rsidRDefault="00892FE4" w:rsidP="004300E2">
            <w:pPr>
              <w:pStyle w:val="IAS"/>
              <w:rPr>
                <w:lang w:val="it-IT"/>
              </w:rPr>
            </w:pPr>
          </w:p>
        </w:tc>
        <w:tc>
          <w:tcPr>
            <w:tcW w:w="851" w:type="dxa"/>
            <w:shd w:val="clear" w:color="auto" w:fill="auto"/>
            <w:tcMar>
              <w:left w:w="108" w:type="dxa"/>
              <w:right w:w="0" w:type="dxa"/>
            </w:tcMar>
          </w:tcPr>
          <w:p w:rsidR="00892FE4" w:rsidRPr="00237EFA" w:rsidRDefault="00892FE4" w:rsidP="004300E2">
            <w:pPr>
              <w:pStyle w:val="IAS"/>
              <w:rPr>
                <w:lang w:val="it-IT"/>
              </w:rPr>
            </w:pPr>
            <w:r w:rsidRPr="00237EFA">
              <w:rPr>
                <w:lang w:val="it-IT"/>
              </w:rPr>
              <w:t>IAS 37.91</w:t>
            </w:r>
          </w:p>
        </w:tc>
        <w:tc>
          <w:tcPr>
            <w:tcW w:w="7079" w:type="dxa"/>
            <w:shd w:val="clear" w:color="auto" w:fill="auto"/>
            <w:tcMar>
              <w:left w:w="108" w:type="dxa"/>
            </w:tcMar>
          </w:tcPr>
          <w:p w:rsidR="00892FE4" w:rsidRPr="00237EFA" w:rsidRDefault="00892FE4" w:rsidP="00FB4B6E">
            <w:pPr>
              <w:pStyle w:val="Rientroa"/>
              <w:numPr>
                <w:ilvl w:val="0"/>
                <w:numId w:val="72"/>
              </w:numPr>
            </w:pPr>
            <w:r w:rsidRPr="00237EFA">
              <w:t>se qualcuna delle informazioni sopra indicate in a) - b) non è fornita, il fatto per cui non è stato possibile farlo.</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F235B5">
        <w:trPr>
          <w:cantSplit/>
          <w:trHeight w:val="417"/>
        </w:trPr>
        <w:tc>
          <w:tcPr>
            <w:tcW w:w="567" w:type="dxa"/>
            <w:shd w:val="clear" w:color="auto" w:fill="auto"/>
            <w:tcMar>
              <w:left w:w="108" w:type="dxa"/>
              <w:right w:w="0" w:type="dxa"/>
            </w:tcMar>
          </w:tcPr>
          <w:p w:rsidR="004300E2" w:rsidRPr="00237EFA" w:rsidRDefault="004300E2" w:rsidP="004300E2">
            <w:pPr>
              <w:pStyle w:val="IAS"/>
              <w:rPr>
                <w:lang w:val="it-IT"/>
              </w:rPr>
            </w:pPr>
          </w:p>
        </w:tc>
        <w:tc>
          <w:tcPr>
            <w:tcW w:w="851" w:type="dxa"/>
            <w:shd w:val="clear" w:color="auto" w:fill="auto"/>
            <w:tcMar>
              <w:right w:w="0" w:type="dxa"/>
            </w:tcMar>
          </w:tcPr>
          <w:p w:rsidR="004300E2" w:rsidRPr="00237EFA" w:rsidRDefault="004300E2" w:rsidP="004300E2">
            <w:pPr>
              <w:pStyle w:val="IAS"/>
              <w:rPr>
                <w:lang w:val="it-IT"/>
              </w:rPr>
            </w:pPr>
          </w:p>
        </w:tc>
        <w:tc>
          <w:tcPr>
            <w:tcW w:w="7079" w:type="dxa"/>
            <w:shd w:val="clear" w:color="auto" w:fill="auto"/>
          </w:tcPr>
          <w:p w:rsidR="004300E2" w:rsidRPr="00237EFA" w:rsidRDefault="004300E2" w:rsidP="004300E2">
            <w:pPr>
              <w:pStyle w:val="Titolo1"/>
              <w:jc w:val="both"/>
            </w:pPr>
            <w:r w:rsidRPr="00237EFA">
              <w:t>Diritti derivanti da interessenze in fondi per smantellamenti, ripristini E BONIFICHE ambientali</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892FE4" w:rsidRPr="008129DA" w:rsidTr="00F235B5">
        <w:trPr>
          <w:cantSplit/>
          <w:trHeight w:val="438"/>
        </w:trPr>
        <w:tc>
          <w:tcPr>
            <w:tcW w:w="567" w:type="dxa"/>
            <w:shd w:val="clear" w:color="auto" w:fill="auto"/>
            <w:tcMar>
              <w:left w:w="108" w:type="dxa"/>
              <w:right w:w="0" w:type="dxa"/>
            </w:tcMar>
          </w:tcPr>
          <w:p w:rsidR="00892FE4" w:rsidRPr="00237EFA" w:rsidRDefault="00892FE4" w:rsidP="004300E2">
            <w:pPr>
              <w:pStyle w:val="Numeroelenco"/>
              <w:ind w:left="0" w:firstLine="57"/>
              <w:rPr>
                <w:lang w:val="it-IT"/>
              </w:rPr>
            </w:pPr>
          </w:p>
        </w:tc>
        <w:tc>
          <w:tcPr>
            <w:tcW w:w="851" w:type="dxa"/>
            <w:shd w:val="clear" w:color="auto" w:fill="auto"/>
            <w:tcMar>
              <w:right w:w="0" w:type="dxa"/>
            </w:tcMar>
          </w:tcPr>
          <w:p w:rsidR="00892FE4" w:rsidRPr="00237EFA" w:rsidRDefault="00892FE4" w:rsidP="004300E2">
            <w:pPr>
              <w:pStyle w:val="IAS"/>
              <w:rPr>
                <w:lang w:val="it-IT"/>
              </w:rPr>
            </w:pPr>
            <w:r w:rsidRPr="00237EFA">
              <w:rPr>
                <w:lang w:val="it-IT"/>
              </w:rPr>
              <w:t>IAS 1.117</w:t>
            </w:r>
          </w:p>
        </w:tc>
        <w:tc>
          <w:tcPr>
            <w:tcW w:w="7079" w:type="dxa"/>
            <w:shd w:val="clear" w:color="auto" w:fill="auto"/>
          </w:tcPr>
          <w:p w:rsidR="00892FE4" w:rsidRPr="00237EFA" w:rsidRDefault="00892FE4" w:rsidP="0092681E">
            <w:pPr>
              <w:rPr>
                <w:lang w:val="it-IT"/>
              </w:rPr>
            </w:pPr>
            <w:r w:rsidRPr="00237EFA">
              <w:rPr>
                <w:lang w:val="it-IT"/>
              </w:rPr>
              <w:t>L’entità ha indicato i principi contabili utilizzati in relazione ai diritti derivanti da interessenze in fondi per smantellamenti, ripristini e bonifiche ambientali</w:t>
            </w:r>
            <w:r>
              <w:rPr>
                <w:lang w:val="it-IT"/>
              </w:rPr>
              <w:t>.</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F235B5">
        <w:trPr>
          <w:cantSplit/>
          <w:trHeight w:val="438"/>
        </w:trPr>
        <w:tc>
          <w:tcPr>
            <w:tcW w:w="567" w:type="dxa"/>
            <w:shd w:val="clear" w:color="auto" w:fill="auto"/>
            <w:tcMar>
              <w:left w:w="108" w:type="dxa"/>
              <w:right w:w="0" w:type="dxa"/>
            </w:tcMar>
          </w:tcPr>
          <w:p w:rsidR="004300E2" w:rsidRPr="00237EFA" w:rsidRDefault="004300E2" w:rsidP="004300E2">
            <w:pPr>
              <w:pStyle w:val="Numeroelenco"/>
              <w:ind w:left="0" w:firstLine="57"/>
              <w:rPr>
                <w:lang w:val="it-IT"/>
              </w:rPr>
            </w:pPr>
          </w:p>
        </w:tc>
        <w:tc>
          <w:tcPr>
            <w:tcW w:w="851" w:type="dxa"/>
            <w:shd w:val="clear" w:color="auto" w:fill="auto"/>
            <w:tcMar>
              <w:right w:w="0" w:type="dxa"/>
            </w:tcMar>
          </w:tcPr>
          <w:p w:rsidR="004300E2" w:rsidRPr="00237EFA" w:rsidRDefault="004300E2" w:rsidP="004300E2">
            <w:pPr>
              <w:pStyle w:val="IAS"/>
              <w:rPr>
                <w:lang w:val="it-IT"/>
              </w:rPr>
            </w:pPr>
            <w:r w:rsidRPr="00237EFA">
              <w:rPr>
                <w:lang w:val="it-IT"/>
              </w:rPr>
              <w:t>IFRIC 5.4</w:t>
            </w:r>
          </w:p>
        </w:tc>
        <w:tc>
          <w:tcPr>
            <w:tcW w:w="7079" w:type="dxa"/>
            <w:shd w:val="clear" w:color="auto" w:fill="auto"/>
          </w:tcPr>
          <w:p w:rsidR="004300E2" w:rsidRPr="00237EFA" w:rsidRDefault="004300E2" w:rsidP="0002186C">
            <w:pPr>
              <w:pStyle w:val="Paragarfobordato"/>
            </w:pPr>
            <w:r w:rsidRPr="00237EFA">
              <w:t>IFRIC 5 si applica ai bilanci di un’entità che detiene interessenze in fondi per smantellamenti che hanno le seguenti caratteristiche:</w:t>
            </w:r>
          </w:p>
          <w:p w:rsidR="004300E2" w:rsidRPr="00237EFA" w:rsidRDefault="004300E2" w:rsidP="0002186C">
            <w:pPr>
              <w:pStyle w:val="Paragarfobordato"/>
              <w:ind w:left="205" w:hanging="205"/>
            </w:pPr>
            <w:r w:rsidRPr="00237EFA">
              <w:t>a)</w:t>
            </w:r>
            <w:r w:rsidRPr="00237EFA">
              <w:tab/>
              <w:t>le attività sono amministrate separatamente (sia se detenute in una entità separata, che come attività separate all’interno di un’altra entità); e</w:t>
            </w:r>
          </w:p>
          <w:p w:rsidR="004300E2" w:rsidRPr="00237EFA" w:rsidRDefault="004300E2" w:rsidP="0002186C">
            <w:pPr>
              <w:pStyle w:val="Paragarfobordato"/>
              <w:ind w:left="205" w:hanging="205"/>
            </w:pPr>
            <w:r w:rsidRPr="00237EFA">
              <w:t>b)</w:t>
            </w:r>
            <w:r w:rsidRPr="00237EFA">
              <w:tab/>
              <w:t>il diritto dell’entità partecipante ad accedere alle attività è limitato.</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892FE4" w:rsidRPr="008129DA" w:rsidTr="00F235B5">
        <w:trPr>
          <w:cantSplit/>
          <w:trHeight w:val="491"/>
        </w:trPr>
        <w:tc>
          <w:tcPr>
            <w:tcW w:w="567" w:type="dxa"/>
            <w:shd w:val="clear" w:color="auto" w:fill="auto"/>
            <w:tcMar>
              <w:left w:w="108" w:type="dxa"/>
              <w:right w:w="0" w:type="dxa"/>
            </w:tcMar>
          </w:tcPr>
          <w:p w:rsidR="00892FE4" w:rsidRPr="00237EFA" w:rsidRDefault="00892FE4" w:rsidP="004300E2">
            <w:pPr>
              <w:pStyle w:val="Numeroelenco"/>
              <w:ind w:left="0" w:firstLine="57"/>
              <w:rPr>
                <w:lang w:val="it-IT"/>
              </w:rPr>
            </w:pPr>
          </w:p>
        </w:tc>
        <w:tc>
          <w:tcPr>
            <w:tcW w:w="851" w:type="dxa"/>
            <w:shd w:val="clear" w:color="auto" w:fill="auto"/>
            <w:tcMar>
              <w:left w:w="108" w:type="dxa"/>
              <w:right w:w="0" w:type="dxa"/>
            </w:tcMar>
          </w:tcPr>
          <w:p w:rsidR="00892FE4" w:rsidRPr="00237EFA" w:rsidRDefault="00892FE4" w:rsidP="004300E2">
            <w:pPr>
              <w:pStyle w:val="IAS"/>
              <w:rPr>
                <w:lang w:val="it-IT"/>
              </w:rPr>
            </w:pPr>
            <w:r w:rsidRPr="00237EFA">
              <w:rPr>
                <w:lang w:val="it-IT"/>
              </w:rPr>
              <w:t>IFRIC 5.11</w:t>
            </w:r>
          </w:p>
        </w:tc>
        <w:tc>
          <w:tcPr>
            <w:tcW w:w="7079" w:type="dxa"/>
            <w:shd w:val="clear" w:color="auto" w:fill="auto"/>
            <w:tcMar>
              <w:left w:w="108" w:type="dxa"/>
            </w:tcMar>
          </w:tcPr>
          <w:p w:rsidR="00892FE4" w:rsidRPr="00237EFA" w:rsidRDefault="00892FE4" w:rsidP="0092681E">
            <w:pPr>
              <w:rPr>
                <w:lang w:val="it-IT"/>
              </w:rPr>
            </w:pPr>
            <w:r w:rsidRPr="00237EFA">
              <w:rPr>
                <w:lang w:val="it-IT"/>
              </w:rPr>
              <w:t>L’entità (partecipante) ha fornito informazioni circa la natura della sua interessenza in un fondo ed eventuali limiti ad accedere alle attività del fondo</w:t>
            </w:r>
            <w:r>
              <w:rPr>
                <w:lang w:val="it-IT"/>
              </w:rPr>
              <w:t>.</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892FE4" w:rsidRPr="008129DA" w:rsidTr="00F235B5">
        <w:trPr>
          <w:cantSplit/>
        </w:trPr>
        <w:tc>
          <w:tcPr>
            <w:tcW w:w="567" w:type="dxa"/>
            <w:shd w:val="clear" w:color="auto" w:fill="auto"/>
            <w:tcMar>
              <w:left w:w="108" w:type="dxa"/>
              <w:right w:w="0" w:type="dxa"/>
            </w:tcMar>
          </w:tcPr>
          <w:p w:rsidR="00892FE4" w:rsidRPr="00237EFA" w:rsidRDefault="00892FE4" w:rsidP="004300E2">
            <w:pPr>
              <w:pStyle w:val="Numeroelenco"/>
              <w:ind w:left="0" w:firstLine="57"/>
              <w:rPr>
                <w:lang w:val="it-IT"/>
              </w:rPr>
            </w:pPr>
          </w:p>
        </w:tc>
        <w:tc>
          <w:tcPr>
            <w:tcW w:w="851" w:type="dxa"/>
            <w:shd w:val="clear" w:color="auto" w:fill="auto"/>
            <w:tcMar>
              <w:left w:w="108" w:type="dxa"/>
              <w:right w:w="0" w:type="dxa"/>
            </w:tcMar>
          </w:tcPr>
          <w:p w:rsidR="00892FE4" w:rsidRPr="00237EFA" w:rsidRDefault="00892FE4" w:rsidP="004300E2">
            <w:pPr>
              <w:pStyle w:val="IAS"/>
              <w:rPr>
                <w:lang w:val="it-IT"/>
              </w:rPr>
            </w:pPr>
            <w:r w:rsidRPr="00237EFA">
              <w:rPr>
                <w:lang w:val="it-IT"/>
              </w:rPr>
              <w:t>IFRIC 5.10 IFRIC 5.12 IAS 37.86</w:t>
            </w:r>
          </w:p>
        </w:tc>
        <w:tc>
          <w:tcPr>
            <w:tcW w:w="7079" w:type="dxa"/>
            <w:shd w:val="clear" w:color="auto" w:fill="auto"/>
            <w:tcMar>
              <w:left w:w="108" w:type="dxa"/>
            </w:tcMar>
          </w:tcPr>
          <w:p w:rsidR="00892FE4" w:rsidRPr="00237EFA" w:rsidRDefault="00892FE4" w:rsidP="004300E2">
            <w:pPr>
              <w:rPr>
                <w:lang w:val="it-IT"/>
              </w:rPr>
            </w:pPr>
            <w:r w:rsidRPr="00237EFA">
              <w:rPr>
                <w:lang w:val="it-IT"/>
              </w:rPr>
              <w:t>Quando un’entità (partecipante) ha un’obbligazione di fare eventuali contribuzioni addizionali che non è iscritta come passività, ha fornito l’informativa richiesta dallo IAS 37.86 (vedi punto 34</w:t>
            </w:r>
            <w:r>
              <w:rPr>
                <w:lang w:val="it-IT"/>
              </w:rPr>
              <w:t>3</w:t>
            </w:r>
            <w:r w:rsidRPr="00237EFA">
              <w:rPr>
                <w:lang w:val="it-IT"/>
              </w:rPr>
              <w:t>).</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892FE4" w:rsidRPr="008129DA" w:rsidTr="00F235B5">
        <w:trPr>
          <w:cantSplit/>
        </w:trPr>
        <w:tc>
          <w:tcPr>
            <w:tcW w:w="567" w:type="dxa"/>
            <w:shd w:val="clear" w:color="auto" w:fill="auto"/>
            <w:tcMar>
              <w:left w:w="108" w:type="dxa"/>
              <w:right w:w="0" w:type="dxa"/>
            </w:tcMar>
          </w:tcPr>
          <w:p w:rsidR="00892FE4" w:rsidRPr="00237EFA" w:rsidRDefault="00892FE4" w:rsidP="004300E2">
            <w:pPr>
              <w:pStyle w:val="Numeroelenco"/>
              <w:ind w:left="0" w:firstLine="57"/>
              <w:rPr>
                <w:lang w:val="it-IT"/>
              </w:rPr>
            </w:pPr>
          </w:p>
        </w:tc>
        <w:tc>
          <w:tcPr>
            <w:tcW w:w="851" w:type="dxa"/>
            <w:shd w:val="clear" w:color="auto" w:fill="auto"/>
            <w:tcMar>
              <w:left w:w="108" w:type="dxa"/>
              <w:right w:w="0" w:type="dxa"/>
            </w:tcMar>
          </w:tcPr>
          <w:p w:rsidR="00892FE4" w:rsidRPr="00237EFA" w:rsidRDefault="00892FE4" w:rsidP="004300E2">
            <w:pPr>
              <w:pStyle w:val="IAS"/>
              <w:rPr>
                <w:lang w:val="it-IT"/>
              </w:rPr>
            </w:pPr>
            <w:r w:rsidRPr="00237EFA">
              <w:rPr>
                <w:lang w:val="it-IT"/>
              </w:rPr>
              <w:t>IFRIC 5.9 IFRIC 5.13 IAS 37.85</w:t>
            </w:r>
          </w:p>
        </w:tc>
        <w:tc>
          <w:tcPr>
            <w:tcW w:w="7079" w:type="dxa"/>
            <w:shd w:val="clear" w:color="auto" w:fill="auto"/>
            <w:tcMar>
              <w:left w:w="108" w:type="dxa"/>
            </w:tcMar>
          </w:tcPr>
          <w:p w:rsidR="00892FE4" w:rsidRPr="00237EFA" w:rsidRDefault="00892FE4" w:rsidP="004300E2">
            <w:pPr>
              <w:rPr>
                <w:b/>
                <w:lang w:val="it-IT"/>
              </w:rPr>
            </w:pPr>
            <w:r w:rsidRPr="00237EFA">
              <w:rPr>
                <w:lang w:val="it-IT"/>
              </w:rPr>
              <w:t xml:space="preserve">Quando un’entità (partecipante) rileva la sua interessenza nel fondo in conformità all’IFRIC 5.9, ha fornito l’informativa richiesta dallo IAS 37.85(c) (vedi punto </w:t>
            </w:r>
            <w:r>
              <w:rPr>
                <w:lang w:val="it-IT"/>
              </w:rPr>
              <w:t>369</w:t>
            </w:r>
            <w:r w:rsidRPr="00237EFA">
              <w:rPr>
                <w:lang w:val="it-IT"/>
              </w:rPr>
              <w:t>).</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F235B5">
        <w:trPr>
          <w:cantSplit/>
          <w:trHeight w:val="567"/>
        </w:trPr>
        <w:tc>
          <w:tcPr>
            <w:tcW w:w="567" w:type="dxa"/>
            <w:shd w:val="clear" w:color="auto" w:fill="auto"/>
            <w:tcMar>
              <w:left w:w="108" w:type="dxa"/>
              <w:right w:w="0" w:type="dxa"/>
            </w:tcMar>
          </w:tcPr>
          <w:p w:rsidR="004300E2" w:rsidRPr="00237EFA" w:rsidRDefault="004300E2" w:rsidP="004300E2">
            <w:pPr>
              <w:pStyle w:val="IAS"/>
              <w:rPr>
                <w:lang w:val="it-IT"/>
              </w:rPr>
            </w:pPr>
          </w:p>
        </w:tc>
        <w:tc>
          <w:tcPr>
            <w:tcW w:w="851" w:type="dxa"/>
            <w:shd w:val="clear" w:color="auto" w:fill="auto"/>
            <w:tcMar>
              <w:right w:w="0" w:type="dxa"/>
            </w:tcMar>
          </w:tcPr>
          <w:p w:rsidR="004300E2" w:rsidRPr="00237EFA" w:rsidRDefault="004300E2" w:rsidP="004300E2">
            <w:pPr>
              <w:pStyle w:val="IAS"/>
              <w:rPr>
                <w:lang w:val="it-IT"/>
              </w:rPr>
            </w:pPr>
          </w:p>
        </w:tc>
        <w:tc>
          <w:tcPr>
            <w:tcW w:w="7079" w:type="dxa"/>
            <w:shd w:val="clear" w:color="auto" w:fill="auto"/>
          </w:tcPr>
          <w:p w:rsidR="004300E2" w:rsidRPr="007709BC" w:rsidRDefault="004300E2" w:rsidP="0002186C">
            <w:pPr>
              <w:pStyle w:val="Titolo1"/>
              <w:keepNext w:val="0"/>
              <w:spacing w:before="20" w:after="20"/>
              <w:jc w:val="both"/>
            </w:pPr>
            <w:r w:rsidRPr="007709BC">
              <w:t>Passivit</w:t>
            </w:r>
            <w:r w:rsidRPr="008A0F36">
              <w:t>à</w:t>
            </w:r>
            <w:r w:rsidRPr="007709BC">
              <w:t xml:space="preserve"> derivanti dalla partecipazione AD un mercato specifico - Smaltimento di apparecchiature ELETTRICHE ED ELETTRONICHE</w:t>
            </w:r>
            <w:r w:rsidRPr="007709BC">
              <w:tab/>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892FE4" w:rsidRPr="008129DA" w:rsidTr="00F235B5">
        <w:trPr>
          <w:cantSplit/>
        </w:trPr>
        <w:tc>
          <w:tcPr>
            <w:tcW w:w="567" w:type="dxa"/>
            <w:shd w:val="clear" w:color="auto" w:fill="auto"/>
            <w:tcMar>
              <w:left w:w="108" w:type="dxa"/>
              <w:right w:w="0" w:type="dxa"/>
            </w:tcMar>
          </w:tcPr>
          <w:p w:rsidR="00892FE4" w:rsidRPr="00237EFA" w:rsidRDefault="00892FE4" w:rsidP="004300E2">
            <w:pPr>
              <w:pStyle w:val="Numeroelenco"/>
              <w:ind w:left="0" w:firstLine="57"/>
              <w:rPr>
                <w:lang w:val="it-IT"/>
              </w:rPr>
            </w:pPr>
          </w:p>
        </w:tc>
        <w:tc>
          <w:tcPr>
            <w:tcW w:w="851" w:type="dxa"/>
            <w:shd w:val="clear" w:color="auto" w:fill="auto"/>
            <w:tcMar>
              <w:left w:w="108" w:type="dxa"/>
              <w:right w:w="0" w:type="dxa"/>
            </w:tcMar>
          </w:tcPr>
          <w:p w:rsidR="00892FE4" w:rsidRPr="00237EFA" w:rsidRDefault="00892FE4" w:rsidP="00E84DDF">
            <w:pPr>
              <w:pStyle w:val="IAS"/>
              <w:rPr>
                <w:lang w:val="it-IT"/>
              </w:rPr>
            </w:pPr>
            <w:r w:rsidRPr="00237EFA">
              <w:rPr>
                <w:lang w:val="it-IT"/>
              </w:rPr>
              <w:t>IAS 1.117</w:t>
            </w:r>
            <w:r>
              <w:rPr>
                <w:lang w:val="it-IT"/>
              </w:rPr>
              <w:br/>
              <w:t>IFRIC 6</w:t>
            </w:r>
          </w:p>
        </w:tc>
        <w:tc>
          <w:tcPr>
            <w:tcW w:w="7079" w:type="dxa"/>
            <w:shd w:val="clear" w:color="auto" w:fill="auto"/>
            <w:tcMar>
              <w:left w:w="108" w:type="dxa"/>
            </w:tcMar>
          </w:tcPr>
          <w:p w:rsidR="00892FE4" w:rsidRPr="00237EFA" w:rsidRDefault="00892FE4" w:rsidP="004300E2">
            <w:pPr>
              <w:rPr>
                <w:lang w:val="it-IT"/>
              </w:rPr>
            </w:pPr>
            <w:r w:rsidRPr="00237EFA">
              <w:rPr>
                <w:lang w:val="it-IT"/>
              </w:rPr>
              <w:t xml:space="preserve">L’entità ha fornito informazioni in merito ai principi contabili adottati in relazione alle passività derivanti dallo smaltimento di rifiuti di apparecchiature elettriche </w:t>
            </w:r>
            <w:r>
              <w:rPr>
                <w:lang w:val="it-IT"/>
              </w:rPr>
              <w:t xml:space="preserve">ed </w:t>
            </w:r>
            <w:r w:rsidRPr="00237EFA">
              <w:rPr>
                <w:lang w:val="it-IT"/>
              </w:rPr>
              <w:t>elettroniche</w:t>
            </w:r>
            <w:r>
              <w:rPr>
                <w:smallCaps/>
                <w:lang w:val="it-IT"/>
              </w:rPr>
              <w:t>.</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8A0F36" w:rsidTr="00F235B5">
        <w:trPr>
          <w:cantSplit/>
        </w:trPr>
        <w:tc>
          <w:tcPr>
            <w:tcW w:w="567" w:type="dxa"/>
            <w:shd w:val="clear" w:color="auto" w:fill="auto"/>
            <w:tcMar>
              <w:left w:w="108" w:type="dxa"/>
              <w:right w:w="0" w:type="dxa"/>
            </w:tcMar>
            <w:vAlign w:val="center"/>
          </w:tcPr>
          <w:p w:rsidR="004300E2" w:rsidRPr="00237EFA" w:rsidRDefault="004300E2" w:rsidP="004300E2">
            <w:pPr>
              <w:pStyle w:val="IAS"/>
              <w:jc w:val="left"/>
              <w:rPr>
                <w:lang w:val="it-IT"/>
              </w:rPr>
            </w:pPr>
          </w:p>
        </w:tc>
        <w:tc>
          <w:tcPr>
            <w:tcW w:w="851" w:type="dxa"/>
            <w:shd w:val="clear" w:color="auto" w:fill="auto"/>
            <w:tcMar>
              <w:left w:w="108" w:type="dxa"/>
              <w:right w:w="0" w:type="dxa"/>
            </w:tcMar>
            <w:vAlign w:val="center"/>
          </w:tcPr>
          <w:p w:rsidR="004300E2" w:rsidRPr="00237EFA" w:rsidRDefault="004300E2" w:rsidP="004300E2">
            <w:pPr>
              <w:pStyle w:val="IAS"/>
              <w:jc w:val="left"/>
              <w:rPr>
                <w:lang w:val="it-IT"/>
              </w:rPr>
            </w:pPr>
          </w:p>
        </w:tc>
        <w:tc>
          <w:tcPr>
            <w:tcW w:w="7079" w:type="dxa"/>
            <w:shd w:val="clear" w:color="auto" w:fill="auto"/>
            <w:tcMar>
              <w:left w:w="108" w:type="dxa"/>
            </w:tcMar>
            <w:vAlign w:val="center"/>
          </w:tcPr>
          <w:p w:rsidR="004300E2" w:rsidRPr="00237EFA" w:rsidRDefault="004300E2" w:rsidP="004300E2">
            <w:pPr>
              <w:pStyle w:val="Titolo1"/>
              <w:keepNext w:val="0"/>
            </w:pPr>
            <w:r w:rsidRPr="00237EFA">
              <w:t>Parti correlate</w:t>
            </w:r>
          </w:p>
        </w:tc>
        <w:tc>
          <w:tcPr>
            <w:tcW w:w="575" w:type="dxa"/>
            <w:shd w:val="clear" w:color="auto" w:fill="auto"/>
            <w:tcMar>
              <w:left w:w="85" w:type="dxa"/>
              <w:right w:w="85" w:type="dxa"/>
            </w:tcMar>
            <w:vAlign w:val="center"/>
          </w:tcPr>
          <w:p w:rsidR="004300E2" w:rsidRDefault="004300E2" w:rsidP="004300E2">
            <w:pPr>
              <w:jc w:val="left"/>
            </w:pPr>
          </w:p>
        </w:tc>
        <w:tc>
          <w:tcPr>
            <w:tcW w:w="567" w:type="dxa"/>
            <w:shd w:val="clear" w:color="auto" w:fill="auto"/>
            <w:tcMar>
              <w:left w:w="108" w:type="dxa"/>
            </w:tcMar>
            <w:vAlign w:val="center"/>
          </w:tcPr>
          <w:p w:rsidR="004300E2" w:rsidRDefault="004300E2" w:rsidP="004300E2">
            <w:pPr>
              <w:jc w:val="left"/>
            </w:pPr>
          </w:p>
        </w:tc>
        <w:tc>
          <w:tcPr>
            <w:tcW w:w="567" w:type="dxa"/>
            <w:shd w:val="clear" w:color="auto" w:fill="auto"/>
            <w:vAlign w:val="center"/>
          </w:tcPr>
          <w:p w:rsidR="004300E2" w:rsidRDefault="004300E2" w:rsidP="004300E2">
            <w:pPr>
              <w:jc w:val="left"/>
            </w:pPr>
          </w:p>
        </w:tc>
      </w:tr>
      <w:tr w:rsidR="004300E2" w:rsidRPr="00A44ECD" w:rsidTr="00F235B5">
        <w:trPr>
          <w:cantSplit/>
        </w:trPr>
        <w:tc>
          <w:tcPr>
            <w:tcW w:w="567" w:type="dxa"/>
            <w:shd w:val="clear" w:color="auto" w:fill="auto"/>
            <w:tcMar>
              <w:left w:w="108" w:type="dxa"/>
            </w:tcMar>
          </w:tcPr>
          <w:p w:rsidR="004300E2" w:rsidRPr="00237EFA" w:rsidRDefault="004300E2" w:rsidP="004300E2">
            <w:pPr>
              <w:pStyle w:val="IAS"/>
              <w:rPr>
                <w:lang w:val="it-IT"/>
              </w:rPr>
            </w:pPr>
          </w:p>
        </w:tc>
        <w:tc>
          <w:tcPr>
            <w:tcW w:w="851" w:type="dxa"/>
            <w:shd w:val="clear" w:color="auto" w:fill="auto"/>
            <w:tcMar>
              <w:left w:w="108" w:type="dxa"/>
              <w:right w:w="0" w:type="dxa"/>
            </w:tcMar>
          </w:tcPr>
          <w:p w:rsidR="004300E2" w:rsidRPr="00237EFA" w:rsidRDefault="004300E2" w:rsidP="004300E2">
            <w:pPr>
              <w:pStyle w:val="IAS"/>
              <w:rPr>
                <w:lang w:val="it-IT"/>
              </w:rPr>
            </w:pPr>
            <w:r w:rsidRPr="00237EFA">
              <w:rPr>
                <w:lang w:val="it-IT"/>
              </w:rPr>
              <w:t>IAS 24.3</w:t>
            </w:r>
          </w:p>
        </w:tc>
        <w:tc>
          <w:tcPr>
            <w:tcW w:w="7079" w:type="dxa"/>
            <w:shd w:val="clear" w:color="auto" w:fill="auto"/>
            <w:tcMar>
              <w:left w:w="108" w:type="dxa"/>
            </w:tcMar>
          </w:tcPr>
          <w:p w:rsidR="004300E2" w:rsidRPr="00237EFA" w:rsidRDefault="004300E2" w:rsidP="0002186C">
            <w:pPr>
              <w:pStyle w:val="Paragarfobordato"/>
            </w:pPr>
            <w:r w:rsidRPr="00237EFA">
              <w:t>Le disposizioni relative all’informativa richiesta dallo IAS 24 con riferimento ai rapporti, alle operazioni con parti correlate e ai relativi saldi in essere con parti correlate, inclusi gli impegni, si applicano al bilancio consolidato ma anche al bilancio separato</w:t>
            </w:r>
            <w:r>
              <w:t xml:space="preserve"> </w:t>
            </w:r>
            <w:r w:rsidRPr="00237EFA">
              <w:t>di una controllante</w:t>
            </w:r>
            <w:r>
              <w:t xml:space="preserve"> o di un investitore con controllo congiunto, o influenza notevole di una partecipata esposta in bilancio in conformità all’IFRS 10 o allo IAS 27</w:t>
            </w:r>
            <w:r w:rsidRPr="00237EFA">
              <w:rPr>
                <w:i/>
              </w:rPr>
              <w:t>.</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4300E2" w:rsidRPr="00A44ECD" w:rsidTr="00F235B5">
        <w:trPr>
          <w:cantSplit/>
        </w:trPr>
        <w:tc>
          <w:tcPr>
            <w:tcW w:w="567" w:type="dxa"/>
            <w:shd w:val="clear" w:color="auto" w:fill="auto"/>
            <w:tcMar>
              <w:left w:w="108" w:type="dxa"/>
            </w:tcMar>
          </w:tcPr>
          <w:p w:rsidR="004300E2" w:rsidRPr="00237EFA" w:rsidRDefault="004300E2" w:rsidP="004300E2">
            <w:pPr>
              <w:pStyle w:val="IAS"/>
              <w:rPr>
                <w:lang w:val="it-IT"/>
              </w:rPr>
            </w:pPr>
          </w:p>
        </w:tc>
        <w:tc>
          <w:tcPr>
            <w:tcW w:w="851" w:type="dxa"/>
            <w:shd w:val="clear" w:color="auto" w:fill="auto"/>
            <w:tcMar>
              <w:left w:w="108" w:type="dxa"/>
              <w:right w:w="0" w:type="dxa"/>
            </w:tcMar>
          </w:tcPr>
          <w:p w:rsidR="004300E2" w:rsidRPr="00237EFA" w:rsidRDefault="004300E2" w:rsidP="004300E2">
            <w:pPr>
              <w:pStyle w:val="IAS"/>
              <w:rPr>
                <w:lang w:val="it-IT"/>
              </w:rPr>
            </w:pPr>
            <w:r w:rsidRPr="00237EFA">
              <w:rPr>
                <w:lang w:val="it-IT"/>
              </w:rPr>
              <w:t>IAS 24.4</w:t>
            </w:r>
          </w:p>
        </w:tc>
        <w:tc>
          <w:tcPr>
            <w:tcW w:w="7079" w:type="dxa"/>
            <w:shd w:val="clear" w:color="auto" w:fill="auto"/>
            <w:tcMar>
              <w:left w:w="108" w:type="dxa"/>
            </w:tcMar>
          </w:tcPr>
          <w:p w:rsidR="004300E2" w:rsidRPr="00237EFA" w:rsidRDefault="004300E2" w:rsidP="0002186C">
            <w:pPr>
              <w:pStyle w:val="Paragarfobordato"/>
            </w:pPr>
            <w:r w:rsidRPr="00237EFA">
              <w:t xml:space="preserve">Delle operazioni con parti correlate e dei saldi in essere con altre entità del gruppo è data informativa nel bilancio separato dell’entità. Le operazioni con parti correlate e i saldi in essere con parti correlate infragruppo sono eliminati nella redazione del bilancio consolidato di gruppo. </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4300E2" w:rsidRPr="00A44ECD" w:rsidTr="00F235B5">
        <w:trPr>
          <w:cantSplit/>
        </w:trPr>
        <w:tc>
          <w:tcPr>
            <w:tcW w:w="567" w:type="dxa"/>
            <w:shd w:val="clear" w:color="auto" w:fill="auto"/>
            <w:tcMar>
              <w:left w:w="108" w:type="dxa"/>
            </w:tcMar>
          </w:tcPr>
          <w:p w:rsidR="004300E2" w:rsidRPr="00237EFA" w:rsidRDefault="004300E2" w:rsidP="004300E2">
            <w:pPr>
              <w:pStyle w:val="IAS"/>
              <w:rPr>
                <w:lang w:val="it-IT"/>
              </w:rPr>
            </w:pPr>
          </w:p>
        </w:tc>
        <w:tc>
          <w:tcPr>
            <w:tcW w:w="851" w:type="dxa"/>
            <w:shd w:val="clear" w:color="auto" w:fill="auto"/>
            <w:tcMar>
              <w:left w:w="108" w:type="dxa"/>
              <w:right w:w="0" w:type="dxa"/>
            </w:tcMar>
          </w:tcPr>
          <w:p w:rsidR="004300E2" w:rsidRPr="00237EFA" w:rsidRDefault="004300E2" w:rsidP="004300E2">
            <w:pPr>
              <w:pStyle w:val="IAS"/>
              <w:rPr>
                <w:lang w:val="it-IT"/>
              </w:rPr>
            </w:pPr>
            <w:r w:rsidRPr="00237EFA">
              <w:rPr>
                <w:lang w:val="it-IT"/>
              </w:rPr>
              <w:t>IAS 24.24</w:t>
            </w:r>
          </w:p>
        </w:tc>
        <w:tc>
          <w:tcPr>
            <w:tcW w:w="7079" w:type="dxa"/>
            <w:shd w:val="clear" w:color="auto" w:fill="auto"/>
            <w:tcMar>
              <w:left w:w="108" w:type="dxa"/>
            </w:tcMar>
          </w:tcPr>
          <w:p w:rsidR="004300E2" w:rsidRPr="00237EFA" w:rsidRDefault="004300E2" w:rsidP="0002186C">
            <w:pPr>
              <w:pStyle w:val="Paragarfobordato"/>
            </w:pPr>
            <w:r w:rsidRPr="00237EFA">
              <w:t>Gli elementi di natura similare possono essere indicati cumulativamente, salvo quando un’indicazione separata sia necessaria per la comprensione degli effetti di operazioni con parti correlate sul bilancio dell’entità.</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892FE4" w:rsidRPr="008129DA" w:rsidTr="00F235B5">
        <w:trPr>
          <w:cantSplit/>
        </w:trPr>
        <w:tc>
          <w:tcPr>
            <w:tcW w:w="567" w:type="dxa"/>
            <w:shd w:val="clear" w:color="auto" w:fill="auto"/>
            <w:tcMar>
              <w:left w:w="108" w:type="dxa"/>
            </w:tcMar>
          </w:tcPr>
          <w:p w:rsidR="00892FE4" w:rsidRPr="00237EFA" w:rsidRDefault="00892FE4" w:rsidP="004300E2">
            <w:pPr>
              <w:pStyle w:val="Numeroelenco"/>
              <w:ind w:left="0" w:firstLine="57"/>
              <w:rPr>
                <w:lang w:val="it-IT"/>
              </w:rPr>
            </w:pPr>
          </w:p>
        </w:tc>
        <w:tc>
          <w:tcPr>
            <w:tcW w:w="851" w:type="dxa"/>
            <w:shd w:val="clear" w:color="auto" w:fill="auto"/>
            <w:tcMar>
              <w:left w:w="108" w:type="dxa"/>
              <w:right w:w="0" w:type="dxa"/>
            </w:tcMar>
          </w:tcPr>
          <w:p w:rsidR="00892FE4" w:rsidRPr="00237EFA" w:rsidRDefault="00892FE4" w:rsidP="004300E2">
            <w:pPr>
              <w:pStyle w:val="IAS"/>
              <w:rPr>
                <w:lang w:val="it-IT"/>
              </w:rPr>
            </w:pPr>
            <w:r w:rsidRPr="00237EFA">
              <w:rPr>
                <w:lang w:val="it-IT"/>
              </w:rPr>
              <w:t>IAS 24.13</w:t>
            </w:r>
          </w:p>
        </w:tc>
        <w:tc>
          <w:tcPr>
            <w:tcW w:w="7079" w:type="dxa"/>
            <w:shd w:val="clear" w:color="auto" w:fill="auto"/>
            <w:tcMar>
              <w:left w:w="108" w:type="dxa"/>
            </w:tcMar>
          </w:tcPr>
          <w:p w:rsidR="00892FE4" w:rsidRPr="00237EFA" w:rsidRDefault="00892FE4" w:rsidP="004300E2">
            <w:pPr>
              <w:rPr>
                <w:lang w:val="it-IT"/>
              </w:rPr>
            </w:pPr>
            <w:r w:rsidRPr="00237EFA">
              <w:rPr>
                <w:lang w:val="it-IT"/>
              </w:rPr>
              <w:t>Sono state indicate le relazioni fra la controllante e le proprie controllate a prescindere dal fatto che ci siano state operazioni fra queste parti correlate</w:t>
            </w:r>
            <w:r>
              <w:rPr>
                <w:lang w:val="it-IT"/>
              </w:rPr>
              <w:t>.</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F235B5">
        <w:trPr>
          <w:cantSplit/>
          <w:trHeight w:val="409"/>
        </w:trPr>
        <w:tc>
          <w:tcPr>
            <w:tcW w:w="567" w:type="dxa"/>
            <w:shd w:val="clear" w:color="auto" w:fill="auto"/>
            <w:tcMar>
              <w:left w:w="108" w:type="dxa"/>
            </w:tcMar>
          </w:tcPr>
          <w:p w:rsidR="004300E2" w:rsidRPr="00237EFA" w:rsidRDefault="004300E2" w:rsidP="004300E2">
            <w:pPr>
              <w:pStyle w:val="IAS"/>
              <w:rPr>
                <w:lang w:val="it-IT"/>
              </w:rPr>
            </w:pPr>
          </w:p>
        </w:tc>
        <w:tc>
          <w:tcPr>
            <w:tcW w:w="851" w:type="dxa"/>
            <w:shd w:val="clear" w:color="auto" w:fill="auto"/>
            <w:tcMar>
              <w:right w:w="0" w:type="dxa"/>
            </w:tcMar>
          </w:tcPr>
          <w:p w:rsidR="004300E2" w:rsidRPr="00237EFA" w:rsidRDefault="004300E2" w:rsidP="004300E2">
            <w:pPr>
              <w:pStyle w:val="IAS"/>
              <w:rPr>
                <w:lang w:val="it-IT"/>
              </w:rPr>
            </w:pPr>
            <w:r w:rsidRPr="00237EFA">
              <w:rPr>
                <w:lang w:val="it-IT"/>
              </w:rPr>
              <w:t xml:space="preserve">IAS 24.15 </w:t>
            </w:r>
          </w:p>
        </w:tc>
        <w:tc>
          <w:tcPr>
            <w:tcW w:w="7079" w:type="dxa"/>
            <w:shd w:val="clear" w:color="auto" w:fill="auto"/>
          </w:tcPr>
          <w:p w:rsidR="004300E2" w:rsidRPr="00237EFA" w:rsidRDefault="004300E2" w:rsidP="0002186C">
            <w:pPr>
              <w:pStyle w:val="Paragarfobordato"/>
            </w:pPr>
            <w:r w:rsidRPr="00237EFA">
              <w:t xml:space="preserve">La richiesta di indicare i rapporti con parti correlate tra una controllante e le proprie controllate è in aggiunta all’informativa richiesta </w:t>
            </w:r>
            <w:r>
              <w:t>d</w:t>
            </w:r>
            <w:r w:rsidRPr="00237EFA">
              <w:t xml:space="preserve">all’IFRS 12 e </w:t>
            </w:r>
            <w:r>
              <w:t>d</w:t>
            </w:r>
            <w:r w:rsidRPr="00237EFA">
              <w:t>allo IAS 27</w:t>
            </w:r>
            <w:r>
              <w:t>.</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4300E2" w:rsidRPr="00A44ECD" w:rsidTr="00F235B5">
        <w:trPr>
          <w:cantSplit/>
        </w:trPr>
        <w:tc>
          <w:tcPr>
            <w:tcW w:w="567" w:type="dxa"/>
            <w:shd w:val="clear" w:color="auto" w:fill="auto"/>
            <w:tcMar>
              <w:left w:w="108" w:type="dxa"/>
            </w:tcMar>
          </w:tcPr>
          <w:p w:rsidR="004300E2" w:rsidRPr="00237EFA" w:rsidRDefault="004300E2" w:rsidP="004300E2">
            <w:pPr>
              <w:pStyle w:val="Numeroelenco"/>
              <w:ind w:left="0" w:firstLine="57"/>
              <w:rPr>
                <w:lang w:val="it-IT"/>
              </w:rPr>
            </w:pPr>
          </w:p>
        </w:tc>
        <w:tc>
          <w:tcPr>
            <w:tcW w:w="851" w:type="dxa"/>
            <w:shd w:val="clear" w:color="auto" w:fill="auto"/>
            <w:tcMar>
              <w:left w:w="108" w:type="dxa"/>
              <w:right w:w="0" w:type="dxa"/>
            </w:tcMar>
          </w:tcPr>
          <w:p w:rsidR="004300E2" w:rsidRPr="00237EFA" w:rsidRDefault="004300E2" w:rsidP="004300E2">
            <w:pPr>
              <w:pStyle w:val="IAS"/>
              <w:rPr>
                <w:lang w:val="it-IT"/>
              </w:rPr>
            </w:pPr>
            <w:r w:rsidRPr="00237EFA">
              <w:rPr>
                <w:lang w:val="it-IT"/>
              </w:rPr>
              <w:t>IAS 24.13</w:t>
            </w:r>
          </w:p>
        </w:tc>
        <w:tc>
          <w:tcPr>
            <w:tcW w:w="7079" w:type="dxa"/>
            <w:shd w:val="clear" w:color="auto" w:fill="auto"/>
            <w:tcMar>
              <w:left w:w="108" w:type="dxa"/>
            </w:tcMar>
          </w:tcPr>
          <w:p w:rsidR="004300E2" w:rsidRPr="00237EFA" w:rsidRDefault="004300E2" w:rsidP="0002186C">
            <w:pPr>
              <w:spacing w:line="224" w:lineRule="exact"/>
              <w:rPr>
                <w:lang w:val="it-IT"/>
              </w:rPr>
            </w:pPr>
            <w:r w:rsidRPr="00237EFA">
              <w:rPr>
                <w:lang w:val="it-IT"/>
              </w:rPr>
              <w:t>L’entità ha fornito le seguenti informazioni:</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892FE4" w:rsidRPr="008129DA" w:rsidTr="00F235B5">
        <w:trPr>
          <w:cantSplit/>
        </w:trPr>
        <w:tc>
          <w:tcPr>
            <w:tcW w:w="567" w:type="dxa"/>
            <w:shd w:val="clear" w:color="auto" w:fill="auto"/>
            <w:tcMar>
              <w:left w:w="108" w:type="dxa"/>
            </w:tcMar>
          </w:tcPr>
          <w:p w:rsidR="00892FE4" w:rsidRPr="00237EFA" w:rsidRDefault="00892FE4" w:rsidP="004300E2">
            <w:pPr>
              <w:pStyle w:val="IAS"/>
              <w:rPr>
                <w:lang w:val="it-IT"/>
              </w:rPr>
            </w:pPr>
          </w:p>
        </w:tc>
        <w:tc>
          <w:tcPr>
            <w:tcW w:w="851" w:type="dxa"/>
            <w:shd w:val="clear" w:color="auto" w:fill="auto"/>
            <w:tcMar>
              <w:left w:w="108" w:type="dxa"/>
              <w:right w:w="0" w:type="dxa"/>
            </w:tcMar>
          </w:tcPr>
          <w:p w:rsidR="00892FE4" w:rsidRPr="00237EFA" w:rsidRDefault="00892FE4" w:rsidP="004300E2">
            <w:pPr>
              <w:pStyle w:val="IAS"/>
              <w:rPr>
                <w:lang w:val="it-IT"/>
              </w:rPr>
            </w:pPr>
          </w:p>
        </w:tc>
        <w:tc>
          <w:tcPr>
            <w:tcW w:w="7079" w:type="dxa"/>
            <w:shd w:val="clear" w:color="auto" w:fill="auto"/>
            <w:tcMar>
              <w:left w:w="108" w:type="dxa"/>
            </w:tcMar>
          </w:tcPr>
          <w:p w:rsidR="00892FE4" w:rsidRPr="00237EFA" w:rsidRDefault="00892FE4" w:rsidP="0002186C">
            <w:pPr>
              <w:pStyle w:val="Rientroa"/>
              <w:numPr>
                <w:ilvl w:val="0"/>
                <w:numId w:val="148"/>
              </w:numPr>
              <w:tabs>
                <w:tab w:val="center" w:pos="4536"/>
                <w:tab w:val="right" w:pos="9072"/>
              </w:tabs>
              <w:spacing w:line="224" w:lineRule="exact"/>
              <w:rPr>
                <w:iCs/>
                <w:spacing w:val="-2"/>
              </w:rPr>
            </w:pPr>
            <w:r w:rsidRPr="00237EFA">
              <w:t>la ragione sociale della controllante dell’entità</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892FE4" w:rsidRPr="008129DA" w:rsidTr="00F235B5">
        <w:trPr>
          <w:cantSplit/>
        </w:trPr>
        <w:tc>
          <w:tcPr>
            <w:tcW w:w="567" w:type="dxa"/>
            <w:shd w:val="clear" w:color="auto" w:fill="auto"/>
            <w:tcMar>
              <w:left w:w="108" w:type="dxa"/>
            </w:tcMar>
          </w:tcPr>
          <w:p w:rsidR="00892FE4" w:rsidRPr="00237EFA" w:rsidRDefault="00892FE4" w:rsidP="004300E2">
            <w:pPr>
              <w:pStyle w:val="IAS"/>
              <w:rPr>
                <w:lang w:val="it-IT"/>
              </w:rPr>
            </w:pPr>
          </w:p>
        </w:tc>
        <w:tc>
          <w:tcPr>
            <w:tcW w:w="851" w:type="dxa"/>
            <w:shd w:val="clear" w:color="auto" w:fill="auto"/>
            <w:tcMar>
              <w:left w:w="108" w:type="dxa"/>
              <w:right w:w="0" w:type="dxa"/>
            </w:tcMar>
          </w:tcPr>
          <w:p w:rsidR="00892FE4" w:rsidRPr="00237EFA" w:rsidRDefault="00892FE4" w:rsidP="004300E2">
            <w:pPr>
              <w:pStyle w:val="IAS"/>
              <w:rPr>
                <w:lang w:val="it-IT"/>
              </w:rPr>
            </w:pPr>
          </w:p>
        </w:tc>
        <w:tc>
          <w:tcPr>
            <w:tcW w:w="7079" w:type="dxa"/>
            <w:shd w:val="clear" w:color="auto" w:fill="auto"/>
            <w:tcMar>
              <w:left w:w="108" w:type="dxa"/>
            </w:tcMar>
          </w:tcPr>
          <w:p w:rsidR="00892FE4" w:rsidRPr="00237EFA" w:rsidRDefault="00892FE4" w:rsidP="0002186C">
            <w:pPr>
              <w:pStyle w:val="Rientroa"/>
              <w:numPr>
                <w:ilvl w:val="0"/>
                <w:numId w:val="72"/>
              </w:numPr>
              <w:spacing w:line="224" w:lineRule="exact"/>
            </w:pPr>
            <w:r w:rsidRPr="00237EFA">
              <w:t>se diversa, quella dell’entità capogruppo; o</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892FE4" w:rsidRPr="008129DA" w:rsidTr="00F235B5">
        <w:trPr>
          <w:cantSplit/>
        </w:trPr>
        <w:tc>
          <w:tcPr>
            <w:tcW w:w="567" w:type="dxa"/>
            <w:shd w:val="clear" w:color="auto" w:fill="auto"/>
            <w:tcMar>
              <w:left w:w="108" w:type="dxa"/>
            </w:tcMar>
          </w:tcPr>
          <w:p w:rsidR="00892FE4" w:rsidRPr="00237EFA" w:rsidRDefault="00892FE4" w:rsidP="004300E2">
            <w:pPr>
              <w:pStyle w:val="IAS"/>
              <w:rPr>
                <w:lang w:val="it-IT"/>
              </w:rPr>
            </w:pPr>
          </w:p>
        </w:tc>
        <w:tc>
          <w:tcPr>
            <w:tcW w:w="851" w:type="dxa"/>
            <w:shd w:val="clear" w:color="auto" w:fill="auto"/>
            <w:tcMar>
              <w:left w:w="108" w:type="dxa"/>
              <w:right w:w="0" w:type="dxa"/>
            </w:tcMar>
          </w:tcPr>
          <w:p w:rsidR="00892FE4" w:rsidRPr="00237EFA" w:rsidRDefault="00892FE4" w:rsidP="004300E2">
            <w:pPr>
              <w:pStyle w:val="IAS"/>
              <w:rPr>
                <w:lang w:val="it-IT"/>
              </w:rPr>
            </w:pPr>
          </w:p>
        </w:tc>
        <w:tc>
          <w:tcPr>
            <w:tcW w:w="7079" w:type="dxa"/>
            <w:shd w:val="clear" w:color="auto" w:fill="auto"/>
            <w:tcMar>
              <w:left w:w="108" w:type="dxa"/>
            </w:tcMar>
          </w:tcPr>
          <w:p w:rsidR="00892FE4" w:rsidRPr="00237EFA" w:rsidRDefault="00892FE4" w:rsidP="0002186C">
            <w:pPr>
              <w:pStyle w:val="Rientroa"/>
              <w:numPr>
                <w:ilvl w:val="0"/>
                <w:numId w:val="72"/>
              </w:numPr>
              <w:spacing w:line="224" w:lineRule="exact"/>
            </w:pPr>
            <w:r w:rsidRPr="00237EFA">
              <w:t xml:space="preserve">se né la controllante dell’entità, né l’entità capogruppo redigono un bilancio disponibile al pubblico, il nome dell’entità controllante di livello immediatamente superiore che è tenuta alla redazione del bilancio. </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F235B5">
        <w:trPr>
          <w:cantSplit/>
        </w:trPr>
        <w:tc>
          <w:tcPr>
            <w:tcW w:w="567" w:type="dxa"/>
            <w:shd w:val="clear" w:color="auto" w:fill="auto"/>
            <w:tcMar>
              <w:left w:w="108" w:type="dxa"/>
            </w:tcMar>
          </w:tcPr>
          <w:p w:rsidR="004300E2" w:rsidRPr="00237EFA" w:rsidRDefault="004300E2" w:rsidP="004300E2">
            <w:pPr>
              <w:pStyle w:val="Numeroelenco"/>
              <w:ind w:left="0" w:firstLine="57"/>
              <w:rPr>
                <w:lang w:val="it-IT"/>
              </w:rPr>
            </w:pPr>
          </w:p>
        </w:tc>
        <w:tc>
          <w:tcPr>
            <w:tcW w:w="851" w:type="dxa"/>
            <w:shd w:val="clear" w:color="auto" w:fill="auto"/>
            <w:tcMar>
              <w:left w:w="108" w:type="dxa"/>
              <w:right w:w="0" w:type="dxa"/>
            </w:tcMar>
          </w:tcPr>
          <w:p w:rsidR="004300E2" w:rsidRPr="00237EFA" w:rsidRDefault="004300E2" w:rsidP="004300E2">
            <w:pPr>
              <w:pStyle w:val="IAS"/>
              <w:rPr>
                <w:lang w:val="it-IT"/>
              </w:rPr>
            </w:pPr>
            <w:r w:rsidRPr="00237EFA">
              <w:rPr>
                <w:lang w:val="it-IT"/>
              </w:rPr>
              <w:t xml:space="preserve">IAS 24.17 </w:t>
            </w:r>
          </w:p>
        </w:tc>
        <w:tc>
          <w:tcPr>
            <w:tcW w:w="7079" w:type="dxa"/>
            <w:shd w:val="clear" w:color="auto" w:fill="auto"/>
            <w:tcMar>
              <w:left w:w="108" w:type="dxa"/>
            </w:tcMar>
          </w:tcPr>
          <w:p w:rsidR="004300E2" w:rsidRPr="00237EFA" w:rsidRDefault="004300E2" w:rsidP="0002186C">
            <w:pPr>
              <w:spacing w:line="224" w:lineRule="exact"/>
              <w:rPr>
                <w:lang w:val="it-IT"/>
              </w:rPr>
            </w:pPr>
            <w:r w:rsidRPr="00237EFA">
              <w:rPr>
                <w:lang w:val="it-IT"/>
              </w:rPr>
              <w:t>L’entità ha indicato, relativamente ai dirigenti con responsabilità strategiche, il totale delle retribuzioni e il dettaglio delle seguenti categorie:</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892FE4" w:rsidRPr="008129DA" w:rsidTr="00F235B5">
        <w:trPr>
          <w:cantSplit/>
        </w:trPr>
        <w:tc>
          <w:tcPr>
            <w:tcW w:w="567" w:type="dxa"/>
            <w:shd w:val="clear" w:color="auto" w:fill="auto"/>
            <w:tcMar>
              <w:left w:w="108" w:type="dxa"/>
            </w:tcMar>
          </w:tcPr>
          <w:p w:rsidR="00892FE4" w:rsidRPr="00237EFA" w:rsidRDefault="00892FE4" w:rsidP="004300E2">
            <w:pPr>
              <w:pStyle w:val="IAS"/>
              <w:rPr>
                <w:lang w:val="it-IT"/>
              </w:rPr>
            </w:pPr>
          </w:p>
        </w:tc>
        <w:tc>
          <w:tcPr>
            <w:tcW w:w="851" w:type="dxa"/>
            <w:shd w:val="clear" w:color="auto" w:fill="auto"/>
            <w:tcMar>
              <w:left w:w="108" w:type="dxa"/>
              <w:right w:w="0" w:type="dxa"/>
            </w:tcMar>
          </w:tcPr>
          <w:p w:rsidR="00892FE4" w:rsidRPr="00237EFA" w:rsidRDefault="00892FE4" w:rsidP="004300E2">
            <w:pPr>
              <w:pStyle w:val="IAS"/>
              <w:rPr>
                <w:lang w:val="it-IT"/>
              </w:rPr>
            </w:pPr>
          </w:p>
        </w:tc>
        <w:tc>
          <w:tcPr>
            <w:tcW w:w="7079" w:type="dxa"/>
            <w:shd w:val="clear" w:color="auto" w:fill="auto"/>
            <w:tcMar>
              <w:left w:w="108" w:type="dxa"/>
            </w:tcMar>
          </w:tcPr>
          <w:p w:rsidR="00892FE4" w:rsidRPr="00237EFA" w:rsidRDefault="00892FE4" w:rsidP="0002186C">
            <w:pPr>
              <w:pStyle w:val="Rientroa"/>
              <w:numPr>
                <w:ilvl w:val="0"/>
                <w:numId w:val="149"/>
              </w:numPr>
              <w:tabs>
                <w:tab w:val="center" w:pos="4536"/>
                <w:tab w:val="right" w:pos="9072"/>
              </w:tabs>
              <w:spacing w:line="224" w:lineRule="exact"/>
              <w:rPr>
                <w:iCs/>
                <w:spacing w:val="-2"/>
              </w:rPr>
            </w:pPr>
            <w:r w:rsidRPr="00237EFA">
              <w:t>benefici a breve termine per i dipendenti</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892FE4" w:rsidRPr="008129DA" w:rsidTr="00F235B5">
        <w:trPr>
          <w:cantSplit/>
        </w:trPr>
        <w:tc>
          <w:tcPr>
            <w:tcW w:w="567" w:type="dxa"/>
            <w:shd w:val="clear" w:color="auto" w:fill="auto"/>
            <w:tcMar>
              <w:left w:w="108" w:type="dxa"/>
            </w:tcMar>
          </w:tcPr>
          <w:p w:rsidR="00892FE4" w:rsidRPr="00237EFA" w:rsidRDefault="00892FE4" w:rsidP="004300E2">
            <w:pPr>
              <w:pStyle w:val="IAS"/>
              <w:rPr>
                <w:lang w:val="it-IT"/>
              </w:rPr>
            </w:pPr>
          </w:p>
        </w:tc>
        <w:tc>
          <w:tcPr>
            <w:tcW w:w="851" w:type="dxa"/>
            <w:shd w:val="clear" w:color="auto" w:fill="auto"/>
            <w:tcMar>
              <w:left w:w="108" w:type="dxa"/>
              <w:right w:w="0" w:type="dxa"/>
            </w:tcMar>
          </w:tcPr>
          <w:p w:rsidR="00892FE4" w:rsidRPr="00237EFA" w:rsidRDefault="00892FE4" w:rsidP="004300E2">
            <w:pPr>
              <w:pStyle w:val="IAS"/>
              <w:rPr>
                <w:lang w:val="it-IT"/>
              </w:rPr>
            </w:pPr>
          </w:p>
        </w:tc>
        <w:tc>
          <w:tcPr>
            <w:tcW w:w="7079" w:type="dxa"/>
            <w:shd w:val="clear" w:color="auto" w:fill="auto"/>
            <w:tcMar>
              <w:left w:w="108" w:type="dxa"/>
            </w:tcMar>
          </w:tcPr>
          <w:p w:rsidR="00892FE4" w:rsidRPr="00237EFA" w:rsidRDefault="00892FE4" w:rsidP="0002186C">
            <w:pPr>
              <w:pStyle w:val="Rientroa"/>
              <w:numPr>
                <w:ilvl w:val="0"/>
                <w:numId w:val="72"/>
              </w:numPr>
              <w:spacing w:line="224" w:lineRule="exact"/>
            </w:pPr>
            <w:r w:rsidRPr="00237EFA">
              <w:t>benefici successivi alla fine del rapporto di lavoro</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892FE4" w:rsidRPr="008129DA" w:rsidTr="00F235B5">
        <w:trPr>
          <w:cantSplit/>
        </w:trPr>
        <w:tc>
          <w:tcPr>
            <w:tcW w:w="567" w:type="dxa"/>
            <w:shd w:val="clear" w:color="auto" w:fill="auto"/>
            <w:tcMar>
              <w:left w:w="108" w:type="dxa"/>
            </w:tcMar>
          </w:tcPr>
          <w:p w:rsidR="00892FE4" w:rsidRPr="00237EFA" w:rsidRDefault="00892FE4" w:rsidP="004300E2">
            <w:pPr>
              <w:pStyle w:val="IAS"/>
              <w:rPr>
                <w:lang w:val="it-IT"/>
              </w:rPr>
            </w:pPr>
          </w:p>
        </w:tc>
        <w:tc>
          <w:tcPr>
            <w:tcW w:w="851" w:type="dxa"/>
            <w:shd w:val="clear" w:color="auto" w:fill="auto"/>
            <w:tcMar>
              <w:left w:w="108" w:type="dxa"/>
              <w:right w:w="0" w:type="dxa"/>
            </w:tcMar>
          </w:tcPr>
          <w:p w:rsidR="00892FE4" w:rsidRPr="00237EFA" w:rsidRDefault="00892FE4" w:rsidP="004300E2">
            <w:pPr>
              <w:pStyle w:val="IAS"/>
              <w:rPr>
                <w:lang w:val="it-IT"/>
              </w:rPr>
            </w:pPr>
          </w:p>
        </w:tc>
        <w:tc>
          <w:tcPr>
            <w:tcW w:w="7079" w:type="dxa"/>
            <w:shd w:val="clear" w:color="auto" w:fill="auto"/>
            <w:tcMar>
              <w:left w:w="108" w:type="dxa"/>
            </w:tcMar>
          </w:tcPr>
          <w:p w:rsidR="00892FE4" w:rsidRPr="00237EFA" w:rsidRDefault="00892FE4" w:rsidP="0002186C">
            <w:pPr>
              <w:pStyle w:val="Rientroa"/>
              <w:numPr>
                <w:ilvl w:val="0"/>
                <w:numId w:val="72"/>
              </w:numPr>
              <w:spacing w:line="224" w:lineRule="exact"/>
            </w:pPr>
            <w:r w:rsidRPr="00237EFA">
              <w:t>altri benefici a lungo termine</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892FE4" w:rsidRPr="008129DA" w:rsidTr="00F235B5">
        <w:trPr>
          <w:cantSplit/>
        </w:trPr>
        <w:tc>
          <w:tcPr>
            <w:tcW w:w="567" w:type="dxa"/>
            <w:shd w:val="clear" w:color="auto" w:fill="auto"/>
            <w:tcMar>
              <w:left w:w="108" w:type="dxa"/>
            </w:tcMar>
          </w:tcPr>
          <w:p w:rsidR="00892FE4" w:rsidRPr="00237EFA" w:rsidRDefault="00892FE4" w:rsidP="004300E2">
            <w:pPr>
              <w:pStyle w:val="IAS"/>
              <w:rPr>
                <w:lang w:val="it-IT"/>
              </w:rPr>
            </w:pPr>
          </w:p>
        </w:tc>
        <w:tc>
          <w:tcPr>
            <w:tcW w:w="851" w:type="dxa"/>
            <w:shd w:val="clear" w:color="auto" w:fill="auto"/>
            <w:tcMar>
              <w:left w:w="108" w:type="dxa"/>
              <w:right w:w="0" w:type="dxa"/>
            </w:tcMar>
          </w:tcPr>
          <w:p w:rsidR="00892FE4" w:rsidRPr="00237EFA" w:rsidRDefault="00892FE4" w:rsidP="004300E2">
            <w:pPr>
              <w:pStyle w:val="IAS"/>
              <w:rPr>
                <w:lang w:val="it-IT"/>
              </w:rPr>
            </w:pPr>
          </w:p>
        </w:tc>
        <w:tc>
          <w:tcPr>
            <w:tcW w:w="7079" w:type="dxa"/>
            <w:shd w:val="clear" w:color="auto" w:fill="auto"/>
            <w:tcMar>
              <w:left w:w="108" w:type="dxa"/>
            </w:tcMar>
          </w:tcPr>
          <w:p w:rsidR="00892FE4" w:rsidRPr="00237EFA" w:rsidRDefault="00892FE4" w:rsidP="0002186C">
            <w:pPr>
              <w:pStyle w:val="Rientroa"/>
              <w:numPr>
                <w:ilvl w:val="0"/>
                <w:numId w:val="72"/>
              </w:numPr>
              <w:spacing w:line="224" w:lineRule="exact"/>
            </w:pPr>
            <w:r w:rsidRPr="00237EFA">
              <w:t>benefici dovuti ai dipendenti per la cessazione del rapporto di lavoro, e</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892FE4" w:rsidRPr="008A0F36" w:rsidTr="00F235B5">
        <w:trPr>
          <w:cantSplit/>
        </w:trPr>
        <w:tc>
          <w:tcPr>
            <w:tcW w:w="567" w:type="dxa"/>
            <w:shd w:val="clear" w:color="auto" w:fill="auto"/>
            <w:tcMar>
              <w:left w:w="108" w:type="dxa"/>
            </w:tcMar>
          </w:tcPr>
          <w:p w:rsidR="00892FE4" w:rsidRPr="00237EFA" w:rsidRDefault="00892FE4" w:rsidP="004300E2">
            <w:pPr>
              <w:pStyle w:val="IAS"/>
              <w:rPr>
                <w:lang w:val="it-IT"/>
              </w:rPr>
            </w:pPr>
          </w:p>
        </w:tc>
        <w:tc>
          <w:tcPr>
            <w:tcW w:w="851" w:type="dxa"/>
            <w:shd w:val="clear" w:color="auto" w:fill="auto"/>
            <w:tcMar>
              <w:left w:w="108" w:type="dxa"/>
              <w:right w:w="0" w:type="dxa"/>
            </w:tcMar>
          </w:tcPr>
          <w:p w:rsidR="00892FE4" w:rsidRPr="00237EFA" w:rsidRDefault="00892FE4" w:rsidP="004300E2">
            <w:pPr>
              <w:pStyle w:val="IAS"/>
              <w:rPr>
                <w:lang w:val="it-IT"/>
              </w:rPr>
            </w:pPr>
          </w:p>
        </w:tc>
        <w:tc>
          <w:tcPr>
            <w:tcW w:w="7079" w:type="dxa"/>
            <w:shd w:val="clear" w:color="auto" w:fill="auto"/>
            <w:tcMar>
              <w:left w:w="108" w:type="dxa"/>
            </w:tcMar>
          </w:tcPr>
          <w:p w:rsidR="00892FE4" w:rsidRPr="00237EFA" w:rsidRDefault="00892FE4" w:rsidP="0002186C">
            <w:pPr>
              <w:pStyle w:val="Rientroa"/>
              <w:numPr>
                <w:ilvl w:val="0"/>
                <w:numId w:val="72"/>
              </w:numPr>
              <w:spacing w:line="224" w:lineRule="exact"/>
            </w:pPr>
            <w:r w:rsidRPr="00237EFA">
              <w:t>pagamenti basati su azioni.</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892FE4" w:rsidRPr="008129DA" w:rsidTr="00F235B5">
        <w:trPr>
          <w:cantSplit/>
        </w:trPr>
        <w:tc>
          <w:tcPr>
            <w:tcW w:w="567" w:type="dxa"/>
            <w:shd w:val="clear" w:color="auto" w:fill="auto"/>
            <w:tcMar>
              <w:left w:w="108" w:type="dxa"/>
            </w:tcMar>
          </w:tcPr>
          <w:p w:rsidR="00892FE4" w:rsidRPr="00237EFA" w:rsidRDefault="00892FE4" w:rsidP="004300E2">
            <w:pPr>
              <w:pStyle w:val="Numeroelenco"/>
              <w:ind w:left="0" w:firstLine="57"/>
              <w:rPr>
                <w:lang w:val="it-IT"/>
              </w:rPr>
            </w:pPr>
          </w:p>
        </w:tc>
        <w:tc>
          <w:tcPr>
            <w:tcW w:w="851" w:type="dxa"/>
            <w:shd w:val="clear" w:color="auto" w:fill="auto"/>
            <w:tcMar>
              <w:left w:w="108" w:type="dxa"/>
              <w:right w:w="0" w:type="dxa"/>
            </w:tcMar>
          </w:tcPr>
          <w:p w:rsidR="00892FE4" w:rsidRPr="00237EFA" w:rsidRDefault="00892FE4" w:rsidP="004300E2">
            <w:pPr>
              <w:pStyle w:val="IAS"/>
              <w:rPr>
                <w:lang w:val="it-IT"/>
              </w:rPr>
            </w:pPr>
            <w:r>
              <w:rPr>
                <w:lang w:val="it-IT"/>
              </w:rPr>
              <w:t>IAS 24.17A</w:t>
            </w:r>
          </w:p>
        </w:tc>
        <w:tc>
          <w:tcPr>
            <w:tcW w:w="7079" w:type="dxa"/>
            <w:shd w:val="clear" w:color="auto" w:fill="auto"/>
            <w:tcMar>
              <w:left w:w="108" w:type="dxa"/>
            </w:tcMar>
          </w:tcPr>
          <w:p w:rsidR="00892FE4" w:rsidRPr="00237EFA" w:rsidRDefault="00892FE4" w:rsidP="0002186C">
            <w:pPr>
              <w:pStyle w:val="Rientroa"/>
              <w:numPr>
                <w:ilvl w:val="0"/>
                <w:numId w:val="0"/>
              </w:numPr>
              <w:spacing w:line="226" w:lineRule="exact"/>
              <w:ind w:left="32"/>
            </w:pPr>
            <w:r w:rsidRPr="00F90DCD">
              <w:t xml:space="preserve">Se l’entità ha ottenuto i servizi </w:t>
            </w:r>
            <w:r>
              <w:t>di direzione</w:t>
            </w:r>
            <w:r w:rsidRPr="00F90DCD">
              <w:t xml:space="preserve"> con responsabilità strategic</w:t>
            </w:r>
            <w:r>
              <w:t>he</w:t>
            </w:r>
            <w:r w:rsidRPr="00F90DCD">
              <w:t xml:space="preserve"> da un’altra entità (solitamente denominata “</w:t>
            </w:r>
            <w:r w:rsidRPr="00F90DCD">
              <w:rPr>
                <w:i/>
              </w:rPr>
              <w:t>management company</w:t>
            </w:r>
            <w:r w:rsidRPr="00F90DCD">
              <w:t>”</w:t>
            </w:r>
            <w:r>
              <w:t xml:space="preserve"> o “entità dirigente”</w:t>
            </w:r>
            <w:r w:rsidRPr="00F90DCD">
              <w:t>), l’entità non è tenuta a fornire le informazioni integrative richieste</w:t>
            </w:r>
            <w:r>
              <w:t xml:space="preserve"> dallo IAS 24.17 (vedi punto 381</w:t>
            </w:r>
            <w:r w:rsidRPr="00F90DCD">
              <w:t>) con riferimento alle retribuzioni corrisposte dalla “</w:t>
            </w:r>
            <w:r w:rsidRPr="00F90DCD">
              <w:rPr>
                <w:i/>
              </w:rPr>
              <w:t>management company</w:t>
            </w:r>
            <w:r>
              <w:t>”</w:t>
            </w:r>
            <w:r w:rsidRPr="00F90DCD">
              <w:t xml:space="preserve"> ai propri dipendenti e amministratori.</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F235B5">
        <w:trPr>
          <w:cantSplit/>
        </w:trPr>
        <w:tc>
          <w:tcPr>
            <w:tcW w:w="567" w:type="dxa"/>
            <w:shd w:val="clear" w:color="auto" w:fill="auto"/>
            <w:tcMar>
              <w:left w:w="108" w:type="dxa"/>
            </w:tcMar>
          </w:tcPr>
          <w:p w:rsidR="004300E2" w:rsidRPr="00237EFA" w:rsidRDefault="004300E2" w:rsidP="004300E2">
            <w:pPr>
              <w:pStyle w:val="Numeroelenco"/>
              <w:ind w:left="0" w:firstLine="57"/>
              <w:rPr>
                <w:lang w:val="it-IT"/>
              </w:rPr>
            </w:pPr>
          </w:p>
        </w:tc>
        <w:tc>
          <w:tcPr>
            <w:tcW w:w="851" w:type="dxa"/>
            <w:shd w:val="clear" w:color="auto" w:fill="auto"/>
            <w:tcMar>
              <w:left w:w="108" w:type="dxa"/>
              <w:right w:w="0" w:type="dxa"/>
            </w:tcMar>
          </w:tcPr>
          <w:p w:rsidR="004300E2" w:rsidRPr="00237EFA" w:rsidRDefault="004300E2" w:rsidP="004300E2">
            <w:pPr>
              <w:pStyle w:val="IAS"/>
              <w:rPr>
                <w:lang w:val="it-IT"/>
              </w:rPr>
            </w:pPr>
            <w:r w:rsidRPr="00237EFA">
              <w:rPr>
                <w:lang w:val="it-IT"/>
              </w:rPr>
              <w:t xml:space="preserve">IAS 24.18 </w:t>
            </w:r>
          </w:p>
        </w:tc>
        <w:tc>
          <w:tcPr>
            <w:tcW w:w="7079" w:type="dxa"/>
            <w:shd w:val="clear" w:color="auto" w:fill="auto"/>
            <w:tcMar>
              <w:left w:w="108" w:type="dxa"/>
            </w:tcMar>
          </w:tcPr>
          <w:p w:rsidR="004300E2" w:rsidRPr="00237EFA" w:rsidRDefault="004300E2" w:rsidP="0002186C">
            <w:pPr>
              <w:spacing w:line="226" w:lineRule="exact"/>
              <w:rPr>
                <w:lang w:val="it-IT"/>
              </w:rPr>
            </w:pPr>
            <w:r w:rsidRPr="00237EFA">
              <w:rPr>
                <w:lang w:val="it-IT"/>
              </w:rPr>
              <w:t>Se ci sono state operazioni con parti correlate nei periodi di riferimento del bilancio, l’entità ha indicato, le seguenti informazioni:</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892FE4" w:rsidRPr="008129DA" w:rsidTr="00F235B5">
        <w:trPr>
          <w:cantSplit/>
        </w:trPr>
        <w:tc>
          <w:tcPr>
            <w:tcW w:w="567" w:type="dxa"/>
            <w:shd w:val="clear" w:color="auto" w:fill="auto"/>
            <w:tcMar>
              <w:left w:w="108" w:type="dxa"/>
            </w:tcMar>
          </w:tcPr>
          <w:p w:rsidR="00892FE4" w:rsidRPr="00237EFA" w:rsidRDefault="00892FE4" w:rsidP="004300E2">
            <w:pPr>
              <w:pStyle w:val="IAS"/>
              <w:rPr>
                <w:lang w:val="it-IT"/>
              </w:rPr>
            </w:pPr>
          </w:p>
        </w:tc>
        <w:tc>
          <w:tcPr>
            <w:tcW w:w="851" w:type="dxa"/>
            <w:shd w:val="clear" w:color="auto" w:fill="auto"/>
            <w:tcMar>
              <w:left w:w="108" w:type="dxa"/>
              <w:right w:w="0" w:type="dxa"/>
            </w:tcMar>
          </w:tcPr>
          <w:p w:rsidR="00892FE4" w:rsidRPr="00237EFA" w:rsidRDefault="00892FE4" w:rsidP="004300E2">
            <w:pPr>
              <w:pStyle w:val="IAS"/>
              <w:rPr>
                <w:lang w:val="it-IT"/>
              </w:rPr>
            </w:pPr>
          </w:p>
        </w:tc>
        <w:tc>
          <w:tcPr>
            <w:tcW w:w="7079" w:type="dxa"/>
            <w:shd w:val="clear" w:color="auto" w:fill="auto"/>
            <w:tcMar>
              <w:left w:w="108" w:type="dxa"/>
            </w:tcMar>
          </w:tcPr>
          <w:p w:rsidR="00892FE4" w:rsidRPr="00237EFA" w:rsidRDefault="00892FE4" w:rsidP="0002186C">
            <w:pPr>
              <w:pStyle w:val="Rientroa"/>
              <w:numPr>
                <w:ilvl w:val="0"/>
                <w:numId w:val="150"/>
              </w:numPr>
              <w:spacing w:line="226" w:lineRule="exact"/>
            </w:pPr>
            <w:r w:rsidRPr="00237EFA">
              <w:t>la natura del rapporto con la parte correlata, e</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892FE4" w:rsidRPr="008129DA" w:rsidTr="00F235B5">
        <w:trPr>
          <w:cantSplit/>
        </w:trPr>
        <w:tc>
          <w:tcPr>
            <w:tcW w:w="567" w:type="dxa"/>
            <w:shd w:val="clear" w:color="auto" w:fill="auto"/>
            <w:tcMar>
              <w:left w:w="108" w:type="dxa"/>
            </w:tcMar>
          </w:tcPr>
          <w:p w:rsidR="00892FE4" w:rsidRPr="00237EFA" w:rsidRDefault="00892FE4" w:rsidP="004300E2">
            <w:pPr>
              <w:pStyle w:val="IAS"/>
              <w:rPr>
                <w:lang w:val="it-IT"/>
              </w:rPr>
            </w:pPr>
          </w:p>
        </w:tc>
        <w:tc>
          <w:tcPr>
            <w:tcW w:w="851" w:type="dxa"/>
            <w:shd w:val="clear" w:color="auto" w:fill="auto"/>
            <w:tcMar>
              <w:left w:w="108" w:type="dxa"/>
              <w:right w:w="0" w:type="dxa"/>
            </w:tcMar>
          </w:tcPr>
          <w:p w:rsidR="00892FE4" w:rsidRPr="00237EFA" w:rsidRDefault="00892FE4" w:rsidP="004300E2">
            <w:pPr>
              <w:pStyle w:val="IAS"/>
              <w:rPr>
                <w:lang w:val="it-IT"/>
              </w:rPr>
            </w:pPr>
          </w:p>
        </w:tc>
        <w:tc>
          <w:tcPr>
            <w:tcW w:w="7079" w:type="dxa"/>
            <w:shd w:val="clear" w:color="auto" w:fill="auto"/>
            <w:tcMar>
              <w:left w:w="108" w:type="dxa"/>
            </w:tcMar>
          </w:tcPr>
          <w:p w:rsidR="00892FE4" w:rsidRPr="00237EFA" w:rsidRDefault="00892FE4" w:rsidP="0002186C">
            <w:pPr>
              <w:pStyle w:val="Rientroa"/>
              <w:numPr>
                <w:ilvl w:val="0"/>
                <w:numId w:val="72"/>
              </w:numPr>
              <w:spacing w:line="226" w:lineRule="exact"/>
            </w:pPr>
            <w:r w:rsidRPr="00237EFA">
              <w:t>le informazioni relative a tali operazioni e ai saldi in essere, inclusi gli impegni, necessarie per comprendere i potenziali effetti di tale rapporto sul bilancio, includendo come minimo, quanto segue:</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892FE4" w:rsidRPr="008A0F36" w:rsidTr="00F235B5">
        <w:trPr>
          <w:cantSplit/>
        </w:trPr>
        <w:tc>
          <w:tcPr>
            <w:tcW w:w="567" w:type="dxa"/>
            <w:shd w:val="clear" w:color="auto" w:fill="auto"/>
            <w:tcMar>
              <w:left w:w="108" w:type="dxa"/>
            </w:tcMar>
          </w:tcPr>
          <w:p w:rsidR="00892FE4" w:rsidRPr="00237EFA" w:rsidRDefault="00892FE4" w:rsidP="004300E2">
            <w:pPr>
              <w:pStyle w:val="IAS"/>
              <w:rPr>
                <w:lang w:val="it-IT"/>
              </w:rPr>
            </w:pPr>
          </w:p>
        </w:tc>
        <w:tc>
          <w:tcPr>
            <w:tcW w:w="851" w:type="dxa"/>
            <w:shd w:val="clear" w:color="auto" w:fill="auto"/>
            <w:tcMar>
              <w:left w:w="108" w:type="dxa"/>
              <w:right w:w="0" w:type="dxa"/>
            </w:tcMar>
          </w:tcPr>
          <w:p w:rsidR="00892FE4" w:rsidRPr="00237EFA" w:rsidRDefault="00892FE4" w:rsidP="004300E2">
            <w:pPr>
              <w:pStyle w:val="IAS"/>
              <w:rPr>
                <w:lang w:val="it-IT"/>
              </w:rPr>
            </w:pPr>
          </w:p>
        </w:tc>
        <w:tc>
          <w:tcPr>
            <w:tcW w:w="7079" w:type="dxa"/>
            <w:shd w:val="clear" w:color="auto" w:fill="auto"/>
            <w:tcMar>
              <w:left w:w="108" w:type="dxa"/>
            </w:tcMar>
          </w:tcPr>
          <w:p w:rsidR="00892FE4" w:rsidRPr="00237EFA" w:rsidRDefault="00892FE4" w:rsidP="0002186C">
            <w:pPr>
              <w:pStyle w:val="Puntoelenco"/>
              <w:tabs>
                <w:tab w:val="clear" w:pos="780"/>
              </w:tabs>
              <w:spacing w:line="226" w:lineRule="exact"/>
              <w:ind w:left="741" w:hanging="283"/>
              <w:contextualSpacing w:val="0"/>
            </w:pPr>
            <w:r w:rsidRPr="00237EFA">
              <w:t>l’ammontare delle transazioni operazioni</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892FE4" w:rsidRPr="008129DA" w:rsidTr="00F235B5">
        <w:trPr>
          <w:cantSplit/>
        </w:trPr>
        <w:tc>
          <w:tcPr>
            <w:tcW w:w="567" w:type="dxa"/>
            <w:shd w:val="clear" w:color="auto" w:fill="auto"/>
            <w:tcMar>
              <w:left w:w="108" w:type="dxa"/>
            </w:tcMar>
          </w:tcPr>
          <w:p w:rsidR="00892FE4" w:rsidRPr="00237EFA" w:rsidRDefault="00892FE4" w:rsidP="004300E2">
            <w:pPr>
              <w:pStyle w:val="IAS"/>
              <w:rPr>
                <w:lang w:val="it-IT"/>
              </w:rPr>
            </w:pPr>
          </w:p>
        </w:tc>
        <w:tc>
          <w:tcPr>
            <w:tcW w:w="851" w:type="dxa"/>
            <w:shd w:val="clear" w:color="auto" w:fill="auto"/>
            <w:tcMar>
              <w:left w:w="108" w:type="dxa"/>
              <w:right w:w="0" w:type="dxa"/>
            </w:tcMar>
          </w:tcPr>
          <w:p w:rsidR="00892FE4" w:rsidRPr="00237EFA" w:rsidRDefault="00892FE4" w:rsidP="004300E2">
            <w:pPr>
              <w:pStyle w:val="IAS"/>
              <w:rPr>
                <w:lang w:val="it-IT"/>
              </w:rPr>
            </w:pPr>
          </w:p>
        </w:tc>
        <w:tc>
          <w:tcPr>
            <w:tcW w:w="7079" w:type="dxa"/>
            <w:shd w:val="clear" w:color="auto" w:fill="auto"/>
            <w:tcMar>
              <w:left w:w="108" w:type="dxa"/>
            </w:tcMar>
          </w:tcPr>
          <w:p w:rsidR="00892FE4" w:rsidRPr="00237EFA" w:rsidRDefault="00892FE4" w:rsidP="0002186C">
            <w:pPr>
              <w:pStyle w:val="Puntoelenco"/>
              <w:tabs>
                <w:tab w:val="clear" w:pos="780"/>
              </w:tabs>
              <w:spacing w:line="226" w:lineRule="exact"/>
              <w:ind w:left="741" w:hanging="283"/>
              <w:contextualSpacing w:val="0"/>
            </w:pPr>
            <w:r w:rsidRPr="00237EFA">
              <w:t>l’ammontare dei saldi in essere, inclusi gli impegni, e</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892FE4" w:rsidRPr="008129DA" w:rsidTr="00F235B5">
        <w:trPr>
          <w:cantSplit/>
        </w:trPr>
        <w:tc>
          <w:tcPr>
            <w:tcW w:w="567" w:type="dxa"/>
            <w:shd w:val="clear" w:color="auto" w:fill="auto"/>
            <w:tcMar>
              <w:left w:w="108" w:type="dxa"/>
            </w:tcMar>
          </w:tcPr>
          <w:p w:rsidR="00892FE4" w:rsidRPr="00237EFA" w:rsidRDefault="00892FE4" w:rsidP="004300E2">
            <w:pPr>
              <w:pStyle w:val="IAS"/>
              <w:rPr>
                <w:lang w:val="it-IT"/>
              </w:rPr>
            </w:pPr>
          </w:p>
        </w:tc>
        <w:tc>
          <w:tcPr>
            <w:tcW w:w="851" w:type="dxa"/>
            <w:shd w:val="clear" w:color="auto" w:fill="auto"/>
            <w:tcMar>
              <w:left w:w="108" w:type="dxa"/>
              <w:right w:w="0" w:type="dxa"/>
            </w:tcMar>
          </w:tcPr>
          <w:p w:rsidR="00892FE4" w:rsidRPr="00237EFA" w:rsidRDefault="00892FE4" w:rsidP="004300E2">
            <w:pPr>
              <w:pStyle w:val="IAS"/>
              <w:rPr>
                <w:lang w:val="it-IT"/>
              </w:rPr>
            </w:pPr>
          </w:p>
        </w:tc>
        <w:tc>
          <w:tcPr>
            <w:tcW w:w="7079" w:type="dxa"/>
            <w:shd w:val="clear" w:color="auto" w:fill="auto"/>
            <w:tcMar>
              <w:left w:w="108" w:type="dxa"/>
            </w:tcMar>
          </w:tcPr>
          <w:p w:rsidR="00892FE4" w:rsidRPr="00237EFA" w:rsidRDefault="00892FE4" w:rsidP="0002186C">
            <w:pPr>
              <w:pStyle w:val="Rientrosottoi"/>
              <w:spacing w:line="226" w:lineRule="exact"/>
              <w:ind w:left="883" w:hanging="142"/>
            </w:pPr>
            <w:r w:rsidRPr="00237EFA">
              <w:rPr>
                <w:spacing w:val="-2"/>
              </w:rPr>
              <w:t>.</w:t>
            </w:r>
            <w:r w:rsidRPr="00237EFA">
              <w:tab/>
              <w:t>le loro condizioni ed i termini contrattuali, incluse eventuali garanzie esistenti e la natura del corrispettivo da riconoscere al momento del regolamento; e</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892FE4" w:rsidRPr="008129DA" w:rsidTr="00F235B5">
        <w:trPr>
          <w:cantSplit/>
        </w:trPr>
        <w:tc>
          <w:tcPr>
            <w:tcW w:w="567" w:type="dxa"/>
            <w:shd w:val="clear" w:color="auto" w:fill="auto"/>
            <w:tcMar>
              <w:left w:w="108" w:type="dxa"/>
            </w:tcMar>
          </w:tcPr>
          <w:p w:rsidR="00892FE4" w:rsidRPr="00237EFA" w:rsidRDefault="00892FE4" w:rsidP="004300E2">
            <w:pPr>
              <w:pStyle w:val="IAS"/>
              <w:rPr>
                <w:lang w:val="it-IT"/>
              </w:rPr>
            </w:pPr>
          </w:p>
        </w:tc>
        <w:tc>
          <w:tcPr>
            <w:tcW w:w="851" w:type="dxa"/>
            <w:shd w:val="clear" w:color="auto" w:fill="auto"/>
            <w:tcMar>
              <w:left w:w="108" w:type="dxa"/>
              <w:right w:w="0" w:type="dxa"/>
            </w:tcMar>
          </w:tcPr>
          <w:p w:rsidR="00892FE4" w:rsidRPr="00237EFA" w:rsidRDefault="00892FE4" w:rsidP="004300E2">
            <w:pPr>
              <w:pStyle w:val="IAS"/>
              <w:rPr>
                <w:lang w:val="it-IT"/>
              </w:rPr>
            </w:pPr>
          </w:p>
        </w:tc>
        <w:tc>
          <w:tcPr>
            <w:tcW w:w="7079" w:type="dxa"/>
            <w:shd w:val="clear" w:color="auto" w:fill="auto"/>
            <w:tcMar>
              <w:left w:w="108" w:type="dxa"/>
            </w:tcMar>
          </w:tcPr>
          <w:p w:rsidR="00892FE4" w:rsidRPr="00237EFA" w:rsidRDefault="00892FE4" w:rsidP="0002186C">
            <w:pPr>
              <w:pStyle w:val="Rientrosottoi"/>
              <w:spacing w:line="226" w:lineRule="exact"/>
              <w:ind w:left="883" w:hanging="142"/>
            </w:pPr>
            <w:r w:rsidRPr="00237EFA">
              <w:rPr>
                <w:spacing w:val="-2"/>
              </w:rPr>
              <w:t>.</w:t>
            </w:r>
            <w:r w:rsidRPr="00237EFA">
              <w:tab/>
              <w:t>i dettagli di qualsiasi garanzia fornita o ricevuta</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892FE4" w:rsidRPr="008129DA" w:rsidTr="00F235B5">
        <w:trPr>
          <w:cantSplit/>
        </w:trPr>
        <w:tc>
          <w:tcPr>
            <w:tcW w:w="567" w:type="dxa"/>
            <w:shd w:val="clear" w:color="auto" w:fill="auto"/>
            <w:tcMar>
              <w:left w:w="108" w:type="dxa"/>
            </w:tcMar>
          </w:tcPr>
          <w:p w:rsidR="00892FE4" w:rsidRPr="00237EFA" w:rsidRDefault="00892FE4" w:rsidP="004300E2">
            <w:pPr>
              <w:pStyle w:val="IAS"/>
              <w:rPr>
                <w:lang w:val="it-IT"/>
              </w:rPr>
            </w:pPr>
          </w:p>
        </w:tc>
        <w:tc>
          <w:tcPr>
            <w:tcW w:w="851" w:type="dxa"/>
            <w:shd w:val="clear" w:color="auto" w:fill="auto"/>
            <w:tcMar>
              <w:left w:w="108" w:type="dxa"/>
              <w:right w:w="0" w:type="dxa"/>
            </w:tcMar>
          </w:tcPr>
          <w:p w:rsidR="00892FE4" w:rsidRPr="00237EFA" w:rsidRDefault="00892FE4" w:rsidP="004300E2">
            <w:pPr>
              <w:pStyle w:val="IAS"/>
              <w:rPr>
                <w:lang w:val="it-IT"/>
              </w:rPr>
            </w:pPr>
          </w:p>
        </w:tc>
        <w:tc>
          <w:tcPr>
            <w:tcW w:w="7079" w:type="dxa"/>
            <w:shd w:val="clear" w:color="auto" w:fill="auto"/>
            <w:tcMar>
              <w:left w:w="108" w:type="dxa"/>
            </w:tcMar>
          </w:tcPr>
          <w:p w:rsidR="00892FE4" w:rsidRPr="00237EFA" w:rsidRDefault="00892FE4" w:rsidP="0002186C">
            <w:pPr>
              <w:pStyle w:val="Puntoelenco"/>
              <w:tabs>
                <w:tab w:val="clear" w:pos="780"/>
              </w:tabs>
              <w:spacing w:line="226" w:lineRule="exact"/>
              <w:ind w:left="741" w:hanging="283"/>
              <w:contextualSpacing w:val="0"/>
            </w:pPr>
            <w:r w:rsidRPr="00237EFA">
              <w:t>gli accantonamenti per crediti di dubbia esigibilità relativi ai saldi in essere; e</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892FE4" w:rsidRPr="008129DA" w:rsidTr="00F235B5">
        <w:trPr>
          <w:cantSplit/>
        </w:trPr>
        <w:tc>
          <w:tcPr>
            <w:tcW w:w="567" w:type="dxa"/>
            <w:shd w:val="clear" w:color="auto" w:fill="auto"/>
            <w:tcMar>
              <w:left w:w="108" w:type="dxa"/>
            </w:tcMar>
          </w:tcPr>
          <w:p w:rsidR="00892FE4" w:rsidRPr="00237EFA" w:rsidRDefault="00892FE4" w:rsidP="004300E2">
            <w:pPr>
              <w:pStyle w:val="IAS"/>
              <w:rPr>
                <w:lang w:val="it-IT"/>
              </w:rPr>
            </w:pPr>
          </w:p>
        </w:tc>
        <w:tc>
          <w:tcPr>
            <w:tcW w:w="851" w:type="dxa"/>
            <w:shd w:val="clear" w:color="auto" w:fill="auto"/>
            <w:tcMar>
              <w:left w:w="108" w:type="dxa"/>
              <w:right w:w="0" w:type="dxa"/>
            </w:tcMar>
          </w:tcPr>
          <w:p w:rsidR="00892FE4" w:rsidRPr="00237EFA" w:rsidRDefault="00892FE4" w:rsidP="004300E2">
            <w:pPr>
              <w:pStyle w:val="IAS"/>
              <w:rPr>
                <w:lang w:val="it-IT"/>
              </w:rPr>
            </w:pPr>
          </w:p>
        </w:tc>
        <w:tc>
          <w:tcPr>
            <w:tcW w:w="7079" w:type="dxa"/>
            <w:shd w:val="clear" w:color="auto" w:fill="auto"/>
            <w:tcMar>
              <w:left w:w="108" w:type="dxa"/>
            </w:tcMar>
          </w:tcPr>
          <w:p w:rsidR="00892FE4" w:rsidRPr="00237EFA" w:rsidRDefault="00892FE4" w:rsidP="0002186C">
            <w:pPr>
              <w:pStyle w:val="Puntoelenco"/>
              <w:tabs>
                <w:tab w:val="clear" w:pos="780"/>
              </w:tabs>
              <w:spacing w:line="226" w:lineRule="exact"/>
              <w:ind w:left="741" w:hanging="283"/>
              <w:contextualSpacing w:val="0"/>
            </w:pPr>
            <w:r w:rsidRPr="00237EFA">
              <w:t>la perdita rilevata nell’esercizio, relativa a crediti inesigibili o di dubbia esigibilità dovuti da parti correlate.</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892FE4" w:rsidRPr="008129DA" w:rsidTr="00F235B5">
        <w:trPr>
          <w:cantSplit/>
        </w:trPr>
        <w:tc>
          <w:tcPr>
            <w:tcW w:w="567" w:type="dxa"/>
            <w:shd w:val="clear" w:color="auto" w:fill="auto"/>
            <w:tcMar>
              <w:left w:w="108" w:type="dxa"/>
            </w:tcMar>
          </w:tcPr>
          <w:p w:rsidR="00892FE4" w:rsidRPr="00237EFA" w:rsidRDefault="00892FE4" w:rsidP="004300E2">
            <w:pPr>
              <w:pStyle w:val="Numeroelenco"/>
              <w:ind w:left="0" w:firstLine="57"/>
              <w:rPr>
                <w:lang w:val="it-IT"/>
              </w:rPr>
            </w:pPr>
          </w:p>
        </w:tc>
        <w:tc>
          <w:tcPr>
            <w:tcW w:w="851" w:type="dxa"/>
            <w:shd w:val="clear" w:color="auto" w:fill="auto"/>
            <w:tcMar>
              <w:left w:w="108" w:type="dxa"/>
              <w:right w:w="0" w:type="dxa"/>
            </w:tcMar>
          </w:tcPr>
          <w:p w:rsidR="00892FE4" w:rsidRPr="00237EFA" w:rsidRDefault="00892FE4" w:rsidP="004300E2">
            <w:pPr>
              <w:pStyle w:val="IAS"/>
              <w:rPr>
                <w:lang w:val="it-IT"/>
              </w:rPr>
            </w:pPr>
            <w:r w:rsidRPr="00F90DCD">
              <w:rPr>
                <w:lang w:val="it-IT"/>
              </w:rPr>
              <w:t>IAS 24.18A</w:t>
            </w:r>
          </w:p>
        </w:tc>
        <w:tc>
          <w:tcPr>
            <w:tcW w:w="7079" w:type="dxa"/>
            <w:shd w:val="clear" w:color="auto" w:fill="auto"/>
            <w:tcMar>
              <w:left w:w="108" w:type="dxa"/>
            </w:tcMar>
          </w:tcPr>
          <w:p w:rsidR="00892FE4" w:rsidRPr="00FB4B6E" w:rsidRDefault="00892FE4" w:rsidP="0002186C">
            <w:pPr>
              <w:spacing w:line="226" w:lineRule="exact"/>
              <w:rPr>
                <w:lang w:val="it-IT"/>
              </w:rPr>
            </w:pPr>
            <w:r w:rsidRPr="00F90DCD">
              <w:rPr>
                <w:lang w:val="it-IT"/>
              </w:rPr>
              <w:t xml:space="preserve">L’entità ha indicato l’ammontare complessivo dei costi sostenuti per i servizi </w:t>
            </w:r>
            <w:r>
              <w:rPr>
                <w:lang w:val="it-IT"/>
              </w:rPr>
              <w:t xml:space="preserve">di direzione </w:t>
            </w:r>
            <w:r w:rsidRPr="00F90DCD">
              <w:rPr>
                <w:lang w:val="it-IT"/>
              </w:rPr>
              <w:t>con responsabilità strategiche forniti dalla “</w:t>
            </w:r>
            <w:r w:rsidRPr="001C7A2B">
              <w:rPr>
                <w:i/>
                <w:lang w:val="it-IT"/>
              </w:rPr>
              <w:t>management company</w:t>
            </w:r>
            <w:r w:rsidRPr="00F90DCD">
              <w:rPr>
                <w:lang w:val="it-IT"/>
              </w:rPr>
              <w:t>”.</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F235B5">
        <w:trPr>
          <w:cantSplit/>
        </w:trPr>
        <w:tc>
          <w:tcPr>
            <w:tcW w:w="567" w:type="dxa"/>
            <w:shd w:val="clear" w:color="auto" w:fill="auto"/>
            <w:tcMar>
              <w:left w:w="108" w:type="dxa"/>
            </w:tcMar>
          </w:tcPr>
          <w:p w:rsidR="004300E2" w:rsidRPr="00237EFA" w:rsidRDefault="004300E2" w:rsidP="004300E2">
            <w:pPr>
              <w:pStyle w:val="Numeroelenco"/>
              <w:ind w:left="0" w:firstLine="57"/>
              <w:rPr>
                <w:lang w:val="it-IT"/>
              </w:rPr>
            </w:pPr>
          </w:p>
        </w:tc>
        <w:tc>
          <w:tcPr>
            <w:tcW w:w="851" w:type="dxa"/>
            <w:shd w:val="clear" w:color="auto" w:fill="auto"/>
            <w:tcMar>
              <w:left w:w="108" w:type="dxa"/>
              <w:right w:w="0" w:type="dxa"/>
            </w:tcMar>
          </w:tcPr>
          <w:p w:rsidR="004300E2" w:rsidRPr="00237EFA" w:rsidRDefault="004300E2" w:rsidP="004300E2">
            <w:pPr>
              <w:pStyle w:val="IAS"/>
              <w:rPr>
                <w:lang w:val="it-IT"/>
              </w:rPr>
            </w:pPr>
            <w:r w:rsidRPr="00237EFA">
              <w:rPr>
                <w:lang w:val="it-IT"/>
              </w:rPr>
              <w:t>IAS 24.19</w:t>
            </w:r>
          </w:p>
        </w:tc>
        <w:tc>
          <w:tcPr>
            <w:tcW w:w="7079" w:type="dxa"/>
            <w:shd w:val="clear" w:color="auto" w:fill="auto"/>
            <w:tcMar>
              <w:left w:w="108" w:type="dxa"/>
            </w:tcMar>
          </w:tcPr>
          <w:p w:rsidR="004300E2" w:rsidRPr="00237EFA" w:rsidRDefault="004300E2" w:rsidP="00C15B75">
            <w:pPr>
              <w:spacing w:line="226" w:lineRule="exact"/>
              <w:rPr>
                <w:lang w:val="it-IT"/>
              </w:rPr>
            </w:pPr>
            <w:r w:rsidRPr="00237EFA">
              <w:rPr>
                <w:lang w:val="it-IT"/>
              </w:rPr>
              <w:t>L’entità ha indicato le informazioni richieste dallo IAS 24.18, separatamente per ognuna delle seguenti categorie:</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892FE4" w:rsidRPr="008A0F36" w:rsidTr="00F235B5">
        <w:trPr>
          <w:cantSplit/>
        </w:trPr>
        <w:tc>
          <w:tcPr>
            <w:tcW w:w="567" w:type="dxa"/>
            <w:shd w:val="clear" w:color="auto" w:fill="auto"/>
            <w:tcMar>
              <w:left w:w="108" w:type="dxa"/>
            </w:tcMar>
          </w:tcPr>
          <w:p w:rsidR="00892FE4" w:rsidRPr="00237EFA" w:rsidRDefault="00892FE4" w:rsidP="004300E2">
            <w:pPr>
              <w:pStyle w:val="IAS"/>
              <w:rPr>
                <w:lang w:val="it-IT"/>
              </w:rPr>
            </w:pPr>
          </w:p>
        </w:tc>
        <w:tc>
          <w:tcPr>
            <w:tcW w:w="851" w:type="dxa"/>
            <w:shd w:val="clear" w:color="auto" w:fill="auto"/>
            <w:tcMar>
              <w:left w:w="108" w:type="dxa"/>
              <w:right w:w="0" w:type="dxa"/>
            </w:tcMar>
          </w:tcPr>
          <w:p w:rsidR="00892FE4" w:rsidRPr="00237EFA" w:rsidRDefault="00892FE4" w:rsidP="004300E2">
            <w:pPr>
              <w:pStyle w:val="IAS"/>
              <w:rPr>
                <w:lang w:val="it-IT"/>
              </w:rPr>
            </w:pPr>
          </w:p>
        </w:tc>
        <w:tc>
          <w:tcPr>
            <w:tcW w:w="7079" w:type="dxa"/>
            <w:shd w:val="clear" w:color="auto" w:fill="auto"/>
            <w:tcMar>
              <w:left w:w="108" w:type="dxa"/>
            </w:tcMar>
          </w:tcPr>
          <w:p w:rsidR="00892FE4" w:rsidRPr="00237EFA" w:rsidRDefault="00892FE4" w:rsidP="00C15B75">
            <w:pPr>
              <w:pStyle w:val="Rientroa"/>
              <w:numPr>
                <w:ilvl w:val="0"/>
                <w:numId w:val="151"/>
              </w:numPr>
              <w:spacing w:line="226" w:lineRule="exact"/>
            </w:pPr>
            <w:r>
              <w:t>c</w:t>
            </w:r>
            <w:r w:rsidRPr="00237EFA">
              <w:t>ontrollante</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892FE4" w:rsidRPr="008129DA" w:rsidTr="00F235B5">
        <w:trPr>
          <w:cantSplit/>
        </w:trPr>
        <w:tc>
          <w:tcPr>
            <w:tcW w:w="567" w:type="dxa"/>
            <w:shd w:val="clear" w:color="auto" w:fill="auto"/>
            <w:tcMar>
              <w:left w:w="108" w:type="dxa"/>
            </w:tcMar>
          </w:tcPr>
          <w:p w:rsidR="00892FE4" w:rsidRPr="00237EFA" w:rsidRDefault="00892FE4" w:rsidP="004300E2">
            <w:pPr>
              <w:pStyle w:val="IAS"/>
              <w:rPr>
                <w:lang w:val="it-IT"/>
              </w:rPr>
            </w:pPr>
          </w:p>
        </w:tc>
        <w:tc>
          <w:tcPr>
            <w:tcW w:w="851" w:type="dxa"/>
            <w:shd w:val="clear" w:color="auto" w:fill="auto"/>
            <w:tcMar>
              <w:left w:w="108" w:type="dxa"/>
              <w:right w:w="0" w:type="dxa"/>
            </w:tcMar>
          </w:tcPr>
          <w:p w:rsidR="00892FE4" w:rsidRPr="00237EFA" w:rsidRDefault="00892FE4" w:rsidP="004300E2">
            <w:pPr>
              <w:pStyle w:val="IAS"/>
              <w:rPr>
                <w:lang w:val="it-IT"/>
              </w:rPr>
            </w:pPr>
          </w:p>
        </w:tc>
        <w:tc>
          <w:tcPr>
            <w:tcW w:w="7079" w:type="dxa"/>
            <w:shd w:val="clear" w:color="auto" w:fill="auto"/>
            <w:tcMar>
              <w:left w:w="108" w:type="dxa"/>
            </w:tcMar>
          </w:tcPr>
          <w:p w:rsidR="00892FE4" w:rsidRPr="00237EFA" w:rsidRDefault="00892FE4" w:rsidP="00C15B75">
            <w:pPr>
              <w:pStyle w:val="Rientroa"/>
              <w:numPr>
                <w:ilvl w:val="0"/>
                <w:numId w:val="72"/>
              </w:numPr>
              <w:spacing w:line="226" w:lineRule="exact"/>
            </w:pPr>
            <w:r w:rsidRPr="00237EFA">
              <w:t>entità che controllano congiuntamente o esercitano un’influenza notevole sull’entità stessa</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892FE4" w:rsidRPr="008A0F36" w:rsidTr="00F235B5">
        <w:trPr>
          <w:cantSplit/>
        </w:trPr>
        <w:tc>
          <w:tcPr>
            <w:tcW w:w="567" w:type="dxa"/>
            <w:shd w:val="clear" w:color="auto" w:fill="auto"/>
            <w:tcMar>
              <w:left w:w="108" w:type="dxa"/>
            </w:tcMar>
          </w:tcPr>
          <w:p w:rsidR="00892FE4" w:rsidRPr="00237EFA" w:rsidRDefault="00892FE4" w:rsidP="004300E2">
            <w:pPr>
              <w:pStyle w:val="IAS"/>
              <w:rPr>
                <w:lang w:val="it-IT"/>
              </w:rPr>
            </w:pPr>
          </w:p>
        </w:tc>
        <w:tc>
          <w:tcPr>
            <w:tcW w:w="851" w:type="dxa"/>
            <w:shd w:val="clear" w:color="auto" w:fill="auto"/>
            <w:tcMar>
              <w:left w:w="108" w:type="dxa"/>
              <w:right w:w="0" w:type="dxa"/>
            </w:tcMar>
          </w:tcPr>
          <w:p w:rsidR="00892FE4" w:rsidRPr="00237EFA" w:rsidRDefault="00892FE4" w:rsidP="004300E2">
            <w:pPr>
              <w:pStyle w:val="IAS"/>
              <w:rPr>
                <w:lang w:val="it-IT"/>
              </w:rPr>
            </w:pPr>
          </w:p>
        </w:tc>
        <w:tc>
          <w:tcPr>
            <w:tcW w:w="7079" w:type="dxa"/>
            <w:shd w:val="clear" w:color="auto" w:fill="auto"/>
            <w:tcMar>
              <w:left w:w="108" w:type="dxa"/>
            </w:tcMar>
          </w:tcPr>
          <w:p w:rsidR="00892FE4" w:rsidRPr="00237EFA" w:rsidRDefault="00892FE4" w:rsidP="00C15B75">
            <w:pPr>
              <w:pStyle w:val="Rientroa"/>
              <w:numPr>
                <w:ilvl w:val="0"/>
                <w:numId w:val="72"/>
              </w:numPr>
              <w:spacing w:line="226" w:lineRule="exact"/>
            </w:pPr>
            <w:r w:rsidRPr="00237EFA">
              <w:t>controllate</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892FE4" w:rsidRPr="008A0F36" w:rsidTr="00F235B5">
        <w:trPr>
          <w:cantSplit/>
        </w:trPr>
        <w:tc>
          <w:tcPr>
            <w:tcW w:w="567" w:type="dxa"/>
            <w:shd w:val="clear" w:color="auto" w:fill="auto"/>
            <w:tcMar>
              <w:left w:w="108" w:type="dxa"/>
            </w:tcMar>
          </w:tcPr>
          <w:p w:rsidR="00892FE4" w:rsidRPr="00237EFA" w:rsidRDefault="00892FE4" w:rsidP="004300E2">
            <w:pPr>
              <w:pStyle w:val="IAS"/>
              <w:rPr>
                <w:lang w:val="it-IT"/>
              </w:rPr>
            </w:pPr>
          </w:p>
        </w:tc>
        <w:tc>
          <w:tcPr>
            <w:tcW w:w="851" w:type="dxa"/>
            <w:shd w:val="clear" w:color="auto" w:fill="auto"/>
            <w:tcMar>
              <w:left w:w="108" w:type="dxa"/>
              <w:right w:w="0" w:type="dxa"/>
            </w:tcMar>
          </w:tcPr>
          <w:p w:rsidR="00892FE4" w:rsidRPr="00237EFA" w:rsidRDefault="00892FE4" w:rsidP="004300E2">
            <w:pPr>
              <w:pStyle w:val="IAS"/>
              <w:rPr>
                <w:lang w:val="it-IT"/>
              </w:rPr>
            </w:pPr>
          </w:p>
        </w:tc>
        <w:tc>
          <w:tcPr>
            <w:tcW w:w="7079" w:type="dxa"/>
            <w:shd w:val="clear" w:color="auto" w:fill="auto"/>
            <w:tcMar>
              <w:left w:w="108" w:type="dxa"/>
            </w:tcMar>
          </w:tcPr>
          <w:p w:rsidR="00892FE4" w:rsidRPr="00237EFA" w:rsidRDefault="00892FE4" w:rsidP="00C15B75">
            <w:pPr>
              <w:pStyle w:val="Rientroa"/>
              <w:numPr>
                <w:ilvl w:val="0"/>
                <w:numId w:val="72"/>
              </w:numPr>
              <w:spacing w:line="226" w:lineRule="exact"/>
            </w:pPr>
            <w:r w:rsidRPr="00237EFA">
              <w:t>collegate</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892FE4" w:rsidRPr="008129DA" w:rsidTr="00F235B5">
        <w:trPr>
          <w:cantSplit/>
        </w:trPr>
        <w:tc>
          <w:tcPr>
            <w:tcW w:w="567" w:type="dxa"/>
            <w:shd w:val="clear" w:color="auto" w:fill="auto"/>
            <w:tcMar>
              <w:left w:w="108" w:type="dxa"/>
            </w:tcMar>
          </w:tcPr>
          <w:p w:rsidR="00892FE4" w:rsidRPr="00237EFA" w:rsidRDefault="00892FE4" w:rsidP="004300E2">
            <w:pPr>
              <w:pStyle w:val="IAS"/>
              <w:rPr>
                <w:lang w:val="it-IT"/>
              </w:rPr>
            </w:pPr>
          </w:p>
        </w:tc>
        <w:tc>
          <w:tcPr>
            <w:tcW w:w="851" w:type="dxa"/>
            <w:shd w:val="clear" w:color="auto" w:fill="auto"/>
            <w:tcMar>
              <w:left w:w="108" w:type="dxa"/>
              <w:right w:w="0" w:type="dxa"/>
            </w:tcMar>
          </w:tcPr>
          <w:p w:rsidR="00892FE4" w:rsidRPr="00237EFA" w:rsidRDefault="00892FE4" w:rsidP="004300E2">
            <w:pPr>
              <w:pStyle w:val="IAS"/>
              <w:rPr>
                <w:lang w:val="it-IT"/>
              </w:rPr>
            </w:pPr>
          </w:p>
        </w:tc>
        <w:tc>
          <w:tcPr>
            <w:tcW w:w="7079" w:type="dxa"/>
            <w:shd w:val="clear" w:color="auto" w:fill="auto"/>
            <w:tcMar>
              <w:left w:w="108" w:type="dxa"/>
            </w:tcMar>
          </w:tcPr>
          <w:p w:rsidR="00892FE4" w:rsidRPr="00237EFA" w:rsidRDefault="00892FE4" w:rsidP="00C15B75">
            <w:pPr>
              <w:pStyle w:val="Rientroa"/>
              <w:numPr>
                <w:ilvl w:val="0"/>
                <w:numId w:val="72"/>
              </w:numPr>
              <w:spacing w:line="226" w:lineRule="exact"/>
            </w:pPr>
            <w:r w:rsidRPr="00237EFA">
              <w:rPr>
                <w:i/>
              </w:rPr>
              <w:t>joint venture</w:t>
            </w:r>
            <w:r w:rsidRPr="00237EFA">
              <w:t xml:space="preserve"> in cui l’entità è una società partecipante</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892FE4" w:rsidRPr="008129DA" w:rsidTr="00F235B5">
        <w:trPr>
          <w:cantSplit/>
        </w:trPr>
        <w:tc>
          <w:tcPr>
            <w:tcW w:w="567" w:type="dxa"/>
            <w:shd w:val="clear" w:color="auto" w:fill="auto"/>
            <w:tcMar>
              <w:left w:w="108" w:type="dxa"/>
            </w:tcMar>
          </w:tcPr>
          <w:p w:rsidR="00892FE4" w:rsidRPr="00237EFA" w:rsidRDefault="00892FE4" w:rsidP="004300E2">
            <w:pPr>
              <w:pStyle w:val="IAS"/>
              <w:rPr>
                <w:lang w:val="it-IT"/>
              </w:rPr>
            </w:pPr>
          </w:p>
        </w:tc>
        <w:tc>
          <w:tcPr>
            <w:tcW w:w="851" w:type="dxa"/>
            <w:shd w:val="clear" w:color="auto" w:fill="auto"/>
            <w:tcMar>
              <w:left w:w="108" w:type="dxa"/>
              <w:right w:w="0" w:type="dxa"/>
            </w:tcMar>
          </w:tcPr>
          <w:p w:rsidR="00892FE4" w:rsidRPr="00237EFA" w:rsidRDefault="00892FE4" w:rsidP="004300E2">
            <w:pPr>
              <w:pStyle w:val="IAS"/>
              <w:rPr>
                <w:lang w:val="it-IT"/>
              </w:rPr>
            </w:pPr>
          </w:p>
        </w:tc>
        <w:tc>
          <w:tcPr>
            <w:tcW w:w="7079" w:type="dxa"/>
            <w:shd w:val="clear" w:color="auto" w:fill="auto"/>
            <w:tcMar>
              <w:left w:w="108" w:type="dxa"/>
            </w:tcMar>
          </w:tcPr>
          <w:p w:rsidR="00892FE4" w:rsidRPr="00237EFA" w:rsidRDefault="00892FE4" w:rsidP="00C15B75">
            <w:pPr>
              <w:pStyle w:val="Rientroa"/>
              <w:numPr>
                <w:ilvl w:val="0"/>
                <w:numId w:val="72"/>
              </w:numPr>
              <w:spacing w:line="226" w:lineRule="exact"/>
            </w:pPr>
            <w:r w:rsidRPr="00237EFA">
              <w:t>dirigenti con responsabilità strategiche dell’entità e della sua controllante; e</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892FE4" w:rsidRPr="008A0F36" w:rsidTr="00F235B5">
        <w:trPr>
          <w:cantSplit/>
        </w:trPr>
        <w:tc>
          <w:tcPr>
            <w:tcW w:w="567" w:type="dxa"/>
            <w:shd w:val="clear" w:color="auto" w:fill="auto"/>
            <w:tcMar>
              <w:left w:w="108" w:type="dxa"/>
            </w:tcMar>
          </w:tcPr>
          <w:p w:rsidR="00892FE4" w:rsidRPr="00237EFA" w:rsidRDefault="00892FE4" w:rsidP="004300E2">
            <w:pPr>
              <w:pStyle w:val="IAS"/>
              <w:rPr>
                <w:lang w:val="it-IT"/>
              </w:rPr>
            </w:pPr>
          </w:p>
        </w:tc>
        <w:tc>
          <w:tcPr>
            <w:tcW w:w="851" w:type="dxa"/>
            <w:shd w:val="clear" w:color="auto" w:fill="auto"/>
            <w:tcMar>
              <w:left w:w="108" w:type="dxa"/>
              <w:right w:w="0" w:type="dxa"/>
            </w:tcMar>
          </w:tcPr>
          <w:p w:rsidR="00892FE4" w:rsidRPr="00237EFA" w:rsidRDefault="00892FE4" w:rsidP="004300E2">
            <w:pPr>
              <w:pStyle w:val="IAS"/>
              <w:rPr>
                <w:lang w:val="it-IT"/>
              </w:rPr>
            </w:pPr>
          </w:p>
        </w:tc>
        <w:tc>
          <w:tcPr>
            <w:tcW w:w="7079" w:type="dxa"/>
            <w:shd w:val="clear" w:color="auto" w:fill="auto"/>
            <w:tcMar>
              <w:left w:w="108" w:type="dxa"/>
            </w:tcMar>
          </w:tcPr>
          <w:p w:rsidR="00892FE4" w:rsidRPr="00237EFA" w:rsidRDefault="00892FE4" w:rsidP="00C15B75">
            <w:pPr>
              <w:pStyle w:val="Rientroa"/>
              <w:numPr>
                <w:ilvl w:val="0"/>
                <w:numId w:val="72"/>
              </w:numPr>
              <w:spacing w:line="226" w:lineRule="exact"/>
            </w:pPr>
            <w:r w:rsidRPr="00237EFA">
              <w:t>altre parti correlate.</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F235B5">
        <w:trPr>
          <w:cantSplit/>
        </w:trPr>
        <w:tc>
          <w:tcPr>
            <w:tcW w:w="567" w:type="dxa"/>
            <w:shd w:val="clear" w:color="auto" w:fill="auto"/>
            <w:tcMar>
              <w:left w:w="108" w:type="dxa"/>
            </w:tcMar>
          </w:tcPr>
          <w:p w:rsidR="004300E2" w:rsidRPr="00237EFA" w:rsidRDefault="004300E2" w:rsidP="004300E2">
            <w:pPr>
              <w:pStyle w:val="Numeroelenco"/>
              <w:ind w:left="0" w:firstLine="57"/>
              <w:rPr>
                <w:lang w:val="it-IT"/>
              </w:rPr>
            </w:pPr>
          </w:p>
        </w:tc>
        <w:tc>
          <w:tcPr>
            <w:tcW w:w="851" w:type="dxa"/>
            <w:shd w:val="clear" w:color="auto" w:fill="auto"/>
            <w:tcMar>
              <w:left w:w="108" w:type="dxa"/>
              <w:right w:w="0" w:type="dxa"/>
            </w:tcMar>
          </w:tcPr>
          <w:p w:rsidR="004300E2" w:rsidRPr="00237EFA" w:rsidRDefault="004300E2" w:rsidP="004300E2">
            <w:pPr>
              <w:pStyle w:val="IAS"/>
              <w:rPr>
                <w:lang w:val="it-IT"/>
              </w:rPr>
            </w:pPr>
            <w:r w:rsidRPr="00237EFA">
              <w:rPr>
                <w:lang w:val="it-IT"/>
              </w:rPr>
              <w:t>IAS</w:t>
            </w:r>
            <w:r>
              <w:rPr>
                <w:lang w:val="it-IT"/>
              </w:rPr>
              <w:t xml:space="preserve"> </w:t>
            </w:r>
            <w:r w:rsidRPr="00237EFA">
              <w:rPr>
                <w:lang w:val="it-IT"/>
              </w:rPr>
              <w:t>24.21</w:t>
            </w:r>
          </w:p>
        </w:tc>
        <w:tc>
          <w:tcPr>
            <w:tcW w:w="7079" w:type="dxa"/>
            <w:shd w:val="clear" w:color="auto" w:fill="auto"/>
            <w:tcMar>
              <w:left w:w="108" w:type="dxa"/>
            </w:tcMar>
          </w:tcPr>
          <w:p w:rsidR="004300E2" w:rsidRPr="00237EFA" w:rsidRDefault="004300E2" w:rsidP="00C15B75">
            <w:pPr>
              <w:spacing w:line="226" w:lineRule="exact"/>
              <w:rPr>
                <w:lang w:val="it-IT"/>
              </w:rPr>
            </w:pPr>
            <w:r w:rsidRPr="00237EFA">
              <w:rPr>
                <w:lang w:val="it-IT"/>
              </w:rPr>
              <w:t>L’entità ha indicato, per esempio, le seguenti transazioni, se effettuate con parti correlate:</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892FE4" w:rsidRPr="008129DA" w:rsidTr="00F235B5">
        <w:trPr>
          <w:cantSplit/>
        </w:trPr>
        <w:tc>
          <w:tcPr>
            <w:tcW w:w="567" w:type="dxa"/>
            <w:shd w:val="clear" w:color="auto" w:fill="auto"/>
            <w:tcMar>
              <w:left w:w="108" w:type="dxa"/>
            </w:tcMar>
          </w:tcPr>
          <w:p w:rsidR="00892FE4" w:rsidRPr="00237EFA" w:rsidRDefault="00892FE4" w:rsidP="004300E2">
            <w:pPr>
              <w:pStyle w:val="IAS"/>
              <w:rPr>
                <w:lang w:val="it-IT"/>
              </w:rPr>
            </w:pPr>
          </w:p>
        </w:tc>
        <w:tc>
          <w:tcPr>
            <w:tcW w:w="851" w:type="dxa"/>
            <w:shd w:val="clear" w:color="auto" w:fill="auto"/>
            <w:tcMar>
              <w:left w:w="108" w:type="dxa"/>
              <w:right w:w="0" w:type="dxa"/>
            </w:tcMar>
          </w:tcPr>
          <w:p w:rsidR="00892FE4" w:rsidRPr="00237EFA" w:rsidRDefault="00892FE4" w:rsidP="004300E2">
            <w:pPr>
              <w:pStyle w:val="IAS"/>
              <w:rPr>
                <w:lang w:val="it-IT"/>
              </w:rPr>
            </w:pPr>
          </w:p>
        </w:tc>
        <w:tc>
          <w:tcPr>
            <w:tcW w:w="7079" w:type="dxa"/>
            <w:shd w:val="clear" w:color="auto" w:fill="auto"/>
            <w:tcMar>
              <w:left w:w="108" w:type="dxa"/>
            </w:tcMar>
          </w:tcPr>
          <w:p w:rsidR="00892FE4" w:rsidRPr="00237EFA" w:rsidRDefault="00892FE4" w:rsidP="00C15B75">
            <w:pPr>
              <w:pStyle w:val="Rientroa"/>
              <w:numPr>
                <w:ilvl w:val="0"/>
                <w:numId w:val="152"/>
              </w:numPr>
              <w:spacing w:line="226" w:lineRule="exact"/>
            </w:pPr>
            <w:r w:rsidRPr="00237EFA">
              <w:t>acquisti o vendite di beni (finiti o semilavorati)</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892FE4" w:rsidRPr="008129DA" w:rsidTr="00F235B5">
        <w:trPr>
          <w:cantSplit/>
        </w:trPr>
        <w:tc>
          <w:tcPr>
            <w:tcW w:w="567" w:type="dxa"/>
            <w:shd w:val="clear" w:color="auto" w:fill="auto"/>
            <w:tcMar>
              <w:left w:w="108" w:type="dxa"/>
            </w:tcMar>
          </w:tcPr>
          <w:p w:rsidR="00892FE4" w:rsidRPr="00237EFA" w:rsidRDefault="00892FE4" w:rsidP="004300E2">
            <w:pPr>
              <w:pStyle w:val="IAS"/>
              <w:rPr>
                <w:lang w:val="it-IT"/>
              </w:rPr>
            </w:pPr>
          </w:p>
        </w:tc>
        <w:tc>
          <w:tcPr>
            <w:tcW w:w="851" w:type="dxa"/>
            <w:shd w:val="clear" w:color="auto" w:fill="auto"/>
            <w:tcMar>
              <w:left w:w="108" w:type="dxa"/>
              <w:right w:w="0" w:type="dxa"/>
            </w:tcMar>
          </w:tcPr>
          <w:p w:rsidR="00892FE4" w:rsidRPr="00237EFA" w:rsidRDefault="00892FE4" w:rsidP="004300E2">
            <w:pPr>
              <w:pStyle w:val="IAS"/>
              <w:rPr>
                <w:lang w:val="it-IT"/>
              </w:rPr>
            </w:pPr>
          </w:p>
        </w:tc>
        <w:tc>
          <w:tcPr>
            <w:tcW w:w="7079" w:type="dxa"/>
            <w:shd w:val="clear" w:color="auto" w:fill="auto"/>
            <w:tcMar>
              <w:left w:w="108" w:type="dxa"/>
            </w:tcMar>
          </w:tcPr>
          <w:p w:rsidR="00892FE4" w:rsidRPr="00237EFA" w:rsidRDefault="00892FE4" w:rsidP="00C15B75">
            <w:pPr>
              <w:pStyle w:val="Rientroa"/>
              <w:numPr>
                <w:ilvl w:val="0"/>
                <w:numId w:val="72"/>
              </w:numPr>
              <w:spacing w:line="226" w:lineRule="exact"/>
            </w:pPr>
            <w:r w:rsidRPr="00237EFA">
              <w:t>acquisti o vendite di immobili e altre attività</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892FE4" w:rsidRPr="008129DA" w:rsidTr="00F235B5">
        <w:trPr>
          <w:cantSplit/>
        </w:trPr>
        <w:tc>
          <w:tcPr>
            <w:tcW w:w="567" w:type="dxa"/>
            <w:shd w:val="clear" w:color="auto" w:fill="auto"/>
            <w:tcMar>
              <w:left w:w="108" w:type="dxa"/>
            </w:tcMar>
          </w:tcPr>
          <w:p w:rsidR="00892FE4" w:rsidRPr="00237EFA" w:rsidRDefault="00892FE4" w:rsidP="004300E2">
            <w:pPr>
              <w:pStyle w:val="IAS"/>
              <w:rPr>
                <w:lang w:val="it-IT"/>
              </w:rPr>
            </w:pPr>
          </w:p>
        </w:tc>
        <w:tc>
          <w:tcPr>
            <w:tcW w:w="851" w:type="dxa"/>
            <w:shd w:val="clear" w:color="auto" w:fill="auto"/>
            <w:tcMar>
              <w:left w:w="108" w:type="dxa"/>
              <w:right w:w="0" w:type="dxa"/>
            </w:tcMar>
          </w:tcPr>
          <w:p w:rsidR="00892FE4" w:rsidRPr="00237EFA" w:rsidRDefault="00892FE4" w:rsidP="004300E2">
            <w:pPr>
              <w:pStyle w:val="IAS"/>
              <w:rPr>
                <w:lang w:val="it-IT"/>
              </w:rPr>
            </w:pPr>
          </w:p>
        </w:tc>
        <w:tc>
          <w:tcPr>
            <w:tcW w:w="7079" w:type="dxa"/>
            <w:shd w:val="clear" w:color="auto" w:fill="auto"/>
            <w:tcMar>
              <w:left w:w="108" w:type="dxa"/>
            </w:tcMar>
          </w:tcPr>
          <w:p w:rsidR="00892FE4" w:rsidRPr="00237EFA" w:rsidRDefault="00892FE4" w:rsidP="00C15B75">
            <w:pPr>
              <w:pStyle w:val="Rientroa"/>
              <w:numPr>
                <w:ilvl w:val="0"/>
                <w:numId w:val="72"/>
              </w:numPr>
              <w:spacing w:line="226" w:lineRule="exact"/>
            </w:pPr>
            <w:r w:rsidRPr="00237EFA">
              <w:t>prestazione o ottenimento di servizi</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892FE4" w:rsidRPr="008A0F36" w:rsidTr="00F235B5">
        <w:trPr>
          <w:cantSplit/>
        </w:trPr>
        <w:tc>
          <w:tcPr>
            <w:tcW w:w="567" w:type="dxa"/>
            <w:shd w:val="clear" w:color="auto" w:fill="auto"/>
            <w:tcMar>
              <w:left w:w="108" w:type="dxa"/>
            </w:tcMar>
          </w:tcPr>
          <w:p w:rsidR="00892FE4" w:rsidRPr="00237EFA" w:rsidRDefault="00892FE4" w:rsidP="004300E2">
            <w:pPr>
              <w:pStyle w:val="IAS"/>
              <w:rPr>
                <w:lang w:val="it-IT"/>
              </w:rPr>
            </w:pPr>
          </w:p>
        </w:tc>
        <w:tc>
          <w:tcPr>
            <w:tcW w:w="851" w:type="dxa"/>
            <w:shd w:val="clear" w:color="auto" w:fill="auto"/>
            <w:tcMar>
              <w:left w:w="108" w:type="dxa"/>
              <w:right w:w="0" w:type="dxa"/>
            </w:tcMar>
          </w:tcPr>
          <w:p w:rsidR="00892FE4" w:rsidRPr="00237EFA" w:rsidRDefault="00892FE4" w:rsidP="004300E2">
            <w:pPr>
              <w:pStyle w:val="IAS"/>
              <w:rPr>
                <w:lang w:val="it-IT"/>
              </w:rPr>
            </w:pPr>
          </w:p>
        </w:tc>
        <w:tc>
          <w:tcPr>
            <w:tcW w:w="7079" w:type="dxa"/>
            <w:shd w:val="clear" w:color="auto" w:fill="auto"/>
            <w:tcMar>
              <w:left w:w="108" w:type="dxa"/>
            </w:tcMar>
          </w:tcPr>
          <w:p w:rsidR="00892FE4" w:rsidRPr="00237EFA" w:rsidRDefault="00892FE4" w:rsidP="00C15B75">
            <w:pPr>
              <w:pStyle w:val="Rientroa"/>
              <w:numPr>
                <w:ilvl w:val="0"/>
                <w:numId w:val="72"/>
              </w:numPr>
              <w:spacing w:line="226" w:lineRule="exact"/>
            </w:pPr>
            <w:r w:rsidRPr="00237EFA">
              <w:t>leasing</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892FE4" w:rsidRPr="008129DA" w:rsidTr="00F235B5">
        <w:trPr>
          <w:cantSplit/>
        </w:trPr>
        <w:tc>
          <w:tcPr>
            <w:tcW w:w="567" w:type="dxa"/>
            <w:shd w:val="clear" w:color="auto" w:fill="auto"/>
            <w:tcMar>
              <w:left w:w="108" w:type="dxa"/>
            </w:tcMar>
          </w:tcPr>
          <w:p w:rsidR="00892FE4" w:rsidRPr="00237EFA" w:rsidRDefault="00892FE4" w:rsidP="004300E2">
            <w:pPr>
              <w:pStyle w:val="IAS"/>
              <w:rPr>
                <w:lang w:val="it-IT"/>
              </w:rPr>
            </w:pPr>
          </w:p>
        </w:tc>
        <w:tc>
          <w:tcPr>
            <w:tcW w:w="851" w:type="dxa"/>
            <w:shd w:val="clear" w:color="auto" w:fill="auto"/>
            <w:tcMar>
              <w:left w:w="108" w:type="dxa"/>
              <w:right w:w="0" w:type="dxa"/>
            </w:tcMar>
          </w:tcPr>
          <w:p w:rsidR="00892FE4" w:rsidRPr="00237EFA" w:rsidRDefault="00892FE4" w:rsidP="004300E2">
            <w:pPr>
              <w:pStyle w:val="IAS"/>
              <w:rPr>
                <w:lang w:val="it-IT"/>
              </w:rPr>
            </w:pPr>
          </w:p>
        </w:tc>
        <w:tc>
          <w:tcPr>
            <w:tcW w:w="7079" w:type="dxa"/>
            <w:shd w:val="clear" w:color="auto" w:fill="auto"/>
            <w:tcMar>
              <w:left w:w="108" w:type="dxa"/>
            </w:tcMar>
          </w:tcPr>
          <w:p w:rsidR="00892FE4" w:rsidRPr="00237EFA" w:rsidRDefault="00892FE4" w:rsidP="00C15B75">
            <w:pPr>
              <w:pStyle w:val="Rientroa"/>
              <w:numPr>
                <w:ilvl w:val="0"/>
                <w:numId w:val="72"/>
              </w:numPr>
              <w:spacing w:line="226" w:lineRule="exact"/>
            </w:pPr>
            <w:r w:rsidRPr="00237EFA">
              <w:t>trasferimenti per ricerca e sviluppo</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892FE4" w:rsidRPr="008129DA" w:rsidTr="00F235B5">
        <w:trPr>
          <w:cantSplit/>
        </w:trPr>
        <w:tc>
          <w:tcPr>
            <w:tcW w:w="567" w:type="dxa"/>
            <w:shd w:val="clear" w:color="auto" w:fill="auto"/>
            <w:tcMar>
              <w:left w:w="108" w:type="dxa"/>
            </w:tcMar>
          </w:tcPr>
          <w:p w:rsidR="00892FE4" w:rsidRPr="00237EFA" w:rsidRDefault="00892FE4" w:rsidP="004300E2">
            <w:pPr>
              <w:pStyle w:val="IAS"/>
              <w:rPr>
                <w:lang w:val="it-IT"/>
              </w:rPr>
            </w:pPr>
          </w:p>
        </w:tc>
        <w:tc>
          <w:tcPr>
            <w:tcW w:w="851" w:type="dxa"/>
            <w:shd w:val="clear" w:color="auto" w:fill="auto"/>
            <w:tcMar>
              <w:left w:w="108" w:type="dxa"/>
              <w:right w:w="0" w:type="dxa"/>
            </w:tcMar>
          </w:tcPr>
          <w:p w:rsidR="00892FE4" w:rsidRPr="00237EFA" w:rsidRDefault="00892FE4" w:rsidP="004300E2">
            <w:pPr>
              <w:pStyle w:val="IAS"/>
              <w:rPr>
                <w:lang w:val="it-IT"/>
              </w:rPr>
            </w:pPr>
          </w:p>
        </w:tc>
        <w:tc>
          <w:tcPr>
            <w:tcW w:w="7079" w:type="dxa"/>
            <w:shd w:val="clear" w:color="auto" w:fill="auto"/>
            <w:tcMar>
              <w:left w:w="108" w:type="dxa"/>
            </w:tcMar>
          </w:tcPr>
          <w:p w:rsidR="00892FE4" w:rsidRPr="00237EFA" w:rsidRDefault="00892FE4" w:rsidP="00C15B75">
            <w:pPr>
              <w:pStyle w:val="Rientroa"/>
              <w:numPr>
                <w:ilvl w:val="0"/>
                <w:numId w:val="72"/>
              </w:numPr>
              <w:spacing w:line="226" w:lineRule="exact"/>
            </w:pPr>
            <w:r w:rsidRPr="00237EFA">
              <w:t>trasferimenti a titolo di licenza</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892FE4" w:rsidRPr="008129DA" w:rsidTr="00F235B5">
        <w:trPr>
          <w:cantSplit/>
        </w:trPr>
        <w:tc>
          <w:tcPr>
            <w:tcW w:w="567" w:type="dxa"/>
            <w:shd w:val="clear" w:color="auto" w:fill="auto"/>
            <w:tcMar>
              <w:left w:w="108" w:type="dxa"/>
            </w:tcMar>
          </w:tcPr>
          <w:p w:rsidR="00892FE4" w:rsidRPr="00237EFA" w:rsidRDefault="00892FE4" w:rsidP="004300E2">
            <w:pPr>
              <w:pStyle w:val="IAS"/>
              <w:rPr>
                <w:lang w:val="it-IT"/>
              </w:rPr>
            </w:pPr>
          </w:p>
        </w:tc>
        <w:tc>
          <w:tcPr>
            <w:tcW w:w="851" w:type="dxa"/>
            <w:shd w:val="clear" w:color="auto" w:fill="auto"/>
            <w:tcMar>
              <w:left w:w="108" w:type="dxa"/>
              <w:right w:w="0" w:type="dxa"/>
            </w:tcMar>
          </w:tcPr>
          <w:p w:rsidR="00892FE4" w:rsidRPr="00237EFA" w:rsidRDefault="00892FE4" w:rsidP="004300E2">
            <w:pPr>
              <w:pStyle w:val="IAS"/>
              <w:rPr>
                <w:lang w:val="it-IT"/>
              </w:rPr>
            </w:pPr>
          </w:p>
        </w:tc>
        <w:tc>
          <w:tcPr>
            <w:tcW w:w="7079" w:type="dxa"/>
            <w:shd w:val="clear" w:color="auto" w:fill="auto"/>
            <w:tcMar>
              <w:left w:w="108" w:type="dxa"/>
            </w:tcMar>
          </w:tcPr>
          <w:p w:rsidR="00892FE4" w:rsidRPr="00237EFA" w:rsidRDefault="00892FE4" w:rsidP="00C15B75">
            <w:pPr>
              <w:pStyle w:val="Rientroa"/>
              <w:numPr>
                <w:ilvl w:val="0"/>
                <w:numId w:val="72"/>
              </w:numPr>
              <w:spacing w:line="226" w:lineRule="exact"/>
            </w:pPr>
            <w:r w:rsidRPr="00237EFA">
              <w:t>trasferimenti a titolo di finanziamento (compresi i prestiti e gli apporti di capitale in denaro o in natura)</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892FE4" w:rsidRPr="008129DA" w:rsidTr="00F235B5">
        <w:trPr>
          <w:cantSplit/>
        </w:trPr>
        <w:tc>
          <w:tcPr>
            <w:tcW w:w="567" w:type="dxa"/>
            <w:shd w:val="clear" w:color="auto" w:fill="auto"/>
            <w:tcMar>
              <w:left w:w="108" w:type="dxa"/>
            </w:tcMar>
          </w:tcPr>
          <w:p w:rsidR="00892FE4" w:rsidRPr="00237EFA" w:rsidRDefault="00892FE4" w:rsidP="004300E2">
            <w:pPr>
              <w:pStyle w:val="IAS"/>
              <w:rPr>
                <w:lang w:val="it-IT"/>
              </w:rPr>
            </w:pPr>
          </w:p>
        </w:tc>
        <w:tc>
          <w:tcPr>
            <w:tcW w:w="851" w:type="dxa"/>
            <w:shd w:val="clear" w:color="auto" w:fill="auto"/>
            <w:tcMar>
              <w:left w:w="108" w:type="dxa"/>
              <w:right w:w="0" w:type="dxa"/>
            </w:tcMar>
          </w:tcPr>
          <w:p w:rsidR="00892FE4" w:rsidRPr="00237EFA" w:rsidRDefault="00892FE4" w:rsidP="004300E2">
            <w:pPr>
              <w:pStyle w:val="IAS"/>
              <w:rPr>
                <w:lang w:val="it-IT"/>
              </w:rPr>
            </w:pPr>
          </w:p>
        </w:tc>
        <w:tc>
          <w:tcPr>
            <w:tcW w:w="7079" w:type="dxa"/>
            <w:shd w:val="clear" w:color="auto" w:fill="auto"/>
            <w:tcMar>
              <w:left w:w="108" w:type="dxa"/>
            </w:tcMar>
          </w:tcPr>
          <w:p w:rsidR="00892FE4" w:rsidRPr="00237EFA" w:rsidRDefault="00892FE4" w:rsidP="00C15B75">
            <w:pPr>
              <w:pStyle w:val="Rientroa"/>
              <w:numPr>
                <w:ilvl w:val="0"/>
                <w:numId w:val="72"/>
              </w:numPr>
              <w:spacing w:line="226" w:lineRule="exact"/>
            </w:pPr>
            <w:r w:rsidRPr="00237EFA">
              <w:t xml:space="preserve">clausole di garanzia o pegno </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892FE4" w:rsidRPr="008129DA" w:rsidTr="00F235B5">
        <w:trPr>
          <w:cantSplit/>
        </w:trPr>
        <w:tc>
          <w:tcPr>
            <w:tcW w:w="567" w:type="dxa"/>
            <w:shd w:val="clear" w:color="auto" w:fill="auto"/>
            <w:tcMar>
              <w:left w:w="108" w:type="dxa"/>
            </w:tcMar>
          </w:tcPr>
          <w:p w:rsidR="00892FE4" w:rsidRPr="00237EFA" w:rsidRDefault="00892FE4" w:rsidP="004300E2">
            <w:pPr>
              <w:pStyle w:val="IAS"/>
              <w:rPr>
                <w:lang w:val="it-IT"/>
              </w:rPr>
            </w:pPr>
          </w:p>
        </w:tc>
        <w:tc>
          <w:tcPr>
            <w:tcW w:w="851" w:type="dxa"/>
            <w:shd w:val="clear" w:color="auto" w:fill="auto"/>
            <w:tcMar>
              <w:left w:w="108" w:type="dxa"/>
              <w:right w:w="0" w:type="dxa"/>
            </w:tcMar>
          </w:tcPr>
          <w:p w:rsidR="00892FE4" w:rsidRPr="00237EFA" w:rsidRDefault="00892FE4" w:rsidP="004300E2">
            <w:pPr>
              <w:pStyle w:val="IAS"/>
              <w:keepNext/>
              <w:outlineLvl w:val="1"/>
              <w:rPr>
                <w:lang w:val="it-IT"/>
              </w:rPr>
            </w:pPr>
          </w:p>
        </w:tc>
        <w:tc>
          <w:tcPr>
            <w:tcW w:w="7079" w:type="dxa"/>
            <w:shd w:val="clear" w:color="auto" w:fill="auto"/>
            <w:tcMar>
              <w:left w:w="108" w:type="dxa"/>
            </w:tcMar>
          </w:tcPr>
          <w:p w:rsidR="00892FE4" w:rsidRPr="00237EFA" w:rsidRDefault="00892FE4" w:rsidP="00C15B75">
            <w:pPr>
              <w:pStyle w:val="Rientroa"/>
              <w:numPr>
                <w:ilvl w:val="0"/>
                <w:numId w:val="72"/>
              </w:numPr>
              <w:spacing w:line="226" w:lineRule="exact"/>
            </w:pPr>
            <w:r w:rsidRPr="00237EFA">
              <w:t>impegni ad intervenire se si verifica o meno un particolare evento futuro, inclusi i contratti esecutivi (rilevati e non rilevati); e</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892FE4" w:rsidRPr="008129DA" w:rsidTr="00F235B5">
        <w:trPr>
          <w:cantSplit/>
        </w:trPr>
        <w:tc>
          <w:tcPr>
            <w:tcW w:w="567" w:type="dxa"/>
            <w:shd w:val="clear" w:color="auto" w:fill="auto"/>
            <w:tcMar>
              <w:left w:w="108" w:type="dxa"/>
            </w:tcMar>
          </w:tcPr>
          <w:p w:rsidR="00892FE4" w:rsidRPr="00237EFA" w:rsidRDefault="00892FE4" w:rsidP="004300E2">
            <w:pPr>
              <w:pStyle w:val="IAS"/>
              <w:rPr>
                <w:lang w:val="it-IT"/>
              </w:rPr>
            </w:pPr>
          </w:p>
        </w:tc>
        <w:tc>
          <w:tcPr>
            <w:tcW w:w="851" w:type="dxa"/>
            <w:shd w:val="clear" w:color="auto" w:fill="auto"/>
            <w:tcMar>
              <w:left w:w="108" w:type="dxa"/>
              <w:right w:w="0" w:type="dxa"/>
            </w:tcMar>
          </w:tcPr>
          <w:p w:rsidR="00892FE4" w:rsidRPr="00237EFA" w:rsidRDefault="00892FE4" w:rsidP="004300E2">
            <w:pPr>
              <w:pStyle w:val="IAS"/>
              <w:rPr>
                <w:lang w:val="it-IT"/>
              </w:rPr>
            </w:pPr>
          </w:p>
        </w:tc>
        <w:tc>
          <w:tcPr>
            <w:tcW w:w="7079" w:type="dxa"/>
            <w:shd w:val="clear" w:color="auto" w:fill="auto"/>
            <w:tcMar>
              <w:left w:w="108" w:type="dxa"/>
            </w:tcMar>
          </w:tcPr>
          <w:p w:rsidR="00892FE4" w:rsidRPr="00237EFA" w:rsidRDefault="00892FE4" w:rsidP="00C15B75">
            <w:pPr>
              <w:pStyle w:val="Rientroa"/>
              <w:numPr>
                <w:ilvl w:val="0"/>
                <w:numId w:val="72"/>
              </w:numPr>
              <w:spacing w:line="226" w:lineRule="exact"/>
            </w:pPr>
            <w:r w:rsidRPr="00237EFA">
              <w:t xml:space="preserve">estinzione di passività per conto dell’entità ovvero da parte dell’entità per conto di quella parte correlata </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892FE4" w:rsidRPr="008129DA" w:rsidTr="00F235B5">
        <w:trPr>
          <w:cantSplit/>
        </w:trPr>
        <w:tc>
          <w:tcPr>
            <w:tcW w:w="567" w:type="dxa"/>
            <w:shd w:val="clear" w:color="auto" w:fill="auto"/>
            <w:tcMar>
              <w:left w:w="108" w:type="dxa"/>
            </w:tcMar>
          </w:tcPr>
          <w:p w:rsidR="00892FE4" w:rsidRPr="00237EFA" w:rsidRDefault="00892FE4" w:rsidP="004300E2">
            <w:pPr>
              <w:pStyle w:val="Numeroelenco"/>
              <w:ind w:left="0" w:firstLine="57"/>
              <w:rPr>
                <w:lang w:val="it-IT"/>
              </w:rPr>
            </w:pPr>
          </w:p>
        </w:tc>
        <w:tc>
          <w:tcPr>
            <w:tcW w:w="851" w:type="dxa"/>
            <w:shd w:val="clear" w:color="auto" w:fill="auto"/>
            <w:tcMar>
              <w:left w:w="108" w:type="dxa"/>
              <w:right w:w="0" w:type="dxa"/>
            </w:tcMar>
          </w:tcPr>
          <w:p w:rsidR="00892FE4" w:rsidRPr="00237EFA" w:rsidRDefault="00892FE4" w:rsidP="004300E2">
            <w:pPr>
              <w:pStyle w:val="IAS"/>
              <w:rPr>
                <w:lang w:val="it-IT"/>
              </w:rPr>
            </w:pPr>
            <w:r w:rsidRPr="00237EFA">
              <w:rPr>
                <w:lang w:val="it-IT"/>
              </w:rPr>
              <w:t>IAS 24.23</w:t>
            </w:r>
          </w:p>
        </w:tc>
        <w:tc>
          <w:tcPr>
            <w:tcW w:w="7079" w:type="dxa"/>
            <w:shd w:val="clear" w:color="auto" w:fill="auto"/>
            <w:tcMar>
              <w:left w:w="108" w:type="dxa"/>
            </w:tcMar>
          </w:tcPr>
          <w:p w:rsidR="00892FE4" w:rsidRPr="00237EFA" w:rsidRDefault="00892FE4" w:rsidP="00C15B75">
            <w:pPr>
              <w:spacing w:line="226" w:lineRule="exact"/>
              <w:rPr>
                <w:lang w:val="it-IT"/>
              </w:rPr>
            </w:pPr>
            <w:r w:rsidRPr="00237EFA">
              <w:rPr>
                <w:lang w:val="it-IT"/>
              </w:rPr>
              <w:t>E’ stata data informativa che le operazioni con parti correlate sono state effettuate a condizioni equivalenti a quelle prevalenti in libere transazioni tra parti indipendenti, solo se tali termini possono essere comprovati.</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F235B5">
        <w:trPr>
          <w:cantSplit/>
          <w:trHeight w:val="409"/>
        </w:trPr>
        <w:tc>
          <w:tcPr>
            <w:tcW w:w="567" w:type="dxa"/>
            <w:shd w:val="clear" w:color="auto" w:fill="auto"/>
            <w:tcMar>
              <w:left w:w="108" w:type="dxa"/>
            </w:tcMar>
          </w:tcPr>
          <w:p w:rsidR="004300E2" w:rsidRPr="00237EFA" w:rsidRDefault="004300E2" w:rsidP="004300E2">
            <w:pPr>
              <w:pStyle w:val="IAS"/>
              <w:rPr>
                <w:lang w:val="it-IT"/>
              </w:rPr>
            </w:pPr>
          </w:p>
        </w:tc>
        <w:tc>
          <w:tcPr>
            <w:tcW w:w="851" w:type="dxa"/>
            <w:shd w:val="clear" w:color="auto" w:fill="auto"/>
            <w:tcMar>
              <w:right w:w="0" w:type="dxa"/>
            </w:tcMar>
          </w:tcPr>
          <w:p w:rsidR="004300E2" w:rsidRPr="00237EFA" w:rsidRDefault="004300E2" w:rsidP="004300E2">
            <w:pPr>
              <w:pStyle w:val="IAS"/>
              <w:rPr>
                <w:lang w:val="it-IT"/>
              </w:rPr>
            </w:pPr>
            <w:r w:rsidRPr="00237EFA">
              <w:rPr>
                <w:lang w:val="it-IT"/>
              </w:rPr>
              <w:t xml:space="preserve">IAS 24.25 </w:t>
            </w:r>
          </w:p>
        </w:tc>
        <w:tc>
          <w:tcPr>
            <w:tcW w:w="7079" w:type="dxa"/>
            <w:shd w:val="clear" w:color="auto" w:fill="auto"/>
          </w:tcPr>
          <w:p w:rsidR="004300E2" w:rsidRPr="00237EFA" w:rsidRDefault="004300E2" w:rsidP="004300E2">
            <w:pPr>
              <w:pStyle w:val="Commentiriquadro"/>
              <w:rPr>
                <w:rFonts w:cs="EUAlbertina"/>
                <w:bCs/>
                <w:color w:val="19161B"/>
                <w:lang w:val="it-IT" w:eastAsia="it-IT"/>
              </w:rPr>
            </w:pPr>
            <w:r w:rsidRPr="00237EFA">
              <w:rPr>
                <w:rFonts w:cs="EUAlbertina"/>
                <w:bCs/>
                <w:color w:val="19161B"/>
                <w:lang w:val="it-IT" w:eastAsia="it-IT"/>
              </w:rPr>
              <w:t xml:space="preserve">Un’entità è dispensata dai requisiti informativi di cui allo IAS 24.18 (vedi punto </w:t>
            </w:r>
            <w:r>
              <w:rPr>
                <w:rFonts w:cs="EUAlbertina"/>
                <w:bCs/>
                <w:color w:val="19161B"/>
                <w:lang w:val="it-IT" w:eastAsia="it-IT"/>
              </w:rPr>
              <w:t>38</w:t>
            </w:r>
            <w:r w:rsidR="00354ED6">
              <w:rPr>
                <w:rFonts w:cs="EUAlbertina"/>
                <w:bCs/>
                <w:color w:val="19161B"/>
                <w:lang w:val="it-IT" w:eastAsia="it-IT"/>
              </w:rPr>
              <w:t>3</w:t>
            </w:r>
            <w:r w:rsidRPr="00237EFA">
              <w:rPr>
                <w:rFonts w:cs="EUAlbertina"/>
                <w:bCs/>
                <w:color w:val="19161B"/>
                <w:lang w:val="it-IT" w:eastAsia="it-IT"/>
              </w:rPr>
              <w:t xml:space="preserve">) relativi alle operazioni con parti correlate e ai saldi in essere, inclusi gli impegni, nel caso di: </w:t>
            </w:r>
          </w:p>
          <w:p w:rsidR="004300E2" w:rsidRPr="00237EFA" w:rsidRDefault="004300E2" w:rsidP="004300E2">
            <w:pPr>
              <w:pStyle w:val="Commentiriquadro"/>
              <w:ind w:left="457" w:hanging="281"/>
              <w:rPr>
                <w:rFonts w:cs="EUAlbertina"/>
                <w:bCs/>
                <w:color w:val="19161B"/>
                <w:lang w:val="it-IT" w:eastAsia="it-IT"/>
              </w:rPr>
            </w:pPr>
            <w:r w:rsidRPr="00237EFA">
              <w:rPr>
                <w:rFonts w:cs="EUAlbertina"/>
                <w:bCs/>
                <w:color w:val="19161B"/>
                <w:lang w:val="it-IT" w:eastAsia="it-IT"/>
              </w:rPr>
              <w:t xml:space="preserve">a) </w:t>
            </w:r>
            <w:r w:rsidRPr="00237EFA">
              <w:rPr>
                <w:rFonts w:cs="EUAlbertina"/>
                <w:bCs/>
                <w:color w:val="19161B"/>
                <w:lang w:val="it-IT" w:eastAsia="it-IT"/>
              </w:rPr>
              <w:tab/>
              <w:t xml:space="preserve">un ente governativo che detiene il controllo, il controllo congiunto o un’influenza notevole sull’entità che redige il bilancio; e </w:t>
            </w:r>
          </w:p>
          <w:p w:rsidR="004300E2" w:rsidRPr="00237EFA" w:rsidRDefault="004300E2" w:rsidP="004300E2">
            <w:pPr>
              <w:pStyle w:val="Commentiriquadro"/>
              <w:ind w:left="457" w:hanging="281"/>
              <w:rPr>
                <w:lang w:val="it-IT"/>
              </w:rPr>
            </w:pPr>
            <w:r w:rsidRPr="00237EFA">
              <w:rPr>
                <w:rFonts w:cs="EUAlbertina"/>
                <w:bCs/>
                <w:color w:val="19161B"/>
                <w:lang w:val="it-IT" w:eastAsia="it-IT"/>
              </w:rPr>
              <w:t xml:space="preserve">b) </w:t>
            </w:r>
            <w:r w:rsidRPr="00237EFA">
              <w:rPr>
                <w:rFonts w:cs="EUAlbertina"/>
                <w:bCs/>
                <w:color w:val="19161B"/>
                <w:lang w:val="it-IT" w:eastAsia="it-IT"/>
              </w:rPr>
              <w:tab/>
              <w:t>un’altra entità che è una parte correlata perché lo stesso ente governativo ha il controllo, il controllo congiunto o un’influenza notevole sia sull’entità che redige il bilancio sia sull’altra entità</w:t>
            </w:r>
            <w:r w:rsidRPr="00237EFA">
              <w:rPr>
                <w:lang w:val="it-IT"/>
              </w:rPr>
              <w:t>.</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4300E2" w:rsidRPr="00A44ECD" w:rsidTr="00F235B5">
        <w:trPr>
          <w:cantSplit/>
        </w:trPr>
        <w:tc>
          <w:tcPr>
            <w:tcW w:w="567" w:type="dxa"/>
            <w:shd w:val="clear" w:color="auto" w:fill="auto"/>
            <w:tcMar>
              <w:left w:w="108" w:type="dxa"/>
            </w:tcMar>
          </w:tcPr>
          <w:p w:rsidR="004300E2" w:rsidRPr="00237EFA" w:rsidRDefault="004300E2" w:rsidP="004300E2">
            <w:pPr>
              <w:pStyle w:val="Numeroelenco"/>
              <w:ind w:left="0" w:firstLine="57"/>
              <w:rPr>
                <w:lang w:val="it-IT"/>
              </w:rPr>
            </w:pPr>
          </w:p>
        </w:tc>
        <w:tc>
          <w:tcPr>
            <w:tcW w:w="851" w:type="dxa"/>
            <w:shd w:val="clear" w:color="auto" w:fill="auto"/>
            <w:tcMar>
              <w:left w:w="108" w:type="dxa"/>
              <w:right w:w="0" w:type="dxa"/>
            </w:tcMar>
          </w:tcPr>
          <w:p w:rsidR="004300E2" w:rsidRPr="00237EFA" w:rsidRDefault="004300E2" w:rsidP="004300E2">
            <w:pPr>
              <w:pStyle w:val="IAS"/>
              <w:rPr>
                <w:lang w:val="it-IT"/>
              </w:rPr>
            </w:pPr>
            <w:r w:rsidRPr="00237EFA">
              <w:rPr>
                <w:lang w:val="it-IT"/>
              </w:rPr>
              <w:t>IAS 24.26</w:t>
            </w:r>
          </w:p>
        </w:tc>
        <w:tc>
          <w:tcPr>
            <w:tcW w:w="7079" w:type="dxa"/>
            <w:shd w:val="clear" w:color="auto" w:fill="auto"/>
            <w:tcMar>
              <w:left w:w="108" w:type="dxa"/>
            </w:tcMar>
          </w:tcPr>
          <w:p w:rsidR="004300E2" w:rsidRPr="00237EFA" w:rsidRDefault="004300E2" w:rsidP="00C15B75">
            <w:pPr>
              <w:spacing w:line="226" w:lineRule="exact"/>
              <w:rPr>
                <w:lang w:val="it-IT"/>
              </w:rPr>
            </w:pPr>
            <w:r w:rsidRPr="00237EFA">
              <w:rPr>
                <w:lang w:val="it-IT"/>
              </w:rPr>
              <w:t>L’entità che applica l’esenzione di cui al paragrafo IAS 24.25 ha dato indicazione delle seguenti informazioni in merito alle operazioni ed ai relativi saldi in essere:</w:t>
            </w:r>
          </w:p>
        </w:tc>
        <w:tc>
          <w:tcPr>
            <w:tcW w:w="575" w:type="dxa"/>
            <w:shd w:val="clear" w:color="auto" w:fill="auto"/>
            <w:tcMar>
              <w:left w:w="85" w:type="dxa"/>
              <w:right w:w="85" w:type="dxa"/>
            </w:tcMar>
            <w:vAlign w:val="center"/>
          </w:tcPr>
          <w:p w:rsidR="004300E2" w:rsidRPr="00090BE7" w:rsidRDefault="004300E2" w:rsidP="004300E2">
            <w:pPr>
              <w:jc w:val="center"/>
              <w:rPr>
                <w:lang w:val="it-IT"/>
              </w:rPr>
            </w:pPr>
          </w:p>
        </w:tc>
        <w:tc>
          <w:tcPr>
            <w:tcW w:w="567" w:type="dxa"/>
            <w:shd w:val="clear" w:color="auto" w:fill="auto"/>
            <w:tcMar>
              <w:left w:w="108" w:type="dxa"/>
            </w:tcMar>
            <w:vAlign w:val="center"/>
          </w:tcPr>
          <w:p w:rsidR="004300E2" w:rsidRPr="00090BE7" w:rsidRDefault="004300E2" w:rsidP="004300E2">
            <w:pPr>
              <w:jc w:val="center"/>
              <w:rPr>
                <w:lang w:val="it-IT"/>
              </w:rPr>
            </w:pPr>
          </w:p>
        </w:tc>
        <w:tc>
          <w:tcPr>
            <w:tcW w:w="567" w:type="dxa"/>
            <w:shd w:val="clear" w:color="auto" w:fill="auto"/>
            <w:vAlign w:val="center"/>
          </w:tcPr>
          <w:p w:rsidR="004300E2" w:rsidRPr="00090BE7" w:rsidRDefault="004300E2" w:rsidP="004300E2">
            <w:pPr>
              <w:jc w:val="center"/>
              <w:rPr>
                <w:lang w:val="it-IT"/>
              </w:rPr>
            </w:pPr>
          </w:p>
        </w:tc>
      </w:tr>
      <w:tr w:rsidR="00892FE4" w:rsidRPr="008129DA" w:rsidTr="00F235B5">
        <w:trPr>
          <w:cantSplit/>
          <w:trHeight w:val="245"/>
        </w:trPr>
        <w:tc>
          <w:tcPr>
            <w:tcW w:w="567" w:type="dxa"/>
            <w:shd w:val="clear" w:color="auto" w:fill="auto"/>
            <w:tcMar>
              <w:left w:w="108" w:type="dxa"/>
            </w:tcMar>
          </w:tcPr>
          <w:p w:rsidR="00892FE4" w:rsidRPr="00237EFA" w:rsidRDefault="00892FE4" w:rsidP="004300E2">
            <w:pPr>
              <w:rPr>
                <w:lang w:val="it-IT"/>
              </w:rPr>
            </w:pPr>
          </w:p>
        </w:tc>
        <w:tc>
          <w:tcPr>
            <w:tcW w:w="851" w:type="dxa"/>
            <w:shd w:val="clear" w:color="auto" w:fill="auto"/>
            <w:tcMar>
              <w:right w:w="0" w:type="dxa"/>
            </w:tcMar>
          </w:tcPr>
          <w:p w:rsidR="00892FE4" w:rsidRPr="00237EFA" w:rsidRDefault="00892FE4" w:rsidP="004300E2">
            <w:pPr>
              <w:rPr>
                <w:lang w:val="it-IT"/>
              </w:rPr>
            </w:pPr>
          </w:p>
        </w:tc>
        <w:tc>
          <w:tcPr>
            <w:tcW w:w="7079" w:type="dxa"/>
            <w:shd w:val="clear" w:color="auto" w:fill="auto"/>
          </w:tcPr>
          <w:p w:rsidR="00892FE4" w:rsidRPr="00237EFA" w:rsidRDefault="00892FE4" w:rsidP="00C15B75">
            <w:pPr>
              <w:pStyle w:val="Rientroa"/>
              <w:numPr>
                <w:ilvl w:val="0"/>
                <w:numId w:val="153"/>
              </w:numPr>
              <w:spacing w:line="226" w:lineRule="exact"/>
            </w:pPr>
            <w:r w:rsidRPr="00237EFA">
              <w:t>la denominazione dell’ente governativo e la natura del proprio rapporto con l’entità che redige il bilancio (ossia controllo, controllo congiunto o influenza notevole)</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892FE4" w:rsidRPr="008129DA" w:rsidTr="00F235B5">
        <w:trPr>
          <w:cantSplit/>
          <w:trHeight w:val="245"/>
        </w:trPr>
        <w:tc>
          <w:tcPr>
            <w:tcW w:w="567" w:type="dxa"/>
            <w:shd w:val="clear" w:color="auto" w:fill="auto"/>
            <w:tcMar>
              <w:left w:w="108" w:type="dxa"/>
            </w:tcMar>
          </w:tcPr>
          <w:p w:rsidR="00892FE4" w:rsidRPr="00237EFA" w:rsidRDefault="00892FE4" w:rsidP="004300E2">
            <w:pPr>
              <w:rPr>
                <w:lang w:val="it-IT"/>
              </w:rPr>
            </w:pPr>
          </w:p>
        </w:tc>
        <w:tc>
          <w:tcPr>
            <w:tcW w:w="851" w:type="dxa"/>
            <w:shd w:val="clear" w:color="auto" w:fill="auto"/>
            <w:tcMar>
              <w:right w:w="0" w:type="dxa"/>
            </w:tcMar>
          </w:tcPr>
          <w:p w:rsidR="00892FE4" w:rsidRPr="00237EFA" w:rsidRDefault="00892FE4" w:rsidP="004300E2">
            <w:pPr>
              <w:rPr>
                <w:lang w:val="it-IT"/>
              </w:rPr>
            </w:pPr>
          </w:p>
        </w:tc>
        <w:tc>
          <w:tcPr>
            <w:tcW w:w="7079" w:type="dxa"/>
            <w:shd w:val="clear" w:color="auto" w:fill="auto"/>
          </w:tcPr>
          <w:p w:rsidR="00892FE4" w:rsidRPr="00237EFA" w:rsidRDefault="00892FE4" w:rsidP="00C15B75">
            <w:pPr>
              <w:pStyle w:val="Rientroa"/>
              <w:numPr>
                <w:ilvl w:val="0"/>
                <w:numId w:val="72"/>
              </w:numPr>
              <w:spacing w:line="226" w:lineRule="exact"/>
            </w:pPr>
            <w:r w:rsidRPr="00237EFA">
              <w:t>le informazioni che seguono, con un livello di dettaglio sufficiente a consentire agli utilizzatori del bilancio dell’entità di comprendere l’effetto sul bilancio delle operazioni con parti correlate poste in essere:</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892FE4" w:rsidRPr="008129DA" w:rsidTr="00F235B5">
        <w:trPr>
          <w:cantSplit/>
          <w:trHeight w:val="245"/>
        </w:trPr>
        <w:tc>
          <w:tcPr>
            <w:tcW w:w="567" w:type="dxa"/>
            <w:shd w:val="clear" w:color="auto" w:fill="auto"/>
            <w:tcMar>
              <w:left w:w="108" w:type="dxa"/>
            </w:tcMar>
          </w:tcPr>
          <w:p w:rsidR="00892FE4" w:rsidRPr="00237EFA" w:rsidRDefault="00892FE4" w:rsidP="004300E2">
            <w:pPr>
              <w:pStyle w:val="IAS"/>
              <w:rPr>
                <w:lang w:val="it-IT"/>
              </w:rPr>
            </w:pPr>
          </w:p>
        </w:tc>
        <w:tc>
          <w:tcPr>
            <w:tcW w:w="851" w:type="dxa"/>
            <w:shd w:val="clear" w:color="auto" w:fill="auto"/>
            <w:tcMar>
              <w:right w:w="0" w:type="dxa"/>
            </w:tcMar>
          </w:tcPr>
          <w:p w:rsidR="00892FE4" w:rsidRPr="00237EFA" w:rsidRDefault="00892FE4" w:rsidP="004300E2">
            <w:pPr>
              <w:pStyle w:val="IAS"/>
              <w:rPr>
                <w:lang w:val="it-IT"/>
              </w:rPr>
            </w:pPr>
          </w:p>
        </w:tc>
        <w:tc>
          <w:tcPr>
            <w:tcW w:w="7079" w:type="dxa"/>
            <w:shd w:val="clear" w:color="auto" w:fill="auto"/>
          </w:tcPr>
          <w:p w:rsidR="00892FE4" w:rsidRPr="00237EFA" w:rsidRDefault="00892FE4" w:rsidP="00C15B75">
            <w:pPr>
              <w:pStyle w:val="Rientroisottoa"/>
              <w:spacing w:line="226" w:lineRule="exact"/>
            </w:pPr>
            <w:r w:rsidRPr="00237EFA">
              <w:t>i)</w:t>
            </w:r>
            <w:r w:rsidRPr="00237EFA">
              <w:tab/>
              <w:t>la natura e il valore di ciascuna operazione individualmente significativa; e</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892FE4" w:rsidRPr="008129DA" w:rsidTr="00F235B5">
        <w:trPr>
          <w:cantSplit/>
          <w:trHeight w:val="245"/>
        </w:trPr>
        <w:tc>
          <w:tcPr>
            <w:tcW w:w="567" w:type="dxa"/>
            <w:shd w:val="clear" w:color="auto" w:fill="auto"/>
            <w:tcMar>
              <w:left w:w="108" w:type="dxa"/>
            </w:tcMar>
          </w:tcPr>
          <w:p w:rsidR="00892FE4" w:rsidRPr="00237EFA" w:rsidRDefault="00892FE4" w:rsidP="004300E2">
            <w:pPr>
              <w:pStyle w:val="IAS"/>
              <w:rPr>
                <w:lang w:val="it-IT"/>
              </w:rPr>
            </w:pPr>
          </w:p>
        </w:tc>
        <w:tc>
          <w:tcPr>
            <w:tcW w:w="851" w:type="dxa"/>
            <w:shd w:val="clear" w:color="auto" w:fill="auto"/>
            <w:tcMar>
              <w:right w:w="0" w:type="dxa"/>
            </w:tcMar>
          </w:tcPr>
          <w:p w:rsidR="00892FE4" w:rsidRPr="00237EFA" w:rsidRDefault="00892FE4" w:rsidP="004300E2">
            <w:pPr>
              <w:pStyle w:val="IAS"/>
              <w:rPr>
                <w:lang w:val="it-IT"/>
              </w:rPr>
            </w:pPr>
          </w:p>
        </w:tc>
        <w:tc>
          <w:tcPr>
            <w:tcW w:w="7079" w:type="dxa"/>
            <w:shd w:val="clear" w:color="auto" w:fill="auto"/>
          </w:tcPr>
          <w:p w:rsidR="00892FE4" w:rsidRPr="00237EFA" w:rsidRDefault="00892FE4" w:rsidP="00C15B75">
            <w:pPr>
              <w:pStyle w:val="Rientroisottoa"/>
              <w:spacing w:line="226" w:lineRule="exact"/>
            </w:pPr>
            <w:r w:rsidRPr="00237EFA">
              <w:t>ii)</w:t>
            </w:r>
            <w:r w:rsidRPr="00237EFA">
              <w:tab/>
              <w:t xml:space="preserve">per le altre operazioni che sono rilevanti collettivamente, ma non singolarmente, un’indicazione qualitativa o quantitativa della loro entità. Le tipologie di operazioni comprendono quelle indicate al paragrafo IAS 24.21 (vedi punto </w:t>
            </w:r>
            <w:r>
              <w:t>386</w:t>
            </w:r>
            <w:r w:rsidRPr="00237EFA">
              <w:t>).</w:t>
            </w:r>
          </w:p>
        </w:tc>
        <w:tc>
          <w:tcPr>
            <w:tcW w:w="575" w:type="dxa"/>
            <w:shd w:val="clear" w:color="auto" w:fill="auto"/>
            <w:tcMar>
              <w:left w:w="85" w:type="dxa"/>
              <w:right w:w="85" w:type="dxa"/>
            </w:tcMar>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892FE4" w:rsidRPr="00A32A16" w:rsidRDefault="00892FE4" w:rsidP="004300E2">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4300E2" w:rsidRPr="00A44ECD" w:rsidTr="00F235B5">
        <w:trPr>
          <w:cantSplit/>
          <w:trHeight w:val="245"/>
        </w:trPr>
        <w:tc>
          <w:tcPr>
            <w:tcW w:w="567" w:type="dxa"/>
            <w:shd w:val="clear" w:color="auto" w:fill="auto"/>
            <w:tcMar>
              <w:left w:w="108" w:type="dxa"/>
            </w:tcMar>
          </w:tcPr>
          <w:p w:rsidR="004300E2" w:rsidRPr="00237EFA" w:rsidRDefault="004300E2" w:rsidP="004300E2">
            <w:pPr>
              <w:pStyle w:val="IAS"/>
              <w:spacing w:after="40" w:line="224" w:lineRule="exact"/>
              <w:rPr>
                <w:lang w:val="it-IT"/>
              </w:rPr>
            </w:pPr>
          </w:p>
        </w:tc>
        <w:tc>
          <w:tcPr>
            <w:tcW w:w="851" w:type="dxa"/>
            <w:shd w:val="clear" w:color="auto" w:fill="auto"/>
            <w:tcMar>
              <w:right w:w="0" w:type="dxa"/>
            </w:tcMar>
          </w:tcPr>
          <w:p w:rsidR="004300E2" w:rsidRPr="00237EFA" w:rsidRDefault="004300E2" w:rsidP="004300E2">
            <w:pPr>
              <w:pStyle w:val="IAS"/>
              <w:spacing w:after="40" w:line="224" w:lineRule="exact"/>
              <w:rPr>
                <w:lang w:val="it-IT"/>
              </w:rPr>
            </w:pPr>
            <w:r w:rsidRPr="00237EFA">
              <w:rPr>
                <w:lang w:val="it-IT"/>
              </w:rPr>
              <w:t>IAS 24.27</w:t>
            </w:r>
          </w:p>
        </w:tc>
        <w:tc>
          <w:tcPr>
            <w:tcW w:w="7079" w:type="dxa"/>
            <w:shd w:val="clear" w:color="auto" w:fill="auto"/>
          </w:tcPr>
          <w:p w:rsidR="004300E2" w:rsidRPr="00237EFA" w:rsidRDefault="004300E2" w:rsidP="0002186C">
            <w:pPr>
              <w:pStyle w:val="Paragarfobordato"/>
            </w:pPr>
            <w:r w:rsidRPr="00237EFA">
              <w:t>Nell’esercitare il proprio giudizio in merito al livello di dettaglio da indicare, in conformità alle disposizioni di cui al paragrafo 26(b), l’entità che redige il bilancio deve valutare quanto sia stretto il rapporto con la parte correlata e altri fattori importanti ai fini della determinazione del livello di significatività dell’operazione, quali ad esempio:</w:t>
            </w:r>
          </w:p>
          <w:p w:rsidR="004300E2" w:rsidRPr="00237EFA" w:rsidRDefault="004300E2" w:rsidP="0002186C">
            <w:pPr>
              <w:pStyle w:val="Paragarfobordato"/>
              <w:ind w:left="205" w:hanging="205"/>
            </w:pPr>
            <w:r w:rsidRPr="00237EFA">
              <w:t>a)</w:t>
            </w:r>
            <w:r w:rsidR="0002186C">
              <w:tab/>
            </w:r>
            <w:r w:rsidRPr="00237EFA">
              <w:t xml:space="preserve"> la significatività in termini di dimensione </w:t>
            </w:r>
          </w:p>
          <w:p w:rsidR="004300E2" w:rsidRPr="00237EFA" w:rsidRDefault="004300E2" w:rsidP="0002186C">
            <w:pPr>
              <w:pStyle w:val="Paragarfobordato"/>
              <w:ind w:left="205" w:hanging="205"/>
            </w:pPr>
            <w:r w:rsidRPr="00237EFA">
              <w:t>b)</w:t>
            </w:r>
            <w:r w:rsidR="0002186C">
              <w:tab/>
            </w:r>
            <w:r w:rsidRPr="00237EFA">
              <w:t xml:space="preserve"> se sia stata effettuata a condizioni diverse da quelle di mercato </w:t>
            </w:r>
          </w:p>
          <w:p w:rsidR="004300E2" w:rsidRPr="00237EFA" w:rsidRDefault="004300E2" w:rsidP="0002186C">
            <w:pPr>
              <w:pStyle w:val="Paragarfobordato"/>
              <w:ind w:left="205" w:hanging="205"/>
            </w:pPr>
            <w:r w:rsidRPr="00237EFA">
              <w:t xml:space="preserve">c) </w:t>
            </w:r>
            <w:r w:rsidR="0002186C">
              <w:tab/>
            </w:r>
            <w:r w:rsidRPr="00237EFA">
              <w:t xml:space="preserve">se sia al di fuori della normale operatività aziendale, quali l’acquisto o la vendita di attività aziendali </w:t>
            </w:r>
          </w:p>
          <w:p w:rsidR="004300E2" w:rsidRPr="00237EFA" w:rsidRDefault="004300E2" w:rsidP="0002186C">
            <w:pPr>
              <w:pStyle w:val="Paragarfobordato"/>
              <w:ind w:left="205" w:hanging="205"/>
            </w:pPr>
            <w:r w:rsidRPr="00237EFA">
              <w:t xml:space="preserve">d) </w:t>
            </w:r>
            <w:r w:rsidR="0002186C">
              <w:tab/>
            </w:r>
            <w:r w:rsidRPr="00237EFA">
              <w:t xml:space="preserve">se è oggetto di informativa alle autorità di regolamentazione o vigilanza </w:t>
            </w:r>
          </w:p>
          <w:p w:rsidR="004300E2" w:rsidRPr="00237EFA" w:rsidRDefault="004300E2" w:rsidP="0002186C">
            <w:pPr>
              <w:pStyle w:val="Paragarfobordato"/>
              <w:ind w:left="205" w:hanging="205"/>
            </w:pPr>
            <w:r w:rsidRPr="00237EFA">
              <w:t xml:space="preserve">e) </w:t>
            </w:r>
            <w:r w:rsidR="0002186C">
              <w:tab/>
            </w:r>
            <w:r w:rsidRPr="00237EFA">
              <w:t xml:space="preserve">se è comunicata all’alta dirigenza </w:t>
            </w:r>
          </w:p>
          <w:p w:rsidR="004300E2" w:rsidRPr="00237EFA" w:rsidRDefault="004300E2" w:rsidP="0002186C">
            <w:pPr>
              <w:pStyle w:val="Paragarfobordato"/>
              <w:ind w:left="205" w:hanging="205"/>
            </w:pPr>
            <w:r w:rsidRPr="00237EFA">
              <w:t xml:space="preserve">f) </w:t>
            </w:r>
            <w:r w:rsidR="0002186C">
              <w:tab/>
            </w:r>
            <w:r w:rsidRPr="00237EFA">
              <w:t>se è soggetta all’approvazione degli azionisti.</w:t>
            </w:r>
          </w:p>
        </w:tc>
        <w:tc>
          <w:tcPr>
            <w:tcW w:w="575" w:type="dxa"/>
            <w:shd w:val="clear" w:color="auto" w:fill="auto"/>
            <w:tcMar>
              <w:left w:w="85" w:type="dxa"/>
              <w:right w:w="85" w:type="dxa"/>
            </w:tcMar>
            <w:vAlign w:val="center"/>
          </w:tcPr>
          <w:p w:rsidR="004300E2" w:rsidRPr="00090BE7" w:rsidRDefault="004300E2" w:rsidP="004300E2">
            <w:pPr>
              <w:spacing w:before="40" w:after="40" w:line="224" w:lineRule="exact"/>
              <w:jc w:val="center"/>
              <w:rPr>
                <w:lang w:val="it-IT"/>
              </w:rPr>
            </w:pPr>
          </w:p>
        </w:tc>
        <w:tc>
          <w:tcPr>
            <w:tcW w:w="567" w:type="dxa"/>
            <w:shd w:val="clear" w:color="auto" w:fill="auto"/>
            <w:vAlign w:val="center"/>
          </w:tcPr>
          <w:p w:rsidR="004300E2" w:rsidRPr="00090BE7" w:rsidRDefault="004300E2" w:rsidP="004300E2">
            <w:pPr>
              <w:spacing w:before="40" w:after="40" w:line="224" w:lineRule="exact"/>
              <w:jc w:val="center"/>
              <w:rPr>
                <w:lang w:val="it-IT"/>
              </w:rPr>
            </w:pPr>
          </w:p>
        </w:tc>
        <w:tc>
          <w:tcPr>
            <w:tcW w:w="567" w:type="dxa"/>
            <w:shd w:val="clear" w:color="auto" w:fill="auto"/>
            <w:vAlign w:val="center"/>
          </w:tcPr>
          <w:p w:rsidR="004300E2" w:rsidRPr="00090BE7" w:rsidRDefault="004300E2" w:rsidP="004300E2">
            <w:pPr>
              <w:spacing w:before="40" w:after="40" w:line="224" w:lineRule="exact"/>
              <w:jc w:val="center"/>
              <w:rPr>
                <w:lang w:val="it-IT"/>
              </w:rPr>
            </w:pPr>
          </w:p>
        </w:tc>
      </w:tr>
      <w:tr w:rsidR="004300E2" w:rsidRPr="008A0F36" w:rsidTr="00F235B5">
        <w:trPr>
          <w:cantSplit/>
          <w:trHeight w:val="245"/>
        </w:trPr>
        <w:tc>
          <w:tcPr>
            <w:tcW w:w="567" w:type="dxa"/>
            <w:shd w:val="clear" w:color="auto" w:fill="auto"/>
            <w:tcMar>
              <w:left w:w="108" w:type="dxa"/>
            </w:tcMar>
            <w:vAlign w:val="center"/>
          </w:tcPr>
          <w:p w:rsidR="004300E2" w:rsidRPr="00237EFA" w:rsidRDefault="004300E2" w:rsidP="0002186C">
            <w:pPr>
              <w:pStyle w:val="IAS"/>
              <w:jc w:val="left"/>
              <w:rPr>
                <w:lang w:val="it-IT"/>
              </w:rPr>
            </w:pPr>
          </w:p>
        </w:tc>
        <w:tc>
          <w:tcPr>
            <w:tcW w:w="851" w:type="dxa"/>
            <w:shd w:val="clear" w:color="auto" w:fill="auto"/>
            <w:tcMar>
              <w:right w:w="0" w:type="dxa"/>
            </w:tcMar>
            <w:vAlign w:val="center"/>
          </w:tcPr>
          <w:p w:rsidR="004300E2" w:rsidRPr="00237EFA" w:rsidRDefault="004300E2" w:rsidP="0002186C">
            <w:pPr>
              <w:pStyle w:val="IAS"/>
              <w:jc w:val="left"/>
              <w:rPr>
                <w:lang w:val="it-IT"/>
              </w:rPr>
            </w:pPr>
          </w:p>
        </w:tc>
        <w:tc>
          <w:tcPr>
            <w:tcW w:w="7079" w:type="dxa"/>
            <w:shd w:val="clear" w:color="auto" w:fill="auto"/>
            <w:vAlign w:val="center"/>
          </w:tcPr>
          <w:p w:rsidR="004300E2" w:rsidRPr="00237EFA" w:rsidRDefault="004300E2" w:rsidP="00C15B75">
            <w:pPr>
              <w:pStyle w:val="Titolo1"/>
              <w:keepNext w:val="0"/>
              <w:spacing w:before="20" w:after="20"/>
            </w:pPr>
            <w:r w:rsidRPr="00237EFA">
              <w:t>Ricavi</w:t>
            </w:r>
          </w:p>
        </w:tc>
        <w:tc>
          <w:tcPr>
            <w:tcW w:w="575" w:type="dxa"/>
            <w:shd w:val="clear" w:color="auto" w:fill="auto"/>
            <w:tcMar>
              <w:left w:w="85" w:type="dxa"/>
              <w:right w:w="85" w:type="dxa"/>
            </w:tcMar>
            <w:vAlign w:val="center"/>
          </w:tcPr>
          <w:p w:rsidR="004300E2" w:rsidRDefault="004300E2" w:rsidP="0002186C">
            <w:pPr>
              <w:jc w:val="left"/>
            </w:pPr>
          </w:p>
        </w:tc>
        <w:tc>
          <w:tcPr>
            <w:tcW w:w="567" w:type="dxa"/>
            <w:shd w:val="clear" w:color="auto" w:fill="auto"/>
            <w:vAlign w:val="center"/>
          </w:tcPr>
          <w:p w:rsidR="004300E2" w:rsidRDefault="004300E2" w:rsidP="0002186C">
            <w:pPr>
              <w:jc w:val="left"/>
            </w:pPr>
          </w:p>
        </w:tc>
        <w:tc>
          <w:tcPr>
            <w:tcW w:w="567" w:type="dxa"/>
            <w:shd w:val="clear" w:color="auto" w:fill="auto"/>
            <w:vAlign w:val="center"/>
          </w:tcPr>
          <w:p w:rsidR="004300E2" w:rsidRDefault="004300E2" w:rsidP="0002186C">
            <w:pPr>
              <w:jc w:val="left"/>
            </w:pPr>
          </w:p>
        </w:tc>
      </w:tr>
      <w:tr w:rsidR="00A75E60" w:rsidRPr="00A44ECD" w:rsidTr="002B6200">
        <w:trPr>
          <w:cantSplit/>
          <w:trHeight w:val="245"/>
        </w:trPr>
        <w:tc>
          <w:tcPr>
            <w:tcW w:w="567" w:type="dxa"/>
            <w:shd w:val="clear" w:color="auto" w:fill="auto"/>
            <w:tcMar>
              <w:left w:w="108" w:type="dxa"/>
            </w:tcMar>
            <w:vAlign w:val="center"/>
          </w:tcPr>
          <w:p w:rsidR="00A75E60" w:rsidRPr="00237EFA" w:rsidRDefault="00A75E60" w:rsidP="003A5BB7">
            <w:pPr>
              <w:pStyle w:val="IAS"/>
              <w:jc w:val="left"/>
              <w:rPr>
                <w:lang w:val="it-IT"/>
              </w:rPr>
            </w:pPr>
          </w:p>
        </w:tc>
        <w:tc>
          <w:tcPr>
            <w:tcW w:w="851" w:type="dxa"/>
            <w:shd w:val="clear" w:color="auto" w:fill="auto"/>
            <w:tcMar>
              <w:right w:w="0" w:type="dxa"/>
            </w:tcMar>
            <w:vAlign w:val="center"/>
          </w:tcPr>
          <w:p w:rsidR="00A75E60" w:rsidRPr="00237EFA" w:rsidRDefault="00A75E60" w:rsidP="003A5BB7">
            <w:pPr>
              <w:pStyle w:val="IAS"/>
              <w:jc w:val="left"/>
              <w:rPr>
                <w:lang w:val="it-IT"/>
              </w:rPr>
            </w:pPr>
          </w:p>
        </w:tc>
        <w:tc>
          <w:tcPr>
            <w:tcW w:w="7079" w:type="dxa"/>
            <w:shd w:val="clear" w:color="auto" w:fill="D9D9D9" w:themeFill="background1" w:themeFillShade="D9"/>
            <w:vAlign w:val="center"/>
          </w:tcPr>
          <w:p w:rsidR="00A75E60" w:rsidRPr="002B6200" w:rsidRDefault="00A75E60" w:rsidP="0002186C">
            <w:pPr>
              <w:pStyle w:val="Paragarfobordato"/>
            </w:pPr>
            <w:r>
              <w:t>Se l’entità adotta anticipatamente l’IFRS 15 non dovrà compilare i punti 389-390 ma fare riferimento ai punti 460-4</w:t>
            </w:r>
            <w:r w:rsidR="00A44ECD">
              <w:t>80</w:t>
            </w:r>
            <w:r>
              <w:t>.</w:t>
            </w:r>
          </w:p>
        </w:tc>
        <w:tc>
          <w:tcPr>
            <w:tcW w:w="575" w:type="dxa"/>
            <w:shd w:val="clear" w:color="auto" w:fill="auto"/>
            <w:tcMar>
              <w:left w:w="85" w:type="dxa"/>
              <w:right w:w="85" w:type="dxa"/>
            </w:tcMar>
            <w:vAlign w:val="center"/>
          </w:tcPr>
          <w:p w:rsidR="00A75E60" w:rsidRPr="002B6200" w:rsidRDefault="00A75E60" w:rsidP="003A5BB7">
            <w:pPr>
              <w:jc w:val="left"/>
              <w:rPr>
                <w:lang w:val="it-IT"/>
              </w:rPr>
            </w:pPr>
          </w:p>
        </w:tc>
        <w:tc>
          <w:tcPr>
            <w:tcW w:w="567" w:type="dxa"/>
            <w:shd w:val="clear" w:color="auto" w:fill="auto"/>
            <w:vAlign w:val="center"/>
          </w:tcPr>
          <w:p w:rsidR="00A75E60" w:rsidRPr="002B6200" w:rsidRDefault="00A75E60" w:rsidP="003A5BB7">
            <w:pPr>
              <w:jc w:val="left"/>
              <w:rPr>
                <w:lang w:val="it-IT"/>
              </w:rPr>
            </w:pPr>
          </w:p>
        </w:tc>
        <w:tc>
          <w:tcPr>
            <w:tcW w:w="567" w:type="dxa"/>
            <w:shd w:val="clear" w:color="auto" w:fill="auto"/>
            <w:vAlign w:val="center"/>
          </w:tcPr>
          <w:p w:rsidR="00A75E60" w:rsidRPr="002B6200" w:rsidRDefault="00A75E60" w:rsidP="003A5BB7">
            <w:pPr>
              <w:jc w:val="left"/>
              <w:rPr>
                <w:lang w:val="it-IT"/>
              </w:rPr>
            </w:pPr>
          </w:p>
        </w:tc>
      </w:tr>
      <w:tr w:rsidR="00A75E60" w:rsidRPr="008A0F36" w:rsidTr="00F235B5">
        <w:trPr>
          <w:cantSplit/>
        </w:trPr>
        <w:tc>
          <w:tcPr>
            <w:tcW w:w="567" w:type="dxa"/>
            <w:shd w:val="clear" w:color="auto" w:fill="auto"/>
            <w:tcMar>
              <w:left w:w="108" w:type="dxa"/>
              <w:right w:w="0" w:type="dxa"/>
            </w:tcMar>
          </w:tcPr>
          <w:p w:rsidR="00A75E60" w:rsidRPr="00237EFA" w:rsidRDefault="00A75E60" w:rsidP="00A75E60">
            <w:pPr>
              <w:pStyle w:val="Numeroelenco"/>
              <w:ind w:left="0" w:firstLine="57"/>
              <w:rPr>
                <w:lang w:val="it-IT"/>
              </w:rPr>
            </w:pPr>
            <w:bookmarkStart w:id="8" w:name="_Revenue"/>
            <w:bookmarkEnd w:id="8"/>
          </w:p>
        </w:tc>
        <w:tc>
          <w:tcPr>
            <w:tcW w:w="851" w:type="dxa"/>
            <w:shd w:val="clear" w:color="auto" w:fill="auto"/>
            <w:tcMar>
              <w:left w:w="108" w:type="dxa"/>
              <w:right w:w="0" w:type="dxa"/>
            </w:tcMar>
          </w:tcPr>
          <w:p w:rsidR="00A75E60" w:rsidRPr="00237EFA" w:rsidRDefault="00A75E60" w:rsidP="00A75E60">
            <w:pPr>
              <w:pStyle w:val="IAS"/>
              <w:rPr>
                <w:lang w:val="it-IT"/>
              </w:rPr>
            </w:pPr>
            <w:r w:rsidRPr="00237EFA">
              <w:rPr>
                <w:lang w:val="it-IT"/>
              </w:rPr>
              <w:t>IAS 18.35</w:t>
            </w:r>
          </w:p>
        </w:tc>
        <w:tc>
          <w:tcPr>
            <w:tcW w:w="7079" w:type="dxa"/>
            <w:shd w:val="clear" w:color="auto" w:fill="auto"/>
            <w:tcMar>
              <w:left w:w="108" w:type="dxa"/>
            </w:tcMar>
          </w:tcPr>
          <w:p w:rsidR="00A75E60" w:rsidRPr="00237EFA" w:rsidRDefault="00A75E60" w:rsidP="00C15B75">
            <w:pPr>
              <w:spacing w:line="226" w:lineRule="exact"/>
              <w:rPr>
                <w:lang w:val="it-IT"/>
              </w:rPr>
            </w:pPr>
            <w:r w:rsidRPr="00237EFA">
              <w:rPr>
                <w:lang w:val="it-IT"/>
              </w:rPr>
              <w:t>L’entità ha indicato:</w:t>
            </w:r>
          </w:p>
        </w:tc>
        <w:tc>
          <w:tcPr>
            <w:tcW w:w="575" w:type="dxa"/>
            <w:shd w:val="clear" w:color="auto" w:fill="auto"/>
            <w:tcMar>
              <w:left w:w="85" w:type="dxa"/>
              <w:right w:w="85" w:type="dxa"/>
            </w:tcMar>
            <w:vAlign w:val="center"/>
          </w:tcPr>
          <w:p w:rsidR="00A75E60" w:rsidRDefault="00A75E60" w:rsidP="00A75E60">
            <w:pPr>
              <w:jc w:val="center"/>
            </w:pPr>
          </w:p>
        </w:tc>
        <w:tc>
          <w:tcPr>
            <w:tcW w:w="567" w:type="dxa"/>
            <w:shd w:val="clear" w:color="auto" w:fill="auto"/>
            <w:tcMar>
              <w:left w:w="108" w:type="dxa"/>
            </w:tcMar>
            <w:vAlign w:val="center"/>
          </w:tcPr>
          <w:p w:rsidR="00A75E60" w:rsidRDefault="00A75E60" w:rsidP="00A75E60">
            <w:pPr>
              <w:jc w:val="center"/>
            </w:pPr>
          </w:p>
        </w:tc>
        <w:tc>
          <w:tcPr>
            <w:tcW w:w="567" w:type="dxa"/>
            <w:shd w:val="clear" w:color="auto" w:fill="auto"/>
            <w:vAlign w:val="center"/>
          </w:tcPr>
          <w:p w:rsidR="00A75E60" w:rsidRDefault="00A75E60" w:rsidP="00A75E60">
            <w:pPr>
              <w:jc w:val="center"/>
            </w:pPr>
          </w:p>
        </w:tc>
      </w:tr>
      <w:tr w:rsidR="00A75E60" w:rsidRPr="008129DA"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C15B75">
            <w:pPr>
              <w:pStyle w:val="Rientroa"/>
              <w:numPr>
                <w:ilvl w:val="0"/>
                <w:numId w:val="154"/>
              </w:numPr>
              <w:spacing w:line="226" w:lineRule="exact"/>
            </w:pPr>
            <w:r w:rsidRPr="00237EFA">
              <w:t>i principi contabili adottati per la rilevazione dei ricavi</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C15B75">
            <w:pPr>
              <w:pStyle w:val="Rientroa"/>
              <w:numPr>
                <w:ilvl w:val="0"/>
                <w:numId w:val="72"/>
              </w:numPr>
              <w:spacing w:line="226" w:lineRule="exact"/>
              <w:ind w:left="389"/>
            </w:pPr>
            <w:r w:rsidRPr="00237EFA">
              <w:t>i metodi adottati per determinare lo stadio di completamento delle operazioni che comportano la prestazione di servizi</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C15B75">
            <w:pPr>
              <w:pStyle w:val="Rientroa"/>
              <w:numPr>
                <w:ilvl w:val="0"/>
                <w:numId w:val="72"/>
              </w:numPr>
              <w:spacing w:line="226" w:lineRule="exact"/>
            </w:pPr>
            <w:r w:rsidRPr="00237EFA">
              <w:t>il valore di ciascuna categoria significativa di ricavi rilevata nell’esercizio, compresi i ricavi derivanti da:</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A0F36"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C15B75">
            <w:pPr>
              <w:pStyle w:val="Puntoelenco"/>
              <w:spacing w:line="226" w:lineRule="exact"/>
              <w:ind w:hanging="322"/>
              <w:contextualSpacing w:val="0"/>
            </w:pPr>
            <w:r w:rsidRPr="00237EFA">
              <w:t>la vendita di beni</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A0F36"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C15B75">
            <w:pPr>
              <w:pStyle w:val="Puntoelenco"/>
              <w:spacing w:line="226" w:lineRule="exact"/>
              <w:ind w:hanging="322"/>
              <w:contextualSpacing w:val="0"/>
            </w:pPr>
            <w:r w:rsidRPr="00237EFA">
              <w:t>la prestazione di servizi</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A0F36"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C15B75">
            <w:pPr>
              <w:pStyle w:val="Puntoelenco"/>
              <w:spacing w:line="226" w:lineRule="exact"/>
              <w:ind w:hanging="322"/>
              <w:contextualSpacing w:val="0"/>
            </w:pPr>
            <w:r w:rsidRPr="00237EFA">
              <w:t>gli interessi</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A0F36"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C15B75">
            <w:pPr>
              <w:pStyle w:val="Puntoelenco"/>
              <w:spacing w:line="226" w:lineRule="exact"/>
              <w:ind w:hanging="322"/>
              <w:contextualSpacing w:val="0"/>
            </w:pPr>
            <w:r w:rsidRPr="00237EFA">
              <w:t>le royalties e</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A0F36"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C15B75">
            <w:pPr>
              <w:pStyle w:val="Puntoelenco"/>
              <w:spacing w:line="226" w:lineRule="exact"/>
              <w:ind w:hanging="322"/>
              <w:contextualSpacing w:val="0"/>
            </w:pPr>
            <w:r w:rsidRPr="00237EFA">
              <w:t>i dividendi</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Rientroa"/>
              <w:numPr>
                <w:ilvl w:val="0"/>
                <w:numId w:val="72"/>
              </w:numPr>
            </w:pPr>
            <w:r w:rsidRPr="00237EFA">
              <w:t>l’importo dei ricavi derivanti dallo scambio di beni o servizi compresi in ciascuna significativa categoria di ricavi.</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237EFA" w:rsidRDefault="00A75E60" w:rsidP="00A75E60">
            <w:pPr>
              <w:pStyle w:val="Numeroelenco"/>
              <w:ind w:left="0" w:firstLine="57"/>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r w:rsidRPr="00237EFA">
              <w:rPr>
                <w:lang w:val="it-IT"/>
              </w:rPr>
              <w:t>IAS 18.36</w:t>
            </w:r>
          </w:p>
        </w:tc>
        <w:tc>
          <w:tcPr>
            <w:tcW w:w="7079" w:type="dxa"/>
            <w:shd w:val="clear" w:color="auto" w:fill="auto"/>
            <w:tcMar>
              <w:left w:w="108" w:type="dxa"/>
            </w:tcMar>
          </w:tcPr>
          <w:p w:rsidR="00A75E60" w:rsidRPr="00237EFA" w:rsidRDefault="00A75E60" w:rsidP="00A75E60">
            <w:pPr>
              <w:rPr>
                <w:lang w:val="it-IT"/>
              </w:rPr>
            </w:pPr>
            <w:r w:rsidRPr="00237EFA">
              <w:rPr>
                <w:lang w:val="it-IT"/>
              </w:rPr>
              <w:t>L’entità ha indicato le passività ed attività potenziali, in accordo allo IAS 37, che possono derivare da elementi quali costi di garanzia, rivendicazioni, penalità o possibili perdite.</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A44ECD" w:rsidTr="00F235B5">
        <w:trPr>
          <w:cantSplit/>
        </w:trPr>
        <w:tc>
          <w:tcPr>
            <w:tcW w:w="567" w:type="dxa"/>
            <w:shd w:val="clear" w:color="auto" w:fill="auto"/>
            <w:tcMar>
              <w:left w:w="108" w:type="dxa"/>
              <w:right w:w="0" w:type="dxa"/>
            </w:tcMar>
            <w:vAlign w:val="center"/>
          </w:tcPr>
          <w:p w:rsidR="00A75E60" w:rsidRPr="00237EFA" w:rsidRDefault="00A75E60" w:rsidP="00A75E60">
            <w:pPr>
              <w:pStyle w:val="IAS"/>
              <w:jc w:val="left"/>
              <w:rPr>
                <w:lang w:val="it-IT"/>
              </w:rPr>
            </w:pPr>
          </w:p>
        </w:tc>
        <w:tc>
          <w:tcPr>
            <w:tcW w:w="851" w:type="dxa"/>
            <w:shd w:val="clear" w:color="auto" w:fill="auto"/>
            <w:tcMar>
              <w:left w:w="108" w:type="dxa"/>
              <w:right w:w="0" w:type="dxa"/>
            </w:tcMar>
            <w:vAlign w:val="center"/>
          </w:tcPr>
          <w:p w:rsidR="00A75E60" w:rsidRPr="00237EFA" w:rsidRDefault="00A75E60" w:rsidP="00A75E60">
            <w:pPr>
              <w:pStyle w:val="IAS"/>
              <w:jc w:val="left"/>
              <w:rPr>
                <w:lang w:val="it-IT"/>
              </w:rPr>
            </w:pPr>
          </w:p>
        </w:tc>
        <w:tc>
          <w:tcPr>
            <w:tcW w:w="7079" w:type="dxa"/>
            <w:shd w:val="clear" w:color="auto" w:fill="auto"/>
            <w:tcMar>
              <w:left w:w="108" w:type="dxa"/>
            </w:tcMar>
            <w:vAlign w:val="center"/>
          </w:tcPr>
          <w:p w:rsidR="00A75E60" w:rsidRPr="00237EFA" w:rsidRDefault="00A75E60" w:rsidP="00A75E60">
            <w:pPr>
              <w:pStyle w:val="Titolo1"/>
            </w:pPr>
            <w:r w:rsidRPr="00237EFA">
              <w:t xml:space="preserve">Accordi per servizi in concessione </w:t>
            </w:r>
          </w:p>
        </w:tc>
        <w:tc>
          <w:tcPr>
            <w:tcW w:w="575" w:type="dxa"/>
            <w:shd w:val="clear" w:color="auto" w:fill="auto"/>
            <w:tcMar>
              <w:left w:w="85" w:type="dxa"/>
              <w:right w:w="85" w:type="dxa"/>
            </w:tcMar>
            <w:vAlign w:val="center"/>
          </w:tcPr>
          <w:p w:rsidR="00A75E60" w:rsidRPr="00090BE7" w:rsidRDefault="00A75E60" w:rsidP="00A75E60">
            <w:pPr>
              <w:jc w:val="left"/>
              <w:rPr>
                <w:lang w:val="it-IT"/>
              </w:rPr>
            </w:pPr>
          </w:p>
        </w:tc>
        <w:tc>
          <w:tcPr>
            <w:tcW w:w="567" w:type="dxa"/>
            <w:shd w:val="clear" w:color="auto" w:fill="auto"/>
            <w:tcMar>
              <w:left w:w="108" w:type="dxa"/>
            </w:tcMar>
            <w:vAlign w:val="center"/>
          </w:tcPr>
          <w:p w:rsidR="00A75E60" w:rsidRPr="00090BE7" w:rsidRDefault="00A75E60" w:rsidP="00A75E60">
            <w:pPr>
              <w:jc w:val="left"/>
              <w:rPr>
                <w:lang w:val="it-IT"/>
              </w:rPr>
            </w:pPr>
          </w:p>
        </w:tc>
        <w:tc>
          <w:tcPr>
            <w:tcW w:w="567" w:type="dxa"/>
            <w:shd w:val="clear" w:color="auto" w:fill="auto"/>
            <w:vAlign w:val="center"/>
          </w:tcPr>
          <w:p w:rsidR="00A75E60" w:rsidRPr="00090BE7" w:rsidRDefault="00A75E60" w:rsidP="00A75E60">
            <w:pPr>
              <w:jc w:val="left"/>
              <w:rPr>
                <w:lang w:val="it-IT"/>
              </w:rPr>
            </w:pPr>
          </w:p>
        </w:tc>
      </w:tr>
      <w:tr w:rsidR="00A75E60" w:rsidRPr="00A44ECD" w:rsidTr="00F235B5">
        <w:trPr>
          <w:cantSplit/>
        </w:trPr>
        <w:tc>
          <w:tcPr>
            <w:tcW w:w="567" w:type="dxa"/>
            <w:shd w:val="clear" w:color="auto" w:fill="auto"/>
            <w:tcMar>
              <w:left w:w="108" w:type="dxa"/>
              <w:right w:w="0" w:type="dxa"/>
            </w:tcMar>
          </w:tcPr>
          <w:p w:rsidR="00A75E60" w:rsidRPr="00237EFA" w:rsidRDefault="00A75E60" w:rsidP="00A75E60">
            <w:pPr>
              <w:pStyle w:val="Numeroelenco"/>
              <w:ind w:left="0" w:firstLine="57"/>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r w:rsidRPr="00237EFA">
              <w:rPr>
                <w:lang w:val="it-IT"/>
              </w:rPr>
              <w:t>SIC 29.6</w:t>
            </w:r>
            <w:r w:rsidRPr="00237EFA">
              <w:rPr>
                <w:lang w:val="it-IT"/>
              </w:rPr>
              <w:br/>
              <w:t>SIC 29.7</w:t>
            </w:r>
          </w:p>
        </w:tc>
        <w:tc>
          <w:tcPr>
            <w:tcW w:w="7079" w:type="dxa"/>
            <w:shd w:val="clear" w:color="auto" w:fill="auto"/>
            <w:tcMar>
              <w:left w:w="108" w:type="dxa"/>
            </w:tcMar>
          </w:tcPr>
          <w:p w:rsidR="00A75E60" w:rsidRPr="00237EFA" w:rsidRDefault="00A75E60" w:rsidP="00A75E60">
            <w:pPr>
              <w:spacing w:line="214" w:lineRule="exact"/>
              <w:rPr>
                <w:spacing w:val="-2"/>
                <w:lang w:val="it-IT"/>
              </w:rPr>
            </w:pPr>
            <w:r w:rsidRPr="00237EFA">
              <w:rPr>
                <w:lang w:val="it-IT"/>
              </w:rPr>
              <w:t>Un’entità (Operatore in concessione, concessionario) può entrare in un accordo con un’altra entità (Concedente) per fornire servizi che danno pubblico accesso alle maggiori strutture economiche e sociali. Tutti gli aspetti degli accordi dei servizi dati in concessione dovrebbero essere considerati nella determinazione dell’appropriata informativa da inserire nelle note al bilancio. Se l’entità è il concessionario o il concedente, l’entità ha fornito le seguenti informazioni per ogni periodo e per ogni accordo di concessione o classe di accordi di concessione:</w:t>
            </w:r>
          </w:p>
        </w:tc>
        <w:tc>
          <w:tcPr>
            <w:tcW w:w="575" w:type="dxa"/>
            <w:shd w:val="clear" w:color="auto" w:fill="auto"/>
            <w:tcMar>
              <w:left w:w="85" w:type="dxa"/>
              <w:right w:w="85" w:type="dxa"/>
            </w:tcMar>
            <w:vAlign w:val="center"/>
          </w:tcPr>
          <w:p w:rsidR="00A75E60" w:rsidRPr="00090BE7" w:rsidRDefault="00A75E60" w:rsidP="00A75E60">
            <w:pPr>
              <w:spacing w:line="226" w:lineRule="exact"/>
              <w:jc w:val="center"/>
              <w:rPr>
                <w:lang w:val="it-IT"/>
              </w:rPr>
            </w:pPr>
          </w:p>
        </w:tc>
        <w:tc>
          <w:tcPr>
            <w:tcW w:w="567" w:type="dxa"/>
            <w:shd w:val="clear" w:color="auto" w:fill="auto"/>
            <w:tcMar>
              <w:left w:w="108" w:type="dxa"/>
            </w:tcMar>
            <w:vAlign w:val="center"/>
          </w:tcPr>
          <w:p w:rsidR="00A75E60" w:rsidRPr="00090BE7" w:rsidRDefault="00A75E60" w:rsidP="00A75E60">
            <w:pPr>
              <w:spacing w:line="226" w:lineRule="exact"/>
              <w:jc w:val="center"/>
              <w:rPr>
                <w:lang w:val="it-IT"/>
              </w:rPr>
            </w:pPr>
          </w:p>
        </w:tc>
        <w:tc>
          <w:tcPr>
            <w:tcW w:w="567" w:type="dxa"/>
            <w:shd w:val="clear" w:color="auto" w:fill="auto"/>
            <w:vAlign w:val="center"/>
          </w:tcPr>
          <w:p w:rsidR="00A75E60" w:rsidRPr="00090BE7" w:rsidRDefault="00A75E60" w:rsidP="00A75E60">
            <w:pPr>
              <w:spacing w:line="226" w:lineRule="exact"/>
              <w:jc w:val="center"/>
              <w:rPr>
                <w:lang w:val="it-IT"/>
              </w:rPr>
            </w:pPr>
          </w:p>
        </w:tc>
      </w:tr>
      <w:tr w:rsidR="00A75E60" w:rsidRPr="008A0F36"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Rientroa"/>
              <w:numPr>
                <w:ilvl w:val="0"/>
                <w:numId w:val="155"/>
              </w:numPr>
            </w:pPr>
            <w:r w:rsidRPr="00237EFA">
              <w:t>una descrizione dell’accordo</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Rientroa"/>
              <w:numPr>
                <w:ilvl w:val="0"/>
                <w:numId w:val="72"/>
              </w:numPr>
            </w:pPr>
            <w:r w:rsidRPr="00237EFA">
              <w:t>le condizioni dell’accordo che, data la loro significatività, potrebbero influenzare l’importo, la tempistica e la certezza dei flussi finanziari futuri (come il periodo della concessione, le date di rideterminazione del prezzo e le condizioni base su cui i nuovi calcoli del prezzo e la rinegoziazione sono determinati)</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Rientroa"/>
              <w:numPr>
                <w:ilvl w:val="0"/>
                <w:numId w:val="72"/>
              </w:numPr>
            </w:pPr>
            <w:r w:rsidRPr="00237EFA">
              <w:t>la natura e la portata di:</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Puntoelenco"/>
              <w:ind w:hanging="322"/>
              <w:contextualSpacing w:val="0"/>
            </w:pPr>
            <w:r w:rsidRPr="00237EFA">
              <w:t>i diritti a usare determinate attività</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Puntoelenco"/>
              <w:ind w:hanging="322"/>
              <w:contextualSpacing w:val="0"/>
            </w:pPr>
            <w:r w:rsidRPr="00237EFA">
              <w:t>le obbligazioni contratte per la fornitura o i diritti di richiesta di fornitura di servizi</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Puntoelenco"/>
              <w:ind w:hanging="322"/>
              <w:contextualSpacing w:val="0"/>
            </w:pPr>
            <w:r w:rsidRPr="00237EFA">
              <w:t>le obbligazioni ad acquisire o costruire elementi di immobili, impianti e macchinari</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Puntoelenco"/>
              <w:ind w:hanging="322"/>
              <w:contextualSpacing w:val="0"/>
            </w:pPr>
            <w:r w:rsidRPr="00237EFA">
              <w:t>le obbligazioni a consegnare o i diritti a ricevere determinate attività a conclusione del periodo di concessione</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Puntoelenco"/>
              <w:ind w:hanging="322"/>
              <w:contextualSpacing w:val="0"/>
            </w:pPr>
            <w:r w:rsidRPr="00237EFA">
              <w:t>le opzioni di rinnovo e di chiusura anticipata dell’accordo</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A0F36"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Puntoelenco"/>
              <w:ind w:hanging="322"/>
              <w:contextualSpacing w:val="0"/>
            </w:pPr>
            <w:r w:rsidRPr="00237EFA">
              <w:t>altri diritti e obbligazioni</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Rientroa"/>
              <w:numPr>
                <w:ilvl w:val="0"/>
                <w:numId w:val="72"/>
              </w:numPr>
            </w:pPr>
            <w:r w:rsidRPr="00237EFA">
              <w:t>i cambiamenti dell’accordo avvenuti nel corso del periodo</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Rientroa"/>
              <w:numPr>
                <w:ilvl w:val="0"/>
                <w:numId w:val="72"/>
              </w:numPr>
            </w:pPr>
            <w:r w:rsidRPr="00237EFA">
              <w:t>come è stato classificato l’accordo per servizi di concessione; e</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Rientroa"/>
              <w:pageBreakBefore/>
              <w:numPr>
                <w:ilvl w:val="0"/>
                <w:numId w:val="72"/>
              </w:numPr>
              <w:ind w:left="391" w:hanging="357"/>
            </w:pPr>
            <w:r w:rsidRPr="00237EFA">
              <w:t>l’importo dei ricavi degli utili e delle perdite rilevati nel periodo derivanti dallo scambio di servizi di costruzione per un’attività finanziaria o in un’attività immateriale.</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A0F36" w:rsidTr="00F235B5">
        <w:trPr>
          <w:cantSplit/>
        </w:trPr>
        <w:tc>
          <w:tcPr>
            <w:tcW w:w="567" w:type="dxa"/>
            <w:shd w:val="clear" w:color="auto" w:fill="auto"/>
            <w:tcMar>
              <w:left w:w="108" w:type="dxa"/>
              <w:right w:w="0" w:type="dxa"/>
            </w:tcMar>
            <w:vAlign w:val="center"/>
          </w:tcPr>
          <w:p w:rsidR="00A75E60" w:rsidRPr="00237EFA" w:rsidRDefault="00A75E60" w:rsidP="00A75E60">
            <w:pPr>
              <w:pStyle w:val="IAS"/>
              <w:spacing w:after="40" w:line="226" w:lineRule="exact"/>
              <w:jc w:val="left"/>
              <w:rPr>
                <w:lang w:val="it-IT"/>
              </w:rPr>
            </w:pPr>
          </w:p>
        </w:tc>
        <w:tc>
          <w:tcPr>
            <w:tcW w:w="851" w:type="dxa"/>
            <w:shd w:val="clear" w:color="auto" w:fill="auto"/>
            <w:tcMar>
              <w:left w:w="108" w:type="dxa"/>
              <w:right w:w="0" w:type="dxa"/>
            </w:tcMar>
            <w:vAlign w:val="center"/>
          </w:tcPr>
          <w:p w:rsidR="00A75E60" w:rsidRPr="00237EFA" w:rsidRDefault="00A75E60" w:rsidP="00A75E60">
            <w:pPr>
              <w:pStyle w:val="IAS"/>
              <w:spacing w:after="40" w:line="226" w:lineRule="exact"/>
              <w:jc w:val="left"/>
              <w:rPr>
                <w:lang w:val="it-IT"/>
              </w:rPr>
            </w:pPr>
          </w:p>
        </w:tc>
        <w:tc>
          <w:tcPr>
            <w:tcW w:w="7079" w:type="dxa"/>
            <w:shd w:val="clear" w:color="auto" w:fill="auto"/>
            <w:tcMar>
              <w:left w:w="108" w:type="dxa"/>
            </w:tcMar>
            <w:vAlign w:val="center"/>
          </w:tcPr>
          <w:p w:rsidR="00A75E60" w:rsidRPr="00237EFA" w:rsidRDefault="00A75E60" w:rsidP="00A75E60">
            <w:pPr>
              <w:pStyle w:val="Titolo1"/>
              <w:keepNext w:val="0"/>
              <w:spacing w:before="40" w:after="40" w:line="226" w:lineRule="exact"/>
            </w:pPr>
            <w:r w:rsidRPr="00237EFA">
              <w:t>Pagamenti basati su azioni</w:t>
            </w:r>
          </w:p>
        </w:tc>
        <w:tc>
          <w:tcPr>
            <w:tcW w:w="575" w:type="dxa"/>
            <w:shd w:val="clear" w:color="auto" w:fill="auto"/>
            <w:tcMar>
              <w:left w:w="85" w:type="dxa"/>
              <w:right w:w="85" w:type="dxa"/>
            </w:tcMar>
            <w:vAlign w:val="center"/>
          </w:tcPr>
          <w:p w:rsidR="00A75E60" w:rsidRDefault="00A75E60" w:rsidP="00A75E60">
            <w:pPr>
              <w:spacing w:before="40" w:after="40" w:line="226" w:lineRule="exact"/>
              <w:jc w:val="left"/>
            </w:pPr>
          </w:p>
        </w:tc>
        <w:tc>
          <w:tcPr>
            <w:tcW w:w="567" w:type="dxa"/>
            <w:shd w:val="clear" w:color="auto" w:fill="auto"/>
            <w:tcMar>
              <w:left w:w="108" w:type="dxa"/>
            </w:tcMar>
            <w:vAlign w:val="center"/>
          </w:tcPr>
          <w:p w:rsidR="00A75E60" w:rsidRDefault="00A75E60" w:rsidP="00A75E60">
            <w:pPr>
              <w:spacing w:before="40" w:after="40" w:line="226" w:lineRule="exact"/>
              <w:jc w:val="left"/>
            </w:pPr>
          </w:p>
        </w:tc>
        <w:tc>
          <w:tcPr>
            <w:tcW w:w="567" w:type="dxa"/>
            <w:shd w:val="clear" w:color="auto" w:fill="auto"/>
            <w:vAlign w:val="center"/>
          </w:tcPr>
          <w:p w:rsidR="00A75E60" w:rsidRDefault="00A75E60" w:rsidP="00A75E60">
            <w:pPr>
              <w:spacing w:before="40" w:after="40" w:line="226" w:lineRule="exact"/>
              <w:jc w:val="left"/>
            </w:pPr>
          </w:p>
        </w:tc>
      </w:tr>
      <w:tr w:rsidR="00A75E60" w:rsidRPr="008129DA" w:rsidTr="00F235B5">
        <w:trPr>
          <w:cantSplit/>
        </w:trPr>
        <w:tc>
          <w:tcPr>
            <w:tcW w:w="567" w:type="dxa"/>
            <w:shd w:val="clear" w:color="auto" w:fill="auto"/>
            <w:tcMar>
              <w:left w:w="108" w:type="dxa"/>
              <w:right w:w="0" w:type="dxa"/>
            </w:tcMar>
          </w:tcPr>
          <w:p w:rsidR="00A75E60" w:rsidRPr="00237EFA" w:rsidRDefault="00A75E60" w:rsidP="00A75E60">
            <w:pPr>
              <w:pStyle w:val="Numeroelenco"/>
              <w:ind w:left="0" w:firstLine="57"/>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r w:rsidRPr="00237EFA">
              <w:rPr>
                <w:lang w:val="it-IT"/>
              </w:rPr>
              <w:t>IFRS 2.45</w:t>
            </w:r>
          </w:p>
        </w:tc>
        <w:tc>
          <w:tcPr>
            <w:tcW w:w="7079" w:type="dxa"/>
            <w:shd w:val="clear" w:color="auto" w:fill="auto"/>
            <w:tcMar>
              <w:left w:w="108" w:type="dxa"/>
            </w:tcMar>
          </w:tcPr>
          <w:p w:rsidR="00A75E60" w:rsidRPr="00237EFA" w:rsidRDefault="00A75E60" w:rsidP="00A75E60">
            <w:pPr>
              <w:spacing w:line="214" w:lineRule="exact"/>
              <w:rPr>
                <w:lang w:val="it-IT"/>
              </w:rPr>
            </w:pPr>
            <w:r w:rsidRPr="00237EFA">
              <w:rPr>
                <w:lang w:val="it-IT"/>
              </w:rPr>
              <w:t xml:space="preserve">Un’entità con accordi per pagamenti basati su azioni sostanzialmente simili può presentare le informazioni richieste nell’IFRS 2.45 a) su base aggregata, a meno che una informativa separata sia necessaria per consentire agli utilizzatori dei bilanci di comprendere la natura e l’estensione degli accordi per pagamenti basati su azioni che erano in essere durante il periodo. </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A44ECD" w:rsidTr="00F235B5">
        <w:trPr>
          <w:cantSplit/>
        </w:trPr>
        <w:tc>
          <w:tcPr>
            <w:tcW w:w="567" w:type="dxa"/>
            <w:shd w:val="clear" w:color="auto" w:fill="auto"/>
            <w:tcMar>
              <w:left w:w="108" w:type="dxa"/>
              <w:right w:w="0" w:type="dxa"/>
            </w:tcMar>
          </w:tcPr>
          <w:p w:rsidR="00A75E60" w:rsidRPr="00237EFA" w:rsidRDefault="00A75E60" w:rsidP="00A75E60">
            <w:pPr>
              <w:pStyle w:val="Numeroelenco"/>
              <w:ind w:left="0" w:firstLine="57"/>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r w:rsidRPr="00237EFA">
              <w:rPr>
                <w:lang w:val="it-IT"/>
              </w:rPr>
              <w:t>IFRS 2.44</w:t>
            </w:r>
          </w:p>
          <w:p w:rsidR="00A75E60" w:rsidRPr="00237EFA" w:rsidRDefault="00A75E60" w:rsidP="00A75E60">
            <w:pPr>
              <w:pStyle w:val="IAS"/>
              <w:rPr>
                <w:lang w:val="it-IT"/>
              </w:rPr>
            </w:pPr>
            <w:r w:rsidRPr="00237EFA">
              <w:rPr>
                <w:lang w:val="it-IT"/>
              </w:rPr>
              <w:t>IFRS 2.45</w:t>
            </w:r>
          </w:p>
        </w:tc>
        <w:tc>
          <w:tcPr>
            <w:tcW w:w="7079" w:type="dxa"/>
            <w:shd w:val="clear" w:color="auto" w:fill="auto"/>
            <w:tcMar>
              <w:left w:w="108" w:type="dxa"/>
            </w:tcMar>
          </w:tcPr>
          <w:p w:rsidR="00A75E60" w:rsidRPr="00237EFA" w:rsidRDefault="00A75E60" w:rsidP="00A75E60">
            <w:pPr>
              <w:spacing w:line="214" w:lineRule="exact"/>
              <w:rPr>
                <w:lang w:val="it-IT"/>
              </w:rPr>
            </w:pPr>
            <w:r w:rsidRPr="00237EFA">
              <w:rPr>
                <w:lang w:val="it-IT"/>
              </w:rPr>
              <w:t>L’entità ha fornito le informazioni tali da consentire agli utilizzatori del bilancio di comprendere la natura e l’estensione degli accordi di pagamento basati su azioni, indicando almeno i seguenti punti:</w:t>
            </w:r>
          </w:p>
        </w:tc>
        <w:tc>
          <w:tcPr>
            <w:tcW w:w="575" w:type="dxa"/>
            <w:shd w:val="clear" w:color="auto" w:fill="auto"/>
            <w:tcMar>
              <w:left w:w="85" w:type="dxa"/>
              <w:right w:w="85" w:type="dxa"/>
            </w:tcMar>
            <w:vAlign w:val="center"/>
          </w:tcPr>
          <w:p w:rsidR="00A75E60" w:rsidRPr="00090BE7" w:rsidRDefault="00A75E60" w:rsidP="00A75E60">
            <w:pPr>
              <w:spacing w:line="224" w:lineRule="exact"/>
              <w:jc w:val="center"/>
              <w:rPr>
                <w:lang w:val="it-IT"/>
              </w:rPr>
            </w:pPr>
          </w:p>
        </w:tc>
        <w:tc>
          <w:tcPr>
            <w:tcW w:w="567" w:type="dxa"/>
            <w:shd w:val="clear" w:color="auto" w:fill="auto"/>
            <w:tcMar>
              <w:left w:w="108" w:type="dxa"/>
            </w:tcMar>
            <w:vAlign w:val="center"/>
          </w:tcPr>
          <w:p w:rsidR="00A75E60" w:rsidRPr="00090BE7" w:rsidRDefault="00A75E60" w:rsidP="00A75E60">
            <w:pPr>
              <w:spacing w:line="224" w:lineRule="exact"/>
              <w:jc w:val="center"/>
              <w:rPr>
                <w:lang w:val="it-IT"/>
              </w:rPr>
            </w:pPr>
          </w:p>
        </w:tc>
        <w:tc>
          <w:tcPr>
            <w:tcW w:w="567" w:type="dxa"/>
            <w:shd w:val="clear" w:color="auto" w:fill="auto"/>
            <w:vAlign w:val="center"/>
          </w:tcPr>
          <w:p w:rsidR="00A75E60" w:rsidRPr="00090BE7" w:rsidRDefault="00A75E60" w:rsidP="00A75E60">
            <w:pPr>
              <w:spacing w:line="224" w:lineRule="exact"/>
              <w:jc w:val="center"/>
              <w:rPr>
                <w:lang w:val="it-IT"/>
              </w:rPr>
            </w:pPr>
          </w:p>
        </w:tc>
      </w:tr>
      <w:tr w:rsidR="00A75E60" w:rsidRPr="008129DA"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Rientroa"/>
              <w:numPr>
                <w:ilvl w:val="0"/>
                <w:numId w:val="156"/>
              </w:numPr>
              <w:spacing w:line="214" w:lineRule="exact"/>
              <w:ind w:left="391" w:hanging="357"/>
            </w:pPr>
            <w:r w:rsidRPr="00237EFA">
              <w:t xml:space="preserve">una descrizione di ogni tipo di accordo di pagamento basato su azioni in essere alla fine dell’esercizio o che è esistito nel corso dell’esercizio, inclusi i termini generali e le condizioni, come: </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A0F36"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Puntoelenco"/>
            </w:pPr>
            <w:r w:rsidRPr="00237EFA">
              <w:t>le condizioni di maturazione</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Puntoelenco"/>
            </w:pPr>
            <w:r w:rsidRPr="00237EFA">
              <w:t>il termine massimo delle opzioni assegnate; e</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2140C" w:rsidRDefault="00A75E60" w:rsidP="00A75E60">
            <w:pPr>
              <w:pStyle w:val="Puntoelenco"/>
            </w:pPr>
            <w:r w:rsidRPr="00237EFA">
              <w:t>il metodo di regolamento (es. per cassa o in strumenti rappresentativi di capitale)</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pageBreakBefore/>
              <w:rPr>
                <w:lang w:val="it-IT"/>
              </w:rPr>
            </w:pPr>
          </w:p>
        </w:tc>
        <w:tc>
          <w:tcPr>
            <w:tcW w:w="7079" w:type="dxa"/>
            <w:shd w:val="clear" w:color="auto" w:fill="auto"/>
            <w:tcMar>
              <w:left w:w="108" w:type="dxa"/>
            </w:tcMar>
          </w:tcPr>
          <w:p w:rsidR="00A75E60" w:rsidRPr="00237EFA" w:rsidRDefault="00A75E60" w:rsidP="00A75E60">
            <w:pPr>
              <w:pStyle w:val="Rientroa"/>
              <w:numPr>
                <w:ilvl w:val="0"/>
                <w:numId w:val="72"/>
              </w:numPr>
              <w:ind w:left="391" w:hanging="357"/>
            </w:pPr>
            <w:r w:rsidRPr="00237EFA">
              <w:t>il numero e i prezzi medi ponderati d’esercizio delle opzioni su azioni per ciascuno dei seguenti gruppi di opzioni:</w:t>
            </w:r>
          </w:p>
        </w:tc>
        <w:tc>
          <w:tcPr>
            <w:tcW w:w="575" w:type="dxa"/>
            <w:shd w:val="clear" w:color="auto" w:fill="auto"/>
            <w:tcMar>
              <w:left w:w="85" w:type="dxa"/>
              <w:right w:w="85" w:type="dxa"/>
            </w:tcMar>
            <w:vAlign w:val="center"/>
          </w:tcPr>
          <w:p w:rsidR="00A75E60" w:rsidRPr="00A32A16" w:rsidRDefault="00A75E60" w:rsidP="00A75E60">
            <w:pPr>
              <w:pageBreakBefore/>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pageBreakBefore/>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pageBreakBefore/>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A0F36"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Puntoelenco"/>
              <w:spacing w:line="224" w:lineRule="exact"/>
              <w:ind w:hanging="322"/>
            </w:pPr>
            <w:r w:rsidRPr="00237EFA">
              <w:t>in circolazione all’inizio dell’esercizio</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A0F36"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Puntoelenco"/>
              <w:spacing w:line="224" w:lineRule="exact"/>
              <w:ind w:hanging="322"/>
            </w:pPr>
            <w:r w:rsidRPr="00237EFA">
              <w:t>assegnate durante l’esercizio</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A0F36"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Puntoelenco"/>
              <w:spacing w:line="224" w:lineRule="exact"/>
              <w:ind w:hanging="322"/>
            </w:pPr>
            <w:r w:rsidRPr="00237EFA">
              <w:t>annullate durante l’esercizio</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A0F36"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Puntoelenco"/>
              <w:spacing w:line="224" w:lineRule="exact"/>
              <w:ind w:hanging="322"/>
            </w:pPr>
            <w:r w:rsidRPr="00237EFA">
              <w:t>esercitate durante l’esercizio</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A0F36"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Puntoelenco"/>
              <w:spacing w:line="224" w:lineRule="exact"/>
              <w:ind w:hanging="322"/>
            </w:pPr>
            <w:r w:rsidRPr="00237EFA">
              <w:t>scadute durante l’esercizio</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Puntoelenco"/>
              <w:spacing w:line="224" w:lineRule="exact"/>
              <w:ind w:hanging="322"/>
            </w:pPr>
            <w:r w:rsidRPr="00237EFA">
              <w:t>in circolazione alla fine dell’esercizio; e</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A0F36"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Puntoelenco"/>
              <w:spacing w:line="224" w:lineRule="exact"/>
              <w:ind w:hanging="322"/>
            </w:pPr>
            <w:r w:rsidRPr="00237EFA">
              <w:t>esercitabili alla fine dell’esercizio</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Rientroa"/>
              <w:numPr>
                <w:ilvl w:val="0"/>
                <w:numId w:val="72"/>
              </w:numPr>
              <w:ind w:left="391" w:hanging="357"/>
            </w:pPr>
            <w:r w:rsidRPr="00237EFA">
              <w:t>per le opzioni su azioni esercitate durante l’esercizio il prezzo medio ponderato delle azioni alla data dell’esercizio. Qualora le azioni fossero state esercitate su base regolare durante l’esercizio, l’entità può invece indicare il prezzo medio ponderato delle azioni durante l’esercizio; e</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C15B75">
            <w:pPr>
              <w:pStyle w:val="Rientroa"/>
              <w:numPr>
                <w:ilvl w:val="0"/>
                <w:numId w:val="72"/>
              </w:numPr>
              <w:ind w:left="389"/>
            </w:pPr>
            <w:r w:rsidRPr="00237EFA">
              <w:t>per le opzioni su azioni in essere alla fine dell’esercizio l’entità ha indicato le seguenti informazioni:</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Puntoelenco"/>
              <w:spacing w:line="224" w:lineRule="exact"/>
              <w:ind w:hanging="322"/>
            </w:pPr>
            <w:r w:rsidRPr="00237EFA">
              <w:t>l’intervallo dei valori dei prezzi di esercizio; e</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Puntoelenco"/>
              <w:spacing w:line="224" w:lineRule="exact"/>
              <w:ind w:hanging="322"/>
            </w:pPr>
            <w:r w:rsidRPr="00237EFA">
              <w:t>la media ponderata della residua vita contrattuale delle opzioni.</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A44ECD" w:rsidTr="00F235B5">
        <w:trPr>
          <w:cantSplit/>
        </w:trPr>
        <w:tc>
          <w:tcPr>
            <w:tcW w:w="567" w:type="dxa"/>
            <w:shd w:val="clear" w:color="auto" w:fill="auto"/>
            <w:tcMar>
              <w:left w:w="108" w:type="dxa"/>
              <w:right w:w="0" w:type="dxa"/>
            </w:tcMar>
          </w:tcPr>
          <w:p w:rsidR="00A75E60" w:rsidRDefault="00A75E60" w:rsidP="00A75E60">
            <w:pPr>
              <w:pStyle w:val="IAS"/>
              <w:spacing w:beforeLines="40" w:before="96" w:after="40"/>
              <w:rPr>
                <w:lang w:val="it-IT"/>
              </w:rPr>
            </w:pPr>
          </w:p>
        </w:tc>
        <w:tc>
          <w:tcPr>
            <w:tcW w:w="851" w:type="dxa"/>
            <w:shd w:val="clear" w:color="auto" w:fill="auto"/>
            <w:tcMar>
              <w:left w:w="108" w:type="dxa"/>
              <w:right w:w="0" w:type="dxa"/>
            </w:tcMar>
          </w:tcPr>
          <w:p w:rsidR="00A75E60" w:rsidRDefault="00A75E60" w:rsidP="00A75E60">
            <w:pPr>
              <w:pStyle w:val="IAS"/>
              <w:spacing w:beforeLines="40" w:before="96" w:after="40"/>
              <w:rPr>
                <w:lang w:val="it-IT"/>
              </w:rPr>
            </w:pPr>
            <w:r w:rsidRPr="00237EFA">
              <w:rPr>
                <w:lang w:val="it-IT"/>
              </w:rPr>
              <w:t>IFRS 2.45</w:t>
            </w:r>
          </w:p>
        </w:tc>
        <w:tc>
          <w:tcPr>
            <w:tcW w:w="7079" w:type="dxa"/>
            <w:shd w:val="clear" w:color="auto" w:fill="auto"/>
            <w:tcMar>
              <w:left w:w="108" w:type="dxa"/>
            </w:tcMar>
          </w:tcPr>
          <w:p w:rsidR="00A75E60" w:rsidRDefault="00A75E60" w:rsidP="00C15B75">
            <w:pPr>
              <w:pStyle w:val="Paragarfobordato"/>
            </w:pPr>
            <w:r w:rsidRPr="00237EFA">
              <w:t>Laddove l’intervallo del prezzo di esercizio sia ampio, le opzioni in essere saranno divise in intervalli che siano significativi per valutare la quantità e le tempistiche delle eventuali ulteriori emissioni di azioni e la somma che può essere incassata all’atto dell’esercizio di quelle opzioni</w:t>
            </w:r>
          </w:p>
        </w:tc>
        <w:tc>
          <w:tcPr>
            <w:tcW w:w="575" w:type="dxa"/>
            <w:shd w:val="clear" w:color="auto" w:fill="auto"/>
            <w:tcMar>
              <w:left w:w="85" w:type="dxa"/>
              <w:right w:w="85" w:type="dxa"/>
            </w:tcMar>
            <w:vAlign w:val="center"/>
          </w:tcPr>
          <w:p w:rsidR="00A75E60" w:rsidRDefault="00A75E60" w:rsidP="00A75E60">
            <w:pPr>
              <w:spacing w:beforeLines="40" w:before="96" w:after="40" w:line="224" w:lineRule="exact"/>
              <w:jc w:val="center"/>
              <w:rPr>
                <w:lang w:val="it-IT"/>
              </w:rPr>
            </w:pPr>
          </w:p>
        </w:tc>
        <w:tc>
          <w:tcPr>
            <w:tcW w:w="567" w:type="dxa"/>
            <w:shd w:val="clear" w:color="auto" w:fill="auto"/>
            <w:tcMar>
              <w:left w:w="108" w:type="dxa"/>
            </w:tcMar>
            <w:vAlign w:val="center"/>
          </w:tcPr>
          <w:p w:rsidR="00A75E60" w:rsidRDefault="00A75E60" w:rsidP="00A75E60">
            <w:pPr>
              <w:spacing w:beforeLines="40" w:before="96" w:after="40" w:line="224" w:lineRule="exact"/>
              <w:jc w:val="center"/>
              <w:rPr>
                <w:lang w:val="it-IT"/>
              </w:rPr>
            </w:pPr>
          </w:p>
        </w:tc>
        <w:tc>
          <w:tcPr>
            <w:tcW w:w="567" w:type="dxa"/>
            <w:shd w:val="clear" w:color="auto" w:fill="auto"/>
            <w:vAlign w:val="center"/>
          </w:tcPr>
          <w:p w:rsidR="00A75E60" w:rsidRDefault="00A75E60" w:rsidP="00A75E60">
            <w:pPr>
              <w:spacing w:beforeLines="40" w:before="96" w:after="40" w:line="224" w:lineRule="exact"/>
              <w:jc w:val="center"/>
              <w:rPr>
                <w:lang w:val="it-IT"/>
              </w:rPr>
            </w:pPr>
          </w:p>
        </w:tc>
      </w:tr>
      <w:tr w:rsidR="00A75E60" w:rsidRPr="008129DA" w:rsidTr="00F235B5">
        <w:trPr>
          <w:cantSplit/>
        </w:trPr>
        <w:tc>
          <w:tcPr>
            <w:tcW w:w="567" w:type="dxa"/>
            <w:shd w:val="clear" w:color="auto" w:fill="auto"/>
            <w:tcMar>
              <w:left w:w="108" w:type="dxa"/>
              <w:right w:w="0" w:type="dxa"/>
            </w:tcMar>
          </w:tcPr>
          <w:p w:rsidR="00A75E60" w:rsidRPr="00237EFA" w:rsidRDefault="00A75E60" w:rsidP="00A75E60">
            <w:pPr>
              <w:pStyle w:val="Numeroelenco"/>
              <w:ind w:left="0" w:firstLine="57"/>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r w:rsidRPr="00237EFA">
              <w:rPr>
                <w:lang w:val="it-IT"/>
              </w:rPr>
              <w:t>IFRS 2.46</w:t>
            </w:r>
          </w:p>
          <w:p w:rsidR="00A75E60" w:rsidRPr="00237EFA" w:rsidRDefault="00A75E60" w:rsidP="00A75E60">
            <w:pPr>
              <w:pStyle w:val="IAS"/>
              <w:rPr>
                <w:lang w:val="it-IT"/>
              </w:rPr>
            </w:pPr>
            <w:r w:rsidRPr="00237EFA">
              <w:rPr>
                <w:lang w:val="it-IT"/>
              </w:rPr>
              <w:t>IFRS 2.47</w:t>
            </w:r>
          </w:p>
        </w:tc>
        <w:tc>
          <w:tcPr>
            <w:tcW w:w="7079" w:type="dxa"/>
            <w:shd w:val="clear" w:color="auto" w:fill="auto"/>
            <w:tcMar>
              <w:left w:w="108" w:type="dxa"/>
            </w:tcMar>
          </w:tcPr>
          <w:p w:rsidR="00A75E60" w:rsidRPr="00237EFA" w:rsidRDefault="00A75E60" w:rsidP="00C15B75">
            <w:pPr>
              <w:spacing w:line="214" w:lineRule="exact"/>
              <w:rPr>
                <w:lang w:val="it-IT"/>
              </w:rPr>
            </w:pPr>
            <w:r w:rsidRPr="00237EFA">
              <w:rPr>
                <w:lang w:val="it-IT"/>
              </w:rPr>
              <w:t xml:space="preserve">Se l’entità ha valutato il </w:t>
            </w:r>
            <w:r w:rsidRPr="00237EFA">
              <w:rPr>
                <w:i/>
                <w:lang w:val="it-IT"/>
              </w:rPr>
              <w:t>fair value</w:t>
            </w:r>
            <w:r w:rsidRPr="00237EFA">
              <w:rPr>
                <w:lang w:val="it-IT"/>
              </w:rPr>
              <w:t xml:space="preserve"> dei beni o servizi ricevuti come corrispettivo degli strumenti rappresentativi di capitale della entità indirettamente, facendo riferimento al </w:t>
            </w:r>
            <w:r w:rsidRPr="00237EFA">
              <w:rPr>
                <w:i/>
                <w:lang w:val="it-IT"/>
              </w:rPr>
              <w:t>fair value</w:t>
            </w:r>
            <w:r w:rsidRPr="00237EFA">
              <w:rPr>
                <w:lang w:val="it-IT"/>
              </w:rPr>
              <w:t xml:space="preserve"> degli strumenti rappresentativi di capitale assegnati, l’entità ha fornito almeno le seguenti informazioni tali da consentire agli utilizzatori del bilancio di comprendere le modalità di valutazione degli strumenti rappresentativi di capitale assegnati, durante l’esercizio:</w:t>
            </w:r>
          </w:p>
        </w:tc>
        <w:tc>
          <w:tcPr>
            <w:tcW w:w="575" w:type="dxa"/>
            <w:shd w:val="clear" w:color="auto" w:fill="auto"/>
            <w:tcMar>
              <w:left w:w="85" w:type="dxa"/>
              <w:right w:w="85" w:type="dxa"/>
            </w:tcMar>
            <w:vAlign w:val="center"/>
          </w:tcPr>
          <w:p w:rsidR="00A75E60" w:rsidRPr="00090BE7" w:rsidRDefault="00A75E60" w:rsidP="00A75E60">
            <w:pPr>
              <w:spacing w:line="224" w:lineRule="exact"/>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090BE7" w:rsidRDefault="00A75E60" w:rsidP="00A75E60">
            <w:pPr>
              <w:spacing w:line="224" w:lineRule="exact"/>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090BE7" w:rsidRDefault="00A75E60" w:rsidP="00A75E60">
            <w:pPr>
              <w:spacing w:line="224" w:lineRule="exact"/>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A44ECD"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C15B75">
            <w:pPr>
              <w:pStyle w:val="Rientroa"/>
              <w:numPr>
                <w:ilvl w:val="0"/>
                <w:numId w:val="157"/>
              </w:numPr>
              <w:spacing w:line="214" w:lineRule="exact"/>
              <w:ind w:left="389"/>
            </w:pPr>
            <w:r w:rsidRPr="00237EFA">
              <w:t xml:space="preserve">per le opzioni su azioni assegnate durante l’esercizio, il </w:t>
            </w:r>
            <w:r w:rsidRPr="00237EFA">
              <w:rPr>
                <w:i/>
              </w:rPr>
              <w:t>fair value</w:t>
            </w:r>
            <w:r w:rsidRPr="00237EFA">
              <w:t xml:space="preserve"> medio ponderato di tali opzioni alla data di valutazione e l’informazione di come il </w:t>
            </w:r>
            <w:r w:rsidRPr="00237EFA">
              <w:rPr>
                <w:i/>
              </w:rPr>
              <w:t>fair value</w:t>
            </w:r>
            <w:r w:rsidRPr="00237EFA">
              <w:t xml:space="preserve"> è stato valutato, incluso:</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p>
        </w:tc>
        <w:tc>
          <w:tcPr>
            <w:tcW w:w="567" w:type="dxa"/>
            <w:shd w:val="clear" w:color="auto" w:fill="auto"/>
            <w:tcMar>
              <w:left w:w="108" w:type="dxa"/>
            </w:tcMar>
            <w:vAlign w:val="center"/>
          </w:tcPr>
          <w:p w:rsidR="00A75E60" w:rsidRPr="00A32A16" w:rsidRDefault="00A75E60" w:rsidP="00A75E60">
            <w:pPr>
              <w:jc w:val="center"/>
              <w:rPr>
                <w:lang w:val="it-IT"/>
              </w:rPr>
            </w:pPr>
          </w:p>
        </w:tc>
        <w:tc>
          <w:tcPr>
            <w:tcW w:w="567" w:type="dxa"/>
            <w:shd w:val="clear" w:color="auto" w:fill="auto"/>
            <w:vAlign w:val="center"/>
          </w:tcPr>
          <w:p w:rsidR="00A75E60" w:rsidRPr="00A32A16" w:rsidRDefault="00A75E60" w:rsidP="00A75E60">
            <w:pPr>
              <w:jc w:val="center"/>
              <w:rPr>
                <w:lang w:val="it-IT"/>
              </w:rPr>
            </w:pPr>
          </w:p>
        </w:tc>
      </w:tr>
      <w:tr w:rsidR="00A75E60" w:rsidRPr="00A44ECD"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r w:rsidRPr="00237EFA">
              <w:rPr>
                <w:lang w:val="it-IT"/>
              </w:rPr>
              <w:t>IFRS 2.6A</w:t>
            </w:r>
          </w:p>
        </w:tc>
        <w:tc>
          <w:tcPr>
            <w:tcW w:w="7079" w:type="dxa"/>
            <w:shd w:val="clear" w:color="auto" w:fill="auto"/>
            <w:tcMar>
              <w:left w:w="108" w:type="dxa"/>
            </w:tcMar>
          </w:tcPr>
          <w:p w:rsidR="00A75E60" w:rsidRPr="00237EFA" w:rsidRDefault="00A75E60" w:rsidP="00C15B75">
            <w:pPr>
              <w:pStyle w:val="Paragarfobordato"/>
            </w:pPr>
            <w:r w:rsidRPr="00237EFA">
              <w:t xml:space="preserve">Nell’applicare l’IFRS 2 il </w:t>
            </w:r>
            <w:r w:rsidRPr="00237EFA">
              <w:rPr>
                <w:i/>
              </w:rPr>
              <w:t xml:space="preserve">fair value </w:t>
            </w:r>
            <w:r w:rsidRPr="00237EFA">
              <w:t>è valutato in accordo con le disposizioni di questo principio e non dell’IFRS 13.</w:t>
            </w:r>
          </w:p>
        </w:tc>
        <w:tc>
          <w:tcPr>
            <w:tcW w:w="575" w:type="dxa"/>
            <w:shd w:val="clear" w:color="auto" w:fill="auto"/>
            <w:tcMar>
              <w:left w:w="85" w:type="dxa"/>
              <w:right w:w="85" w:type="dxa"/>
            </w:tcMar>
            <w:vAlign w:val="center"/>
          </w:tcPr>
          <w:p w:rsidR="00A75E60" w:rsidRPr="00090BE7" w:rsidRDefault="00A75E60" w:rsidP="00A75E60">
            <w:pPr>
              <w:spacing w:line="224" w:lineRule="exact"/>
              <w:jc w:val="center"/>
              <w:rPr>
                <w:lang w:val="it-IT"/>
              </w:rPr>
            </w:pPr>
          </w:p>
        </w:tc>
        <w:tc>
          <w:tcPr>
            <w:tcW w:w="567" w:type="dxa"/>
            <w:shd w:val="clear" w:color="auto" w:fill="auto"/>
            <w:tcMar>
              <w:left w:w="108" w:type="dxa"/>
            </w:tcMar>
            <w:vAlign w:val="center"/>
          </w:tcPr>
          <w:p w:rsidR="00A75E60" w:rsidRPr="00090BE7" w:rsidRDefault="00A75E60" w:rsidP="00A75E60">
            <w:pPr>
              <w:spacing w:line="224" w:lineRule="exact"/>
              <w:jc w:val="center"/>
              <w:rPr>
                <w:lang w:val="it-IT"/>
              </w:rPr>
            </w:pPr>
          </w:p>
        </w:tc>
        <w:tc>
          <w:tcPr>
            <w:tcW w:w="567" w:type="dxa"/>
            <w:shd w:val="clear" w:color="auto" w:fill="auto"/>
            <w:vAlign w:val="center"/>
          </w:tcPr>
          <w:p w:rsidR="00A75E60" w:rsidRPr="00090BE7" w:rsidRDefault="00A75E60" w:rsidP="00A75E60">
            <w:pPr>
              <w:spacing w:line="224" w:lineRule="exact"/>
              <w:jc w:val="center"/>
              <w:rPr>
                <w:lang w:val="it-IT"/>
              </w:rPr>
            </w:pPr>
          </w:p>
        </w:tc>
      </w:tr>
      <w:tr w:rsidR="00A75E60" w:rsidRPr="008129DA"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C15B75">
            <w:pPr>
              <w:pStyle w:val="Puntoelenco"/>
              <w:ind w:hanging="322"/>
              <w:rPr>
                <w:iCs/>
              </w:rPr>
            </w:pPr>
            <w:r w:rsidRPr="00237EFA">
              <w:t>il modello utilizzato per la determinazione del prezzo delle opzioni</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C15B75">
            <w:pPr>
              <w:pStyle w:val="Puntoelenco"/>
              <w:spacing w:line="214" w:lineRule="exact"/>
              <w:ind w:left="778" w:hanging="317"/>
            </w:pPr>
            <w:r w:rsidRPr="00237EFA">
              <w:t>i dati utilizzati nel modello, inclusi il prezzo medio ponderato delle azioni, il prezzo di esercizio, la volatilità attesa, la durata dell’opzione, i dividendi attesi, il tasso di interesse senza rischio e qualsiasi altro dato immesso nel modello, tra cui l’indicazione del metodo utilizzato e delle ipotesi formulate per incorporare gli effetti di un atteso esercizio anticipato</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C15B75">
            <w:pPr>
              <w:pStyle w:val="Puntoelenco"/>
              <w:spacing w:line="214" w:lineRule="exact"/>
              <w:ind w:hanging="322"/>
            </w:pPr>
            <w:r w:rsidRPr="00237EFA">
              <w:t>la modalità di determinazione della volatilità attesa, compresa una spiegazione della misura in cui la stima della volatilità attesa si sia basata sulla volatilità storica; e</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C15B75">
            <w:pPr>
              <w:pStyle w:val="Puntoelenco"/>
              <w:spacing w:line="214" w:lineRule="exact"/>
              <w:ind w:hanging="322"/>
            </w:pPr>
            <w:r w:rsidRPr="00237EFA">
              <w:t xml:space="preserve">se e con quale modalità qualsiasi altra caratteristica dell’assegnazione di opzioni è stata incorporata nella valutazione del </w:t>
            </w:r>
            <w:r w:rsidRPr="00237EFA">
              <w:rPr>
                <w:i/>
              </w:rPr>
              <w:t>fair value</w:t>
            </w:r>
            <w:r w:rsidRPr="00237EFA">
              <w:t xml:space="preserve"> come nel caso di condizioni di mercato</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C15B75">
            <w:pPr>
              <w:pStyle w:val="Rientroa"/>
              <w:numPr>
                <w:ilvl w:val="0"/>
                <w:numId w:val="72"/>
              </w:numPr>
              <w:spacing w:line="214" w:lineRule="exact"/>
            </w:pPr>
            <w:r w:rsidRPr="00237EFA">
              <w:t>per altri strumenti rappresentativi di capitale assegnati durante l’esercizio (es. diversi dalle opzioni su azioni):</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C15B75">
            <w:pPr>
              <w:pStyle w:val="Puntoelenco"/>
              <w:spacing w:line="214" w:lineRule="exact"/>
              <w:ind w:hanging="322"/>
            </w:pPr>
            <w:r w:rsidRPr="00237EFA">
              <w:t>il numero di strumenti rappresentativi di capitale alla data di valutazione</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C15B75">
            <w:pPr>
              <w:pStyle w:val="Puntoelenco"/>
              <w:spacing w:line="214" w:lineRule="exact"/>
              <w:ind w:hanging="322"/>
              <w:rPr>
                <w:iCs/>
              </w:rPr>
            </w:pPr>
            <w:r w:rsidRPr="00237EFA">
              <w:rPr>
                <w:iCs/>
              </w:rPr>
              <w:t xml:space="preserve">il </w:t>
            </w:r>
            <w:r w:rsidRPr="00237EFA">
              <w:rPr>
                <w:i/>
                <w:iCs/>
              </w:rPr>
              <w:t>fair value</w:t>
            </w:r>
            <w:r w:rsidRPr="00237EFA">
              <w:rPr>
                <w:iCs/>
              </w:rPr>
              <w:t xml:space="preserve"> medio ponderato di tali </w:t>
            </w:r>
            <w:r w:rsidRPr="00237EFA">
              <w:t>strumenti rappresentativi di capitale; e</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C15B75">
            <w:pPr>
              <w:pStyle w:val="Puntoelenco"/>
              <w:spacing w:line="214" w:lineRule="exact"/>
              <w:ind w:hanging="322"/>
            </w:pPr>
            <w:r w:rsidRPr="00237EFA">
              <w:t xml:space="preserve">informazioni su come il </w:t>
            </w:r>
            <w:r w:rsidRPr="00237EFA">
              <w:rPr>
                <w:i/>
              </w:rPr>
              <w:t>fair value</w:t>
            </w:r>
            <w:r w:rsidRPr="00237EFA">
              <w:t xml:space="preserve"> è stato calcolato alla data di valutazione, tra cui: come è stato determinato, nel caso non sia stato valutato sulla base di prezzi di mercato disponibili; se e con quale modalità i dividendi attesi sono stati incorporati e se e con quale modalità altre caratteristiche degli strumenti rappresentativi di capitale assegnati sono state incorporate nella valutazione</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C15B75">
            <w:pPr>
              <w:pStyle w:val="Rientroa"/>
              <w:numPr>
                <w:ilvl w:val="0"/>
                <w:numId w:val="72"/>
              </w:numPr>
              <w:spacing w:line="214" w:lineRule="exact"/>
              <w:ind w:left="389"/>
            </w:pPr>
            <w:r w:rsidRPr="00237EFA">
              <w:t>per gli accordi di pagamento basati su azioni che siano stati modificati durante l’esercizio:</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C15B75">
            <w:pPr>
              <w:pStyle w:val="Puntoelenco"/>
              <w:ind w:hanging="322"/>
            </w:pPr>
            <w:r w:rsidRPr="00237EFA">
              <w:t>una spiegazione di tali modifiche</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C15B75">
            <w:pPr>
              <w:pStyle w:val="Puntoelenco"/>
              <w:ind w:hanging="322"/>
            </w:pPr>
            <w:r w:rsidRPr="00237EFA">
              <w:t xml:space="preserve">il </w:t>
            </w:r>
            <w:r w:rsidRPr="00237EFA">
              <w:rPr>
                <w:i/>
              </w:rPr>
              <w:t>fair value</w:t>
            </w:r>
            <w:r w:rsidRPr="00237EFA">
              <w:t xml:space="preserve"> incrementale assegnato (come risultato di tali modifiche); e</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C15B75">
            <w:pPr>
              <w:pStyle w:val="Puntoelenco"/>
              <w:spacing w:line="214" w:lineRule="exact"/>
              <w:ind w:left="778" w:hanging="317"/>
            </w:pPr>
            <w:r w:rsidRPr="00237EFA">
              <w:t xml:space="preserve">informazioni sulle modalità di valutazione del </w:t>
            </w:r>
            <w:r w:rsidRPr="00237EFA">
              <w:rPr>
                <w:i/>
              </w:rPr>
              <w:t>fair value</w:t>
            </w:r>
            <w:r w:rsidRPr="00237EFA">
              <w:t xml:space="preserve"> incrementativo assegnato, coerentemente con le disposizioni definite ai punti a) e b) sopra, quando applicabile.</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237EFA" w:rsidRDefault="00A75E60" w:rsidP="00A75E60">
            <w:pPr>
              <w:pStyle w:val="Numeroelenco"/>
              <w:ind w:left="0" w:firstLine="57"/>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r w:rsidRPr="00237EFA">
              <w:rPr>
                <w:lang w:val="it-IT"/>
              </w:rPr>
              <w:t>IFRS 2.46</w:t>
            </w:r>
          </w:p>
          <w:p w:rsidR="00A75E60" w:rsidRPr="00237EFA" w:rsidRDefault="00A75E60" w:rsidP="00A75E60">
            <w:pPr>
              <w:pStyle w:val="IAS"/>
              <w:rPr>
                <w:lang w:val="it-IT"/>
              </w:rPr>
            </w:pPr>
            <w:r w:rsidRPr="00237EFA">
              <w:rPr>
                <w:lang w:val="it-IT"/>
              </w:rPr>
              <w:t>IFRS 2.48</w:t>
            </w:r>
          </w:p>
        </w:tc>
        <w:tc>
          <w:tcPr>
            <w:tcW w:w="7079" w:type="dxa"/>
            <w:shd w:val="clear" w:color="auto" w:fill="auto"/>
            <w:tcMar>
              <w:left w:w="108" w:type="dxa"/>
            </w:tcMar>
          </w:tcPr>
          <w:p w:rsidR="00A75E60" w:rsidRPr="00237EFA" w:rsidRDefault="00A75E60" w:rsidP="00C15B75">
            <w:pPr>
              <w:spacing w:line="214" w:lineRule="exact"/>
              <w:rPr>
                <w:spacing w:val="-2"/>
                <w:lang w:val="it-IT"/>
              </w:rPr>
            </w:pPr>
            <w:r w:rsidRPr="00237EFA">
              <w:rPr>
                <w:lang w:val="it-IT"/>
              </w:rPr>
              <w:t xml:space="preserve">Se l’entità ha valutato direttamente il </w:t>
            </w:r>
            <w:r w:rsidRPr="00237EFA">
              <w:rPr>
                <w:i/>
                <w:lang w:val="it-IT"/>
              </w:rPr>
              <w:t>fair value</w:t>
            </w:r>
            <w:r w:rsidRPr="00237EFA">
              <w:rPr>
                <w:lang w:val="it-IT"/>
              </w:rPr>
              <w:t xml:space="preserve"> dei beni o servizi ricevuti nell’esercizio, l’entità ha fornito un’informativa tale da consentire agli utilizzatori del bilancio di comprendere le modalità di valutazione del </w:t>
            </w:r>
            <w:r w:rsidRPr="00237EFA">
              <w:rPr>
                <w:i/>
                <w:lang w:val="it-IT"/>
              </w:rPr>
              <w:t>fair value</w:t>
            </w:r>
            <w:r w:rsidRPr="00237EFA">
              <w:rPr>
                <w:lang w:val="it-IT"/>
              </w:rPr>
              <w:t xml:space="preserve"> di tali beni o servizi (es. se è stato valutato in base a un prezzo di mercato di tali beni o servizi).</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A44ECD" w:rsidTr="00F235B5">
        <w:trPr>
          <w:cantSplit/>
          <w:trHeight w:val="683"/>
        </w:trPr>
        <w:tc>
          <w:tcPr>
            <w:tcW w:w="567" w:type="dxa"/>
            <w:shd w:val="clear" w:color="auto" w:fill="auto"/>
            <w:tcMar>
              <w:left w:w="108" w:type="dxa"/>
              <w:right w:w="0" w:type="dxa"/>
            </w:tcMar>
          </w:tcPr>
          <w:p w:rsidR="00A75E60" w:rsidRPr="00237EFA" w:rsidRDefault="00A75E60" w:rsidP="00A75E60">
            <w:pPr>
              <w:pStyle w:val="Numeroelenco"/>
              <w:ind w:left="0" w:firstLine="57"/>
              <w:rPr>
                <w:lang w:val="it-IT"/>
              </w:rPr>
            </w:pPr>
          </w:p>
        </w:tc>
        <w:tc>
          <w:tcPr>
            <w:tcW w:w="851" w:type="dxa"/>
            <w:shd w:val="clear" w:color="auto" w:fill="auto"/>
            <w:tcMar>
              <w:right w:w="0" w:type="dxa"/>
            </w:tcMar>
          </w:tcPr>
          <w:p w:rsidR="00A75E60" w:rsidRPr="00237EFA" w:rsidRDefault="00A75E60" w:rsidP="00A75E60">
            <w:pPr>
              <w:pStyle w:val="IAS"/>
              <w:rPr>
                <w:lang w:val="it-IT"/>
              </w:rPr>
            </w:pPr>
            <w:r w:rsidRPr="00237EFA">
              <w:rPr>
                <w:lang w:val="it-IT"/>
              </w:rPr>
              <w:t>IFRS 2.49</w:t>
            </w:r>
          </w:p>
        </w:tc>
        <w:tc>
          <w:tcPr>
            <w:tcW w:w="7079" w:type="dxa"/>
            <w:shd w:val="clear" w:color="auto" w:fill="auto"/>
          </w:tcPr>
          <w:p w:rsidR="00A75E60" w:rsidRPr="00237EFA" w:rsidRDefault="00A75E60" w:rsidP="00C15B75">
            <w:pPr>
              <w:spacing w:line="214" w:lineRule="exact"/>
              <w:rPr>
                <w:iCs/>
                <w:lang w:val="it-IT"/>
              </w:rPr>
            </w:pPr>
            <w:r w:rsidRPr="00237EFA">
              <w:rPr>
                <w:iCs/>
                <w:lang w:val="it-IT"/>
              </w:rPr>
              <w:t xml:space="preserve">Nel caso in cui le </w:t>
            </w:r>
            <w:r w:rsidRPr="00237EFA">
              <w:rPr>
                <w:lang w:val="it-IT"/>
              </w:rPr>
              <w:t>operazioni con pagamento basato su azioni regolate con strumenti rappresentativi di capitale coinvolgano soggetti diversi dai dipendenti e l’entità ritenga di non poter stimare attendibilmente il</w:t>
            </w:r>
            <w:r w:rsidRPr="00237EFA">
              <w:rPr>
                <w:iCs/>
                <w:lang w:val="it-IT"/>
              </w:rPr>
              <w:t xml:space="preserve"> </w:t>
            </w:r>
            <w:r w:rsidRPr="00237EFA">
              <w:rPr>
                <w:i/>
                <w:iCs/>
                <w:lang w:val="it-IT"/>
              </w:rPr>
              <w:t>fair value</w:t>
            </w:r>
            <w:r w:rsidRPr="00237EFA">
              <w:rPr>
                <w:iCs/>
                <w:lang w:val="it-IT"/>
              </w:rPr>
              <w:t xml:space="preserve"> dei beni o servizi ricevuti, la stessa deve:</w:t>
            </w:r>
          </w:p>
        </w:tc>
        <w:tc>
          <w:tcPr>
            <w:tcW w:w="575" w:type="dxa"/>
            <w:shd w:val="clear" w:color="auto" w:fill="auto"/>
            <w:tcMar>
              <w:left w:w="85" w:type="dxa"/>
              <w:right w:w="85" w:type="dxa"/>
            </w:tcMar>
            <w:vAlign w:val="center"/>
          </w:tcPr>
          <w:p w:rsidR="00A75E60" w:rsidRPr="00090BE7" w:rsidRDefault="00A75E60" w:rsidP="00A75E60">
            <w:pPr>
              <w:jc w:val="center"/>
              <w:rPr>
                <w:lang w:val="it-IT"/>
              </w:rPr>
            </w:pPr>
          </w:p>
        </w:tc>
        <w:tc>
          <w:tcPr>
            <w:tcW w:w="567" w:type="dxa"/>
            <w:shd w:val="clear" w:color="auto" w:fill="auto"/>
            <w:vAlign w:val="center"/>
          </w:tcPr>
          <w:p w:rsidR="00A75E60" w:rsidRPr="00090BE7" w:rsidRDefault="00A75E60" w:rsidP="00A75E60">
            <w:pPr>
              <w:jc w:val="center"/>
              <w:rPr>
                <w:lang w:val="it-IT"/>
              </w:rPr>
            </w:pPr>
          </w:p>
        </w:tc>
        <w:tc>
          <w:tcPr>
            <w:tcW w:w="567" w:type="dxa"/>
            <w:shd w:val="clear" w:color="auto" w:fill="auto"/>
            <w:vAlign w:val="center"/>
          </w:tcPr>
          <w:p w:rsidR="00A75E60" w:rsidRPr="00090BE7" w:rsidRDefault="00A75E60" w:rsidP="00A75E60">
            <w:pPr>
              <w:jc w:val="center"/>
              <w:rPr>
                <w:lang w:val="it-IT"/>
              </w:rPr>
            </w:pPr>
          </w:p>
        </w:tc>
      </w:tr>
      <w:tr w:rsidR="00A75E60" w:rsidRPr="008A0F36"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C15B75">
            <w:pPr>
              <w:pStyle w:val="Rientroa"/>
              <w:numPr>
                <w:ilvl w:val="0"/>
                <w:numId w:val="158"/>
              </w:numPr>
              <w:tabs>
                <w:tab w:val="center" w:pos="4536"/>
                <w:tab w:val="right" w:pos="9072"/>
              </w:tabs>
              <w:spacing w:line="214" w:lineRule="exact"/>
              <w:rPr>
                <w:iCs/>
              </w:rPr>
            </w:pPr>
            <w:r w:rsidRPr="00237EFA">
              <w:t>indicare tale fatto; e</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C15B75">
            <w:pPr>
              <w:pStyle w:val="Rientroa"/>
              <w:numPr>
                <w:ilvl w:val="0"/>
                <w:numId w:val="72"/>
              </w:numPr>
              <w:spacing w:line="214" w:lineRule="exact"/>
            </w:pPr>
            <w:r w:rsidRPr="00237EFA">
              <w:t xml:space="preserve">fornire la motivazione per cui la presunzione che il </w:t>
            </w:r>
            <w:r w:rsidRPr="00237EFA">
              <w:rPr>
                <w:i/>
              </w:rPr>
              <w:t>fair value</w:t>
            </w:r>
            <w:r w:rsidRPr="00237EFA">
              <w:t xml:space="preserve"> possa essere stimato è stata respinta.</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A44ECD" w:rsidTr="00F235B5">
        <w:trPr>
          <w:cantSplit/>
        </w:trPr>
        <w:tc>
          <w:tcPr>
            <w:tcW w:w="567" w:type="dxa"/>
            <w:shd w:val="clear" w:color="auto" w:fill="auto"/>
            <w:tcMar>
              <w:left w:w="108" w:type="dxa"/>
              <w:right w:w="0" w:type="dxa"/>
            </w:tcMar>
          </w:tcPr>
          <w:p w:rsidR="00A75E60" w:rsidRPr="00237EFA" w:rsidRDefault="00A75E60" w:rsidP="00A75E60">
            <w:pPr>
              <w:pStyle w:val="Numeroelenco"/>
              <w:ind w:left="0" w:firstLine="57"/>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r w:rsidRPr="00237EFA">
              <w:rPr>
                <w:lang w:val="it-IT"/>
              </w:rPr>
              <w:t>IFRS 2.50</w:t>
            </w:r>
          </w:p>
        </w:tc>
        <w:tc>
          <w:tcPr>
            <w:tcW w:w="7079" w:type="dxa"/>
            <w:shd w:val="clear" w:color="auto" w:fill="auto"/>
            <w:tcMar>
              <w:left w:w="108" w:type="dxa"/>
            </w:tcMar>
          </w:tcPr>
          <w:p w:rsidR="00A75E60" w:rsidRPr="00237EFA" w:rsidRDefault="00A75E60" w:rsidP="00C15B75">
            <w:pPr>
              <w:spacing w:line="214" w:lineRule="exact"/>
              <w:rPr>
                <w:lang w:val="it-IT"/>
              </w:rPr>
            </w:pPr>
            <w:r w:rsidRPr="00237EFA">
              <w:rPr>
                <w:lang w:val="it-IT"/>
              </w:rPr>
              <w:t>L’entità ha fornito un’informativa tale da consentire agli utilizzatori del bilancio di comprendere l’effetto delle operazioni con pagamento basato su azioni sul risultato economico e sulla situazione patrimoniale-finanziaria, fornendo le seguenti informazioni:</w:t>
            </w:r>
          </w:p>
        </w:tc>
        <w:tc>
          <w:tcPr>
            <w:tcW w:w="575" w:type="dxa"/>
            <w:shd w:val="clear" w:color="auto" w:fill="auto"/>
            <w:tcMar>
              <w:left w:w="85" w:type="dxa"/>
              <w:right w:w="85" w:type="dxa"/>
            </w:tcMar>
            <w:vAlign w:val="center"/>
          </w:tcPr>
          <w:p w:rsidR="00A75E60" w:rsidRPr="00090BE7" w:rsidRDefault="00A75E60" w:rsidP="00A75E60">
            <w:pPr>
              <w:jc w:val="center"/>
              <w:rPr>
                <w:lang w:val="it-IT"/>
              </w:rPr>
            </w:pPr>
          </w:p>
        </w:tc>
        <w:tc>
          <w:tcPr>
            <w:tcW w:w="567" w:type="dxa"/>
            <w:shd w:val="clear" w:color="auto" w:fill="auto"/>
            <w:tcMar>
              <w:left w:w="108" w:type="dxa"/>
            </w:tcMar>
            <w:vAlign w:val="center"/>
          </w:tcPr>
          <w:p w:rsidR="00A75E60" w:rsidRPr="00090BE7" w:rsidRDefault="00A75E60" w:rsidP="00A75E60">
            <w:pPr>
              <w:jc w:val="center"/>
              <w:rPr>
                <w:lang w:val="it-IT"/>
              </w:rPr>
            </w:pPr>
          </w:p>
        </w:tc>
        <w:tc>
          <w:tcPr>
            <w:tcW w:w="567" w:type="dxa"/>
            <w:shd w:val="clear" w:color="auto" w:fill="auto"/>
            <w:vAlign w:val="center"/>
          </w:tcPr>
          <w:p w:rsidR="00A75E60" w:rsidRPr="00090BE7" w:rsidRDefault="00A75E60" w:rsidP="00A75E60">
            <w:pPr>
              <w:jc w:val="center"/>
              <w:rPr>
                <w:lang w:val="it-IT"/>
              </w:rPr>
            </w:pPr>
          </w:p>
        </w:tc>
      </w:tr>
      <w:tr w:rsidR="00A75E60" w:rsidRPr="008129DA" w:rsidTr="00F235B5">
        <w:trPr>
          <w:cantSplit/>
        </w:trPr>
        <w:tc>
          <w:tcPr>
            <w:tcW w:w="567" w:type="dxa"/>
            <w:shd w:val="clear" w:color="auto" w:fill="auto"/>
            <w:tcMar>
              <w:left w:w="108" w:type="dxa"/>
              <w:right w:w="0" w:type="dxa"/>
            </w:tcMar>
          </w:tcPr>
          <w:p w:rsidR="00A75E60" w:rsidRPr="00237EFA" w:rsidRDefault="00A75E60" w:rsidP="00C15B75">
            <w:pPr>
              <w:pStyle w:val="IAS"/>
              <w:rPr>
                <w:lang w:val="it-IT"/>
              </w:rPr>
            </w:pPr>
          </w:p>
        </w:tc>
        <w:tc>
          <w:tcPr>
            <w:tcW w:w="851" w:type="dxa"/>
            <w:shd w:val="clear" w:color="auto" w:fill="auto"/>
            <w:tcMar>
              <w:left w:w="108" w:type="dxa"/>
              <w:right w:w="0" w:type="dxa"/>
            </w:tcMar>
          </w:tcPr>
          <w:p w:rsidR="00A75E60" w:rsidRPr="00237EFA" w:rsidRDefault="00A75E60" w:rsidP="00C15B75">
            <w:pPr>
              <w:pStyle w:val="IAS"/>
              <w:rPr>
                <w:lang w:val="it-IT"/>
              </w:rPr>
            </w:pPr>
            <w:r w:rsidRPr="00237EFA">
              <w:rPr>
                <w:lang w:val="it-IT"/>
              </w:rPr>
              <w:t>IFRS 2.51</w:t>
            </w:r>
          </w:p>
        </w:tc>
        <w:tc>
          <w:tcPr>
            <w:tcW w:w="7079" w:type="dxa"/>
            <w:shd w:val="clear" w:color="auto" w:fill="auto"/>
            <w:tcMar>
              <w:left w:w="108" w:type="dxa"/>
            </w:tcMar>
          </w:tcPr>
          <w:p w:rsidR="00A75E60" w:rsidRPr="00237EFA" w:rsidRDefault="00A75E60" w:rsidP="00C15B75">
            <w:pPr>
              <w:pStyle w:val="Rientroa"/>
              <w:numPr>
                <w:ilvl w:val="0"/>
                <w:numId w:val="159"/>
              </w:numPr>
              <w:tabs>
                <w:tab w:val="center" w:pos="4536"/>
                <w:tab w:val="right" w:pos="9072"/>
              </w:tabs>
              <w:spacing w:line="200" w:lineRule="exact"/>
              <w:ind w:left="389"/>
              <w:rPr>
                <w:iCs/>
              </w:rPr>
            </w:pPr>
            <w:r w:rsidRPr="00237EFA">
              <w:t>il costo totale rilevato nell’esercizio (derivante da operazioni con pagamento basato su azioni in cui i beni o servizi ricevuti non possedevano i requisiti per essere rilevati come attività, e che quindi sono stati rilevati immediatamente come costi), includendo un’indicazione separata di quella quota parte del costo totale derivante da operazioni contabilizzate come operazioni con pagamento basato su azioni regolate con strumenti rappresentativi di capitale; e</w:t>
            </w:r>
          </w:p>
        </w:tc>
        <w:tc>
          <w:tcPr>
            <w:tcW w:w="575" w:type="dxa"/>
            <w:shd w:val="clear" w:color="auto" w:fill="auto"/>
            <w:tcMar>
              <w:left w:w="85" w:type="dxa"/>
              <w:right w:w="85" w:type="dxa"/>
            </w:tcMar>
            <w:vAlign w:val="center"/>
          </w:tcPr>
          <w:p w:rsidR="00A75E60" w:rsidRPr="00A32A16" w:rsidRDefault="00A75E60" w:rsidP="00C15B75">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C15B75">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C15B75">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Rientroa"/>
              <w:numPr>
                <w:ilvl w:val="0"/>
                <w:numId w:val="72"/>
              </w:numPr>
              <w:spacing w:line="216" w:lineRule="exact"/>
            </w:pPr>
            <w:r w:rsidRPr="00237EFA">
              <w:t>per quanto concerne le passività derivanti da operazioni con pagamento basato su azioni:</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Puntoelenco"/>
              <w:spacing w:line="216" w:lineRule="exact"/>
              <w:ind w:hanging="322"/>
              <w:contextualSpacing w:val="0"/>
            </w:pPr>
            <w:r w:rsidRPr="00237EFA">
              <w:t>il valore contabile totale di fine esercizio; e</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237EFA"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Puntoelenco"/>
              <w:spacing w:line="216" w:lineRule="exact"/>
              <w:ind w:hanging="322"/>
              <w:contextualSpacing w:val="0"/>
            </w:pPr>
            <w:r w:rsidRPr="00237EFA">
              <w:t>il valore intrinseco totale di fine esercizio delle passività per le quali il diritto della controparte a ricevere denaro o altre attività sia maturato entro la fine dell’esercizio (per esempio, i diritti maturati per rivalutazione del valore delle azioni).</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237EFA" w:rsidRDefault="00A75E60" w:rsidP="00A75E60">
            <w:pPr>
              <w:pStyle w:val="Numeroelenco"/>
              <w:ind w:left="0" w:firstLine="57"/>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r w:rsidRPr="00237EFA">
              <w:rPr>
                <w:lang w:val="it-IT"/>
              </w:rPr>
              <w:t>IFRS 2.52</w:t>
            </w:r>
          </w:p>
        </w:tc>
        <w:tc>
          <w:tcPr>
            <w:tcW w:w="7079" w:type="dxa"/>
            <w:shd w:val="clear" w:color="auto" w:fill="auto"/>
            <w:tcMar>
              <w:left w:w="108" w:type="dxa"/>
            </w:tcMar>
          </w:tcPr>
          <w:p w:rsidR="00A75E60" w:rsidRPr="00237EFA" w:rsidRDefault="00A75E60" w:rsidP="00A75E60">
            <w:pPr>
              <w:rPr>
                <w:lang w:val="it-IT"/>
              </w:rPr>
            </w:pPr>
            <w:r w:rsidRPr="00237EFA">
              <w:rPr>
                <w:lang w:val="it-IT"/>
              </w:rPr>
              <w:t xml:space="preserve">L’entità ha fornito ulteriori informazioni necessarie per soddisfare le disposizioni dei paragrafi IFRS 2.44, IFRS 2.46 e IFRS 2.50 come richiesti dai punti </w:t>
            </w:r>
            <w:r>
              <w:rPr>
                <w:lang w:val="it-IT"/>
              </w:rPr>
              <w:t>393-397.</w:t>
            </w:r>
            <w:r w:rsidRPr="00237EFA">
              <w:rPr>
                <w:lang w:val="it-IT"/>
              </w:rPr>
              <w:t xml:space="preserve"> </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A0F36" w:rsidTr="00F235B5">
        <w:trPr>
          <w:cantSplit/>
          <w:trHeight w:val="262"/>
        </w:trPr>
        <w:tc>
          <w:tcPr>
            <w:tcW w:w="567" w:type="dxa"/>
            <w:shd w:val="clear" w:color="auto" w:fill="auto"/>
            <w:tcMar>
              <w:left w:w="108" w:type="dxa"/>
              <w:right w:w="0" w:type="dxa"/>
            </w:tcMar>
            <w:vAlign w:val="center"/>
          </w:tcPr>
          <w:p w:rsidR="00A75E60" w:rsidRPr="00237EFA" w:rsidRDefault="00A75E60" w:rsidP="00A75E60">
            <w:pPr>
              <w:pStyle w:val="IAS"/>
              <w:spacing w:after="40" w:line="220" w:lineRule="exact"/>
              <w:jc w:val="left"/>
              <w:rPr>
                <w:lang w:val="it-IT"/>
              </w:rPr>
            </w:pPr>
          </w:p>
        </w:tc>
        <w:tc>
          <w:tcPr>
            <w:tcW w:w="851" w:type="dxa"/>
            <w:shd w:val="clear" w:color="auto" w:fill="auto"/>
            <w:tcMar>
              <w:right w:w="0" w:type="dxa"/>
            </w:tcMar>
            <w:vAlign w:val="center"/>
          </w:tcPr>
          <w:p w:rsidR="00A75E60" w:rsidRPr="00237EFA" w:rsidRDefault="00A75E60" w:rsidP="00A75E60">
            <w:pPr>
              <w:pStyle w:val="IAS"/>
              <w:spacing w:after="40" w:line="220" w:lineRule="exact"/>
              <w:jc w:val="left"/>
              <w:rPr>
                <w:lang w:val="it-IT"/>
              </w:rPr>
            </w:pPr>
          </w:p>
        </w:tc>
        <w:tc>
          <w:tcPr>
            <w:tcW w:w="7079" w:type="dxa"/>
            <w:shd w:val="clear" w:color="auto" w:fill="auto"/>
            <w:vAlign w:val="center"/>
          </w:tcPr>
          <w:p w:rsidR="00A75E60" w:rsidRPr="00237EFA" w:rsidRDefault="00A75E60" w:rsidP="00A75E60">
            <w:pPr>
              <w:pStyle w:val="Titolo1"/>
              <w:spacing w:before="40" w:after="40" w:line="220" w:lineRule="exact"/>
            </w:pPr>
            <w:r w:rsidRPr="00237EFA">
              <w:t>AGRICOLTURA</w:t>
            </w:r>
          </w:p>
        </w:tc>
        <w:tc>
          <w:tcPr>
            <w:tcW w:w="575" w:type="dxa"/>
            <w:shd w:val="clear" w:color="auto" w:fill="auto"/>
            <w:tcMar>
              <w:left w:w="85" w:type="dxa"/>
              <w:right w:w="85" w:type="dxa"/>
            </w:tcMar>
            <w:vAlign w:val="center"/>
          </w:tcPr>
          <w:p w:rsidR="00A75E60" w:rsidRDefault="00A75E60" w:rsidP="00A75E60">
            <w:pPr>
              <w:spacing w:before="40" w:after="40"/>
              <w:jc w:val="left"/>
            </w:pPr>
          </w:p>
        </w:tc>
        <w:tc>
          <w:tcPr>
            <w:tcW w:w="567" w:type="dxa"/>
            <w:shd w:val="clear" w:color="auto" w:fill="auto"/>
            <w:vAlign w:val="center"/>
          </w:tcPr>
          <w:p w:rsidR="00A75E60" w:rsidRDefault="00A75E60" w:rsidP="00A75E60">
            <w:pPr>
              <w:spacing w:before="40" w:after="40"/>
              <w:jc w:val="left"/>
            </w:pPr>
          </w:p>
        </w:tc>
        <w:tc>
          <w:tcPr>
            <w:tcW w:w="567" w:type="dxa"/>
            <w:shd w:val="clear" w:color="auto" w:fill="auto"/>
            <w:vAlign w:val="center"/>
          </w:tcPr>
          <w:p w:rsidR="00A75E60" w:rsidRDefault="00A75E60" w:rsidP="00A75E60">
            <w:pPr>
              <w:spacing w:before="40" w:after="40"/>
              <w:jc w:val="left"/>
            </w:pPr>
          </w:p>
        </w:tc>
      </w:tr>
      <w:tr w:rsidR="00A75E60" w:rsidRPr="008129DA" w:rsidTr="00F235B5">
        <w:trPr>
          <w:cantSplit/>
          <w:trHeight w:val="227"/>
        </w:trPr>
        <w:tc>
          <w:tcPr>
            <w:tcW w:w="567" w:type="dxa"/>
            <w:shd w:val="clear" w:color="auto" w:fill="auto"/>
            <w:tcMar>
              <w:left w:w="108" w:type="dxa"/>
              <w:right w:w="0" w:type="dxa"/>
            </w:tcMar>
          </w:tcPr>
          <w:p w:rsidR="00A75E60" w:rsidRPr="00237EFA" w:rsidRDefault="00A75E60" w:rsidP="00A75E60">
            <w:pPr>
              <w:pStyle w:val="Numeroelenco"/>
              <w:spacing w:line="224" w:lineRule="exact"/>
              <w:ind w:left="0" w:firstLine="57"/>
              <w:rPr>
                <w:lang w:val="it-IT"/>
              </w:rPr>
            </w:pPr>
          </w:p>
        </w:tc>
        <w:tc>
          <w:tcPr>
            <w:tcW w:w="851" w:type="dxa"/>
            <w:shd w:val="clear" w:color="auto" w:fill="auto"/>
            <w:tcMar>
              <w:right w:w="0" w:type="dxa"/>
            </w:tcMar>
          </w:tcPr>
          <w:p w:rsidR="00A75E60" w:rsidRPr="00237EFA" w:rsidRDefault="00A75E60" w:rsidP="00A75E60">
            <w:pPr>
              <w:pStyle w:val="IAS"/>
              <w:spacing w:before="20" w:line="224" w:lineRule="exact"/>
              <w:rPr>
                <w:lang w:val="it-IT"/>
              </w:rPr>
            </w:pPr>
            <w:r w:rsidRPr="00237EFA">
              <w:rPr>
                <w:lang w:val="it-IT"/>
              </w:rPr>
              <w:t>IAS 41.40</w:t>
            </w:r>
          </w:p>
        </w:tc>
        <w:tc>
          <w:tcPr>
            <w:tcW w:w="7079" w:type="dxa"/>
            <w:shd w:val="clear" w:color="auto" w:fill="auto"/>
          </w:tcPr>
          <w:p w:rsidR="00A75E60" w:rsidRPr="00237EFA" w:rsidRDefault="00A75E60" w:rsidP="00C15B75">
            <w:pPr>
              <w:spacing w:line="214" w:lineRule="exact"/>
              <w:rPr>
                <w:lang w:val="it-IT"/>
              </w:rPr>
            </w:pPr>
            <w:r w:rsidRPr="00237EFA">
              <w:rPr>
                <w:lang w:val="it-IT"/>
              </w:rPr>
              <w:t xml:space="preserve">L’entità ha indicato in aggregato il provento o l’onere originato durante l’esercizio in corso in sede di prima rilevazione delle attività biologiche e dei prodotti agricoli e il cambiamento del </w:t>
            </w:r>
            <w:r w:rsidRPr="00237EFA">
              <w:rPr>
                <w:i/>
                <w:lang w:val="it-IT"/>
              </w:rPr>
              <w:t>fair value</w:t>
            </w:r>
            <w:r w:rsidRPr="00237EFA">
              <w:rPr>
                <w:lang w:val="it-IT"/>
              </w:rPr>
              <w:t xml:space="preserve"> al netto dei costi di vendita delle attività biologiche</w:t>
            </w:r>
            <w:r>
              <w:rPr>
                <w:lang w:val="it-IT"/>
              </w:rPr>
              <w:t>.</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417"/>
        </w:trPr>
        <w:tc>
          <w:tcPr>
            <w:tcW w:w="567" w:type="dxa"/>
            <w:shd w:val="clear" w:color="auto" w:fill="auto"/>
            <w:tcMar>
              <w:left w:w="108" w:type="dxa"/>
              <w:right w:w="0" w:type="dxa"/>
            </w:tcMar>
          </w:tcPr>
          <w:p w:rsidR="00A75E60" w:rsidRPr="00237EFA" w:rsidRDefault="00A75E60" w:rsidP="00A75E60">
            <w:pPr>
              <w:pStyle w:val="Numeroelenco"/>
              <w:spacing w:line="224" w:lineRule="exact"/>
              <w:ind w:left="0" w:firstLine="57"/>
              <w:rPr>
                <w:lang w:val="it-IT"/>
              </w:rPr>
            </w:pPr>
            <w:bookmarkStart w:id="9" w:name="_Agriculture"/>
            <w:bookmarkEnd w:id="9"/>
          </w:p>
        </w:tc>
        <w:tc>
          <w:tcPr>
            <w:tcW w:w="851" w:type="dxa"/>
            <w:shd w:val="clear" w:color="auto" w:fill="auto"/>
            <w:tcMar>
              <w:right w:w="0" w:type="dxa"/>
            </w:tcMar>
          </w:tcPr>
          <w:p w:rsidR="00A75E60" w:rsidRPr="00237EFA" w:rsidRDefault="00A75E60" w:rsidP="00A75E60">
            <w:pPr>
              <w:pStyle w:val="IAS"/>
              <w:spacing w:before="20" w:line="224" w:lineRule="exact"/>
              <w:rPr>
                <w:lang w:val="it-IT"/>
              </w:rPr>
            </w:pPr>
            <w:r w:rsidRPr="00237EFA">
              <w:rPr>
                <w:lang w:val="it-IT"/>
              </w:rPr>
              <w:t>IAS 41.41</w:t>
            </w:r>
          </w:p>
        </w:tc>
        <w:tc>
          <w:tcPr>
            <w:tcW w:w="7079" w:type="dxa"/>
            <w:shd w:val="clear" w:color="auto" w:fill="auto"/>
          </w:tcPr>
          <w:p w:rsidR="00A75E60" w:rsidRPr="00237EFA" w:rsidRDefault="00A75E60" w:rsidP="00C15B75">
            <w:pPr>
              <w:spacing w:line="214" w:lineRule="exact"/>
              <w:rPr>
                <w:lang w:val="it-IT"/>
              </w:rPr>
            </w:pPr>
            <w:r w:rsidRPr="00237EFA">
              <w:rPr>
                <w:lang w:val="it-IT"/>
              </w:rPr>
              <w:t>E’ stata fornita dall’entità una descrizione qualitativa e/o quantitativa di ciascun gruppo di attività biologiche</w:t>
            </w:r>
            <w:r>
              <w:rPr>
                <w:lang w:val="it-IT"/>
              </w:rPr>
              <w:t>.</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341"/>
        </w:trPr>
        <w:tc>
          <w:tcPr>
            <w:tcW w:w="567" w:type="dxa"/>
            <w:shd w:val="clear" w:color="auto" w:fill="auto"/>
            <w:tcMar>
              <w:left w:w="108" w:type="dxa"/>
              <w:right w:w="0" w:type="dxa"/>
            </w:tcMar>
          </w:tcPr>
          <w:p w:rsidR="00A75E60" w:rsidRPr="00237EFA" w:rsidRDefault="00A75E60" w:rsidP="00A75E60">
            <w:pPr>
              <w:pStyle w:val="Numeroelenco"/>
              <w:spacing w:line="224" w:lineRule="exact"/>
              <w:ind w:left="0" w:firstLine="57"/>
              <w:rPr>
                <w:lang w:val="it-IT"/>
              </w:rPr>
            </w:pPr>
          </w:p>
        </w:tc>
        <w:tc>
          <w:tcPr>
            <w:tcW w:w="851" w:type="dxa"/>
            <w:shd w:val="clear" w:color="auto" w:fill="auto"/>
            <w:tcMar>
              <w:right w:w="0" w:type="dxa"/>
            </w:tcMar>
          </w:tcPr>
          <w:p w:rsidR="00A75E60" w:rsidRPr="00237EFA" w:rsidRDefault="00A75E60" w:rsidP="00A75E60">
            <w:pPr>
              <w:pStyle w:val="IAS"/>
              <w:spacing w:before="20" w:line="224" w:lineRule="exact"/>
              <w:rPr>
                <w:lang w:val="it-IT"/>
              </w:rPr>
            </w:pPr>
            <w:r w:rsidRPr="00237EFA">
              <w:rPr>
                <w:lang w:val="it-IT"/>
              </w:rPr>
              <w:t>IAS 41.43</w:t>
            </w:r>
          </w:p>
        </w:tc>
        <w:tc>
          <w:tcPr>
            <w:tcW w:w="7079" w:type="dxa"/>
            <w:shd w:val="clear" w:color="auto" w:fill="auto"/>
          </w:tcPr>
          <w:p w:rsidR="00A75E60" w:rsidRPr="00237EFA" w:rsidRDefault="00A75E60" w:rsidP="00C15B75">
            <w:pPr>
              <w:spacing w:line="214" w:lineRule="exact"/>
              <w:rPr>
                <w:i/>
                <w:lang w:val="it-IT"/>
              </w:rPr>
            </w:pPr>
            <w:r w:rsidRPr="00237EFA">
              <w:rPr>
                <w:lang w:val="it-IT"/>
              </w:rPr>
              <w:t>L’entità ha indicato una descrizione quantitativa di ciascun gruppo di attività biologiche, distinguendo, come ritenuto più appropriato, tra attività biologiche consumabili e fruttifere oppure tra attività biologiche mature o non mature, ed indicando le basi di tale destinazione</w:t>
            </w:r>
            <w:r>
              <w:rPr>
                <w:lang w:val="it-IT"/>
              </w:rPr>
              <w:t>.</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A44ECD" w:rsidTr="00F235B5">
        <w:trPr>
          <w:cantSplit/>
          <w:trHeight w:val="301"/>
        </w:trPr>
        <w:tc>
          <w:tcPr>
            <w:tcW w:w="567" w:type="dxa"/>
            <w:shd w:val="clear" w:color="auto" w:fill="auto"/>
            <w:tcMar>
              <w:left w:w="108" w:type="dxa"/>
              <w:right w:w="0" w:type="dxa"/>
            </w:tcMar>
          </w:tcPr>
          <w:p w:rsidR="00A75E60" w:rsidRPr="00237EFA" w:rsidRDefault="00A75E60" w:rsidP="00A75E60">
            <w:pPr>
              <w:pStyle w:val="Numeroelenco"/>
              <w:spacing w:line="224" w:lineRule="exact"/>
              <w:ind w:left="0" w:firstLine="57"/>
              <w:rPr>
                <w:lang w:val="it-IT"/>
              </w:rPr>
            </w:pPr>
          </w:p>
        </w:tc>
        <w:tc>
          <w:tcPr>
            <w:tcW w:w="851" w:type="dxa"/>
            <w:shd w:val="clear" w:color="auto" w:fill="auto"/>
            <w:tcMar>
              <w:right w:w="0" w:type="dxa"/>
            </w:tcMar>
          </w:tcPr>
          <w:p w:rsidR="00A75E60" w:rsidRPr="00237EFA" w:rsidRDefault="00A75E60" w:rsidP="00A75E60">
            <w:pPr>
              <w:pStyle w:val="IAS"/>
              <w:spacing w:before="20" w:line="224" w:lineRule="exact"/>
              <w:rPr>
                <w:lang w:val="it-IT"/>
              </w:rPr>
            </w:pPr>
            <w:r w:rsidRPr="00237EFA">
              <w:rPr>
                <w:lang w:val="it-IT"/>
              </w:rPr>
              <w:t>IAS 41.46</w:t>
            </w:r>
          </w:p>
        </w:tc>
        <w:tc>
          <w:tcPr>
            <w:tcW w:w="7079" w:type="dxa"/>
            <w:shd w:val="clear" w:color="auto" w:fill="auto"/>
          </w:tcPr>
          <w:p w:rsidR="00A75E60" w:rsidRPr="00237EFA" w:rsidRDefault="00A75E60" w:rsidP="00A75E60">
            <w:pPr>
              <w:rPr>
                <w:lang w:val="it-IT"/>
              </w:rPr>
            </w:pPr>
            <w:r w:rsidRPr="00237EFA">
              <w:rPr>
                <w:lang w:val="it-IT"/>
              </w:rPr>
              <w:t>Se non indicato altrove nell’informativa pubblicata con il bilancio, l’entità ha descritto:</w:t>
            </w:r>
          </w:p>
        </w:tc>
        <w:tc>
          <w:tcPr>
            <w:tcW w:w="575" w:type="dxa"/>
            <w:shd w:val="clear" w:color="auto" w:fill="auto"/>
            <w:tcMar>
              <w:left w:w="85" w:type="dxa"/>
              <w:right w:w="85" w:type="dxa"/>
            </w:tcMar>
            <w:vAlign w:val="center"/>
          </w:tcPr>
          <w:p w:rsidR="00A75E60" w:rsidRPr="00090BE7" w:rsidRDefault="00A75E60" w:rsidP="00A75E60">
            <w:pPr>
              <w:spacing w:line="224" w:lineRule="exact"/>
              <w:jc w:val="center"/>
              <w:rPr>
                <w:lang w:val="it-IT"/>
              </w:rPr>
            </w:pPr>
          </w:p>
        </w:tc>
        <w:tc>
          <w:tcPr>
            <w:tcW w:w="567" w:type="dxa"/>
            <w:shd w:val="clear" w:color="auto" w:fill="auto"/>
            <w:vAlign w:val="center"/>
          </w:tcPr>
          <w:p w:rsidR="00A75E60" w:rsidRPr="00090BE7" w:rsidRDefault="00A75E60" w:rsidP="00A75E60">
            <w:pPr>
              <w:spacing w:line="224" w:lineRule="exact"/>
              <w:jc w:val="center"/>
              <w:rPr>
                <w:lang w:val="it-IT"/>
              </w:rPr>
            </w:pPr>
          </w:p>
        </w:tc>
        <w:tc>
          <w:tcPr>
            <w:tcW w:w="567" w:type="dxa"/>
            <w:shd w:val="clear" w:color="auto" w:fill="auto"/>
            <w:vAlign w:val="center"/>
          </w:tcPr>
          <w:p w:rsidR="00A75E60" w:rsidRPr="00090BE7" w:rsidRDefault="00A75E60" w:rsidP="00A75E60">
            <w:pPr>
              <w:spacing w:line="224" w:lineRule="exact"/>
              <w:jc w:val="center"/>
              <w:rPr>
                <w:lang w:val="it-IT"/>
              </w:rPr>
            </w:pPr>
          </w:p>
        </w:tc>
      </w:tr>
      <w:tr w:rsidR="00A75E60" w:rsidRPr="008129DA" w:rsidTr="00F235B5">
        <w:trPr>
          <w:cantSplit/>
        </w:trPr>
        <w:tc>
          <w:tcPr>
            <w:tcW w:w="567" w:type="dxa"/>
            <w:shd w:val="clear" w:color="auto" w:fill="auto"/>
            <w:tcMar>
              <w:left w:w="108" w:type="dxa"/>
              <w:right w:w="0" w:type="dxa"/>
            </w:tcMar>
          </w:tcPr>
          <w:p w:rsidR="00A75E60" w:rsidRPr="00237EFA" w:rsidRDefault="00A75E60" w:rsidP="00A75E60">
            <w:pPr>
              <w:pStyle w:val="IAS"/>
              <w:spacing w:before="20" w:line="224" w:lineRule="exact"/>
              <w:rPr>
                <w:lang w:val="it-IT"/>
              </w:rPr>
            </w:pPr>
          </w:p>
        </w:tc>
        <w:tc>
          <w:tcPr>
            <w:tcW w:w="851" w:type="dxa"/>
            <w:shd w:val="clear" w:color="auto" w:fill="auto"/>
            <w:tcMar>
              <w:left w:w="108" w:type="dxa"/>
              <w:right w:w="0" w:type="dxa"/>
            </w:tcMar>
          </w:tcPr>
          <w:p w:rsidR="00A75E60" w:rsidRPr="00237EFA" w:rsidRDefault="00A75E60" w:rsidP="00A75E60">
            <w:pPr>
              <w:pStyle w:val="IAS"/>
              <w:spacing w:before="20" w:line="224" w:lineRule="exact"/>
              <w:rPr>
                <w:lang w:val="it-IT"/>
              </w:rPr>
            </w:pPr>
          </w:p>
        </w:tc>
        <w:tc>
          <w:tcPr>
            <w:tcW w:w="7079" w:type="dxa"/>
            <w:shd w:val="clear" w:color="auto" w:fill="auto"/>
            <w:tcMar>
              <w:left w:w="108" w:type="dxa"/>
            </w:tcMar>
          </w:tcPr>
          <w:p w:rsidR="00A75E60" w:rsidRPr="00237EFA" w:rsidRDefault="00A75E60" w:rsidP="00A75E60">
            <w:pPr>
              <w:pStyle w:val="Rientroa"/>
              <w:numPr>
                <w:ilvl w:val="0"/>
                <w:numId w:val="160"/>
              </w:numPr>
              <w:tabs>
                <w:tab w:val="center" w:pos="4536"/>
                <w:tab w:val="right" w:pos="9072"/>
              </w:tabs>
              <w:ind w:left="391" w:hanging="357"/>
              <w:rPr>
                <w:iCs/>
                <w:spacing w:val="-2"/>
              </w:rPr>
            </w:pPr>
            <w:r w:rsidRPr="00237EFA">
              <w:t>la natura delle proprie attività che coinvolgono/includono ciascun gruppo di attività biologiche; e</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237EFA" w:rsidRDefault="00A75E60" w:rsidP="00A75E60">
            <w:pPr>
              <w:pStyle w:val="IAS"/>
              <w:spacing w:before="20" w:line="224" w:lineRule="exact"/>
              <w:rPr>
                <w:lang w:val="it-IT"/>
              </w:rPr>
            </w:pPr>
          </w:p>
        </w:tc>
        <w:tc>
          <w:tcPr>
            <w:tcW w:w="851" w:type="dxa"/>
            <w:shd w:val="clear" w:color="auto" w:fill="auto"/>
            <w:tcMar>
              <w:left w:w="108" w:type="dxa"/>
              <w:right w:w="0" w:type="dxa"/>
            </w:tcMar>
          </w:tcPr>
          <w:p w:rsidR="00A75E60" w:rsidRPr="00237EFA" w:rsidRDefault="00A75E60" w:rsidP="00A75E60">
            <w:pPr>
              <w:pStyle w:val="IAS"/>
              <w:spacing w:before="20" w:line="224" w:lineRule="exact"/>
              <w:rPr>
                <w:lang w:val="it-IT"/>
              </w:rPr>
            </w:pPr>
          </w:p>
        </w:tc>
        <w:tc>
          <w:tcPr>
            <w:tcW w:w="7079" w:type="dxa"/>
            <w:shd w:val="clear" w:color="auto" w:fill="auto"/>
            <w:tcMar>
              <w:left w:w="108" w:type="dxa"/>
            </w:tcMar>
          </w:tcPr>
          <w:p w:rsidR="00A75E60" w:rsidRPr="00237EFA" w:rsidRDefault="00A75E60" w:rsidP="00A75E60">
            <w:pPr>
              <w:pStyle w:val="Rientroa"/>
              <w:numPr>
                <w:ilvl w:val="0"/>
                <w:numId w:val="72"/>
              </w:numPr>
            </w:pPr>
            <w:r w:rsidRPr="00237EFA">
              <w:t>le valutazioni o le stime non finanziarie delle quantità fisiche di:</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237EFA" w:rsidRDefault="00A75E60" w:rsidP="00A75E60">
            <w:pPr>
              <w:pStyle w:val="IAS"/>
              <w:spacing w:before="20" w:line="224" w:lineRule="exact"/>
              <w:rPr>
                <w:lang w:val="it-IT"/>
              </w:rPr>
            </w:pPr>
          </w:p>
        </w:tc>
        <w:tc>
          <w:tcPr>
            <w:tcW w:w="851" w:type="dxa"/>
            <w:shd w:val="clear" w:color="auto" w:fill="auto"/>
            <w:tcMar>
              <w:left w:w="108" w:type="dxa"/>
              <w:right w:w="0" w:type="dxa"/>
            </w:tcMar>
          </w:tcPr>
          <w:p w:rsidR="00A75E60" w:rsidRPr="00237EFA" w:rsidRDefault="00A75E60" w:rsidP="00A75E60">
            <w:pPr>
              <w:pStyle w:val="IAS"/>
              <w:spacing w:before="20" w:line="224" w:lineRule="exact"/>
              <w:rPr>
                <w:lang w:val="it-IT"/>
              </w:rPr>
            </w:pPr>
          </w:p>
        </w:tc>
        <w:tc>
          <w:tcPr>
            <w:tcW w:w="7079" w:type="dxa"/>
            <w:shd w:val="clear" w:color="auto" w:fill="auto"/>
            <w:tcMar>
              <w:left w:w="108" w:type="dxa"/>
            </w:tcMar>
          </w:tcPr>
          <w:p w:rsidR="00A75E60" w:rsidRPr="00237EFA" w:rsidRDefault="00A75E60" w:rsidP="00A75E60">
            <w:pPr>
              <w:pStyle w:val="Puntoelenco"/>
              <w:ind w:hanging="322"/>
              <w:contextualSpacing w:val="0"/>
            </w:pPr>
            <w:r w:rsidRPr="00237EFA">
              <w:t>ciascun gruppo di attività biologiche dell’entità alla fine dell’esercizio; e</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237EFA" w:rsidRDefault="00A75E60" w:rsidP="00A75E60">
            <w:pPr>
              <w:pStyle w:val="IAS"/>
              <w:spacing w:before="20" w:line="224" w:lineRule="exact"/>
              <w:rPr>
                <w:lang w:val="it-IT"/>
              </w:rPr>
            </w:pPr>
          </w:p>
        </w:tc>
        <w:tc>
          <w:tcPr>
            <w:tcW w:w="851" w:type="dxa"/>
            <w:shd w:val="clear" w:color="auto" w:fill="auto"/>
            <w:tcMar>
              <w:left w:w="108" w:type="dxa"/>
              <w:right w:w="0" w:type="dxa"/>
            </w:tcMar>
          </w:tcPr>
          <w:p w:rsidR="00A75E60" w:rsidRPr="00237EFA" w:rsidRDefault="00A75E60" w:rsidP="00A75E60">
            <w:pPr>
              <w:pStyle w:val="IAS"/>
              <w:spacing w:before="20" w:line="224" w:lineRule="exact"/>
              <w:rPr>
                <w:lang w:val="it-IT"/>
              </w:rPr>
            </w:pPr>
          </w:p>
        </w:tc>
        <w:tc>
          <w:tcPr>
            <w:tcW w:w="7079" w:type="dxa"/>
            <w:shd w:val="clear" w:color="auto" w:fill="auto"/>
            <w:tcMar>
              <w:left w:w="108" w:type="dxa"/>
            </w:tcMar>
          </w:tcPr>
          <w:p w:rsidR="00A75E60" w:rsidRPr="00237EFA" w:rsidRDefault="00A75E60" w:rsidP="00A75E60">
            <w:pPr>
              <w:pStyle w:val="Puntoelenco"/>
              <w:ind w:hanging="322"/>
              <w:contextualSpacing w:val="0"/>
            </w:pPr>
            <w:r w:rsidRPr="00237EFA">
              <w:t>la produzione agricola realizzata nel corso dell’esercizio.</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Del="0068195B" w:rsidTr="00F235B5">
        <w:trPr>
          <w:cantSplit/>
          <w:trHeight w:val="418"/>
        </w:trPr>
        <w:tc>
          <w:tcPr>
            <w:tcW w:w="567" w:type="dxa"/>
            <w:shd w:val="clear" w:color="auto" w:fill="auto"/>
            <w:tcMar>
              <w:left w:w="108" w:type="dxa"/>
              <w:right w:w="0" w:type="dxa"/>
            </w:tcMar>
          </w:tcPr>
          <w:p w:rsidR="00A75E60" w:rsidRPr="00237EFA" w:rsidDel="0068195B" w:rsidRDefault="00A75E60" w:rsidP="00A75E60">
            <w:pPr>
              <w:pStyle w:val="Numeroelenco"/>
              <w:ind w:left="0" w:firstLine="57"/>
              <w:rPr>
                <w:lang w:val="it-IT"/>
              </w:rPr>
            </w:pPr>
          </w:p>
        </w:tc>
        <w:tc>
          <w:tcPr>
            <w:tcW w:w="851" w:type="dxa"/>
            <w:shd w:val="clear" w:color="auto" w:fill="auto"/>
            <w:tcMar>
              <w:right w:w="0" w:type="dxa"/>
            </w:tcMar>
          </w:tcPr>
          <w:p w:rsidR="00A75E60" w:rsidRPr="00237EFA" w:rsidDel="0068195B" w:rsidRDefault="00A75E60" w:rsidP="00A75E60">
            <w:pPr>
              <w:pStyle w:val="IAS"/>
              <w:rPr>
                <w:lang w:val="it-IT"/>
              </w:rPr>
            </w:pPr>
            <w:r w:rsidRPr="00237EFA">
              <w:rPr>
                <w:lang w:val="it-IT"/>
              </w:rPr>
              <w:t>IFRS 13.5-7</w:t>
            </w:r>
          </w:p>
        </w:tc>
        <w:tc>
          <w:tcPr>
            <w:tcW w:w="7079" w:type="dxa"/>
            <w:shd w:val="clear" w:color="auto" w:fill="auto"/>
          </w:tcPr>
          <w:p w:rsidR="00A75E60" w:rsidRPr="00237EFA" w:rsidDel="0068195B" w:rsidRDefault="00A75E60" w:rsidP="00C15B75">
            <w:pPr>
              <w:spacing w:line="214" w:lineRule="exact"/>
              <w:rPr>
                <w:lang w:val="it-IT"/>
              </w:rPr>
            </w:pPr>
            <w:r w:rsidRPr="00237EFA">
              <w:rPr>
                <w:lang w:val="it-IT"/>
              </w:rPr>
              <w:t xml:space="preserve">L’entità ha presentato l’informativa sulla valutazione del </w:t>
            </w:r>
            <w:r w:rsidRPr="00237EFA">
              <w:rPr>
                <w:i/>
                <w:lang w:val="it-IT"/>
              </w:rPr>
              <w:t xml:space="preserve">fair value </w:t>
            </w:r>
            <w:r w:rsidRPr="00237EFA">
              <w:rPr>
                <w:lang w:val="it-IT"/>
              </w:rPr>
              <w:t xml:space="preserve">richiesta dall’IFRS 13 (vedi punti </w:t>
            </w:r>
            <w:r>
              <w:rPr>
                <w:lang w:val="it-IT"/>
              </w:rPr>
              <w:t>221-229</w:t>
            </w:r>
            <w:r w:rsidRPr="00237EFA">
              <w:rPr>
                <w:lang w:val="it-IT"/>
              </w:rPr>
              <w:t>)</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A0F36" w:rsidTr="00F235B5">
        <w:trPr>
          <w:cantSplit/>
          <w:trHeight w:val="244"/>
        </w:trPr>
        <w:tc>
          <w:tcPr>
            <w:tcW w:w="567" w:type="dxa"/>
            <w:shd w:val="clear" w:color="auto" w:fill="auto"/>
            <w:tcMar>
              <w:left w:w="108" w:type="dxa"/>
              <w:right w:w="0" w:type="dxa"/>
            </w:tcMar>
          </w:tcPr>
          <w:p w:rsidR="00A75E60" w:rsidRPr="008A0F36" w:rsidRDefault="00A75E60" w:rsidP="00A75E60">
            <w:pPr>
              <w:pStyle w:val="Numeroelenco"/>
              <w:ind w:left="0" w:firstLine="57"/>
              <w:rPr>
                <w:lang w:val="it-IT"/>
              </w:rPr>
            </w:pPr>
          </w:p>
        </w:tc>
        <w:tc>
          <w:tcPr>
            <w:tcW w:w="851" w:type="dxa"/>
            <w:shd w:val="clear" w:color="auto" w:fill="auto"/>
            <w:tcMar>
              <w:right w:w="0" w:type="dxa"/>
            </w:tcMar>
          </w:tcPr>
          <w:p w:rsidR="00A75E60" w:rsidRPr="008A0F36" w:rsidRDefault="00A75E60" w:rsidP="00A75E60">
            <w:pPr>
              <w:pStyle w:val="IAS"/>
              <w:rPr>
                <w:lang w:val="it-IT"/>
              </w:rPr>
            </w:pPr>
          </w:p>
        </w:tc>
        <w:tc>
          <w:tcPr>
            <w:tcW w:w="7079" w:type="dxa"/>
            <w:shd w:val="clear" w:color="auto" w:fill="auto"/>
          </w:tcPr>
          <w:p w:rsidR="00A75E60" w:rsidRPr="008A0F36" w:rsidRDefault="00A75E60" w:rsidP="00A75E60">
            <w:pPr>
              <w:rPr>
                <w:lang w:val="it-IT"/>
              </w:rPr>
            </w:pPr>
            <w:r w:rsidRPr="008A0F36">
              <w:rPr>
                <w:lang w:val="it-IT"/>
              </w:rPr>
              <w:t>L’entità indica:</w:t>
            </w:r>
          </w:p>
        </w:tc>
        <w:tc>
          <w:tcPr>
            <w:tcW w:w="575" w:type="dxa"/>
            <w:shd w:val="clear" w:color="auto" w:fill="auto"/>
            <w:tcMar>
              <w:left w:w="85" w:type="dxa"/>
              <w:right w:w="85" w:type="dxa"/>
            </w:tcMar>
            <w:vAlign w:val="center"/>
          </w:tcPr>
          <w:p w:rsidR="00A75E60" w:rsidRDefault="00A75E60" w:rsidP="00A75E60">
            <w:pPr>
              <w:spacing w:line="226" w:lineRule="exact"/>
              <w:jc w:val="center"/>
            </w:pPr>
          </w:p>
        </w:tc>
        <w:tc>
          <w:tcPr>
            <w:tcW w:w="567" w:type="dxa"/>
            <w:shd w:val="clear" w:color="auto" w:fill="auto"/>
            <w:vAlign w:val="center"/>
          </w:tcPr>
          <w:p w:rsidR="00A75E60" w:rsidRDefault="00A75E60" w:rsidP="00A75E60">
            <w:pPr>
              <w:spacing w:line="226" w:lineRule="exact"/>
              <w:jc w:val="center"/>
            </w:pPr>
          </w:p>
        </w:tc>
        <w:tc>
          <w:tcPr>
            <w:tcW w:w="567" w:type="dxa"/>
            <w:shd w:val="clear" w:color="auto" w:fill="auto"/>
            <w:vAlign w:val="center"/>
          </w:tcPr>
          <w:p w:rsidR="00A75E60" w:rsidRDefault="00A75E60" w:rsidP="00A75E60">
            <w:pPr>
              <w:spacing w:line="226" w:lineRule="exact"/>
              <w:jc w:val="center"/>
            </w:pPr>
          </w:p>
        </w:tc>
      </w:tr>
      <w:tr w:rsidR="00A75E60" w:rsidRPr="008129DA" w:rsidTr="00F235B5">
        <w:trPr>
          <w:cantSplit/>
          <w:trHeight w:val="75"/>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right w:w="0" w:type="dxa"/>
            </w:tcMar>
          </w:tcPr>
          <w:p w:rsidR="00A75E60" w:rsidRPr="008A0F36" w:rsidRDefault="00A75E60" w:rsidP="00A75E60">
            <w:pPr>
              <w:pStyle w:val="IAS"/>
              <w:rPr>
                <w:lang w:val="it-IT"/>
              </w:rPr>
            </w:pPr>
            <w:r w:rsidRPr="008A0F36">
              <w:rPr>
                <w:lang w:val="it-IT"/>
              </w:rPr>
              <w:t>IAS 41.49</w:t>
            </w:r>
          </w:p>
        </w:tc>
        <w:tc>
          <w:tcPr>
            <w:tcW w:w="7079" w:type="dxa"/>
            <w:shd w:val="clear" w:color="auto" w:fill="auto"/>
          </w:tcPr>
          <w:p w:rsidR="00A75E60" w:rsidRDefault="00A75E60" w:rsidP="00A75E60">
            <w:pPr>
              <w:pStyle w:val="Rientroa"/>
              <w:numPr>
                <w:ilvl w:val="0"/>
                <w:numId w:val="161"/>
              </w:numPr>
              <w:tabs>
                <w:tab w:val="center" w:pos="4536"/>
                <w:tab w:val="right" w:pos="9072"/>
              </w:tabs>
              <w:rPr>
                <w:iCs/>
                <w:spacing w:val="-2"/>
              </w:rPr>
            </w:pPr>
            <w:r w:rsidRPr="008A0F36">
              <w:t>l’esistenza e i valori contabili delle attività biologiche con restrizioni sul titolo di proprietà</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333"/>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right w:w="0" w:type="dxa"/>
            </w:tcMar>
          </w:tcPr>
          <w:p w:rsidR="00A75E60" w:rsidRPr="008A0F36" w:rsidRDefault="00A75E60" w:rsidP="00A75E60">
            <w:pPr>
              <w:pStyle w:val="IAS"/>
              <w:rPr>
                <w:lang w:val="it-IT"/>
              </w:rPr>
            </w:pPr>
            <w:r w:rsidRPr="008A0F36">
              <w:rPr>
                <w:lang w:val="it-IT"/>
              </w:rPr>
              <w:t>IAS 41.49</w:t>
            </w:r>
          </w:p>
        </w:tc>
        <w:tc>
          <w:tcPr>
            <w:tcW w:w="7079" w:type="dxa"/>
            <w:shd w:val="clear" w:color="auto" w:fill="auto"/>
          </w:tcPr>
          <w:p w:rsidR="00A75E60" w:rsidRPr="008A0F36" w:rsidRDefault="00A75E60" w:rsidP="00A75E60">
            <w:pPr>
              <w:pStyle w:val="Rientroa"/>
              <w:numPr>
                <w:ilvl w:val="0"/>
                <w:numId w:val="72"/>
              </w:numPr>
              <w:ind w:left="391" w:hanging="357"/>
            </w:pPr>
            <w:r w:rsidRPr="008A0F36">
              <w:t>i valori contabili delle attività biologiche date in pegno a garanzia di passività</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8A0F36" w:rsidRDefault="00A75E60" w:rsidP="00A75E60">
            <w:pPr>
              <w:pStyle w:val="IAS"/>
              <w:rPr>
                <w:lang w:val="it-IT"/>
              </w:rPr>
            </w:pPr>
            <w:r w:rsidRPr="008A0F36">
              <w:rPr>
                <w:lang w:val="it-IT"/>
              </w:rPr>
              <w:t>IAS 41.49</w:t>
            </w:r>
          </w:p>
        </w:tc>
        <w:tc>
          <w:tcPr>
            <w:tcW w:w="7079" w:type="dxa"/>
            <w:shd w:val="clear" w:color="auto" w:fill="auto"/>
            <w:tcMar>
              <w:left w:w="108" w:type="dxa"/>
            </w:tcMar>
          </w:tcPr>
          <w:p w:rsidR="00A75E60" w:rsidRPr="008A0F36" w:rsidRDefault="00A75E60" w:rsidP="00A75E60">
            <w:pPr>
              <w:pStyle w:val="Rientroa"/>
              <w:numPr>
                <w:ilvl w:val="0"/>
                <w:numId w:val="72"/>
              </w:numPr>
            </w:pPr>
            <w:r w:rsidRPr="008A0F36">
              <w:t>l’importo di impegni assunti per lo sviluppo o per l’acquisizione di attività biologiche</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8A0F36" w:rsidRDefault="00A75E60" w:rsidP="00A75E60">
            <w:pPr>
              <w:pStyle w:val="IAS"/>
              <w:rPr>
                <w:lang w:val="it-IT"/>
              </w:rPr>
            </w:pPr>
            <w:r w:rsidRPr="008A0F36">
              <w:rPr>
                <w:lang w:val="it-IT"/>
              </w:rPr>
              <w:t>IAS 41.49</w:t>
            </w:r>
          </w:p>
        </w:tc>
        <w:tc>
          <w:tcPr>
            <w:tcW w:w="7079" w:type="dxa"/>
            <w:shd w:val="clear" w:color="auto" w:fill="auto"/>
            <w:tcMar>
              <w:left w:w="108" w:type="dxa"/>
            </w:tcMar>
          </w:tcPr>
          <w:p w:rsidR="00A75E60" w:rsidRPr="008A0F36" w:rsidRDefault="00A75E60" w:rsidP="00A75E60">
            <w:pPr>
              <w:pStyle w:val="Rientroa"/>
              <w:numPr>
                <w:ilvl w:val="0"/>
                <w:numId w:val="72"/>
              </w:numPr>
            </w:pPr>
            <w:r w:rsidRPr="008A0F36">
              <w:t>strategie di gestione del rischio finanziario connesso all’attività agricola; e</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A44ECD" w:rsidTr="00F235B5">
        <w:trPr>
          <w:cantSplit/>
        </w:trPr>
        <w:tc>
          <w:tcPr>
            <w:tcW w:w="567" w:type="dxa"/>
            <w:shd w:val="clear" w:color="auto" w:fill="auto"/>
            <w:tcMar>
              <w:left w:w="108" w:type="dxa"/>
              <w:right w:w="0" w:type="dxa"/>
            </w:tcMar>
          </w:tcPr>
          <w:p w:rsidR="00A75E60" w:rsidRPr="008A0F36" w:rsidRDefault="00A75E60" w:rsidP="00A75E60">
            <w:pPr>
              <w:pStyle w:val="Numeroelenco"/>
              <w:ind w:left="0" w:firstLine="57"/>
              <w:rPr>
                <w:lang w:val="it-IT"/>
              </w:rPr>
            </w:pPr>
          </w:p>
        </w:tc>
        <w:tc>
          <w:tcPr>
            <w:tcW w:w="851" w:type="dxa"/>
            <w:shd w:val="clear" w:color="auto" w:fill="auto"/>
            <w:tcMar>
              <w:left w:w="108" w:type="dxa"/>
              <w:right w:w="0" w:type="dxa"/>
            </w:tcMar>
          </w:tcPr>
          <w:p w:rsidR="00A75E60" w:rsidRPr="008A0F36" w:rsidRDefault="00A75E60" w:rsidP="00A75E60">
            <w:pPr>
              <w:pStyle w:val="IAS"/>
              <w:rPr>
                <w:lang w:val="it-IT"/>
              </w:rPr>
            </w:pPr>
            <w:r w:rsidRPr="008A0F36">
              <w:rPr>
                <w:lang w:val="it-IT"/>
              </w:rPr>
              <w:t>IAS 41.50</w:t>
            </w:r>
          </w:p>
        </w:tc>
        <w:tc>
          <w:tcPr>
            <w:tcW w:w="7079" w:type="dxa"/>
            <w:shd w:val="clear" w:color="auto" w:fill="auto"/>
            <w:tcMar>
              <w:left w:w="108" w:type="dxa"/>
            </w:tcMar>
          </w:tcPr>
          <w:p w:rsidR="00A75E60" w:rsidRPr="008A0F36" w:rsidRDefault="00A75E60" w:rsidP="00A75E60">
            <w:pPr>
              <w:rPr>
                <w:lang w:val="it-IT"/>
              </w:rPr>
            </w:pPr>
            <w:r w:rsidRPr="008A0F36">
              <w:rPr>
                <w:lang w:val="it-IT"/>
              </w:rPr>
              <w:t>L’entità effettua una riconciliazione dei cambiamenti di valori contabili delle attività biologiche tra l’inizio e la fine dell’esercizio in corso, che includa almeno:</w:t>
            </w:r>
          </w:p>
        </w:tc>
        <w:tc>
          <w:tcPr>
            <w:tcW w:w="575" w:type="dxa"/>
            <w:shd w:val="clear" w:color="auto" w:fill="auto"/>
            <w:tcMar>
              <w:left w:w="85" w:type="dxa"/>
              <w:right w:w="85" w:type="dxa"/>
            </w:tcMar>
            <w:vAlign w:val="center"/>
          </w:tcPr>
          <w:p w:rsidR="00A75E60" w:rsidRPr="00090BE7" w:rsidRDefault="00A75E60" w:rsidP="00A75E60">
            <w:pPr>
              <w:spacing w:line="226" w:lineRule="exact"/>
              <w:jc w:val="center"/>
              <w:rPr>
                <w:lang w:val="it-IT"/>
              </w:rPr>
            </w:pPr>
          </w:p>
        </w:tc>
        <w:tc>
          <w:tcPr>
            <w:tcW w:w="567" w:type="dxa"/>
            <w:shd w:val="clear" w:color="auto" w:fill="auto"/>
            <w:tcMar>
              <w:left w:w="108" w:type="dxa"/>
            </w:tcMar>
            <w:vAlign w:val="center"/>
          </w:tcPr>
          <w:p w:rsidR="00A75E60" w:rsidRPr="00090BE7" w:rsidRDefault="00A75E60" w:rsidP="00A75E60">
            <w:pPr>
              <w:spacing w:line="226" w:lineRule="exact"/>
              <w:jc w:val="center"/>
              <w:rPr>
                <w:lang w:val="it-IT"/>
              </w:rPr>
            </w:pPr>
          </w:p>
        </w:tc>
        <w:tc>
          <w:tcPr>
            <w:tcW w:w="567" w:type="dxa"/>
            <w:shd w:val="clear" w:color="auto" w:fill="auto"/>
            <w:vAlign w:val="center"/>
          </w:tcPr>
          <w:p w:rsidR="00A75E60" w:rsidRPr="00090BE7" w:rsidRDefault="00A75E60" w:rsidP="00A75E60">
            <w:pPr>
              <w:spacing w:line="226" w:lineRule="exact"/>
              <w:jc w:val="center"/>
              <w:rPr>
                <w:lang w:val="it-IT"/>
              </w:rPr>
            </w:pPr>
          </w:p>
        </w:tc>
      </w:tr>
      <w:tr w:rsidR="00A75E60" w:rsidRPr="008129DA" w:rsidTr="00F235B5">
        <w:trPr>
          <w:cantSplit/>
          <w:trHeight w:val="124"/>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right w:w="0" w:type="dxa"/>
            </w:tcMar>
          </w:tcPr>
          <w:p w:rsidR="00A75E60" w:rsidRPr="008A0F36" w:rsidRDefault="00A75E60" w:rsidP="00A75E60">
            <w:pPr>
              <w:pStyle w:val="IAS"/>
              <w:rPr>
                <w:lang w:val="it-IT"/>
              </w:rPr>
            </w:pPr>
          </w:p>
        </w:tc>
        <w:tc>
          <w:tcPr>
            <w:tcW w:w="7079" w:type="dxa"/>
            <w:shd w:val="clear" w:color="auto" w:fill="auto"/>
          </w:tcPr>
          <w:p w:rsidR="00A75E60" w:rsidRDefault="00A75E60" w:rsidP="00A75E60">
            <w:pPr>
              <w:pStyle w:val="Rientroa"/>
              <w:numPr>
                <w:ilvl w:val="0"/>
                <w:numId w:val="162"/>
              </w:numPr>
              <w:tabs>
                <w:tab w:val="center" w:pos="4536"/>
                <w:tab w:val="right" w:pos="9072"/>
              </w:tabs>
              <w:rPr>
                <w:iCs/>
                <w:spacing w:val="-2"/>
              </w:rPr>
            </w:pPr>
            <w:r w:rsidRPr="008A0F36">
              <w:t xml:space="preserve">l’utile o la perdita derivante dalla variazione del </w:t>
            </w:r>
            <w:r w:rsidRPr="008A0F36">
              <w:rPr>
                <w:i/>
              </w:rPr>
              <w:t>fair value</w:t>
            </w:r>
            <w:r w:rsidRPr="008A0F36">
              <w:t xml:space="preserve"> al netto dei costi di vendita</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8A0F36" w:rsidRDefault="00A75E60" w:rsidP="00A75E60">
            <w:pPr>
              <w:pStyle w:val="IAS"/>
              <w:rPr>
                <w:lang w:val="it-IT"/>
              </w:rPr>
            </w:pPr>
          </w:p>
        </w:tc>
        <w:tc>
          <w:tcPr>
            <w:tcW w:w="7079" w:type="dxa"/>
            <w:shd w:val="clear" w:color="auto" w:fill="auto"/>
            <w:tcMar>
              <w:left w:w="108" w:type="dxa"/>
            </w:tcMar>
          </w:tcPr>
          <w:p w:rsidR="00A75E60" w:rsidRPr="008A0F36" w:rsidRDefault="00A75E60" w:rsidP="00A75E60">
            <w:pPr>
              <w:pStyle w:val="Rientroa"/>
              <w:numPr>
                <w:ilvl w:val="0"/>
                <w:numId w:val="72"/>
              </w:numPr>
            </w:pPr>
            <w:r w:rsidRPr="008A0F36">
              <w:t>gli incrementi dovuti agli acquisti</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8A0F36" w:rsidRDefault="00A75E60" w:rsidP="00A75E60">
            <w:pPr>
              <w:pStyle w:val="IAS"/>
              <w:rPr>
                <w:lang w:val="it-IT"/>
              </w:rPr>
            </w:pPr>
            <w:r w:rsidRPr="008A0F36">
              <w:rPr>
                <w:lang w:val="it-IT"/>
              </w:rPr>
              <w:t>IFRS 5.6</w:t>
            </w:r>
          </w:p>
          <w:p w:rsidR="00A75E60" w:rsidRPr="008A0F36" w:rsidRDefault="00A75E60" w:rsidP="00A75E60">
            <w:pPr>
              <w:pStyle w:val="IAS"/>
              <w:rPr>
                <w:lang w:val="it-IT"/>
              </w:rPr>
            </w:pPr>
          </w:p>
        </w:tc>
        <w:tc>
          <w:tcPr>
            <w:tcW w:w="7079" w:type="dxa"/>
            <w:shd w:val="clear" w:color="auto" w:fill="auto"/>
            <w:tcMar>
              <w:left w:w="108" w:type="dxa"/>
            </w:tcMar>
          </w:tcPr>
          <w:p w:rsidR="00A75E60" w:rsidRPr="008A0F36" w:rsidRDefault="00A75E60" w:rsidP="00A75E60">
            <w:pPr>
              <w:pStyle w:val="Rientroa"/>
              <w:numPr>
                <w:ilvl w:val="0"/>
                <w:numId w:val="72"/>
              </w:numPr>
            </w:pPr>
            <w:r w:rsidRPr="008A0F36">
              <w:t>i decrementi dovuti alle vendite e alle attività biologiche classificate come possedute per la vendita in conformità all’IFRS 5</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8A0F36" w:rsidRDefault="00A75E60" w:rsidP="00A75E60">
            <w:pPr>
              <w:pStyle w:val="IAS"/>
              <w:rPr>
                <w:lang w:val="it-IT"/>
              </w:rPr>
            </w:pPr>
          </w:p>
        </w:tc>
        <w:tc>
          <w:tcPr>
            <w:tcW w:w="7079" w:type="dxa"/>
            <w:shd w:val="clear" w:color="auto" w:fill="auto"/>
            <w:tcMar>
              <w:left w:w="108" w:type="dxa"/>
            </w:tcMar>
          </w:tcPr>
          <w:p w:rsidR="00A75E60" w:rsidRPr="008A0F36" w:rsidRDefault="00A75E60" w:rsidP="00A75E60">
            <w:pPr>
              <w:pStyle w:val="Rientroa"/>
              <w:numPr>
                <w:ilvl w:val="0"/>
                <w:numId w:val="72"/>
              </w:numPr>
            </w:pPr>
            <w:r w:rsidRPr="008A0F36">
              <w:t>i decrementi dovuti al raccolto</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8A0F36" w:rsidRDefault="00A75E60" w:rsidP="00A75E60">
            <w:pPr>
              <w:pStyle w:val="IAS"/>
              <w:rPr>
                <w:lang w:val="it-IT"/>
              </w:rPr>
            </w:pPr>
          </w:p>
        </w:tc>
        <w:tc>
          <w:tcPr>
            <w:tcW w:w="7079" w:type="dxa"/>
            <w:shd w:val="clear" w:color="auto" w:fill="auto"/>
            <w:tcMar>
              <w:left w:w="108" w:type="dxa"/>
            </w:tcMar>
          </w:tcPr>
          <w:p w:rsidR="00A75E60" w:rsidRPr="008A0F36" w:rsidRDefault="00A75E60" w:rsidP="00A75E60">
            <w:pPr>
              <w:pStyle w:val="Rientroa"/>
              <w:numPr>
                <w:ilvl w:val="0"/>
                <w:numId w:val="72"/>
              </w:numPr>
            </w:pPr>
            <w:r w:rsidRPr="008A0F36">
              <w:t>gli incrementi risultanti dalle aggregazioni aziendali</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8A0F36" w:rsidRDefault="00A75E60" w:rsidP="00A75E60">
            <w:pPr>
              <w:pStyle w:val="IAS"/>
              <w:rPr>
                <w:lang w:val="it-IT"/>
              </w:rPr>
            </w:pPr>
          </w:p>
        </w:tc>
        <w:tc>
          <w:tcPr>
            <w:tcW w:w="7079" w:type="dxa"/>
            <w:shd w:val="clear" w:color="auto" w:fill="auto"/>
            <w:tcMar>
              <w:left w:w="108" w:type="dxa"/>
            </w:tcMar>
          </w:tcPr>
          <w:p w:rsidR="00A75E60" w:rsidRPr="008A0F36" w:rsidRDefault="00A75E60" w:rsidP="00C15B75">
            <w:pPr>
              <w:pStyle w:val="Rientroa"/>
              <w:numPr>
                <w:ilvl w:val="0"/>
                <w:numId w:val="72"/>
              </w:numPr>
              <w:spacing w:line="214" w:lineRule="exact"/>
              <w:ind w:left="389"/>
            </w:pPr>
            <w:r w:rsidRPr="008A0F36">
              <w:t xml:space="preserve">le differenze nette di cambio derivanti dalla traduzione del bilancio in una differente moneta di presentazione; e dalla traduzione, nella moneta di presentazione dell’entità che presenta il bilancio, dei valori di una controllata, </w:t>
            </w:r>
            <w:r w:rsidRPr="008A0F36">
              <w:rPr>
                <w:i/>
              </w:rPr>
              <w:t>joint venture</w:t>
            </w:r>
            <w:r w:rsidRPr="008A0F36">
              <w:t xml:space="preserve">, collegata o </w:t>
            </w:r>
            <w:r w:rsidRPr="008A0F36">
              <w:rPr>
                <w:i/>
              </w:rPr>
              <w:t>branch</w:t>
            </w:r>
            <w:r w:rsidRPr="008A0F36">
              <w:t xml:space="preserve"> (“</w:t>
            </w:r>
            <w:r w:rsidRPr="008A0F36">
              <w:rPr>
                <w:i/>
              </w:rPr>
              <w:t>foreign operation</w:t>
            </w:r>
            <w:r w:rsidRPr="008A0F36">
              <w:t>”) le cui attività siano condotte/presentate in una valuta diversa da quella dell’entità che presenta il bilancio</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A0F36"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8A0F36" w:rsidRDefault="00A75E60" w:rsidP="00A75E60">
            <w:pPr>
              <w:pStyle w:val="IAS"/>
              <w:rPr>
                <w:lang w:val="it-IT"/>
              </w:rPr>
            </w:pPr>
          </w:p>
        </w:tc>
        <w:tc>
          <w:tcPr>
            <w:tcW w:w="7079" w:type="dxa"/>
            <w:shd w:val="clear" w:color="auto" w:fill="auto"/>
            <w:tcMar>
              <w:left w:w="108" w:type="dxa"/>
            </w:tcMar>
          </w:tcPr>
          <w:p w:rsidR="00A75E60" w:rsidRPr="008A0F36" w:rsidRDefault="00A75E60" w:rsidP="00A75E60">
            <w:pPr>
              <w:pStyle w:val="Rientroa"/>
              <w:numPr>
                <w:ilvl w:val="0"/>
                <w:numId w:val="72"/>
              </w:numPr>
              <w:spacing w:line="226" w:lineRule="exact"/>
            </w:pPr>
            <w:r w:rsidRPr="008A0F36">
              <w:t>altri cambiamenti.</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pStyle w:val="Numeroelenco"/>
              <w:ind w:left="0" w:firstLine="57"/>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r w:rsidRPr="00237EFA">
              <w:rPr>
                <w:lang w:val="it-IT"/>
              </w:rPr>
              <w:t>IAS 41.51</w:t>
            </w:r>
          </w:p>
        </w:tc>
        <w:tc>
          <w:tcPr>
            <w:tcW w:w="7079" w:type="dxa"/>
            <w:shd w:val="clear" w:color="auto" w:fill="auto"/>
            <w:tcMar>
              <w:left w:w="108" w:type="dxa"/>
            </w:tcMar>
          </w:tcPr>
          <w:p w:rsidR="00A75E60" w:rsidRPr="00237EFA" w:rsidRDefault="00A75E60" w:rsidP="00A75E60">
            <w:pPr>
              <w:spacing w:line="210" w:lineRule="exact"/>
              <w:rPr>
                <w:lang w:val="it-IT"/>
              </w:rPr>
            </w:pPr>
            <w:r w:rsidRPr="00237EFA">
              <w:rPr>
                <w:lang w:val="it-IT"/>
              </w:rPr>
              <w:t xml:space="preserve">Nel caso in cui il ciclo produttivo sia superiore a un anno l’entità ha indicato separatamente, per gruppi o in altro modo, l’ammontare dei cambiamenti di </w:t>
            </w:r>
            <w:r w:rsidRPr="00237EFA">
              <w:rPr>
                <w:i/>
                <w:lang w:val="it-IT"/>
              </w:rPr>
              <w:t>fair value</w:t>
            </w:r>
            <w:r w:rsidRPr="00237EFA">
              <w:rPr>
                <w:lang w:val="it-IT"/>
              </w:rPr>
              <w:t xml:space="preserve"> al netto dei costi di vendita inclusi nel risultato d’esercizio dovuti a cambiamenti fisici e di prezzo. </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A44ECD" w:rsidTr="00F235B5">
        <w:trPr>
          <w:cantSplit/>
        </w:trPr>
        <w:tc>
          <w:tcPr>
            <w:tcW w:w="567" w:type="dxa"/>
            <w:shd w:val="clear" w:color="auto" w:fill="auto"/>
            <w:tcMar>
              <w:left w:w="108" w:type="dxa"/>
              <w:right w:w="0" w:type="dxa"/>
            </w:tcMar>
          </w:tcPr>
          <w:p w:rsidR="00A75E60" w:rsidRDefault="00A75E60" w:rsidP="00A75E60">
            <w:pPr>
              <w:pStyle w:val="Numeroelenco"/>
              <w:numPr>
                <w:ilvl w:val="0"/>
                <w:numId w:val="0"/>
              </w:numPr>
              <w:ind w:left="57"/>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r w:rsidRPr="00237EFA">
              <w:rPr>
                <w:lang w:val="it-IT"/>
              </w:rPr>
              <w:t>IAS 41.51</w:t>
            </w:r>
          </w:p>
        </w:tc>
        <w:tc>
          <w:tcPr>
            <w:tcW w:w="7079" w:type="dxa"/>
            <w:shd w:val="clear" w:color="auto" w:fill="auto"/>
            <w:tcMar>
              <w:left w:w="108" w:type="dxa"/>
            </w:tcMar>
          </w:tcPr>
          <w:p w:rsidR="00A75E60" w:rsidRPr="00237EFA" w:rsidRDefault="00A75E60" w:rsidP="00C15B75">
            <w:pPr>
              <w:pStyle w:val="Paragarfobordato"/>
            </w:pPr>
            <w:r w:rsidRPr="00237EFA">
              <w:t>L’informazione di cui al punto precedente è generalmente meno utile quando il processo produttivo è inferiore ad un anno.</w:t>
            </w:r>
          </w:p>
        </w:tc>
        <w:tc>
          <w:tcPr>
            <w:tcW w:w="575" w:type="dxa"/>
            <w:shd w:val="clear" w:color="auto" w:fill="auto"/>
            <w:tcMar>
              <w:left w:w="85" w:type="dxa"/>
              <w:right w:w="85" w:type="dxa"/>
            </w:tcMar>
            <w:vAlign w:val="center"/>
          </w:tcPr>
          <w:p w:rsidR="00A75E60" w:rsidRPr="00BC7990" w:rsidRDefault="00A75E60" w:rsidP="00A75E60">
            <w:pPr>
              <w:spacing w:line="226" w:lineRule="exact"/>
              <w:jc w:val="center"/>
              <w:rPr>
                <w:lang w:val="it-IT"/>
              </w:rPr>
            </w:pPr>
          </w:p>
        </w:tc>
        <w:tc>
          <w:tcPr>
            <w:tcW w:w="567" w:type="dxa"/>
            <w:shd w:val="clear" w:color="auto" w:fill="auto"/>
            <w:tcMar>
              <w:left w:w="108" w:type="dxa"/>
            </w:tcMar>
            <w:vAlign w:val="center"/>
          </w:tcPr>
          <w:p w:rsidR="00A75E60" w:rsidRPr="00BC7990" w:rsidRDefault="00A75E60" w:rsidP="00A75E60">
            <w:pPr>
              <w:spacing w:line="226" w:lineRule="exact"/>
              <w:jc w:val="center"/>
              <w:rPr>
                <w:lang w:val="it-IT"/>
              </w:rPr>
            </w:pPr>
          </w:p>
        </w:tc>
        <w:tc>
          <w:tcPr>
            <w:tcW w:w="567" w:type="dxa"/>
            <w:shd w:val="clear" w:color="auto" w:fill="auto"/>
            <w:vAlign w:val="center"/>
          </w:tcPr>
          <w:p w:rsidR="00A75E60" w:rsidRPr="00BC7990" w:rsidRDefault="00A75E60" w:rsidP="00A75E60">
            <w:pPr>
              <w:spacing w:line="226" w:lineRule="exact"/>
              <w:jc w:val="center"/>
              <w:rPr>
                <w:lang w:val="it-IT"/>
              </w:rPr>
            </w:pP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pStyle w:val="Numeroelenco"/>
              <w:ind w:left="0" w:firstLine="57"/>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r w:rsidRPr="00237EFA">
              <w:rPr>
                <w:lang w:val="it-IT"/>
              </w:rPr>
              <w:t>IAS 41.53</w:t>
            </w:r>
          </w:p>
        </w:tc>
        <w:tc>
          <w:tcPr>
            <w:tcW w:w="7079" w:type="dxa"/>
            <w:shd w:val="clear" w:color="auto" w:fill="auto"/>
            <w:tcMar>
              <w:left w:w="108" w:type="dxa"/>
            </w:tcMar>
          </w:tcPr>
          <w:p w:rsidR="00A75E60" w:rsidRPr="00237EFA" w:rsidRDefault="00A75E60" w:rsidP="00A75E60">
            <w:pPr>
              <w:rPr>
                <w:b/>
                <w:lang w:val="it-IT"/>
              </w:rPr>
            </w:pPr>
            <w:r w:rsidRPr="00237EFA">
              <w:rPr>
                <w:lang w:val="it-IT"/>
              </w:rPr>
              <w:t>L’entità ha fornito l’informativa, in accordo allo IAS 1, in merito alla natura e all’ammontare di eventuali proventi ed oneri significativi derivanti da eventi climatici e altri rischi naturali propri dell’attività agricola (ad esempio epidemia, inondazioni, siccità, gelate, invasioni di insetti, ecc.)</w:t>
            </w:r>
            <w:r>
              <w:rPr>
                <w:lang w:val="it-IT"/>
              </w:rPr>
              <w:t>.</w:t>
            </w:r>
            <w:r w:rsidRPr="00237EFA">
              <w:rPr>
                <w:lang w:val="it-IT"/>
              </w:rPr>
              <w:t xml:space="preserve"> </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A44ECD" w:rsidTr="00F235B5">
        <w:trPr>
          <w:cantSplit/>
        </w:trPr>
        <w:tc>
          <w:tcPr>
            <w:tcW w:w="567" w:type="dxa"/>
            <w:shd w:val="clear" w:color="auto" w:fill="auto"/>
            <w:tcMar>
              <w:left w:w="108" w:type="dxa"/>
              <w:right w:w="0" w:type="dxa"/>
            </w:tcMar>
          </w:tcPr>
          <w:p w:rsidR="00A75E60" w:rsidRPr="008A0F36" w:rsidRDefault="00A75E60" w:rsidP="00A75E60">
            <w:pPr>
              <w:pStyle w:val="IAS"/>
              <w:spacing w:after="40" w:line="240" w:lineRule="exact"/>
              <w:rPr>
                <w:lang w:val="it-IT"/>
              </w:rPr>
            </w:pPr>
          </w:p>
        </w:tc>
        <w:tc>
          <w:tcPr>
            <w:tcW w:w="851" w:type="dxa"/>
            <w:shd w:val="clear" w:color="auto" w:fill="auto"/>
            <w:tcMar>
              <w:left w:w="108" w:type="dxa"/>
              <w:right w:w="0" w:type="dxa"/>
            </w:tcMar>
          </w:tcPr>
          <w:p w:rsidR="00A75E60" w:rsidRPr="00237EFA" w:rsidRDefault="00A75E60" w:rsidP="00A75E60">
            <w:pPr>
              <w:pStyle w:val="IAS"/>
              <w:spacing w:after="40" w:line="240" w:lineRule="exact"/>
              <w:rPr>
                <w:lang w:val="it-IT"/>
              </w:rPr>
            </w:pPr>
          </w:p>
        </w:tc>
        <w:tc>
          <w:tcPr>
            <w:tcW w:w="7079" w:type="dxa"/>
            <w:shd w:val="clear" w:color="auto" w:fill="auto"/>
            <w:tcMar>
              <w:left w:w="108" w:type="dxa"/>
            </w:tcMar>
          </w:tcPr>
          <w:p w:rsidR="00A75E60" w:rsidRPr="00237EFA" w:rsidRDefault="00A75E60" w:rsidP="00A75E60">
            <w:pPr>
              <w:pStyle w:val="Titolo2"/>
              <w:keepNext w:val="0"/>
              <w:spacing w:before="40" w:after="40" w:line="226" w:lineRule="exact"/>
              <w:jc w:val="both"/>
              <w:rPr>
                <w:lang w:val="it-IT"/>
              </w:rPr>
            </w:pPr>
            <w:r w:rsidRPr="00237EFA">
              <w:rPr>
                <w:lang w:val="it-IT"/>
              </w:rPr>
              <w:t xml:space="preserve">Informazioni quando il </w:t>
            </w:r>
            <w:r w:rsidRPr="00237EFA">
              <w:rPr>
                <w:i/>
                <w:lang w:val="it-IT"/>
              </w:rPr>
              <w:t>fair value</w:t>
            </w:r>
            <w:r w:rsidRPr="00237EFA">
              <w:rPr>
                <w:lang w:val="it-IT"/>
              </w:rPr>
              <w:t xml:space="preserve"> non può essere valutato attendibilmente</w:t>
            </w:r>
          </w:p>
        </w:tc>
        <w:tc>
          <w:tcPr>
            <w:tcW w:w="575" w:type="dxa"/>
            <w:shd w:val="clear" w:color="auto" w:fill="auto"/>
            <w:tcMar>
              <w:left w:w="85" w:type="dxa"/>
              <w:right w:w="85" w:type="dxa"/>
            </w:tcMar>
            <w:vAlign w:val="center"/>
          </w:tcPr>
          <w:p w:rsidR="00A75E60" w:rsidRPr="00090BE7" w:rsidRDefault="00A75E60" w:rsidP="00A75E60">
            <w:pPr>
              <w:spacing w:before="40" w:after="40" w:line="226" w:lineRule="exact"/>
              <w:jc w:val="center"/>
              <w:rPr>
                <w:lang w:val="it-IT"/>
              </w:rPr>
            </w:pPr>
          </w:p>
        </w:tc>
        <w:tc>
          <w:tcPr>
            <w:tcW w:w="567" w:type="dxa"/>
            <w:shd w:val="clear" w:color="auto" w:fill="auto"/>
            <w:tcMar>
              <w:left w:w="108" w:type="dxa"/>
            </w:tcMar>
            <w:vAlign w:val="center"/>
          </w:tcPr>
          <w:p w:rsidR="00A75E60" w:rsidRPr="00090BE7" w:rsidRDefault="00A75E60" w:rsidP="00A75E60">
            <w:pPr>
              <w:spacing w:before="40" w:after="40" w:line="226" w:lineRule="exact"/>
              <w:jc w:val="center"/>
              <w:rPr>
                <w:lang w:val="it-IT"/>
              </w:rPr>
            </w:pPr>
          </w:p>
        </w:tc>
        <w:tc>
          <w:tcPr>
            <w:tcW w:w="567" w:type="dxa"/>
            <w:shd w:val="clear" w:color="auto" w:fill="auto"/>
            <w:vAlign w:val="center"/>
          </w:tcPr>
          <w:p w:rsidR="00A75E60" w:rsidRPr="00090BE7" w:rsidRDefault="00A75E60" w:rsidP="00A75E60">
            <w:pPr>
              <w:spacing w:before="40" w:after="40" w:line="226" w:lineRule="exact"/>
              <w:jc w:val="center"/>
              <w:rPr>
                <w:lang w:val="it-IT"/>
              </w:rPr>
            </w:pPr>
          </w:p>
        </w:tc>
      </w:tr>
      <w:tr w:rsidR="00A75E60" w:rsidRPr="00A44ECD" w:rsidTr="00F235B5">
        <w:trPr>
          <w:cantSplit/>
        </w:trPr>
        <w:tc>
          <w:tcPr>
            <w:tcW w:w="567" w:type="dxa"/>
            <w:shd w:val="clear" w:color="auto" w:fill="auto"/>
            <w:tcMar>
              <w:left w:w="108" w:type="dxa"/>
              <w:right w:w="0" w:type="dxa"/>
            </w:tcMar>
          </w:tcPr>
          <w:p w:rsidR="00A75E60" w:rsidRPr="008A0F36" w:rsidRDefault="00A75E60" w:rsidP="00A75E60">
            <w:pPr>
              <w:pStyle w:val="Numeroelenco"/>
              <w:ind w:left="0" w:firstLine="57"/>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r w:rsidRPr="00237EFA">
              <w:rPr>
                <w:lang w:val="it-IT"/>
              </w:rPr>
              <w:t>IAS 41.54, IAS 41.30</w:t>
            </w:r>
          </w:p>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rPr>
                <w:lang w:val="it-IT"/>
              </w:rPr>
            </w:pPr>
            <w:r w:rsidRPr="00237EFA">
              <w:rPr>
                <w:lang w:val="it-IT"/>
              </w:rPr>
              <w:t xml:space="preserve">Se l’entità valuta le attività biologiche al loro costo al netto di ogni ammortamento accumulato e di ogni perdita per riduzione di valore accumulata alla fine dell’esercizio (dato che il </w:t>
            </w:r>
            <w:r w:rsidRPr="00237EFA">
              <w:rPr>
                <w:i/>
                <w:lang w:val="it-IT"/>
              </w:rPr>
              <w:t>fair value</w:t>
            </w:r>
            <w:r w:rsidRPr="00237EFA">
              <w:rPr>
                <w:lang w:val="it-IT"/>
              </w:rPr>
              <w:t xml:space="preserve"> non può essere valutato</w:t>
            </w:r>
            <w:r>
              <w:rPr>
                <w:lang w:val="it-IT"/>
              </w:rPr>
              <w:t xml:space="preserve"> </w:t>
            </w:r>
            <w:r w:rsidRPr="00237EFA">
              <w:rPr>
                <w:lang w:val="it-IT"/>
              </w:rPr>
              <w:t>attendibilmente, vedi IAS 41.30 per disposizioni ulteriori) devono essere indicate le seguenti informazioni per ogni attività biologica:</w:t>
            </w:r>
          </w:p>
        </w:tc>
        <w:tc>
          <w:tcPr>
            <w:tcW w:w="575" w:type="dxa"/>
            <w:shd w:val="clear" w:color="auto" w:fill="auto"/>
            <w:tcMar>
              <w:left w:w="85" w:type="dxa"/>
              <w:right w:w="85" w:type="dxa"/>
            </w:tcMar>
            <w:vAlign w:val="center"/>
          </w:tcPr>
          <w:p w:rsidR="00A75E60" w:rsidRPr="00090BE7" w:rsidRDefault="00A75E60" w:rsidP="00A75E60">
            <w:pPr>
              <w:spacing w:line="226" w:lineRule="exact"/>
              <w:jc w:val="center"/>
              <w:rPr>
                <w:lang w:val="it-IT"/>
              </w:rPr>
            </w:pPr>
          </w:p>
        </w:tc>
        <w:tc>
          <w:tcPr>
            <w:tcW w:w="567" w:type="dxa"/>
            <w:shd w:val="clear" w:color="auto" w:fill="auto"/>
            <w:tcMar>
              <w:left w:w="108" w:type="dxa"/>
            </w:tcMar>
            <w:vAlign w:val="center"/>
          </w:tcPr>
          <w:p w:rsidR="00A75E60" w:rsidRPr="00090BE7" w:rsidRDefault="00A75E60" w:rsidP="00A75E60">
            <w:pPr>
              <w:spacing w:line="226" w:lineRule="exact"/>
              <w:jc w:val="center"/>
              <w:rPr>
                <w:lang w:val="it-IT"/>
              </w:rPr>
            </w:pPr>
          </w:p>
        </w:tc>
        <w:tc>
          <w:tcPr>
            <w:tcW w:w="567" w:type="dxa"/>
            <w:shd w:val="clear" w:color="auto" w:fill="auto"/>
            <w:vAlign w:val="center"/>
          </w:tcPr>
          <w:p w:rsidR="00A75E60" w:rsidRPr="00090BE7" w:rsidRDefault="00A75E60" w:rsidP="00A75E60">
            <w:pPr>
              <w:spacing w:line="226" w:lineRule="exact"/>
              <w:jc w:val="center"/>
              <w:rPr>
                <w:lang w:val="it-IT"/>
              </w:rPr>
            </w:pP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Rientroa"/>
              <w:numPr>
                <w:ilvl w:val="0"/>
                <w:numId w:val="163"/>
              </w:numPr>
              <w:tabs>
                <w:tab w:val="center" w:pos="4536"/>
                <w:tab w:val="right" w:pos="9072"/>
              </w:tabs>
              <w:spacing w:line="226" w:lineRule="exact"/>
              <w:rPr>
                <w:iCs/>
                <w:spacing w:val="-2"/>
              </w:rPr>
            </w:pPr>
            <w:r w:rsidRPr="00237EFA">
              <w:t>una descrizione delle attività biologiche</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Rientroa"/>
              <w:numPr>
                <w:ilvl w:val="0"/>
                <w:numId w:val="72"/>
              </w:numPr>
              <w:spacing w:line="226" w:lineRule="exact"/>
            </w:pPr>
            <w:r w:rsidRPr="00237EFA">
              <w:t xml:space="preserve">una spiegazione del perché il </w:t>
            </w:r>
            <w:r w:rsidRPr="00237EFA">
              <w:rPr>
                <w:i/>
              </w:rPr>
              <w:t>fair value</w:t>
            </w:r>
            <w:r w:rsidRPr="00237EFA">
              <w:t xml:space="preserve"> non può essere valutato attendibilmente</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Rientroa"/>
              <w:numPr>
                <w:ilvl w:val="0"/>
                <w:numId w:val="72"/>
              </w:numPr>
              <w:spacing w:line="226" w:lineRule="exact"/>
            </w:pPr>
            <w:r w:rsidRPr="00237EFA">
              <w:t xml:space="preserve">se possibile, la gamma di stime entro cui il </w:t>
            </w:r>
            <w:r w:rsidRPr="00237EFA">
              <w:rPr>
                <w:i/>
              </w:rPr>
              <w:t>fair value</w:t>
            </w:r>
            <w:r w:rsidRPr="00237EFA">
              <w:t xml:space="preserve"> è altamente probabile che si trovi</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Rientroa"/>
              <w:numPr>
                <w:ilvl w:val="0"/>
                <w:numId w:val="72"/>
              </w:numPr>
              <w:spacing w:line="226" w:lineRule="exact"/>
            </w:pPr>
            <w:r w:rsidRPr="00237EFA">
              <w:t>il metodo di ammortamento utilizzato</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Rientroa"/>
              <w:numPr>
                <w:ilvl w:val="0"/>
                <w:numId w:val="72"/>
              </w:numPr>
              <w:spacing w:line="226" w:lineRule="exact"/>
            </w:pPr>
            <w:r w:rsidRPr="00237EFA">
              <w:t>le vite utili o le aliquote di ammortamento utilizzate; e</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Rientroa"/>
              <w:numPr>
                <w:ilvl w:val="0"/>
                <w:numId w:val="72"/>
              </w:numPr>
              <w:ind w:left="391" w:hanging="357"/>
            </w:pPr>
            <w:r w:rsidRPr="00237EFA">
              <w:t>il valore contabile lordo e l’ammortamento accumulato (aggregato con le perdite per riduzione di valore accumulate) all’inizio e alla fine dell’esercizio.</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A0F36" w:rsidTr="00F235B5">
        <w:trPr>
          <w:cantSplit/>
        </w:trPr>
        <w:tc>
          <w:tcPr>
            <w:tcW w:w="567" w:type="dxa"/>
            <w:shd w:val="clear" w:color="auto" w:fill="auto"/>
            <w:tcMar>
              <w:left w:w="108" w:type="dxa"/>
              <w:right w:w="0" w:type="dxa"/>
            </w:tcMar>
          </w:tcPr>
          <w:p w:rsidR="00A75E60" w:rsidRPr="008A0F36" w:rsidRDefault="00A75E60" w:rsidP="00A75E60">
            <w:pPr>
              <w:pStyle w:val="Numeroelenco"/>
              <w:ind w:left="0" w:firstLine="57"/>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r w:rsidRPr="00237EFA">
              <w:rPr>
                <w:lang w:val="it-IT"/>
              </w:rPr>
              <w:t>IAS 41.50</w:t>
            </w:r>
          </w:p>
        </w:tc>
        <w:tc>
          <w:tcPr>
            <w:tcW w:w="7079" w:type="dxa"/>
            <w:shd w:val="clear" w:color="auto" w:fill="auto"/>
            <w:tcMar>
              <w:left w:w="108" w:type="dxa"/>
            </w:tcMar>
          </w:tcPr>
          <w:p w:rsidR="00A75E60" w:rsidRPr="00237EFA" w:rsidRDefault="00A75E60" w:rsidP="00A75E60">
            <w:pPr>
              <w:spacing w:line="226" w:lineRule="exact"/>
              <w:rPr>
                <w:lang w:val="it-IT"/>
              </w:rPr>
            </w:pPr>
            <w:r w:rsidRPr="00237EFA">
              <w:rPr>
                <w:lang w:val="it-IT"/>
              </w:rPr>
              <w:t>Un’entità presenta una riconciliazione dei cambiamenti dei valori contabili delle attività biologiche tra l’inizio e la fine dell’esercizio in corso. Tale riconciliazione include:</w:t>
            </w:r>
          </w:p>
        </w:tc>
        <w:tc>
          <w:tcPr>
            <w:tcW w:w="575" w:type="dxa"/>
            <w:shd w:val="clear" w:color="auto" w:fill="auto"/>
            <w:tcMar>
              <w:left w:w="85" w:type="dxa"/>
              <w:right w:w="85" w:type="dxa"/>
            </w:tcMar>
            <w:vAlign w:val="center"/>
          </w:tcPr>
          <w:p w:rsidR="00A75E60" w:rsidRDefault="00A75E60" w:rsidP="00A75E60">
            <w:pPr>
              <w:spacing w:line="226" w:lineRule="exact"/>
              <w:jc w:val="center"/>
            </w:pPr>
          </w:p>
        </w:tc>
        <w:tc>
          <w:tcPr>
            <w:tcW w:w="567" w:type="dxa"/>
            <w:shd w:val="clear" w:color="auto" w:fill="auto"/>
            <w:tcMar>
              <w:left w:w="108" w:type="dxa"/>
            </w:tcMar>
            <w:vAlign w:val="center"/>
          </w:tcPr>
          <w:p w:rsidR="00A75E60" w:rsidRDefault="00A75E60" w:rsidP="00A75E60">
            <w:pPr>
              <w:spacing w:line="226" w:lineRule="exact"/>
              <w:jc w:val="center"/>
            </w:pPr>
          </w:p>
        </w:tc>
        <w:tc>
          <w:tcPr>
            <w:tcW w:w="567" w:type="dxa"/>
            <w:shd w:val="clear" w:color="auto" w:fill="auto"/>
            <w:vAlign w:val="center"/>
          </w:tcPr>
          <w:p w:rsidR="00A75E60" w:rsidRDefault="00A75E60" w:rsidP="00A75E60">
            <w:pPr>
              <w:spacing w:line="226" w:lineRule="exact"/>
              <w:jc w:val="center"/>
            </w:pP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Rientroa"/>
              <w:numPr>
                <w:ilvl w:val="0"/>
                <w:numId w:val="164"/>
              </w:numPr>
              <w:tabs>
                <w:tab w:val="center" w:pos="4536"/>
                <w:tab w:val="right" w:pos="9072"/>
              </w:tabs>
              <w:spacing w:line="226" w:lineRule="exact"/>
              <w:rPr>
                <w:iCs/>
                <w:spacing w:val="-2"/>
              </w:rPr>
            </w:pPr>
            <w:r w:rsidRPr="00237EFA">
              <w:t xml:space="preserve">l’utile o la perdita derivante dalla variazione del </w:t>
            </w:r>
            <w:r w:rsidRPr="00237EFA">
              <w:rPr>
                <w:i/>
              </w:rPr>
              <w:t>fair value</w:t>
            </w:r>
            <w:r w:rsidRPr="00237EFA">
              <w:t xml:space="preserve"> al netto dei costi di vendita</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Rientroa"/>
              <w:numPr>
                <w:ilvl w:val="0"/>
                <w:numId w:val="72"/>
              </w:numPr>
              <w:spacing w:line="226" w:lineRule="exact"/>
            </w:pPr>
            <w:r w:rsidRPr="00237EFA">
              <w:t>gli incrementi dovuti agli acquisti</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r w:rsidRPr="00237EFA">
              <w:rPr>
                <w:lang w:val="it-IT"/>
              </w:rPr>
              <w:t>IFRS 5.6</w:t>
            </w:r>
          </w:p>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Rientroa"/>
              <w:numPr>
                <w:ilvl w:val="0"/>
                <w:numId w:val="72"/>
              </w:numPr>
              <w:ind w:left="391" w:hanging="357"/>
            </w:pPr>
            <w:r w:rsidRPr="00237EFA">
              <w:t>i decrementi dovuti alle vendite e alle attività biologiche, classificate come possedute per la vendita in conformità all’IFRS 5</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Rientroa"/>
              <w:numPr>
                <w:ilvl w:val="0"/>
                <w:numId w:val="72"/>
              </w:numPr>
              <w:spacing w:line="226" w:lineRule="exact"/>
            </w:pPr>
            <w:r w:rsidRPr="00237EFA">
              <w:t>i decrementi dovuti al raccolto</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Rientroa"/>
              <w:numPr>
                <w:ilvl w:val="0"/>
                <w:numId w:val="72"/>
              </w:numPr>
              <w:spacing w:line="226" w:lineRule="exact"/>
            </w:pPr>
            <w:r w:rsidRPr="00237EFA">
              <w:t>gli incrementi risultanti dalle aggregazioni aziendali</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Rientroa"/>
              <w:numPr>
                <w:ilvl w:val="0"/>
                <w:numId w:val="72"/>
              </w:numPr>
              <w:ind w:left="391" w:hanging="357"/>
            </w:pPr>
            <w:r w:rsidRPr="00237EFA">
              <w:t xml:space="preserve">le differenze nette di cambio derivanti dalla traduzione del bilancio in una differente moneta di presentazione e dalla traduzione, nella moneta di presentazione dell’entità che presenta il bilancio, dei valori di una controllata, </w:t>
            </w:r>
            <w:r w:rsidRPr="00237EFA">
              <w:rPr>
                <w:i/>
              </w:rPr>
              <w:t>joint venture</w:t>
            </w:r>
            <w:r w:rsidRPr="00237EFA">
              <w:t xml:space="preserve">, collegata o </w:t>
            </w:r>
            <w:r w:rsidRPr="00237EFA">
              <w:rPr>
                <w:i/>
              </w:rPr>
              <w:t>branch</w:t>
            </w:r>
            <w:r w:rsidRPr="00237EFA">
              <w:t xml:space="preserve"> (“</w:t>
            </w:r>
            <w:r w:rsidRPr="00237EFA">
              <w:rPr>
                <w:i/>
              </w:rPr>
              <w:t>foreign operation</w:t>
            </w:r>
            <w:r w:rsidRPr="00237EFA">
              <w:t>”) le cui attività siano condotte/presentate in una valuta diversa da quella dell’entità che presenta il bilancio</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A0F36"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Rientroa"/>
              <w:numPr>
                <w:ilvl w:val="0"/>
                <w:numId w:val="72"/>
              </w:numPr>
              <w:spacing w:line="226" w:lineRule="exact"/>
            </w:pPr>
            <w:r>
              <w:t>a</w:t>
            </w:r>
            <w:r w:rsidRPr="00237EFA">
              <w:t>ltri cambiamenti.</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A44ECD" w:rsidTr="00F235B5">
        <w:trPr>
          <w:cantSplit/>
        </w:trPr>
        <w:tc>
          <w:tcPr>
            <w:tcW w:w="567" w:type="dxa"/>
            <w:shd w:val="clear" w:color="auto" w:fill="auto"/>
            <w:tcMar>
              <w:left w:w="108" w:type="dxa"/>
              <w:right w:w="0" w:type="dxa"/>
            </w:tcMar>
          </w:tcPr>
          <w:p w:rsidR="00A75E60" w:rsidRPr="008A0F36" w:rsidRDefault="00A75E60" w:rsidP="00A75E60">
            <w:pPr>
              <w:pStyle w:val="Numeroelenco"/>
              <w:spacing w:line="224" w:lineRule="exact"/>
              <w:ind w:left="0" w:firstLine="57"/>
              <w:rPr>
                <w:lang w:val="it-IT"/>
              </w:rPr>
            </w:pPr>
          </w:p>
        </w:tc>
        <w:tc>
          <w:tcPr>
            <w:tcW w:w="851" w:type="dxa"/>
            <w:shd w:val="clear" w:color="auto" w:fill="auto"/>
            <w:tcMar>
              <w:left w:w="108" w:type="dxa"/>
              <w:right w:w="0" w:type="dxa"/>
            </w:tcMar>
          </w:tcPr>
          <w:p w:rsidR="00A75E60" w:rsidRPr="00237EFA" w:rsidRDefault="00A75E60" w:rsidP="00A75E60">
            <w:pPr>
              <w:pStyle w:val="IAS"/>
              <w:spacing w:before="20" w:line="224" w:lineRule="exact"/>
              <w:rPr>
                <w:lang w:val="it-IT"/>
              </w:rPr>
            </w:pPr>
            <w:r w:rsidRPr="00237EFA">
              <w:rPr>
                <w:lang w:val="it-IT"/>
              </w:rPr>
              <w:t>IAS 41.55</w:t>
            </w:r>
          </w:p>
        </w:tc>
        <w:tc>
          <w:tcPr>
            <w:tcW w:w="7079" w:type="dxa"/>
            <w:shd w:val="clear" w:color="auto" w:fill="auto"/>
            <w:tcMar>
              <w:left w:w="108" w:type="dxa"/>
            </w:tcMar>
          </w:tcPr>
          <w:p w:rsidR="00A75E60" w:rsidRPr="00237EFA" w:rsidRDefault="00A75E60" w:rsidP="00A75E60">
            <w:pPr>
              <w:spacing w:line="226" w:lineRule="exact"/>
              <w:rPr>
                <w:lang w:val="it-IT"/>
              </w:rPr>
            </w:pPr>
            <w:r w:rsidRPr="00237EFA">
              <w:rPr>
                <w:lang w:val="it-IT"/>
              </w:rPr>
              <w:t xml:space="preserve">Se, durante l’esercizio in corso, l’entità valuta le attività biologiche al loro costo al netto di ogni ammortamento accumulato e di ogni perdita per riduzione di valore accumulata (si veda IAS 41.30), essa deve indicare: </w:t>
            </w:r>
          </w:p>
        </w:tc>
        <w:tc>
          <w:tcPr>
            <w:tcW w:w="575" w:type="dxa"/>
            <w:shd w:val="clear" w:color="auto" w:fill="auto"/>
            <w:tcMar>
              <w:left w:w="85" w:type="dxa"/>
              <w:right w:w="85" w:type="dxa"/>
            </w:tcMar>
            <w:vAlign w:val="center"/>
          </w:tcPr>
          <w:p w:rsidR="00A75E60" w:rsidRPr="00090BE7" w:rsidRDefault="00A75E60" w:rsidP="00A75E60">
            <w:pPr>
              <w:spacing w:line="226" w:lineRule="exact"/>
              <w:jc w:val="center"/>
              <w:rPr>
                <w:lang w:val="it-IT"/>
              </w:rPr>
            </w:pPr>
          </w:p>
        </w:tc>
        <w:tc>
          <w:tcPr>
            <w:tcW w:w="567" w:type="dxa"/>
            <w:shd w:val="clear" w:color="auto" w:fill="auto"/>
            <w:tcMar>
              <w:left w:w="108" w:type="dxa"/>
            </w:tcMar>
            <w:vAlign w:val="center"/>
          </w:tcPr>
          <w:p w:rsidR="00A75E60" w:rsidRPr="00090BE7" w:rsidRDefault="00A75E60" w:rsidP="00A75E60">
            <w:pPr>
              <w:spacing w:line="226" w:lineRule="exact"/>
              <w:jc w:val="center"/>
              <w:rPr>
                <w:lang w:val="it-IT"/>
              </w:rPr>
            </w:pPr>
          </w:p>
        </w:tc>
        <w:tc>
          <w:tcPr>
            <w:tcW w:w="567" w:type="dxa"/>
            <w:shd w:val="clear" w:color="auto" w:fill="auto"/>
            <w:vAlign w:val="center"/>
          </w:tcPr>
          <w:p w:rsidR="00A75E60" w:rsidRPr="00090BE7" w:rsidRDefault="00A75E60" w:rsidP="00A75E60">
            <w:pPr>
              <w:spacing w:line="226" w:lineRule="exact"/>
              <w:jc w:val="center"/>
              <w:rPr>
                <w:lang w:val="it-IT"/>
              </w:rPr>
            </w:pP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Rientroa"/>
              <w:numPr>
                <w:ilvl w:val="0"/>
                <w:numId w:val="181"/>
              </w:numPr>
              <w:spacing w:line="226" w:lineRule="exact"/>
              <w:rPr>
                <w:iCs/>
              </w:rPr>
            </w:pPr>
            <w:r w:rsidRPr="00237EFA">
              <w:t>ogni provento od onere rilevato per la dismissione di tali attività biologiche; e</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A0F36"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Rientroa"/>
              <w:numPr>
                <w:ilvl w:val="0"/>
                <w:numId w:val="72"/>
              </w:numPr>
              <w:spacing w:line="240" w:lineRule="exact"/>
              <w:ind w:left="391" w:hanging="357"/>
            </w:pPr>
            <w:r w:rsidRPr="00237EFA">
              <w:t>una riconciliazione separata dei cambiamenti dei valori di tali attività biologiche all’inizio e alla fine dell’esercizio, che includa le informazioni previste dal paragrafo 50 dello IAS 41 (vedi punto precedente). Inoltre la riconciliazione deve indicare:</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p>
        </w:tc>
        <w:tc>
          <w:tcPr>
            <w:tcW w:w="567" w:type="dxa"/>
            <w:shd w:val="clear" w:color="auto" w:fill="auto"/>
            <w:tcMar>
              <w:left w:w="108" w:type="dxa"/>
            </w:tcMar>
            <w:vAlign w:val="center"/>
          </w:tcPr>
          <w:p w:rsidR="00A75E60" w:rsidRPr="00A32A16" w:rsidRDefault="00A75E60" w:rsidP="00A75E60">
            <w:pPr>
              <w:jc w:val="center"/>
              <w:rPr>
                <w:lang w:val="it-IT"/>
              </w:rPr>
            </w:pPr>
          </w:p>
        </w:tc>
        <w:tc>
          <w:tcPr>
            <w:tcW w:w="567" w:type="dxa"/>
            <w:shd w:val="clear" w:color="auto" w:fill="auto"/>
            <w:vAlign w:val="center"/>
          </w:tcPr>
          <w:p w:rsidR="00A75E60" w:rsidRPr="00A32A16" w:rsidRDefault="00A75E60" w:rsidP="00A75E60">
            <w:pPr>
              <w:jc w:val="center"/>
              <w:rPr>
                <w:lang w:val="it-IT"/>
              </w:rPr>
            </w:pP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Puntoelenco"/>
              <w:spacing w:line="226" w:lineRule="exact"/>
              <w:ind w:hanging="322"/>
            </w:pPr>
            <w:r w:rsidRPr="00237EFA">
              <w:t>perdite per riduzione di valore</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A0F36"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Puntoelenco"/>
              <w:spacing w:line="226" w:lineRule="exact"/>
              <w:ind w:hanging="322"/>
            </w:pPr>
            <w:r w:rsidRPr="00237EFA">
              <w:t>ripristini di valore</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A0F36"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Puntoelenco"/>
              <w:spacing w:line="226" w:lineRule="exact"/>
              <w:ind w:hanging="322"/>
            </w:pPr>
            <w:r w:rsidRPr="00237EFA">
              <w:t xml:space="preserve">ammortamenti. </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A44ECD" w:rsidTr="00F235B5">
        <w:trPr>
          <w:cantSplit/>
        </w:trPr>
        <w:tc>
          <w:tcPr>
            <w:tcW w:w="567" w:type="dxa"/>
            <w:shd w:val="clear" w:color="auto" w:fill="auto"/>
            <w:tcMar>
              <w:left w:w="108" w:type="dxa"/>
              <w:right w:w="0" w:type="dxa"/>
            </w:tcMar>
          </w:tcPr>
          <w:p w:rsidR="00A75E60" w:rsidRPr="008A0F36" w:rsidRDefault="00A75E60" w:rsidP="00A75E60">
            <w:pPr>
              <w:pStyle w:val="Numeroelenco"/>
              <w:ind w:left="0" w:firstLine="57"/>
              <w:rPr>
                <w:lang w:val="it-IT"/>
              </w:rPr>
            </w:pPr>
            <w:bookmarkStart w:id="10" w:name="_Toc45713732"/>
            <w:bookmarkStart w:id="11" w:name="_Toc64784199"/>
            <w:bookmarkStart w:id="12" w:name="_Toc73443701"/>
          </w:p>
        </w:tc>
        <w:tc>
          <w:tcPr>
            <w:tcW w:w="851" w:type="dxa"/>
            <w:shd w:val="clear" w:color="auto" w:fill="auto"/>
            <w:tcMar>
              <w:left w:w="108" w:type="dxa"/>
              <w:right w:w="0" w:type="dxa"/>
            </w:tcMar>
          </w:tcPr>
          <w:p w:rsidR="00A75E60" w:rsidRPr="00237EFA" w:rsidRDefault="00A75E60" w:rsidP="00A75E60">
            <w:pPr>
              <w:pStyle w:val="IAS"/>
              <w:rPr>
                <w:lang w:val="it-IT"/>
              </w:rPr>
            </w:pPr>
            <w:r w:rsidRPr="00237EFA">
              <w:rPr>
                <w:lang w:val="it-IT"/>
              </w:rPr>
              <w:t>IAS 41.56</w:t>
            </w:r>
          </w:p>
        </w:tc>
        <w:tc>
          <w:tcPr>
            <w:tcW w:w="7079" w:type="dxa"/>
            <w:shd w:val="clear" w:color="auto" w:fill="auto"/>
            <w:tcMar>
              <w:left w:w="108" w:type="dxa"/>
            </w:tcMar>
          </w:tcPr>
          <w:p w:rsidR="00A75E60" w:rsidRPr="00237EFA" w:rsidRDefault="00A75E60" w:rsidP="00A75E60">
            <w:pPr>
              <w:spacing w:line="240" w:lineRule="exact"/>
              <w:rPr>
                <w:lang w:val="it-IT"/>
              </w:rPr>
            </w:pPr>
            <w:r w:rsidRPr="00237EFA">
              <w:rPr>
                <w:lang w:val="it-IT"/>
              </w:rPr>
              <w:t xml:space="preserve">Se il </w:t>
            </w:r>
            <w:r w:rsidRPr="00237EFA">
              <w:rPr>
                <w:i/>
                <w:lang w:val="it-IT"/>
              </w:rPr>
              <w:t>fair value</w:t>
            </w:r>
            <w:r w:rsidRPr="00237EFA">
              <w:rPr>
                <w:lang w:val="it-IT"/>
              </w:rPr>
              <w:t xml:space="preserve"> di </w:t>
            </w:r>
            <w:r>
              <w:rPr>
                <w:lang w:val="it-IT"/>
              </w:rPr>
              <w:t>un’a</w:t>
            </w:r>
            <w:r w:rsidRPr="00237EFA">
              <w:rPr>
                <w:lang w:val="it-IT"/>
              </w:rPr>
              <w:t>ttività biologica precedentemente valutata al costo al netto di ogni ammortamento accumulato e di ogni perdita per riduzione di valore accumulata diviene attendibilmente valutabile durante l’esercizio in corso, l’entità deve indicare:</w:t>
            </w:r>
          </w:p>
        </w:tc>
        <w:tc>
          <w:tcPr>
            <w:tcW w:w="575" w:type="dxa"/>
            <w:shd w:val="clear" w:color="auto" w:fill="auto"/>
            <w:tcMar>
              <w:left w:w="85" w:type="dxa"/>
              <w:right w:w="85" w:type="dxa"/>
            </w:tcMar>
            <w:vAlign w:val="center"/>
          </w:tcPr>
          <w:p w:rsidR="00A75E60" w:rsidRPr="00090BE7" w:rsidRDefault="00A75E60" w:rsidP="00A75E60">
            <w:pPr>
              <w:spacing w:line="226" w:lineRule="exact"/>
              <w:jc w:val="center"/>
              <w:rPr>
                <w:lang w:val="it-IT"/>
              </w:rPr>
            </w:pPr>
          </w:p>
        </w:tc>
        <w:tc>
          <w:tcPr>
            <w:tcW w:w="567" w:type="dxa"/>
            <w:shd w:val="clear" w:color="auto" w:fill="auto"/>
            <w:tcMar>
              <w:left w:w="108" w:type="dxa"/>
            </w:tcMar>
            <w:vAlign w:val="center"/>
          </w:tcPr>
          <w:p w:rsidR="00A75E60" w:rsidRPr="00090BE7" w:rsidRDefault="00A75E60" w:rsidP="00A75E60">
            <w:pPr>
              <w:spacing w:line="226" w:lineRule="exact"/>
              <w:jc w:val="center"/>
              <w:rPr>
                <w:lang w:val="it-IT"/>
              </w:rPr>
            </w:pPr>
          </w:p>
        </w:tc>
        <w:tc>
          <w:tcPr>
            <w:tcW w:w="567" w:type="dxa"/>
            <w:shd w:val="clear" w:color="auto" w:fill="auto"/>
            <w:vAlign w:val="center"/>
          </w:tcPr>
          <w:p w:rsidR="00A75E60" w:rsidRPr="00090BE7" w:rsidRDefault="00A75E60" w:rsidP="00A75E60">
            <w:pPr>
              <w:spacing w:line="226" w:lineRule="exact"/>
              <w:jc w:val="center"/>
              <w:rPr>
                <w:lang w:val="it-IT"/>
              </w:rPr>
            </w:pP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Rientroa"/>
              <w:numPr>
                <w:ilvl w:val="0"/>
                <w:numId w:val="165"/>
              </w:numPr>
              <w:tabs>
                <w:tab w:val="center" w:pos="4536"/>
                <w:tab w:val="right" w:pos="9072"/>
              </w:tabs>
              <w:spacing w:line="226" w:lineRule="exact"/>
              <w:rPr>
                <w:iCs/>
                <w:spacing w:val="-2"/>
              </w:rPr>
            </w:pPr>
            <w:r w:rsidRPr="00237EFA">
              <w:t>una descrizione delle attività biologiche</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Rientroa"/>
              <w:numPr>
                <w:ilvl w:val="0"/>
                <w:numId w:val="72"/>
              </w:numPr>
              <w:spacing w:line="226" w:lineRule="exact"/>
            </w:pPr>
            <w:r w:rsidRPr="00237EFA">
              <w:t xml:space="preserve">una spiegazione del perché il </w:t>
            </w:r>
            <w:r w:rsidRPr="00237EFA">
              <w:rPr>
                <w:i/>
              </w:rPr>
              <w:t>fair value</w:t>
            </w:r>
            <w:r w:rsidRPr="00237EFA">
              <w:t xml:space="preserve"> è divenuto attendibilmente valutabile; e</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A0F36"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Rientroa"/>
              <w:numPr>
                <w:ilvl w:val="0"/>
                <w:numId w:val="72"/>
              </w:numPr>
              <w:spacing w:line="226" w:lineRule="exact"/>
            </w:pPr>
            <w:r w:rsidRPr="00237EFA">
              <w:t>l’effetto di tale cambiamento.</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A44ECD" w:rsidTr="00F235B5">
        <w:trPr>
          <w:cantSplit/>
        </w:trPr>
        <w:tc>
          <w:tcPr>
            <w:tcW w:w="567" w:type="dxa"/>
            <w:shd w:val="clear" w:color="auto" w:fill="auto"/>
            <w:tcMar>
              <w:left w:w="108" w:type="dxa"/>
              <w:right w:w="0" w:type="dxa"/>
            </w:tcMar>
          </w:tcPr>
          <w:p w:rsidR="00A75E60" w:rsidRPr="008A0F36" w:rsidRDefault="00A75E60" w:rsidP="00A75E60">
            <w:pPr>
              <w:pStyle w:val="Numeroelenco"/>
              <w:ind w:left="0" w:firstLine="57"/>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r w:rsidRPr="00237EFA">
              <w:rPr>
                <w:lang w:val="it-IT"/>
              </w:rPr>
              <w:t>IAS 41.57</w:t>
            </w:r>
          </w:p>
        </w:tc>
        <w:tc>
          <w:tcPr>
            <w:tcW w:w="7079" w:type="dxa"/>
            <w:shd w:val="clear" w:color="auto" w:fill="auto"/>
            <w:tcMar>
              <w:left w:w="108" w:type="dxa"/>
            </w:tcMar>
          </w:tcPr>
          <w:p w:rsidR="00A75E60" w:rsidRPr="00237EFA" w:rsidRDefault="00A75E60" w:rsidP="00A75E60">
            <w:pPr>
              <w:spacing w:line="226" w:lineRule="exact"/>
              <w:rPr>
                <w:lang w:val="it-IT"/>
              </w:rPr>
            </w:pPr>
            <w:r w:rsidRPr="00237EFA">
              <w:rPr>
                <w:lang w:val="it-IT"/>
              </w:rPr>
              <w:t>L’entità ha indicato con riferimento alle attività agricole trattate nello IAS 41 le seguenti informazioni:</w:t>
            </w:r>
          </w:p>
        </w:tc>
        <w:tc>
          <w:tcPr>
            <w:tcW w:w="575" w:type="dxa"/>
            <w:shd w:val="clear" w:color="auto" w:fill="auto"/>
            <w:tcMar>
              <w:left w:w="85" w:type="dxa"/>
              <w:right w:w="85" w:type="dxa"/>
            </w:tcMar>
            <w:vAlign w:val="center"/>
          </w:tcPr>
          <w:p w:rsidR="00A75E60" w:rsidRPr="00090BE7" w:rsidRDefault="00A75E60" w:rsidP="00A75E60">
            <w:pPr>
              <w:spacing w:line="226" w:lineRule="exact"/>
              <w:jc w:val="center"/>
              <w:rPr>
                <w:lang w:val="it-IT"/>
              </w:rPr>
            </w:pPr>
          </w:p>
        </w:tc>
        <w:tc>
          <w:tcPr>
            <w:tcW w:w="567" w:type="dxa"/>
            <w:shd w:val="clear" w:color="auto" w:fill="auto"/>
            <w:tcMar>
              <w:left w:w="108" w:type="dxa"/>
            </w:tcMar>
            <w:vAlign w:val="center"/>
          </w:tcPr>
          <w:p w:rsidR="00A75E60" w:rsidRPr="00090BE7" w:rsidRDefault="00A75E60" w:rsidP="00A75E60">
            <w:pPr>
              <w:spacing w:line="226" w:lineRule="exact"/>
              <w:jc w:val="center"/>
              <w:rPr>
                <w:lang w:val="it-IT"/>
              </w:rPr>
            </w:pPr>
          </w:p>
        </w:tc>
        <w:tc>
          <w:tcPr>
            <w:tcW w:w="567" w:type="dxa"/>
            <w:shd w:val="clear" w:color="auto" w:fill="auto"/>
            <w:vAlign w:val="center"/>
          </w:tcPr>
          <w:p w:rsidR="00A75E60" w:rsidRPr="00090BE7" w:rsidRDefault="00A75E60" w:rsidP="00A75E60">
            <w:pPr>
              <w:spacing w:line="226" w:lineRule="exact"/>
              <w:jc w:val="center"/>
              <w:rPr>
                <w:lang w:val="it-IT"/>
              </w:rPr>
            </w:pP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Rientroa"/>
              <w:numPr>
                <w:ilvl w:val="0"/>
                <w:numId w:val="166"/>
              </w:numPr>
              <w:tabs>
                <w:tab w:val="center" w:pos="4536"/>
                <w:tab w:val="right" w:pos="9072"/>
              </w:tabs>
              <w:spacing w:line="226" w:lineRule="exact"/>
              <w:rPr>
                <w:iCs/>
                <w:spacing w:val="-2"/>
              </w:rPr>
            </w:pPr>
            <w:r w:rsidRPr="00237EFA">
              <w:t>la natura e la misura dei contributi pubblici rilevati in bilancio</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Rientroa"/>
              <w:numPr>
                <w:ilvl w:val="0"/>
                <w:numId w:val="72"/>
              </w:numPr>
              <w:spacing w:line="226" w:lineRule="exact"/>
            </w:pPr>
            <w:r w:rsidRPr="00237EFA">
              <w:t>le condizioni non soddisfatte e le altre incertezze (“</w:t>
            </w:r>
            <w:r w:rsidRPr="00237EFA">
              <w:rPr>
                <w:i/>
              </w:rPr>
              <w:t>contingencies</w:t>
            </w:r>
            <w:r w:rsidRPr="00237EFA">
              <w:t>”) connesse ai contributi pubblici; e</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Rientroa"/>
              <w:numPr>
                <w:ilvl w:val="0"/>
                <w:numId w:val="72"/>
              </w:numPr>
              <w:spacing w:line="226" w:lineRule="exact"/>
            </w:pPr>
            <w:r w:rsidRPr="00237EFA">
              <w:t>i decrementi rilevanti attesi nel livello di contributi pubblici erogati.</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A0F36" w:rsidTr="00F235B5">
        <w:trPr>
          <w:cantSplit/>
        </w:trPr>
        <w:tc>
          <w:tcPr>
            <w:tcW w:w="567" w:type="dxa"/>
            <w:shd w:val="clear" w:color="auto" w:fill="auto"/>
            <w:tcMar>
              <w:left w:w="108" w:type="dxa"/>
              <w:right w:w="0" w:type="dxa"/>
            </w:tcMar>
            <w:vAlign w:val="center"/>
          </w:tcPr>
          <w:p w:rsidR="00A75E60" w:rsidRPr="008A0F36" w:rsidRDefault="00A75E60" w:rsidP="00A75E60">
            <w:pPr>
              <w:pStyle w:val="IAS"/>
              <w:spacing w:after="40" w:line="220" w:lineRule="exact"/>
              <w:jc w:val="left"/>
              <w:rPr>
                <w:lang w:val="it-IT"/>
              </w:rPr>
            </w:pPr>
          </w:p>
        </w:tc>
        <w:tc>
          <w:tcPr>
            <w:tcW w:w="851" w:type="dxa"/>
            <w:shd w:val="clear" w:color="auto" w:fill="auto"/>
            <w:tcMar>
              <w:left w:w="108" w:type="dxa"/>
              <w:right w:w="0" w:type="dxa"/>
            </w:tcMar>
            <w:vAlign w:val="center"/>
          </w:tcPr>
          <w:p w:rsidR="00A75E60" w:rsidRPr="00237EFA" w:rsidRDefault="00A75E60" w:rsidP="00A75E60">
            <w:pPr>
              <w:pStyle w:val="IAS"/>
              <w:spacing w:after="40" w:line="220" w:lineRule="exact"/>
              <w:jc w:val="left"/>
              <w:rPr>
                <w:lang w:val="it-IT"/>
              </w:rPr>
            </w:pPr>
          </w:p>
        </w:tc>
        <w:tc>
          <w:tcPr>
            <w:tcW w:w="7079" w:type="dxa"/>
            <w:shd w:val="clear" w:color="auto" w:fill="auto"/>
            <w:tcMar>
              <w:left w:w="108" w:type="dxa"/>
            </w:tcMar>
            <w:vAlign w:val="center"/>
          </w:tcPr>
          <w:p w:rsidR="00A75E60" w:rsidRPr="00237EFA" w:rsidRDefault="00A75E60" w:rsidP="00A75E60">
            <w:pPr>
              <w:pStyle w:val="Titolo1"/>
              <w:spacing w:before="40" w:after="40" w:line="220" w:lineRule="exact"/>
            </w:pPr>
            <w:r w:rsidRPr="00237EFA">
              <w:t>LAVORI SU ORDINAZIONE</w:t>
            </w:r>
          </w:p>
        </w:tc>
        <w:tc>
          <w:tcPr>
            <w:tcW w:w="575" w:type="dxa"/>
            <w:shd w:val="clear" w:color="auto" w:fill="auto"/>
            <w:tcMar>
              <w:left w:w="85" w:type="dxa"/>
              <w:right w:w="85" w:type="dxa"/>
            </w:tcMar>
            <w:vAlign w:val="center"/>
          </w:tcPr>
          <w:p w:rsidR="00A75E60" w:rsidRDefault="00A75E60" w:rsidP="00A75E60">
            <w:pPr>
              <w:spacing w:before="40" w:after="40"/>
              <w:jc w:val="left"/>
            </w:pPr>
          </w:p>
        </w:tc>
        <w:tc>
          <w:tcPr>
            <w:tcW w:w="567" w:type="dxa"/>
            <w:shd w:val="clear" w:color="auto" w:fill="auto"/>
            <w:tcMar>
              <w:left w:w="108" w:type="dxa"/>
            </w:tcMar>
            <w:vAlign w:val="center"/>
          </w:tcPr>
          <w:p w:rsidR="00A75E60" w:rsidRDefault="00A75E60" w:rsidP="00A75E60">
            <w:pPr>
              <w:spacing w:before="40" w:after="40"/>
              <w:jc w:val="left"/>
            </w:pPr>
          </w:p>
        </w:tc>
        <w:tc>
          <w:tcPr>
            <w:tcW w:w="567" w:type="dxa"/>
            <w:shd w:val="clear" w:color="auto" w:fill="auto"/>
            <w:vAlign w:val="center"/>
          </w:tcPr>
          <w:p w:rsidR="00A75E60" w:rsidRDefault="00A75E60" w:rsidP="00A75E60">
            <w:pPr>
              <w:spacing w:before="40" w:after="40"/>
              <w:jc w:val="left"/>
            </w:pPr>
          </w:p>
        </w:tc>
      </w:tr>
      <w:tr w:rsidR="00A75E60" w:rsidRPr="00A44ECD" w:rsidTr="002B6200">
        <w:trPr>
          <w:cantSplit/>
        </w:trPr>
        <w:tc>
          <w:tcPr>
            <w:tcW w:w="567" w:type="dxa"/>
            <w:shd w:val="clear" w:color="auto" w:fill="auto"/>
            <w:tcMar>
              <w:left w:w="108" w:type="dxa"/>
              <w:right w:w="0" w:type="dxa"/>
            </w:tcMar>
            <w:vAlign w:val="center"/>
          </w:tcPr>
          <w:p w:rsidR="00A75E60" w:rsidRPr="008A0F36" w:rsidRDefault="00A75E60" w:rsidP="00A75E60">
            <w:pPr>
              <w:pStyle w:val="IAS"/>
              <w:spacing w:after="40" w:line="220" w:lineRule="exact"/>
              <w:jc w:val="left"/>
              <w:rPr>
                <w:lang w:val="it-IT"/>
              </w:rPr>
            </w:pPr>
          </w:p>
        </w:tc>
        <w:tc>
          <w:tcPr>
            <w:tcW w:w="851" w:type="dxa"/>
            <w:shd w:val="clear" w:color="auto" w:fill="auto"/>
            <w:tcMar>
              <w:left w:w="108" w:type="dxa"/>
              <w:right w:w="0" w:type="dxa"/>
            </w:tcMar>
            <w:vAlign w:val="center"/>
          </w:tcPr>
          <w:p w:rsidR="00A75E60" w:rsidRPr="00237EFA" w:rsidRDefault="00A75E60" w:rsidP="00A75E60">
            <w:pPr>
              <w:pStyle w:val="IAS"/>
              <w:spacing w:after="40" w:line="220" w:lineRule="exact"/>
              <w:jc w:val="left"/>
              <w:rPr>
                <w:lang w:val="it-IT"/>
              </w:rPr>
            </w:pPr>
          </w:p>
        </w:tc>
        <w:tc>
          <w:tcPr>
            <w:tcW w:w="7079" w:type="dxa"/>
            <w:shd w:val="clear" w:color="auto" w:fill="D9D9D9" w:themeFill="background1" w:themeFillShade="D9"/>
            <w:tcMar>
              <w:left w:w="108" w:type="dxa"/>
            </w:tcMar>
            <w:vAlign w:val="center"/>
          </w:tcPr>
          <w:p w:rsidR="00A75E60" w:rsidRPr="00A44ECD" w:rsidRDefault="00A75E60" w:rsidP="00C15B75">
            <w:pPr>
              <w:pStyle w:val="Paragarfobordato"/>
              <w:rPr>
                <w:i/>
              </w:rPr>
            </w:pPr>
            <w:r>
              <w:t>Se l’entità adotta anticipatamente l’IFRS 15 non dovrà compilare i punti 413 – 416 ma fare riferimento ai punti 460-4</w:t>
            </w:r>
            <w:r w:rsidR="00A44ECD">
              <w:t>80</w:t>
            </w:r>
            <w:r>
              <w:t>.</w:t>
            </w:r>
          </w:p>
        </w:tc>
        <w:tc>
          <w:tcPr>
            <w:tcW w:w="575" w:type="dxa"/>
            <w:shd w:val="clear" w:color="auto" w:fill="auto"/>
            <w:tcMar>
              <w:left w:w="85" w:type="dxa"/>
              <w:right w:w="85" w:type="dxa"/>
            </w:tcMar>
            <w:vAlign w:val="center"/>
          </w:tcPr>
          <w:p w:rsidR="00A75E60" w:rsidRPr="002B6200" w:rsidRDefault="00A75E60" w:rsidP="00A75E60">
            <w:pPr>
              <w:spacing w:before="40" w:after="40"/>
              <w:jc w:val="left"/>
              <w:rPr>
                <w:lang w:val="it-IT"/>
              </w:rPr>
            </w:pPr>
          </w:p>
        </w:tc>
        <w:tc>
          <w:tcPr>
            <w:tcW w:w="567" w:type="dxa"/>
            <w:shd w:val="clear" w:color="auto" w:fill="auto"/>
            <w:tcMar>
              <w:left w:w="108" w:type="dxa"/>
            </w:tcMar>
            <w:vAlign w:val="center"/>
          </w:tcPr>
          <w:p w:rsidR="00A75E60" w:rsidRPr="002B6200" w:rsidRDefault="00A75E60" w:rsidP="00A75E60">
            <w:pPr>
              <w:spacing w:before="40" w:after="40"/>
              <w:jc w:val="left"/>
              <w:rPr>
                <w:lang w:val="it-IT"/>
              </w:rPr>
            </w:pPr>
          </w:p>
        </w:tc>
        <w:tc>
          <w:tcPr>
            <w:tcW w:w="567" w:type="dxa"/>
            <w:shd w:val="clear" w:color="auto" w:fill="auto"/>
            <w:vAlign w:val="center"/>
          </w:tcPr>
          <w:p w:rsidR="00A75E60" w:rsidRPr="002B6200" w:rsidRDefault="00A75E60" w:rsidP="00A75E60">
            <w:pPr>
              <w:spacing w:before="40" w:after="40"/>
              <w:jc w:val="left"/>
              <w:rPr>
                <w:lang w:val="it-IT"/>
              </w:rPr>
            </w:pPr>
          </w:p>
        </w:tc>
      </w:tr>
      <w:tr w:rsidR="00A75E60" w:rsidRPr="00A44ECD" w:rsidTr="00F235B5">
        <w:trPr>
          <w:cantSplit/>
        </w:trPr>
        <w:tc>
          <w:tcPr>
            <w:tcW w:w="567" w:type="dxa"/>
            <w:shd w:val="clear" w:color="auto" w:fill="auto"/>
            <w:tcMar>
              <w:left w:w="108" w:type="dxa"/>
              <w:right w:w="0" w:type="dxa"/>
            </w:tcMar>
          </w:tcPr>
          <w:p w:rsidR="00A75E60" w:rsidRPr="008A0F36" w:rsidRDefault="00A75E60" w:rsidP="00A75E60">
            <w:pPr>
              <w:pStyle w:val="Numeroelenco"/>
              <w:ind w:left="0" w:firstLine="57"/>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r w:rsidRPr="00237EFA">
              <w:rPr>
                <w:lang w:val="it-IT"/>
              </w:rPr>
              <w:t>IAS 11.42</w:t>
            </w:r>
          </w:p>
        </w:tc>
        <w:tc>
          <w:tcPr>
            <w:tcW w:w="7079" w:type="dxa"/>
            <w:shd w:val="clear" w:color="auto" w:fill="auto"/>
            <w:tcMar>
              <w:left w:w="108" w:type="dxa"/>
            </w:tcMar>
          </w:tcPr>
          <w:p w:rsidR="00A75E60" w:rsidRPr="00237EFA" w:rsidRDefault="00A75E60" w:rsidP="00A75E60">
            <w:pPr>
              <w:spacing w:line="226" w:lineRule="exact"/>
              <w:rPr>
                <w:lang w:val="it-IT"/>
              </w:rPr>
            </w:pPr>
            <w:r w:rsidRPr="00237EFA">
              <w:rPr>
                <w:lang w:val="it-IT"/>
              </w:rPr>
              <w:t>L’entità presenta i seguenti importi con riferimento ai lavori su ordinazione separatamente nel prospetto della situazione patrimoniale-finanziaria (a meno che non siano immateriali):</w:t>
            </w:r>
          </w:p>
        </w:tc>
        <w:tc>
          <w:tcPr>
            <w:tcW w:w="575" w:type="dxa"/>
            <w:shd w:val="clear" w:color="auto" w:fill="auto"/>
            <w:tcMar>
              <w:left w:w="85" w:type="dxa"/>
              <w:right w:w="85" w:type="dxa"/>
            </w:tcMar>
            <w:vAlign w:val="center"/>
          </w:tcPr>
          <w:p w:rsidR="00A75E60" w:rsidRPr="00090BE7" w:rsidRDefault="00A75E60" w:rsidP="00A75E60">
            <w:pPr>
              <w:spacing w:line="226" w:lineRule="exact"/>
              <w:jc w:val="center"/>
              <w:rPr>
                <w:lang w:val="it-IT"/>
              </w:rPr>
            </w:pPr>
          </w:p>
        </w:tc>
        <w:tc>
          <w:tcPr>
            <w:tcW w:w="567" w:type="dxa"/>
            <w:shd w:val="clear" w:color="auto" w:fill="auto"/>
            <w:tcMar>
              <w:left w:w="108" w:type="dxa"/>
            </w:tcMar>
            <w:vAlign w:val="center"/>
          </w:tcPr>
          <w:p w:rsidR="00A75E60" w:rsidRPr="00090BE7" w:rsidRDefault="00A75E60" w:rsidP="00A75E60">
            <w:pPr>
              <w:spacing w:line="226" w:lineRule="exact"/>
              <w:jc w:val="center"/>
              <w:rPr>
                <w:lang w:val="it-IT"/>
              </w:rPr>
            </w:pPr>
          </w:p>
        </w:tc>
        <w:tc>
          <w:tcPr>
            <w:tcW w:w="567" w:type="dxa"/>
            <w:shd w:val="clear" w:color="auto" w:fill="auto"/>
            <w:vAlign w:val="center"/>
          </w:tcPr>
          <w:p w:rsidR="00A75E60" w:rsidRPr="00090BE7" w:rsidRDefault="00A75E60" w:rsidP="00A75E60">
            <w:pPr>
              <w:spacing w:line="226" w:lineRule="exact"/>
              <w:jc w:val="center"/>
              <w:rPr>
                <w:lang w:val="it-IT"/>
              </w:rPr>
            </w:pP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Rientroa"/>
              <w:numPr>
                <w:ilvl w:val="0"/>
                <w:numId w:val="167"/>
              </w:numPr>
              <w:tabs>
                <w:tab w:val="center" w:pos="4536"/>
                <w:tab w:val="right" w:pos="9072"/>
              </w:tabs>
              <w:spacing w:line="226" w:lineRule="exact"/>
              <w:rPr>
                <w:iCs/>
                <w:spacing w:val="-2"/>
              </w:rPr>
            </w:pPr>
            <w:r w:rsidRPr="00237EFA">
              <w:t>come valore dell’attivo, l’ammontare lordo dovuto dai committenti per lavori su commessa come definito dallo IAS 11.43; e</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Rientroa"/>
              <w:numPr>
                <w:ilvl w:val="0"/>
                <w:numId w:val="72"/>
              </w:numPr>
              <w:spacing w:line="226" w:lineRule="exact"/>
            </w:pPr>
            <w:r w:rsidRPr="00237EFA">
              <w:t>come valore del passivo, l’ammontare lordo dovuto ai committenti per lavori su commessa come definito dallo IAS 11.44.</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A0F36" w:rsidTr="00F235B5">
        <w:trPr>
          <w:cantSplit/>
        </w:trPr>
        <w:tc>
          <w:tcPr>
            <w:tcW w:w="567" w:type="dxa"/>
            <w:shd w:val="clear" w:color="auto" w:fill="auto"/>
            <w:tcMar>
              <w:left w:w="108" w:type="dxa"/>
              <w:right w:w="0" w:type="dxa"/>
            </w:tcMar>
          </w:tcPr>
          <w:p w:rsidR="00A75E60" w:rsidRPr="008A0F36" w:rsidRDefault="00A75E60" w:rsidP="00A75E60">
            <w:pPr>
              <w:pStyle w:val="Numeroelenco"/>
              <w:ind w:left="0" w:firstLine="57"/>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r w:rsidRPr="00237EFA">
              <w:rPr>
                <w:lang w:val="it-IT"/>
              </w:rPr>
              <w:t>IAS 11.39</w:t>
            </w:r>
          </w:p>
        </w:tc>
        <w:tc>
          <w:tcPr>
            <w:tcW w:w="7079" w:type="dxa"/>
            <w:shd w:val="clear" w:color="auto" w:fill="auto"/>
            <w:tcMar>
              <w:left w:w="108" w:type="dxa"/>
            </w:tcMar>
          </w:tcPr>
          <w:p w:rsidR="00A75E60" w:rsidRPr="00237EFA" w:rsidRDefault="00A75E60" w:rsidP="00A75E60">
            <w:pPr>
              <w:spacing w:line="226" w:lineRule="exact"/>
              <w:rPr>
                <w:lang w:val="it-IT"/>
              </w:rPr>
            </w:pPr>
            <w:r w:rsidRPr="00237EFA">
              <w:rPr>
                <w:lang w:val="it-IT"/>
              </w:rPr>
              <w:t>L’entità ha presentato:</w:t>
            </w:r>
          </w:p>
        </w:tc>
        <w:tc>
          <w:tcPr>
            <w:tcW w:w="575" w:type="dxa"/>
            <w:shd w:val="clear" w:color="auto" w:fill="auto"/>
            <w:tcMar>
              <w:left w:w="85" w:type="dxa"/>
              <w:right w:w="85" w:type="dxa"/>
            </w:tcMar>
            <w:vAlign w:val="center"/>
          </w:tcPr>
          <w:p w:rsidR="00A75E60" w:rsidRDefault="00A75E60" w:rsidP="00A75E60">
            <w:pPr>
              <w:spacing w:line="226" w:lineRule="exact"/>
              <w:jc w:val="center"/>
            </w:pPr>
          </w:p>
        </w:tc>
        <w:tc>
          <w:tcPr>
            <w:tcW w:w="567" w:type="dxa"/>
            <w:shd w:val="clear" w:color="auto" w:fill="auto"/>
            <w:tcMar>
              <w:left w:w="108" w:type="dxa"/>
            </w:tcMar>
            <w:vAlign w:val="center"/>
          </w:tcPr>
          <w:p w:rsidR="00A75E60" w:rsidRDefault="00A75E60" w:rsidP="00A75E60">
            <w:pPr>
              <w:spacing w:line="226" w:lineRule="exact"/>
              <w:jc w:val="center"/>
            </w:pPr>
          </w:p>
        </w:tc>
        <w:tc>
          <w:tcPr>
            <w:tcW w:w="567" w:type="dxa"/>
            <w:shd w:val="clear" w:color="auto" w:fill="auto"/>
            <w:vAlign w:val="center"/>
          </w:tcPr>
          <w:p w:rsidR="00A75E60" w:rsidRDefault="00A75E60" w:rsidP="00A75E60">
            <w:pPr>
              <w:spacing w:line="226" w:lineRule="exact"/>
              <w:jc w:val="center"/>
            </w:pP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Rientroa"/>
              <w:numPr>
                <w:ilvl w:val="0"/>
                <w:numId w:val="168"/>
              </w:numPr>
              <w:tabs>
                <w:tab w:val="center" w:pos="4536"/>
                <w:tab w:val="right" w:pos="9072"/>
              </w:tabs>
              <w:spacing w:line="226" w:lineRule="exact"/>
              <w:rPr>
                <w:iCs/>
                <w:spacing w:val="-2"/>
              </w:rPr>
            </w:pPr>
            <w:r w:rsidRPr="00237EFA">
              <w:t>l’ammontare dei ricavi di commessa rilevati come ricavo nell’esercizio</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Rientroa"/>
              <w:numPr>
                <w:ilvl w:val="0"/>
                <w:numId w:val="72"/>
              </w:numPr>
              <w:spacing w:line="226" w:lineRule="exact"/>
            </w:pPr>
            <w:r w:rsidRPr="00237EFA">
              <w:t>i criteri utilizzati per determinare i ricavi di commessa rilevati nell’esercizio; e</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Rientroa"/>
              <w:numPr>
                <w:ilvl w:val="0"/>
                <w:numId w:val="72"/>
              </w:numPr>
              <w:spacing w:line="226" w:lineRule="exact"/>
            </w:pPr>
            <w:r w:rsidRPr="00237EFA">
              <w:t>i criteri utilizzati per determinare lo stato di avanzamento delle commesse in corso.</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A44ECD" w:rsidTr="00F235B5">
        <w:trPr>
          <w:cantSplit/>
        </w:trPr>
        <w:tc>
          <w:tcPr>
            <w:tcW w:w="567" w:type="dxa"/>
            <w:shd w:val="clear" w:color="auto" w:fill="auto"/>
            <w:tcMar>
              <w:left w:w="108" w:type="dxa"/>
              <w:right w:w="0" w:type="dxa"/>
            </w:tcMar>
          </w:tcPr>
          <w:p w:rsidR="00A75E60" w:rsidRPr="008A0F36" w:rsidRDefault="00A75E60" w:rsidP="00A75E60">
            <w:pPr>
              <w:pStyle w:val="Numeroelenco"/>
              <w:ind w:left="0" w:firstLine="57"/>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r w:rsidRPr="00237EFA">
              <w:rPr>
                <w:lang w:val="it-IT"/>
              </w:rPr>
              <w:t>IAS 11.40</w:t>
            </w:r>
          </w:p>
        </w:tc>
        <w:tc>
          <w:tcPr>
            <w:tcW w:w="7079" w:type="dxa"/>
            <w:shd w:val="clear" w:color="auto" w:fill="auto"/>
            <w:tcMar>
              <w:left w:w="108" w:type="dxa"/>
            </w:tcMar>
          </w:tcPr>
          <w:p w:rsidR="00A75E60" w:rsidRPr="00237EFA" w:rsidRDefault="00A75E60" w:rsidP="00A75E60">
            <w:pPr>
              <w:spacing w:line="226" w:lineRule="exact"/>
              <w:rPr>
                <w:lang w:val="it-IT"/>
              </w:rPr>
            </w:pPr>
            <w:r w:rsidRPr="00237EFA">
              <w:rPr>
                <w:lang w:val="it-IT"/>
              </w:rPr>
              <w:t>L’entità ha indicato ciascuna delle seguenti informazioni per le commesse in corso alla data di chiusura dell’esercizio:</w:t>
            </w:r>
          </w:p>
        </w:tc>
        <w:tc>
          <w:tcPr>
            <w:tcW w:w="575" w:type="dxa"/>
            <w:shd w:val="clear" w:color="auto" w:fill="auto"/>
            <w:tcMar>
              <w:left w:w="85" w:type="dxa"/>
              <w:right w:w="85" w:type="dxa"/>
            </w:tcMar>
            <w:vAlign w:val="center"/>
          </w:tcPr>
          <w:p w:rsidR="00A75E60" w:rsidRPr="00090BE7" w:rsidRDefault="00A75E60" w:rsidP="00A75E60">
            <w:pPr>
              <w:spacing w:line="226" w:lineRule="exact"/>
              <w:jc w:val="center"/>
              <w:rPr>
                <w:lang w:val="it-IT"/>
              </w:rPr>
            </w:pPr>
          </w:p>
        </w:tc>
        <w:tc>
          <w:tcPr>
            <w:tcW w:w="567" w:type="dxa"/>
            <w:shd w:val="clear" w:color="auto" w:fill="auto"/>
            <w:tcMar>
              <w:left w:w="108" w:type="dxa"/>
            </w:tcMar>
            <w:vAlign w:val="center"/>
          </w:tcPr>
          <w:p w:rsidR="00A75E60" w:rsidRPr="00090BE7" w:rsidRDefault="00A75E60" w:rsidP="00A75E60">
            <w:pPr>
              <w:spacing w:line="226" w:lineRule="exact"/>
              <w:jc w:val="center"/>
              <w:rPr>
                <w:lang w:val="it-IT"/>
              </w:rPr>
            </w:pPr>
          </w:p>
        </w:tc>
        <w:tc>
          <w:tcPr>
            <w:tcW w:w="567" w:type="dxa"/>
            <w:shd w:val="clear" w:color="auto" w:fill="auto"/>
            <w:vAlign w:val="center"/>
          </w:tcPr>
          <w:p w:rsidR="00A75E60" w:rsidRPr="00090BE7" w:rsidRDefault="00A75E60" w:rsidP="00A75E60">
            <w:pPr>
              <w:spacing w:line="226" w:lineRule="exact"/>
              <w:jc w:val="center"/>
              <w:rPr>
                <w:lang w:val="it-IT"/>
              </w:rPr>
            </w:pP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Rientroa"/>
              <w:numPr>
                <w:ilvl w:val="0"/>
                <w:numId w:val="169"/>
              </w:numPr>
              <w:tabs>
                <w:tab w:val="center" w:pos="4536"/>
                <w:tab w:val="right" w:pos="9072"/>
              </w:tabs>
              <w:spacing w:line="226" w:lineRule="exact"/>
              <w:rPr>
                <w:iCs/>
                <w:spacing w:val="-2"/>
              </w:rPr>
            </w:pPr>
            <w:r w:rsidRPr="00237EFA">
              <w:t>l’ammontare complessivo dei costi sostenuti e degli utili rilevati (al netto delle perdite rilevate) a quella data</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Rientroa"/>
              <w:numPr>
                <w:ilvl w:val="0"/>
                <w:numId w:val="72"/>
              </w:numPr>
              <w:spacing w:line="226" w:lineRule="exact"/>
            </w:pPr>
            <w:r w:rsidRPr="00237EFA">
              <w:t>l’ammontare degli anticipi ricevuti; e</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Rientroa"/>
              <w:numPr>
                <w:ilvl w:val="0"/>
                <w:numId w:val="72"/>
              </w:numPr>
              <w:spacing w:line="226" w:lineRule="exact"/>
            </w:pPr>
            <w:r w:rsidRPr="00237EFA">
              <w:t>l’ammontare delle ritenute a garanzia.</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pStyle w:val="Numeroelenco"/>
              <w:ind w:left="0" w:firstLine="57"/>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r w:rsidRPr="00237EFA">
              <w:rPr>
                <w:lang w:val="it-IT"/>
              </w:rPr>
              <w:t>IAS 11.45, IAS 37.86, IAS 37.89</w:t>
            </w:r>
          </w:p>
        </w:tc>
        <w:tc>
          <w:tcPr>
            <w:tcW w:w="7079" w:type="dxa"/>
            <w:shd w:val="clear" w:color="auto" w:fill="auto"/>
            <w:tcMar>
              <w:left w:w="108" w:type="dxa"/>
            </w:tcMar>
          </w:tcPr>
          <w:p w:rsidR="00A75E60" w:rsidRPr="00237EFA" w:rsidRDefault="00A75E60" w:rsidP="00A75E60">
            <w:pPr>
              <w:spacing w:line="226" w:lineRule="exact"/>
              <w:rPr>
                <w:lang w:val="it-IT"/>
              </w:rPr>
            </w:pPr>
            <w:r w:rsidRPr="00237EFA">
              <w:rPr>
                <w:lang w:val="it-IT"/>
              </w:rPr>
              <w:t xml:space="preserve">L’entità ha indicato qualsiasi passività e attività potenziale che può insorgere in conformità alle disposizioni dello IAS 37 (punti </w:t>
            </w:r>
            <w:r>
              <w:rPr>
                <w:lang w:val="it-IT"/>
              </w:rPr>
              <w:t>370-372</w:t>
            </w:r>
            <w:r w:rsidRPr="00237EFA">
              <w:rPr>
                <w:lang w:val="it-IT"/>
              </w:rPr>
              <w:t>).</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A44ECD" w:rsidTr="00F235B5">
        <w:trPr>
          <w:cantSplit/>
        </w:trPr>
        <w:tc>
          <w:tcPr>
            <w:tcW w:w="567" w:type="dxa"/>
            <w:shd w:val="clear" w:color="auto" w:fill="auto"/>
            <w:tcMar>
              <w:left w:w="108" w:type="dxa"/>
              <w:right w:w="0" w:type="dxa"/>
            </w:tcMar>
            <w:vAlign w:val="center"/>
          </w:tcPr>
          <w:p w:rsidR="00A75E60" w:rsidRPr="008A0F36" w:rsidRDefault="00A75E60" w:rsidP="00A75E60">
            <w:pPr>
              <w:pStyle w:val="IAS"/>
              <w:spacing w:after="40" w:line="240" w:lineRule="exact"/>
              <w:jc w:val="left"/>
              <w:rPr>
                <w:lang w:val="it-IT"/>
              </w:rPr>
            </w:pPr>
          </w:p>
        </w:tc>
        <w:tc>
          <w:tcPr>
            <w:tcW w:w="851" w:type="dxa"/>
            <w:shd w:val="clear" w:color="auto" w:fill="auto"/>
            <w:tcMar>
              <w:left w:w="108" w:type="dxa"/>
              <w:right w:w="0" w:type="dxa"/>
            </w:tcMar>
            <w:vAlign w:val="center"/>
          </w:tcPr>
          <w:p w:rsidR="00A75E60" w:rsidRPr="00237EFA" w:rsidRDefault="00A75E60" w:rsidP="00A75E60">
            <w:pPr>
              <w:pStyle w:val="IAS"/>
              <w:spacing w:after="40" w:line="240" w:lineRule="exact"/>
              <w:jc w:val="left"/>
              <w:rPr>
                <w:lang w:val="it-IT"/>
              </w:rPr>
            </w:pPr>
          </w:p>
        </w:tc>
        <w:tc>
          <w:tcPr>
            <w:tcW w:w="7079" w:type="dxa"/>
            <w:shd w:val="clear" w:color="auto" w:fill="auto"/>
            <w:tcMar>
              <w:left w:w="108" w:type="dxa"/>
            </w:tcMar>
            <w:vAlign w:val="center"/>
          </w:tcPr>
          <w:p w:rsidR="00A75E60" w:rsidRPr="00237EFA" w:rsidRDefault="00A75E60" w:rsidP="00A75E60">
            <w:pPr>
              <w:pStyle w:val="Titolo1"/>
              <w:spacing w:before="40" w:after="40" w:line="226" w:lineRule="exact"/>
            </w:pPr>
            <w:r w:rsidRPr="00237EFA">
              <w:t>ACCORDI PER LA COSTRUZIONE DI IMMOBILI</w:t>
            </w:r>
          </w:p>
        </w:tc>
        <w:tc>
          <w:tcPr>
            <w:tcW w:w="575" w:type="dxa"/>
            <w:shd w:val="clear" w:color="auto" w:fill="auto"/>
            <w:tcMar>
              <w:left w:w="85" w:type="dxa"/>
              <w:right w:w="85" w:type="dxa"/>
            </w:tcMar>
            <w:vAlign w:val="center"/>
          </w:tcPr>
          <w:p w:rsidR="00A75E60" w:rsidRPr="00090BE7" w:rsidRDefault="00A75E60" w:rsidP="00A75E60">
            <w:pPr>
              <w:spacing w:before="40" w:after="40" w:line="226" w:lineRule="exact"/>
              <w:jc w:val="left"/>
              <w:rPr>
                <w:lang w:val="it-IT"/>
              </w:rPr>
            </w:pPr>
          </w:p>
        </w:tc>
        <w:tc>
          <w:tcPr>
            <w:tcW w:w="567" w:type="dxa"/>
            <w:shd w:val="clear" w:color="auto" w:fill="auto"/>
            <w:tcMar>
              <w:left w:w="108" w:type="dxa"/>
            </w:tcMar>
            <w:vAlign w:val="center"/>
          </w:tcPr>
          <w:p w:rsidR="00A75E60" w:rsidRPr="00090BE7" w:rsidRDefault="00A75E60" w:rsidP="00A75E60">
            <w:pPr>
              <w:spacing w:before="40" w:after="40" w:line="226" w:lineRule="exact"/>
              <w:jc w:val="left"/>
              <w:rPr>
                <w:lang w:val="it-IT"/>
              </w:rPr>
            </w:pPr>
          </w:p>
        </w:tc>
        <w:tc>
          <w:tcPr>
            <w:tcW w:w="567" w:type="dxa"/>
            <w:shd w:val="clear" w:color="auto" w:fill="auto"/>
            <w:vAlign w:val="center"/>
          </w:tcPr>
          <w:p w:rsidR="00A75E60" w:rsidRPr="00090BE7" w:rsidRDefault="00A75E60" w:rsidP="00A75E60">
            <w:pPr>
              <w:spacing w:before="40" w:after="40" w:line="226" w:lineRule="exact"/>
              <w:jc w:val="left"/>
              <w:rPr>
                <w:lang w:val="it-IT"/>
              </w:rPr>
            </w:pPr>
          </w:p>
        </w:tc>
      </w:tr>
      <w:bookmarkEnd w:id="10"/>
      <w:bookmarkEnd w:id="11"/>
      <w:bookmarkEnd w:id="12"/>
      <w:tr w:rsidR="00A75E60" w:rsidRPr="00A44ECD" w:rsidTr="002B6200">
        <w:trPr>
          <w:cantSplit/>
        </w:trPr>
        <w:tc>
          <w:tcPr>
            <w:tcW w:w="567" w:type="dxa"/>
            <w:shd w:val="clear" w:color="auto" w:fill="auto"/>
            <w:tcMar>
              <w:left w:w="108" w:type="dxa"/>
              <w:right w:w="0" w:type="dxa"/>
            </w:tcMar>
            <w:vAlign w:val="center"/>
          </w:tcPr>
          <w:p w:rsidR="00A75E60" w:rsidRPr="008A0F36" w:rsidRDefault="00A75E60" w:rsidP="00A75E60">
            <w:pPr>
              <w:pStyle w:val="IAS"/>
              <w:spacing w:after="40" w:line="240" w:lineRule="exact"/>
              <w:jc w:val="left"/>
              <w:rPr>
                <w:lang w:val="it-IT"/>
              </w:rPr>
            </w:pPr>
          </w:p>
        </w:tc>
        <w:tc>
          <w:tcPr>
            <w:tcW w:w="851" w:type="dxa"/>
            <w:shd w:val="clear" w:color="auto" w:fill="auto"/>
            <w:tcMar>
              <w:left w:w="108" w:type="dxa"/>
              <w:right w:w="0" w:type="dxa"/>
            </w:tcMar>
            <w:vAlign w:val="center"/>
          </w:tcPr>
          <w:p w:rsidR="00A75E60" w:rsidRPr="00237EFA" w:rsidRDefault="00A75E60" w:rsidP="00A75E60">
            <w:pPr>
              <w:pStyle w:val="IAS"/>
              <w:spacing w:after="40" w:line="240" w:lineRule="exact"/>
              <w:jc w:val="left"/>
              <w:rPr>
                <w:lang w:val="it-IT"/>
              </w:rPr>
            </w:pPr>
          </w:p>
        </w:tc>
        <w:tc>
          <w:tcPr>
            <w:tcW w:w="7079" w:type="dxa"/>
            <w:shd w:val="clear" w:color="auto" w:fill="D9D9D9" w:themeFill="background1" w:themeFillShade="D9"/>
            <w:tcMar>
              <w:left w:w="108" w:type="dxa"/>
            </w:tcMar>
            <w:vAlign w:val="center"/>
          </w:tcPr>
          <w:p w:rsidR="00A75E60" w:rsidRPr="00A44ECD" w:rsidRDefault="00A75E60" w:rsidP="00C15B75">
            <w:pPr>
              <w:pStyle w:val="Paragarfobordato"/>
            </w:pPr>
            <w:r w:rsidRPr="002B6200">
              <w:t>Se l’entità adotta anticipatamente l’IFRS 15 non dovrà compilare i punti 417-</w:t>
            </w:r>
            <w:r w:rsidR="007478BB">
              <w:t xml:space="preserve"> </w:t>
            </w:r>
            <w:r w:rsidRPr="002B6200">
              <w:t>418 ma fare riferimento ai punti 460-4</w:t>
            </w:r>
            <w:r w:rsidR="00A44ECD">
              <w:t>80</w:t>
            </w:r>
            <w:r w:rsidRPr="002B6200">
              <w:t>.</w:t>
            </w:r>
          </w:p>
        </w:tc>
        <w:tc>
          <w:tcPr>
            <w:tcW w:w="575" w:type="dxa"/>
            <w:shd w:val="clear" w:color="auto" w:fill="auto"/>
            <w:tcMar>
              <w:left w:w="85" w:type="dxa"/>
              <w:right w:w="85" w:type="dxa"/>
            </w:tcMar>
            <w:vAlign w:val="center"/>
          </w:tcPr>
          <w:p w:rsidR="00A75E60" w:rsidRPr="00090BE7" w:rsidRDefault="00A75E60" w:rsidP="00A75E60">
            <w:pPr>
              <w:spacing w:before="40" w:after="40" w:line="226" w:lineRule="exact"/>
              <w:jc w:val="left"/>
              <w:rPr>
                <w:lang w:val="it-IT"/>
              </w:rPr>
            </w:pPr>
          </w:p>
        </w:tc>
        <w:tc>
          <w:tcPr>
            <w:tcW w:w="567" w:type="dxa"/>
            <w:shd w:val="clear" w:color="auto" w:fill="auto"/>
            <w:tcMar>
              <w:left w:w="108" w:type="dxa"/>
            </w:tcMar>
            <w:vAlign w:val="center"/>
          </w:tcPr>
          <w:p w:rsidR="00A75E60" w:rsidRPr="00090BE7" w:rsidRDefault="00A75E60" w:rsidP="00A75E60">
            <w:pPr>
              <w:spacing w:before="40" w:after="40" w:line="226" w:lineRule="exact"/>
              <w:jc w:val="left"/>
              <w:rPr>
                <w:lang w:val="it-IT"/>
              </w:rPr>
            </w:pPr>
          </w:p>
        </w:tc>
        <w:tc>
          <w:tcPr>
            <w:tcW w:w="567" w:type="dxa"/>
            <w:shd w:val="clear" w:color="auto" w:fill="auto"/>
            <w:vAlign w:val="center"/>
          </w:tcPr>
          <w:p w:rsidR="00A75E60" w:rsidRPr="00090BE7" w:rsidRDefault="00A75E60" w:rsidP="00A75E60">
            <w:pPr>
              <w:spacing w:before="40" w:after="40" w:line="226" w:lineRule="exact"/>
              <w:jc w:val="left"/>
              <w:rPr>
                <w:lang w:val="it-IT"/>
              </w:rPr>
            </w:pPr>
          </w:p>
        </w:tc>
      </w:tr>
      <w:tr w:rsidR="00A75E60" w:rsidRPr="00A44ECD" w:rsidTr="00F235B5">
        <w:trPr>
          <w:cantSplit/>
        </w:trPr>
        <w:tc>
          <w:tcPr>
            <w:tcW w:w="567" w:type="dxa"/>
            <w:shd w:val="clear" w:color="auto" w:fill="auto"/>
            <w:tcMar>
              <w:left w:w="108" w:type="dxa"/>
              <w:right w:w="0" w:type="dxa"/>
            </w:tcMar>
          </w:tcPr>
          <w:p w:rsidR="00A75E60" w:rsidRPr="008A0F36" w:rsidRDefault="00A75E60" w:rsidP="00A75E60">
            <w:pPr>
              <w:pStyle w:val="Numeroelenco"/>
              <w:ind w:left="0" w:firstLine="57"/>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r w:rsidRPr="00237EFA">
              <w:rPr>
                <w:lang w:val="it-IT"/>
              </w:rPr>
              <w:t>IFRIC 15.20, IAS 18.14</w:t>
            </w:r>
          </w:p>
        </w:tc>
        <w:tc>
          <w:tcPr>
            <w:tcW w:w="7079" w:type="dxa"/>
            <w:shd w:val="clear" w:color="auto" w:fill="auto"/>
            <w:tcMar>
              <w:left w:w="108" w:type="dxa"/>
            </w:tcMar>
          </w:tcPr>
          <w:p w:rsidR="00A75E60" w:rsidRPr="00237EFA" w:rsidRDefault="00A75E60" w:rsidP="00A75E60">
            <w:pPr>
              <w:spacing w:line="226" w:lineRule="exact"/>
              <w:rPr>
                <w:b/>
                <w:bCs/>
                <w:caps/>
                <w:lang w:val="it-IT"/>
              </w:rPr>
            </w:pPr>
            <w:r w:rsidRPr="00237EFA">
              <w:rPr>
                <w:lang w:val="it-IT"/>
              </w:rPr>
              <w:t>Quando un’entità rileva i ricavi relativi a stadi di avanzamento dei lavori utilizzando il metodo della percentuale di completamento per accordi che soddisfano i requisiti dello IAS 18.14, l’entità indica:</w:t>
            </w:r>
          </w:p>
        </w:tc>
        <w:tc>
          <w:tcPr>
            <w:tcW w:w="575" w:type="dxa"/>
            <w:shd w:val="clear" w:color="auto" w:fill="auto"/>
            <w:tcMar>
              <w:left w:w="85" w:type="dxa"/>
              <w:right w:w="85" w:type="dxa"/>
            </w:tcMar>
            <w:vAlign w:val="center"/>
          </w:tcPr>
          <w:p w:rsidR="00A75E60" w:rsidRPr="00090BE7" w:rsidRDefault="00A75E60" w:rsidP="00A75E60">
            <w:pPr>
              <w:spacing w:line="226" w:lineRule="exact"/>
              <w:jc w:val="center"/>
              <w:rPr>
                <w:lang w:val="it-IT"/>
              </w:rPr>
            </w:pPr>
          </w:p>
        </w:tc>
        <w:tc>
          <w:tcPr>
            <w:tcW w:w="567" w:type="dxa"/>
            <w:shd w:val="clear" w:color="auto" w:fill="auto"/>
            <w:tcMar>
              <w:left w:w="108" w:type="dxa"/>
            </w:tcMar>
            <w:vAlign w:val="center"/>
          </w:tcPr>
          <w:p w:rsidR="00A75E60" w:rsidRPr="00090BE7" w:rsidRDefault="00A75E60" w:rsidP="00A75E60">
            <w:pPr>
              <w:spacing w:line="226" w:lineRule="exact"/>
              <w:jc w:val="center"/>
              <w:rPr>
                <w:lang w:val="it-IT"/>
              </w:rPr>
            </w:pPr>
          </w:p>
        </w:tc>
        <w:tc>
          <w:tcPr>
            <w:tcW w:w="567" w:type="dxa"/>
            <w:shd w:val="clear" w:color="auto" w:fill="auto"/>
            <w:vAlign w:val="center"/>
          </w:tcPr>
          <w:p w:rsidR="00A75E60" w:rsidRPr="00090BE7" w:rsidRDefault="00A75E60" w:rsidP="00A75E60">
            <w:pPr>
              <w:spacing w:line="226" w:lineRule="exact"/>
              <w:jc w:val="center"/>
              <w:rPr>
                <w:lang w:val="it-IT"/>
              </w:rPr>
            </w:pP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r w:rsidRPr="00237EFA">
              <w:rPr>
                <w:lang w:val="it-IT"/>
              </w:rPr>
              <w:t> </w:t>
            </w:r>
          </w:p>
        </w:tc>
        <w:tc>
          <w:tcPr>
            <w:tcW w:w="7079" w:type="dxa"/>
            <w:shd w:val="clear" w:color="auto" w:fill="auto"/>
            <w:tcMar>
              <w:left w:w="108" w:type="dxa"/>
            </w:tcMar>
          </w:tcPr>
          <w:p w:rsidR="00A75E60" w:rsidRPr="00237EFA" w:rsidRDefault="00A75E60" w:rsidP="00A75E60">
            <w:pPr>
              <w:pStyle w:val="Rientroa"/>
              <w:numPr>
                <w:ilvl w:val="0"/>
                <w:numId w:val="170"/>
              </w:numPr>
              <w:tabs>
                <w:tab w:val="center" w:pos="4536"/>
                <w:tab w:val="right" w:pos="9072"/>
              </w:tabs>
              <w:spacing w:line="226" w:lineRule="exact"/>
              <w:rPr>
                <w:iCs/>
                <w:spacing w:val="-2"/>
              </w:rPr>
            </w:pPr>
            <w:r w:rsidRPr="00237EFA">
              <w:t>come determina quali accordi soddisfano i requisiti dello IAS 18.14 in maniera continuativa man mano che la costruzione si sviluppa</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r w:rsidRPr="00237EFA">
              <w:rPr>
                <w:lang w:val="it-IT"/>
              </w:rPr>
              <w:t> </w:t>
            </w:r>
          </w:p>
        </w:tc>
        <w:tc>
          <w:tcPr>
            <w:tcW w:w="7079" w:type="dxa"/>
            <w:shd w:val="clear" w:color="auto" w:fill="auto"/>
            <w:tcMar>
              <w:left w:w="108" w:type="dxa"/>
            </w:tcMar>
          </w:tcPr>
          <w:p w:rsidR="00A75E60" w:rsidRPr="00237EFA" w:rsidRDefault="00A75E60" w:rsidP="00A75E60">
            <w:pPr>
              <w:pStyle w:val="Rientroa"/>
              <w:numPr>
                <w:ilvl w:val="0"/>
                <w:numId w:val="72"/>
              </w:numPr>
              <w:spacing w:line="226" w:lineRule="exact"/>
            </w:pPr>
            <w:r w:rsidRPr="00237EFA">
              <w:t>l’importo dei ricavi derivanti da tali accordi nel periodo; e</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r w:rsidRPr="00237EFA">
              <w:rPr>
                <w:lang w:val="it-IT"/>
              </w:rPr>
              <w:t> </w:t>
            </w:r>
          </w:p>
        </w:tc>
        <w:tc>
          <w:tcPr>
            <w:tcW w:w="7079" w:type="dxa"/>
            <w:shd w:val="clear" w:color="auto" w:fill="auto"/>
            <w:tcMar>
              <w:left w:w="108" w:type="dxa"/>
            </w:tcMar>
          </w:tcPr>
          <w:p w:rsidR="00A75E60" w:rsidRPr="00237EFA" w:rsidRDefault="00A75E60" w:rsidP="00A75E60">
            <w:pPr>
              <w:pStyle w:val="Rientroa"/>
              <w:numPr>
                <w:ilvl w:val="0"/>
                <w:numId w:val="72"/>
              </w:numPr>
              <w:spacing w:line="226" w:lineRule="exact"/>
            </w:pPr>
            <w:r w:rsidRPr="00237EFA">
              <w:t>i metodi usati per determinare lo stadio di avanzamento degli accordi in via di sviluppo.</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A44ECD" w:rsidTr="00F235B5">
        <w:trPr>
          <w:cantSplit/>
        </w:trPr>
        <w:tc>
          <w:tcPr>
            <w:tcW w:w="567" w:type="dxa"/>
            <w:shd w:val="clear" w:color="auto" w:fill="auto"/>
            <w:tcMar>
              <w:left w:w="108" w:type="dxa"/>
              <w:right w:w="0" w:type="dxa"/>
            </w:tcMar>
          </w:tcPr>
          <w:p w:rsidR="00A75E60" w:rsidRPr="008A0F36" w:rsidRDefault="00A75E60" w:rsidP="00A75E60">
            <w:pPr>
              <w:pStyle w:val="Numeroelenco"/>
              <w:ind w:left="0" w:firstLine="57"/>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r w:rsidRPr="00237EFA">
              <w:rPr>
                <w:lang w:val="it-IT"/>
              </w:rPr>
              <w:t>IFRIC 15.21</w:t>
            </w:r>
          </w:p>
        </w:tc>
        <w:tc>
          <w:tcPr>
            <w:tcW w:w="7079" w:type="dxa"/>
            <w:shd w:val="clear" w:color="auto" w:fill="auto"/>
            <w:tcMar>
              <w:left w:w="108" w:type="dxa"/>
            </w:tcMar>
          </w:tcPr>
          <w:p w:rsidR="00A75E60" w:rsidRPr="00237EFA" w:rsidRDefault="00A75E60" w:rsidP="00A75E60">
            <w:pPr>
              <w:spacing w:line="226" w:lineRule="exact"/>
              <w:rPr>
                <w:b/>
                <w:bCs/>
                <w:caps/>
                <w:lang w:val="it-IT"/>
              </w:rPr>
            </w:pPr>
            <w:r w:rsidRPr="00237EFA">
              <w:rPr>
                <w:lang w:val="it-IT"/>
              </w:rPr>
              <w:t>Per quegli accordi descritti nell’IFRIC 15.20 che sono in stato avanzamento alla data di chiusura dell’esercizio, l’entità deve indicare anche:</w:t>
            </w:r>
          </w:p>
        </w:tc>
        <w:tc>
          <w:tcPr>
            <w:tcW w:w="575" w:type="dxa"/>
            <w:shd w:val="clear" w:color="auto" w:fill="auto"/>
            <w:tcMar>
              <w:left w:w="85" w:type="dxa"/>
              <w:right w:w="85" w:type="dxa"/>
            </w:tcMar>
            <w:vAlign w:val="center"/>
          </w:tcPr>
          <w:p w:rsidR="00A75E60" w:rsidRPr="00090BE7" w:rsidRDefault="00A75E60" w:rsidP="00A75E60">
            <w:pPr>
              <w:spacing w:line="226" w:lineRule="exact"/>
              <w:jc w:val="center"/>
              <w:rPr>
                <w:lang w:val="it-IT"/>
              </w:rPr>
            </w:pPr>
          </w:p>
        </w:tc>
        <w:tc>
          <w:tcPr>
            <w:tcW w:w="567" w:type="dxa"/>
            <w:shd w:val="clear" w:color="auto" w:fill="auto"/>
            <w:tcMar>
              <w:left w:w="108" w:type="dxa"/>
            </w:tcMar>
            <w:vAlign w:val="center"/>
          </w:tcPr>
          <w:p w:rsidR="00A75E60" w:rsidRPr="00090BE7" w:rsidRDefault="00A75E60" w:rsidP="00A75E60">
            <w:pPr>
              <w:spacing w:line="226" w:lineRule="exact"/>
              <w:jc w:val="center"/>
              <w:rPr>
                <w:lang w:val="it-IT"/>
              </w:rPr>
            </w:pPr>
          </w:p>
        </w:tc>
        <w:tc>
          <w:tcPr>
            <w:tcW w:w="567" w:type="dxa"/>
            <w:shd w:val="clear" w:color="auto" w:fill="auto"/>
            <w:vAlign w:val="center"/>
          </w:tcPr>
          <w:p w:rsidR="00A75E60" w:rsidRPr="00090BE7" w:rsidRDefault="00A75E60" w:rsidP="00A75E60">
            <w:pPr>
              <w:spacing w:line="226" w:lineRule="exact"/>
              <w:jc w:val="center"/>
              <w:rPr>
                <w:lang w:val="it-IT"/>
              </w:rPr>
            </w:pP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r w:rsidRPr="00237EFA">
              <w:rPr>
                <w:lang w:val="it-IT"/>
              </w:rPr>
              <w:t> </w:t>
            </w:r>
          </w:p>
        </w:tc>
        <w:tc>
          <w:tcPr>
            <w:tcW w:w="7079" w:type="dxa"/>
            <w:shd w:val="clear" w:color="auto" w:fill="auto"/>
            <w:tcMar>
              <w:left w:w="108" w:type="dxa"/>
            </w:tcMar>
          </w:tcPr>
          <w:p w:rsidR="00A75E60" w:rsidRPr="00237EFA" w:rsidRDefault="00A75E60" w:rsidP="00A75E60">
            <w:pPr>
              <w:pStyle w:val="Rientroa"/>
              <w:numPr>
                <w:ilvl w:val="0"/>
                <w:numId w:val="171"/>
              </w:numPr>
              <w:tabs>
                <w:tab w:val="center" w:pos="4536"/>
                <w:tab w:val="right" w:pos="9072"/>
              </w:tabs>
              <w:spacing w:line="226" w:lineRule="exact"/>
              <w:rPr>
                <w:iCs/>
                <w:spacing w:val="-2"/>
              </w:rPr>
            </w:pPr>
            <w:r w:rsidRPr="00237EFA">
              <w:t>l’ammontare complessivo dei costi sostenuti e degli utili rilevati (al netto delle perdite rilevate) a quella data; e</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A0F36"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r w:rsidRPr="00237EFA">
              <w:rPr>
                <w:lang w:val="it-IT"/>
              </w:rPr>
              <w:t> </w:t>
            </w:r>
          </w:p>
        </w:tc>
        <w:tc>
          <w:tcPr>
            <w:tcW w:w="7079" w:type="dxa"/>
            <w:shd w:val="clear" w:color="auto" w:fill="auto"/>
            <w:tcMar>
              <w:left w:w="108" w:type="dxa"/>
            </w:tcMar>
          </w:tcPr>
          <w:p w:rsidR="00A75E60" w:rsidRPr="00237EFA" w:rsidRDefault="00A75E60" w:rsidP="00A75E60">
            <w:pPr>
              <w:pStyle w:val="Rientroa"/>
              <w:pageBreakBefore/>
              <w:numPr>
                <w:ilvl w:val="0"/>
                <w:numId w:val="72"/>
              </w:numPr>
              <w:spacing w:line="226" w:lineRule="exact"/>
              <w:ind w:left="391" w:hanging="357"/>
            </w:pPr>
            <w:r w:rsidRPr="00237EFA">
              <w:t>l’ammontare degli anticipi ricevuti.</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A44ECD" w:rsidTr="00F235B5">
        <w:trPr>
          <w:cantSplit/>
        </w:trPr>
        <w:tc>
          <w:tcPr>
            <w:tcW w:w="567" w:type="dxa"/>
            <w:shd w:val="clear" w:color="auto" w:fill="auto"/>
            <w:tcMar>
              <w:left w:w="108" w:type="dxa"/>
              <w:right w:w="0" w:type="dxa"/>
            </w:tcMar>
            <w:vAlign w:val="center"/>
          </w:tcPr>
          <w:p w:rsidR="00A75E60" w:rsidRPr="008A0F36" w:rsidRDefault="00A75E60" w:rsidP="00A75E60">
            <w:pPr>
              <w:pStyle w:val="IAS"/>
              <w:spacing w:after="40" w:line="226" w:lineRule="exact"/>
              <w:jc w:val="left"/>
              <w:rPr>
                <w:lang w:val="it-IT"/>
              </w:rPr>
            </w:pPr>
          </w:p>
        </w:tc>
        <w:tc>
          <w:tcPr>
            <w:tcW w:w="851" w:type="dxa"/>
            <w:shd w:val="clear" w:color="auto" w:fill="auto"/>
            <w:tcMar>
              <w:left w:w="108" w:type="dxa"/>
              <w:right w:w="0" w:type="dxa"/>
            </w:tcMar>
            <w:vAlign w:val="center"/>
          </w:tcPr>
          <w:p w:rsidR="00A75E60" w:rsidRPr="00237EFA" w:rsidRDefault="00A75E60" w:rsidP="00A75E60">
            <w:pPr>
              <w:pStyle w:val="IAS"/>
              <w:spacing w:after="40" w:line="226" w:lineRule="exact"/>
              <w:jc w:val="left"/>
              <w:rPr>
                <w:lang w:val="it-IT"/>
              </w:rPr>
            </w:pPr>
          </w:p>
        </w:tc>
        <w:tc>
          <w:tcPr>
            <w:tcW w:w="7079" w:type="dxa"/>
            <w:shd w:val="clear" w:color="auto" w:fill="auto"/>
            <w:tcMar>
              <w:left w:w="108" w:type="dxa"/>
            </w:tcMar>
            <w:vAlign w:val="center"/>
          </w:tcPr>
          <w:p w:rsidR="00A75E60" w:rsidRPr="002C1433" w:rsidRDefault="00A75E60" w:rsidP="00A75E60">
            <w:pPr>
              <w:pStyle w:val="Titolo1"/>
              <w:keepNext w:val="0"/>
              <w:spacing w:before="40" w:after="40" w:line="226" w:lineRule="exact"/>
            </w:pPr>
            <w:r w:rsidRPr="00237EFA">
              <w:t>Esplorazione e val</w:t>
            </w:r>
            <w:r>
              <w:t>utazione delle risorse minerari</w:t>
            </w:r>
          </w:p>
        </w:tc>
        <w:tc>
          <w:tcPr>
            <w:tcW w:w="575" w:type="dxa"/>
            <w:shd w:val="clear" w:color="auto" w:fill="auto"/>
            <w:tcMar>
              <w:left w:w="85" w:type="dxa"/>
              <w:right w:w="85" w:type="dxa"/>
            </w:tcMar>
            <w:vAlign w:val="center"/>
          </w:tcPr>
          <w:p w:rsidR="00A75E60" w:rsidRPr="00090BE7" w:rsidRDefault="00A75E60" w:rsidP="00A75E60">
            <w:pPr>
              <w:spacing w:before="40" w:after="40" w:line="226" w:lineRule="exact"/>
              <w:jc w:val="left"/>
              <w:rPr>
                <w:lang w:val="it-IT"/>
              </w:rPr>
            </w:pPr>
          </w:p>
        </w:tc>
        <w:tc>
          <w:tcPr>
            <w:tcW w:w="567" w:type="dxa"/>
            <w:shd w:val="clear" w:color="auto" w:fill="auto"/>
            <w:tcMar>
              <w:left w:w="108" w:type="dxa"/>
            </w:tcMar>
            <w:vAlign w:val="center"/>
          </w:tcPr>
          <w:p w:rsidR="00A75E60" w:rsidRPr="00090BE7" w:rsidRDefault="00A75E60" w:rsidP="00A75E60">
            <w:pPr>
              <w:spacing w:before="40" w:after="40" w:line="226" w:lineRule="exact"/>
              <w:jc w:val="left"/>
              <w:rPr>
                <w:lang w:val="it-IT"/>
              </w:rPr>
            </w:pPr>
          </w:p>
        </w:tc>
        <w:tc>
          <w:tcPr>
            <w:tcW w:w="567" w:type="dxa"/>
            <w:shd w:val="clear" w:color="auto" w:fill="auto"/>
            <w:vAlign w:val="center"/>
          </w:tcPr>
          <w:p w:rsidR="00A75E60" w:rsidRPr="00090BE7" w:rsidRDefault="00A75E60" w:rsidP="00A75E60">
            <w:pPr>
              <w:spacing w:before="40" w:after="40" w:line="226" w:lineRule="exact"/>
              <w:jc w:val="left"/>
              <w:rPr>
                <w:lang w:val="it-IT"/>
              </w:rPr>
            </w:pPr>
          </w:p>
        </w:tc>
      </w:tr>
      <w:tr w:rsidR="00A75E60" w:rsidRPr="00A44ECD"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r w:rsidRPr="00237EFA">
              <w:rPr>
                <w:lang w:val="it-IT"/>
              </w:rPr>
              <w:t>IFRS 6.1</w:t>
            </w:r>
          </w:p>
          <w:p w:rsidR="00A75E60" w:rsidRPr="00237EFA" w:rsidRDefault="00A75E60" w:rsidP="00A75E60">
            <w:pPr>
              <w:pStyle w:val="IAS"/>
              <w:rPr>
                <w:lang w:val="it-IT"/>
              </w:rPr>
            </w:pPr>
            <w:r w:rsidRPr="00237EFA">
              <w:rPr>
                <w:lang w:val="it-IT"/>
              </w:rPr>
              <w:t xml:space="preserve">IFRS 6 </w:t>
            </w:r>
            <w:r w:rsidRPr="00237EFA">
              <w:rPr>
                <w:lang w:val="it-IT"/>
              </w:rPr>
              <w:br/>
              <w:t>App. A</w:t>
            </w:r>
          </w:p>
        </w:tc>
        <w:tc>
          <w:tcPr>
            <w:tcW w:w="7079" w:type="dxa"/>
            <w:shd w:val="clear" w:color="auto" w:fill="auto"/>
            <w:tcMar>
              <w:left w:w="108" w:type="dxa"/>
            </w:tcMar>
          </w:tcPr>
          <w:p w:rsidR="00A75E60" w:rsidRPr="00E41648" w:rsidRDefault="00A75E60" w:rsidP="00C15B75">
            <w:pPr>
              <w:pStyle w:val="Paragarfobordato"/>
            </w:pPr>
            <w:r w:rsidRPr="00E41648">
              <w:t>L’obiettivo dell’IFRS 6 è specificare la reportistica per l’attività di l’esplorazione e la valutazione delle risorse minerarie. L’IFRS 6 contiene le seguenti definizioni:</w:t>
            </w:r>
          </w:p>
          <w:p w:rsidR="00A75E60" w:rsidRPr="00E41648" w:rsidRDefault="00A75E60" w:rsidP="00C15B75">
            <w:pPr>
              <w:pStyle w:val="Paragarfobordato"/>
            </w:pPr>
            <w:r w:rsidRPr="00E41648">
              <w:rPr>
                <w:b/>
              </w:rPr>
              <w:t>Attività di esplorazione e valutazione</w:t>
            </w:r>
            <w:r w:rsidRPr="00E41648">
              <w:t>: oneri di esplorazione e valutazione rilevati come attività in conformità ai principi contabili dell’entità.</w:t>
            </w:r>
          </w:p>
          <w:p w:rsidR="00A75E60" w:rsidRPr="00E41648" w:rsidRDefault="00A75E60" w:rsidP="00C15B75">
            <w:pPr>
              <w:pStyle w:val="Paragarfobordato"/>
            </w:pPr>
            <w:r w:rsidRPr="00E41648">
              <w:rPr>
                <w:b/>
              </w:rPr>
              <w:t>Costi di esplorazione e valutazione</w:t>
            </w:r>
            <w:r w:rsidRPr="00E41648">
              <w:t>: costi sostenuti da un’entità in relazione all’esplorazione e valutazione di risorse minerarie prima che la fattibilità tecnica e la realizzazione commerciale dell’estrazione della risorsa mineraria siano dimostrabili.</w:t>
            </w:r>
          </w:p>
          <w:p w:rsidR="00A75E60" w:rsidRPr="00E41648" w:rsidRDefault="00A75E60" w:rsidP="00C15B75">
            <w:pPr>
              <w:pStyle w:val="Paragarfobordato"/>
            </w:pPr>
            <w:r w:rsidRPr="00E41648">
              <w:rPr>
                <w:b/>
              </w:rPr>
              <w:t>Esplorazione e valutazione di risorse minerarie</w:t>
            </w:r>
            <w:r w:rsidRPr="00E41648">
              <w:t xml:space="preserve">: la ricerca di risorse minerarie, inclusi i minerali, petrolio, gas naturale, e risorse simili non rinnovabili, effettuata dopo che l’entità ha ottenuto il diritto legale di esplorare in una specifica area, oltre alla determinazione della fattibilità tecnica e della realizzabilità commerciale dell’estrazione della risorsa mineraria. </w:t>
            </w:r>
          </w:p>
        </w:tc>
        <w:tc>
          <w:tcPr>
            <w:tcW w:w="575" w:type="dxa"/>
            <w:shd w:val="clear" w:color="auto" w:fill="auto"/>
            <w:tcMar>
              <w:left w:w="85" w:type="dxa"/>
              <w:right w:w="85" w:type="dxa"/>
            </w:tcMar>
            <w:vAlign w:val="center"/>
          </w:tcPr>
          <w:p w:rsidR="00A75E60" w:rsidRPr="00090BE7" w:rsidRDefault="00A75E60" w:rsidP="00A75E60">
            <w:pPr>
              <w:jc w:val="center"/>
              <w:rPr>
                <w:lang w:val="it-IT"/>
              </w:rPr>
            </w:pPr>
          </w:p>
        </w:tc>
        <w:tc>
          <w:tcPr>
            <w:tcW w:w="567" w:type="dxa"/>
            <w:shd w:val="clear" w:color="auto" w:fill="auto"/>
            <w:tcMar>
              <w:left w:w="108" w:type="dxa"/>
            </w:tcMar>
            <w:vAlign w:val="center"/>
          </w:tcPr>
          <w:p w:rsidR="00A75E60" w:rsidRPr="00090BE7" w:rsidRDefault="00A75E60" w:rsidP="00A75E60">
            <w:pPr>
              <w:jc w:val="center"/>
              <w:rPr>
                <w:lang w:val="it-IT"/>
              </w:rPr>
            </w:pPr>
          </w:p>
        </w:tc>
        <w:tc>
          <w:tcPr>
            <w:tcW w:w="567" w:type="dxa"/>
            <w:shd w:val="clear" w:color="auto" w:fill="auto"/>
            <w:vAlign w:val="center"/>
          </w:tcPr>
          <w:p w:rsidR="00A75E60" w:rsidRPr="00090BE7" w:rsidRDefault="00A75E60" w:rsidP="00A75E60">
            <w:pPr>
              <w:jc w:val="center"/>
              <w:rPr>
                <w:lang w:val="it-IT"/>
              </w:rPr>
            </w:pP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pStyle w:val="Numeroelenco"/>
              <w:ind w:left="0" w:firstLine="57"/>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r w:rsidRPr="00237EFA">
              <w:rPr>
                <w:lang w:val="it-IT"/>
              </w:rPr>
              <w:t>IFRS 6.15</w:t>
            </w:r>
          </w:p>
        </w:tc>
        <w:tc>
          <w:tcPr>
            <w:tcW w:w="7079" w:type="dxa"/>
            <w:shd w:val="clear" w:color="auto" w:fill="auto"/>
            <w:tcMar>
              <w:left w:w="108" w:type="dxa"/>
            </w:tcMar>
          </w:tcPr>
          <w:p w:rsidR="00A75E60" w:rsidRPr="00237EFA" w:rsidRDefault="00A75E60" w:rsidP="00A75E60">
            <w:pPr>
              <w:spacing w:line="226" w:lineRule="exact"/>
              <w:rPr>
                <w:lang w:val="it-IT"/>
              </w:rPr>
            </w:pPr>
            <w:r w:rsidRPr="00237EFA">
              <w:rPr>
                <w:lang w:val="it-IT"/>
              </w:rPr>
              <w:t>L’entità classifica le attività derivanti dall’esplorazione e dalla valutazione di risorse minerarie come attività materiali o immateriali in base alla natura delle attività e con coerenza nel tempo</w:t>
            </w:r>
            <w:r>
              <w:rPr>
                <w:lang w:val="it-IT"/>
              </w:rPr>
              <w:t>.</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pStyle w:val="Numeroelenco"/>
              <w:ind w:left="0" w:firstLine="57"/>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r w:rsidRPr="00237EFA">
              <w:rPr>
                <w:lang w:val="it-IT"/>
              </w:rPr>
              <w:t>IFRS 6.17</w:t>
            </w:r>
          </w:p>
        </w:tc>
        <w:tc>
          <w:tcPr>
            <w:tcW w:w="7079" w:type="dxa"/>
            <w:shd w:val="clear" w:color="auto" w:fill="auto"/>
            <w:tcMar>
              <w:left w:w="108" w:type="dxa"/>
            </w:tcMar>
          </w:tcPr>
          <w:p w:rsidR="00A75E60" w:rsidRPr="00237EFA" w:rsidRDefault="00A75E60" w:rsidP="00A75E60">
            <w:pPr>
              <w:spacing w:line="226" w:lineRule="exact"/>
              <w:rPr>
                <w:lang w:val="it-IT"/>
              </w:rPr>
            </w:pPr>
            <w:r w:rsidRPr="00237EFA">
              <w:rPr>
                <w:lang w:val="it-IT"/>
              </w:rPr>
              <w:t>L’entità smette di classificare le attività iscritte per l’esplorazione e la valutazione di risorse minerarie come tali attività quando la fattibilità tecnica e realizzabilità commerciale dell’estrazione della risorsa mineraria sono dimostrabili</w:t>
            </w:r>
            <w:r>
              <w:rPr>
                <w:lang w:val="it-IT"/>
              </w:rPr>
              <w:t>.</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pStyle w:val="Numeroelenco"/>
              <w:ind w:left="0" w:firstLine="57"/>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r w:rsidRPr="00237EFA">
              <w:rPr>
                <w:lang w:val="it-IT"/>
              </w:rPr>
              <w:t>IFRS 6.18, IAS 36.126</w:t>
            </w:r>
          </w:p>
        </w:tc>
        <w:tc>
          <w:tcPr>
            <w:tcW w:w="7079" w:type="dxa"/>
            <w:shd w:val="clear" w:color="auto" w:fill="auto"/>
            <w:tcMar>
              <w:left w:w="108" w:type="dxa"/>
            </w:tcMar>
          </w:tcPr>
          <w:p w:rsidR="00A75E60" w:rsidRPr="00237EFA" w:rsidRDefault="00A75E60" w:rsidP="00A75E60">
            <w:pPr>
              <w:spacing w:line="226" w:lineRule="exact"/>
              <w:rPr>
                <w:lang w:val="it-IT"/>
              </w:rPr>
            </w:pPr>
            <w:r w:rsidRPr="00237EFA">
              <w:rPr>
                <w:lang w:val="it-IT"/>
              </w:rPr>
              <w:t>L’entità presenta e fornisce informazioni relativamente ad eventuali perdite per riduzione di valore relative ad attività di esplorazione e valutazione in conformità allo IAS 36.</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A44ECD" w:rsidTr="00F235B5">
        <w:trPr>
          <w:cantSplit/>
        </w:trPr>
        <w:tc>
          <w:tcPr>
            <w:tcW w:w="567" w:type="dxa"/>
            <w:shd w:val="clear" w:color="auto" w:fill="auto"/>
            <w:tcMar>
              <w:left w:w="108" w:type="dxa"/>
              <w:right w:w="0" w:type="dxa"/>
            </w:tcMar>
          </w:tcPr>
          <w:p w:rsidR="00A75E60" w:rsidRPr="008A0F36" w:rsidRDefault="00A75E60" w:rsidP="00A75E60">
            <w:pPr>
              <w:pStyle w:val="Numeroelenco"/>
              <w:ind w:left="0" w:firstLine="57"/>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r w:rsidRPr="00237EFA">
              <w:rPr>
                <w:lang w:val="it-IT"/>
              </w:rPr>
              <w:t>IFRS 6.23</w:t>
            </w:r>
          </w:p>
          <w:p w:rsidR="00A75E60" w:rsidRPr="00237EFA" w:rsidRDefault="00A75E60" w:rsidP="00A75E60">
            <w:pPr>
              <w:pStyle w:val="IAS"/>
              <w:rPr>
                <w:lang w:val="it-IT"/>
              </w:rPr>
            </w:pPr>
            <w:r w:rsidRPr="00237EFA">
              <w:rPr>
                <w:lang w:val="it-IT"/>
              </w:rPr>
              <w:t>IFRS 6.24</w:t>
            </w:r>
          </w:p>
        </w:tc>
        <w:tc>
          <w:tcPr>
            <w:tcW w:w="7079" w:type="dxa"/>
            <w:shd w:val="clear" w:color="auto" w:fill="auto"/>
            <w:tcMar>
              <w:left w:w="108" w:type="dxa"/>
            </w:tcMar>
          </w:tcPr>
          <w:p w:rsidR="00A75E60" w:rsidRPr="00237EFA" w:rsidRDefault="00A75E60" w:rsidP="00A75E60">
            <w:pPr>
              <w:spacing w:line="226" w:lineRule="exact"/>
              <w:rPr>
                <w:lang w:val="it-IT"/>
              </w:rPr>
            </w:pPr>
            <w:r w:rsidRPr="00237EFA">
              <w:rPr>
                <w:lang w:val="it-IT"/>
              </w:rPr>
              <w:t>L’entità fornisce le seguenti informazioni che identificano e spiegano gli importi iscritti nel suo bilancio derivanti da attività di esplorazione e valutazione di risorse minerarie</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p>
        </w:tc>
        <w:tc>
          <w:tcPr>
            <w:tcW w:w="567" w:type="dxa"/>
            <w:shd w:val="clear" w:color="auto" w:fill="auto"/>
            <w:tcMar>
              <w:left w:w="108" w:type="dxa"/>
            </w:tcMar>
            <w:vAlign w:val="center"/>
          </w:tcPr>
          <w:p w:rsidR="00A75E60" w:rsidRPr="00A32A16" w:rsidRDefault="00A75E60" w:rsidP="00A75E60">
            <w:pPr>
              <w:jc w:val="center"/>
              <w:rPr>
                <w:lang w:val="it-IT"/>
              </w:rPr>
            </w:pPr>
          </w:p>
        </w:tc>
        <w:tc>
          <w:tcPr>
            <w:tcW w:w="567" w:type="dxa"/>
            <w:shd w:val="clear" w:color="auto" w:fill="auto"/>
            <w:vAlign w:val="center"/>
          </w:tcPr>
          <w:p w:rsidR="00A75E60" w:rsidRPr="00A32A16" w:rsidRDefault="00A75E60" w:rsidP="00A75E60">
            <w:pPr>
              <w:jc w:val="center"/>
              <w:rPr>
                <w:lang w:val="it-IT"/>
              </w:rPr>
            </w:pP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Rientroa"/>
              <w:numPr>
                <w:ilvl w:val="0"/>
                <w:numId w:val="172"/>
              </w:numPr>
              <w:tabs>
                <w:tab w:val="center" w:pos="4536"/>
                <w:tab w:val="right" w:pos="9072"/>
              </w:tabs>
              <w:spacing w:line="226" w:lineRule="exact"/>
              <w:rPr>
                <w:iCs/>
                <w:spacing w:val="-2"/>
              </w:rPr>
            </w:pPr>
            <w:r w:rsidRPr="00237EFA">
              <w:t>i principi contabili relativi agli oneri di esplorazione e valutazione, inclusi quelli relativi ai criteri d’iscrizione delle attività di esplorazione e valutazione</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Rientroa"/>
              <w:numPr>
                <w:ilvl w:val="0"/>
                <w:numId w:val="72"/>
              </w:numPr>
              <w:spacing w:line="226" w:lineRule="exact"/>
            </w:pPr>
            <w:r w:rsidRPr="00237EFA">
              <w:t xml:space="preserve">gli importi delle attività, passività, ricavi o costi e dei flussi finanziari operativi e di investimento derivanti dall’esplorazione e dalla valutazione di risorse minerarie. </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pStyle w:val="Numeroelenco"/>
              <w:ind w:left="0" w:firstLine="57"/>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r w:rsidRPr="00237EFA">
              <w:rPr>
                <w:lang w:val="it-IT"/>
              </w:rPr>
              <w:t>IFRS 6.25</w:t>
            </w:r>
          </w:p>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spacing w:line="226" w:lineRule="exact"/>
              <w:rPr>
                <w:lang w:val="it-IT"/>
              </w:rPr>
            </w:pPr>
            <w:r w:rsidRPr="00237EFA">
              <w:rPr>
                <w:lang w:val="it-IT"/>
              </w:rPr>
              <w:t xml:space="preserve">L’entità tratta le attività di esplorazione e valutazione come classi di attività separate e fornisce le informazioni richieste dallo IAS 16 (vedi punti </w:t>
            </w:r>
            <w:r>
              <w:rPr>
                <w:lang w:val="it-IT"/>
              </w:rPr>
              <w:t>362-366</w:t>
            </w:r>
            <w:r w:rsidRPr="00237EFA">
              <w:rPr>
                <w:lang w:val="it-IT"/>
              </w:rPr>
              <w:t xml:space="preserve">) o IAS 38 (vedi punti </w:t>
            </w:r>
            <w:r>
              <w:rPr>
                <w:lang w:val="it-IT"/>
              </w:rPr>
              <w:t>319-325</w:t>
            </w:r>
            <w:r w:rsidRPr="00237EFA">
              <w:rPr>
                <w:lang w:val="it-IT"/>
              </w:rPr>
              <w:t>) coerentemente con il modo in cui le attività sono classificate.</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A0F36" w:rsidTr="00F235B5">
        <w:trPr>
          <w:cantSplit/>
        </w:trPr>
        <w:tc>
          <w:tcPr>
            <w:tcW w:w="567" w:type="dxa"/>
            <w:shd w:val="clear" w:color="auto" w:fill="auto"/>
            <w:tcMar>
              <w:left w:w="108" w:type="dxa"/>
              <w:right w:w="0" w:type="dxa"/>
            </w:tcMar>
            <w:vAlign w:val="center"/>
          </w:tcPr>
          <w:p w:rsidR="00A75E60" w:rsidRPr="008A0F36" w:rsidRDefault="00A75E60" w:rsidP="00A75E60">
            <w:pPr>
              <w:pStyle w:val="IAS"/>
              <w:spacing w:after="40" w:line="224" w:lineRule="exact"/>
              <w:jc w:val="left"/>
              <w:rPr>
                <w:lang w:val="it-IT"/>
              </w:rPr>
            </w:pPr>
          </w:p>
        </w:tc>
        <w:tc>
          <w:tcPr>
            <w:tcW w:w="851" w:type="dxa"/>
            <w:shd w:val="clear" w:color="auto" w:fill="auto"/>
            <w:tcMar>
              <w:left w:w="108" w:type="dxa"/>
              <w:right w:w="0" w:type="dxa"/>
            </w:tcMar>
            <w:vAlign w:val="center"/>
          </w:tcPr>
          <w:p w:rsidR="00A75E60" w:rsidRPr="00237EFA" w:rsidRDefault="00A75E60" w:rsidP="00A75E60">
            <w:pPr>
              <w:pStyle w:val="IAS"/>
              <w:spacing w:after="40" w:line="224" w:lineRule="exact"/>
              <w:jc w:val="left"/>
              <w:rPr>
                <w:lang w:val="it-IT"/>
              </w:rPr>
            </w:pPr>
          </w:p>
        </w:tc>
        <w:tc>
          <w:tcPr>
            <w:tcW w:w="7079" w:type="dxa"/>
            <w:shd w:val="clear" w:color="auto" w:fill="auto"/>
            <w:tcMar>
              <w:left w:w="108" w:type="dxa"/>
            </w:tcMar>
            <w:vAlign w:val="center"/>
          </w:tcPr>
          <w:p w:rsidR="00A75E60" w:rsidRPr="00237EFA" w:rsidRDefault="00A75E60" w:rsidP="00A75E60">
            <w:pPr>
              <w:pStyle w:val="Titolo1"/>
              <w:keepNext w:val="0"/>
              <w:spacing w:before="40" w:after="40" w:line="226" w:lineRule="exact"/>
            </w:pPr>
            <w:r w:rsidRPr="00237EFA">
              <w:t>contratti assicurativi</w:t>
            </w:r>
          </w:p>
        </w:tc>
        <w:tc>
          <w:tcPr>
            <w:tcW w:w="575" w:type="dxa"/>
            <w:shd w:val="clear" w:color="auto" w:fill="auto"/>
            <w:tcMar>
              <w:left w:w="85" w:type="dxa"/>
              <w:right w:w="85" w:type="dxa"/>
            </w:tcMar>
            <w:vAlign w:val="center"/>
          </w:tcPr>
          <w:p w:rsidR="00A75E60" w:rsidRDefault="00A75E60" w:rsidP="00A75E60">
            <w:pPr>
              <w:spacing w:before="40" w:after="40" w:line="226" w:lineRule="exact"/>
              <w:jc w:val="left"/>
            </w:pPr>
          </w:p>
        </w:tc>
        <w:tc>
          <w:tcPr>
            <w:tcW w:w="567" w:type="dxa"/>
            <w:shd w:val="clear" w:color="auto" w:fill="auto"/>
            <w:tcMar>
              <w:left w:w="108" w:type="dxa"/>
            </w:tcMar>
            <w:vAlign w:val="center"/>
          </w:tcPr>
          <w:p w:rsidR="00A75E60" w:rsidRDefault="00A75E60" w:rsidP="00A75E60">
            <w:pPr>
              <w:spacing w:before="40" w:after="40" w:line="226" w:lineRule="exact"/>
              <w:jc w:val="left"/>
            </w:pPr>
          </w:p>
        </w:tc>
        <w:tc>
          <w:tcPr>
            <w:tcW w:w="567" w:type="dxa"/>
            <w:shd w:val="clear" w:color="auto" w:fill="auto"/>
            <w:vAlign w:val="center"/>
          </w:tcPr>
          <w:p w:rsidR="00A75E60" w:rsidRDefault="00A75E60" w:rsidP="00A75E60">
            <w:pPr>
              <w:spacing w:before="40" w:after="40" w:line="226" w:lineRule="exact"/>
              <w:jc w:val="left"/>
            </w:pPr>
          </w:p>
        </w:tc>
      </w:tr>
      <w:tr w:rsidR="00A75E60" w:rsidRPr="00A44ECD" w:rsidTr="00F235B5">
        <w:trPr>
          <w:cantSplit/>
        </w:trPr>
        <w:tc>
          <w:tcPr>
            <w:tcW w:w="567" w:type="dxa"/>
            <w:shd w:val="clear" w:color="auto" w:fill="auto"/>
            <w:tcMar>
              <w:left w:w="108"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E41648" w:rsidRDefault="00A75E60" w:rsidP="00C15B75">
            <w:pPr>
              <w:pStyle w:val="Paragarfobordato"/>
            </w:pPr>
            <w:r w:rsidRPr="00E41648">
              <w:t>Le indicazioni fornite ai paragrafi da IG11 a IG71 suggeriscono possibili metodi di applicazione delle disposizioni sulle informazioni integrative di cui ai paragrafi da 36 a 39 dell’IFRS 4.</w:t>
            </w:r>
          </w:p>
        </w:tc>
        <w:tc>
          <w:tcPr>
            <w:tcW w:w="575" w:type="dxa"/>
            <w:shd w:val="clear" w:color="auto" w:fill="auto"/>
            <w:tcMar>
              <w:left w:w="85" w:type="dxa"/>
              <w:right w:w="85" w:type="dxa"/>
            </w:tcMar>
            <w:vAlign w:val="center"/>
          </w:tcPr>
          <w:p w:rsidR="00A75E60" w:rsidRPr="00090BE7" w:rsidRDefault="00A75E60" w:rsidP="00A75E60">
            <w:pPr>
              <w:spacing w:line="226" w:lineRule="exact"/>
              <w:jc w:val="center"/>
              <w:rPr>
                <w:lang w:val="it-IT"/>
              </w:rPr>
            </w:pPr>
          </w:p>
        </w:tc>
        <w:tc>
          <w:tcPr>
            <w:tcW w:w="567" w:type="dxa"/>
            <w:shd w:val="clear" w:color="auto" w:fill="auto"/>
            <w:tcMar>
              <w:left w:w="108" w:type="dxa"/>
            </w:tcMar>
            <w:vAlign w:val="center"/>
          </w:tcPr>
          <w:p w:rsidR="00A75E60" w:rsidRPr="00090BE7" w:rsidRDefault="00A75E60" w:rsidP="00A75E60">
            <w:pPr>
              <w:spacing w:line="226" w:lineRule="exact"/>
              <w:jc w:val="center"/>
              <w:rPr>
                <w:lang w:val="it-IT"/>
              </w:rPr>
            </w:pPr>
          </w:p>
        </w:tc>
        <w:tc>
          <w:tcPr>
            <w:tcW w:w="567" w:type="dxa"/>
            <w:shd w:val="clear" w:color="auto" w:fill="auto"/>
            <w:vAlign w:val="center"/>
          </w:tcPr>
          <w:p w:rsidR="00A75E60" w:rsidRPr="00090BE7" w:rsidRDefault="00A75E60" w:rsidP="00A75E60">
            <w:pPr>
              <w:spacing w:line="226" w:lineRule="exact"/>
              <w:jc w:val="center"/>
              <w:rPr>
                <w:lang w:val="it-IT"/>
              </w:rPr>
            </w:pPr>
          </w:p>
        </w:tc>
      </w:tr>
      <w:tr w:rsidR="00A75E60" w:rsidRPr="008A0F36" w:rsidTr="00F235B5">
        <w:trPr>
          <w:cantSplit/>
        </w:trPr>
        <w:tc>
          <w:tcPr>
            <w:tcW w:w="567" w:type="dxa"/>
            <w:shd w:val="clear" w:color="auto" w:fill="auto"/>
            <w:tcMar>
              <w:left w:w="108" w:type="dxa"/>
            </w:tcMar>
          </w:tcPr>
          <w:p w:rsidR="00A75E60" w:rsidRPr="008A0F36" w:rsidRDefault="00A75E60" w:rsidP="00A75E60">
            <w:pPr>
              <w:pStyle w:val="IAS"/>
              <w:spacing w:after="40"/>
              <w:rPr>
                <w:lang w:val="it-IT"/>
              </w:rPr>
            </w:pPr>
          </w:p>
        </w:tc>
        <w:tc>
          <w:tcPr>
            <w:tcW w:w="851" w:type="dxa"/>
            <w:shd w:val="clear" w:color="auto" w:fill="auto"/>
            <w:tcMar>
              <w:left w:w="108" w:type="dxa"/>
              <w:right w:w="0" w:type="dxa"/>
            </w:tcMar>
          </w:tcPr>
          <w:p w:rsidR="00A75E60" w:rsidRPr="00237EFA" w:rsidRDefault="00A75E60" w:rsidP="00A75E60">
            <w:pPr>
              <w:pStyle w:val="IAS"/>
              <w:spacing w:after="40"/>
              <w:rPr>
                <w:lang w:val="it-IT"/>
              </w:rPr>
            </w:pPr>
          </w:p>
        </w:tc>
        <w:tc>
          <w:tcPr>
            <w:tcW w:w="7079" w:type="dxa"/>
            <w:shd w:val="clear" w:color="auto" w:fill="auto"/>
            <w:tcMar>
              <w:left w:w="108" w:type="dxa"/>
            </w:tcMar>
          </w:tcPr>
          <w:p w:rsidR="00A75E60" w:rsidRPr="00237EFA" w:rsidRDefault="00A75E60" w:rsidP="00A75E60">
            <w:pPr>
              <w:pStyle w:val="Titolo2"/>
              <w:spacing w:before="40" w:after="40" w:line="226" w:lineRule="exact"/>
              <w:rPr>
                <w:lang w:val="it-IT"/>
              </w:rPr>
            </w:pPr>
            <w:r w:rsidRPr="00237EFA">
              <w:rPr>
                <w:lang w:val="it-IT"/>
              </w:rPr>
              <w:t>Illustrazione degli importi rilevati</w:t>
            </w:r>
          </w:p>
        </w:tc>
        <w:tc>
          <w:tcPr>
            <w:tcW w:w="575" w:type="dxa"/>
            <w:shd w:val="clear" w:color="auto" w:fill="auto"/>
            <w:tcMar>
              <w:left w:w="85" w:type="dxa"/>
              <w:right w:w="85" w:type="dxa"/>
            </w:tcMar>
            <w:vAlign w:val="center"/>
          </w:tcPr>
          <w:p w:rsidR="00A75E60" w:rsidRDefault="00A75E60" w:rsidP="00A75E60">
            <w:pPr>
              <w:spacing w:before="40" w:after="40" w:line="226" w:lineRule="exact"/>
              <w:jc w:val="center"/>
            </w:pPr>
          </w:p>
        </w:tc>
        <w:tc>
          <w:tcPr>
            <w:tcW w:w="567" w:type="dxa"/>
            <w:shd w:val="clear" w:color="auto" w:fill="auto"/>
            <w:tcMar>
              <w:left w:w="108" w:type="dxa"/>
            </w:tcMar>
            <w:vAlign w:val="center"/>
          </w:tcPr>
          <w:p w:rsidR="00A75E60" w:rsidRDefault="00A75E60" w:rsidP="00A75E60">
            <w:pPr>
              <w:spacing w:before="40" w:after="40" w:line="226" w:lineRule="exact"/>
              <w:jc w:val="center"/>
            </w:pPr>
          </w:p>
        </w:tc>
        <w:tc>
          <w:tcPr>
            <w:tcW w:w="567" w:type="dxa"/>
            <w:shd w:val="clear" w:color="auto" w:fill="auto"/>
            <w:vAlign w:val="center"/>
          </w:tcPr>
          <w:p w:rsidR="00A75E60" w:rsidRDefault="00A75E60" w:rsidP="00A75E60">
            <w:pPr>
              <w:spacing w:before="40" w:after="40" w:line="226" w:lineRule="exact"/>
              <w:jc w:val="center"/>
            </w:pPr>
          </w:p>
        </w:tc>
      </w:tr>
      <w:tr w:rsidR="00A75E60" w:rsidRPr="00A44ECD" w:rsidTr="00F235B5">
        <w:trPr>
          <w:cantSplit/>
        </w:trPr>
        <w:tc>
          <w:tcPr>
            <w:tcW w:w="567" w:type="dxa"/>
            <w:shd w:val="clear" w:color="auto" w:fill="auto"/>
            <w:tcMar>
              <w:left w:w="108" w:type="dxa"/>
            </w:tcMar>
          </w:tcPr>
          <w:p w:rsidR="00A75E60" w:rsidRPr="008A0F36" w:rsidRDefault="00A75E60" w:rsidP="00A75E60">
            <w:pPr>
              <w:pStyle w:val="Numeroelenco"/>
              <w:ind w:left="0" w:firstLine="57"/>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r w:rsidRPr="00237EFA">
              <w:rPr>
                <w:lang w:val="it-IT"/>
              </w:rPr>
              <w:t>IFRS 4.36 IFRS 4.37</w:t>
            </w:r>
          </w:p>
        </w:tc>
        <w:tc>
          <w:tcPr>
            <w:tcW w:w="7079" w:type="dxa"/>
            <w:shd w:val="clear" w:color="auto" w:fill="auto"/>
            <w:tcMar>
              <w:left w:w="108" w:type="dxa"/>
            </w:tcMar>
          </w:tcPr>
          <w:p w:rsidR="00A75E60" w:rsidRPr="00237EFA" w:rsidRDefault="00A75E60" w:rsidP="00A75E60">
            <w:pPr>
              <w:spacing w:line="226" w:lineRule="exact"/>
              <w:rPr>
                <w:lang w:val="it-IT"/>
              </w:rPr>
            </w:pPr>
            <w:r w:rsidRPr="00237EFA">
              <w:rPr>
                <w:lang w:val="it-IT"/>
              </w:rPr>
              <w:t>L’assicuratore identifica e illustra gli importi iscritti nel proprio bilancio relativi ai contratti assicurativi fornendo le seguenti informazioni:</w:t>
            </w:r>
          </w:p>
        </w:tc>
        <w:tc>
          <w:tcPr>
            <w:tcW w:w="575" w:type="dxa"/>
            <w:shd w:val="clear" w:color="auto" w:fill="auto"/>
            <w:tcMar>
              <w:left w:w="85" w:type="dxa"/>
              <w:right w:w="85" w:type="dxa"/>
            </w:tcMar>
            <w:vAlign w:val="center"/>
          </w:tcPr>
          <w:p w:rsidR="00A75E60" w:rsidRPr="00090BE7" w:rsidRDefault="00A75E60" w:rsidP="00A75E60">
            <w:pPr>
              <w:spacing w:line="226" w:lineRule="exact"/>
              <w:jc w:val="center"/>
              <w:rPr>
                <w:lang w:val="it-IT"/>
              </w:rPr>
            </w:pPr>
          </w:p>
        </w:tc>
        <w:tc>
          <w:tcPr>
            <w:tcW w:w="567" w:type="dxa"/>
            <w:shd w:val="clear" w:color="auto" w:fill="auto"/>
            <w:tcMar>
              <w:left w:w="108" w:type="dxa"/>
            </w:tcMar>
            <w:vAlign w:val="center"/>
          </w:tcPr>
          <w:p w:rsidR="00A75E60" w:rsidRPr="00090BE7" w:rsidRDefault="00A75E60" w:rsidP="00A75E60">
            <w:pPr>
              <w:spacing w:line="226" w:lineRule="exact"/>
              <w:jc w:val="center"/>
              <w:rPr>
                <w:lang w:val="it-IT"/>
              </w:rPr>
            </w:pPr>
          </w:p>
        </w:tc>
        <w:tc>
          <w:tcPr>
            <w:tcW w:w="567" w:type="dxa"/>
            <w:shd w:val="clear" w:color="auto" w:fill="auto"/>
            <w:vAlign w:val="center"/>
          </w:tcPr>
          <w:p w:rsidR="00A75E60" w:rsidRPr="00090BE7" w:rsidRDefault="00A75E60" w:rsidP="00A75E60">
            <w:pPr>
              <w:spacing w:line="226" w:lineRule="exact"/>
              <w:jc w:val="center"/>
              <w:rPr>
                <w:lang w:val="it-IT"/>
              </w:rPr>
            </w:pPr>
          </w:p>
        </w:tc>
      </w:tr>
      <w:tr w:rsidR="00A75E60" w:rsidRPr="008129DA" w:rsidTr="00F235B5">
        <w:trPr>
          <w:cantSplit/>
        </w:trPr>
        <w:tc>
          <w:tcPr>
            <w:tcW w:w="567" w:type="dxa"/>
            <w:shd w:val="clear" w:color="auto" w:fill="auto"/>
            <w:tcMar>
              <w:left w:w="108"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Rientroa"/>
              <w:numPr>
                <w:ilvl w:val="0"/>
                <w:numId w:val="173"/>
              </w:numPr>
              <w:tabs>
                <w:tab w:val="center" w:pos="4536"/>
                <w:tab w:val="right" w:pos="9072"/>
              </w:tabs>
              <w:spacing w:line="226" w:lineRule="exact"/>
              <w:rPr>
                <w:iCs/>
                <w:spacing w:val="-2"/>
              </w:rPr>
            </w:pPr>
            <w:r w:rsidRPr="00237EFA">
              <w:t>i principi contabili adottati per i contratti assicurativi e per le attività, passività, proventi e oneri relativi; e</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Rientroa"/>
              <w:numPr>
                <w:ilvl w:val="0"/>
                <w:numId w:val="72"/>
              </w:numPr>
              <w:spacing w:line="226" w:lineRule="exact"/>
            </w:pPr>
            <w:r w:rsidRPr="00237EFA">
              <w:t>le attività, passività, proventi e oneri rilevati (e, se presenta il proprio rendiconto finanziario utilizzando il metodo diretto, i flussi finanziari) derivanti dai contratti assicurativi</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Rientroa"/>
              <w:numPr>
                <w:ilvl w:val="0"/>
                <w:numId w:val="72"/>
              </w:numPr>
              <w:spacing w:line="226" w:lineRule="exact"/>
            </w:pPr>
            <w:r w:rsidRPr="00237EFA">
              <w:t xml:space="preserve">quando l’assicuratore è un cedente: </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Puntoelenco"/>
              <w:tabs>
                <w:tab w:val="clear" w:pos="780"/>
              </w:tabs>
              <w:spacing w:line="226" w:lineRule="exact"/>
              <w:ind w:left="600" w:hanging="142"/>
            </w:pPr>
            <w:r w:rsidRPr="00237EFA">
              <w:t>le plusvalenze e le minusvalenze rilevate nell’utile/(perdita) d’esercizio sulla riassicurazione passiva; e</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Puntoelenco"/>
              <w:tabs>
                <w:tab w:val="clear" w:pos="780"/>
              </w:tabs>
              <w:spacing w:line="226" w:lineRule="exact"/>
              <w:ind w:left="600" w:hanging="142"/>
            </w:pPr>
            <w:r w:rsidRPr="00237EFA">
              <w:t>se il cedente differisce e ammortizza le plusvalenze e le minusvalenze derivanti dalla riassicurazione passiva, la quota d’ammortamento dell’esercizio e gli importi residui non ammortizzati all’inizio e alla fine dell’esercizio</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Rientroa"/>
              <w:numPr>
                <w:ilvl w:val="0"/>
                <w:numId w:val="72"/>
              </w:numPr>
              <w:spacing w:line="226" w:lineRule="exact"/>
            </w:pPr>
            <w:r w:rsidRPr="00237EFA">
              <w:t>il processo utilizzato per determinare le ipotesi che hanno l’effetto maggiore sulla valutazione degli importi rilevati descritti al punto b). Ove possibile, l’assicuratore deve inoltre fornire informazioni quantitative di tali ipotesi</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Rientroa"/>
              <w:numPr>
                <w:ilvl w:val="0"/>
                <w:numId w:val="72"/>
              </w:numPr>
              <w:spacing w:line="226" w:lineRule="exact"/>
            </w:pPr>
            <w:r w:rsidRPr="00237EFA">
              <w:t>l’effetto dei cambiamenti delle ipotesi assunte per la valutazione delle attività e passività assicurative, mostrando separatamente l’effetto di ogni singolo cambiamento che influisce in modo rilevante sul bilancio; e</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Rientroa"/>
              <w:numPr>
                <w:ilvl w:val="0"/>
                <w:numId w:val="72"/>
              </w:numPr>
              <w:spacing w:line="226" w:lineRule="exact"/>
            </w:pPr>
            <w:r w:rsidRPr="00237EFA">
              <w:t xml:space="preserve">le riconciliazioni delle variazioni delle passività assicurative, attività riassicurative e, ove esistano, dei relativi costi di acquisizione differiti. </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A0F36" w:rsidTr="00F235B5">
        <w:trPr>
          <w:cantSplit/>
        </w:trPr>
        <w:tc>
          <w:tcPr>
            <w:tcW w:w="567" w:type="dxa"/>
            <w:shd w:val="clear" w:color="auto" w:fill="auto"/>
            <w:tcMar>
              <w:left w:w="108" w:type="dxa"/>
            </w:tcMar>
          </w:tcPr>
          <w:p w:rsidR="00A75E60" w:rsidRPr="008A0F36" w:rsidRDefault="00A75E60" w:rsidP="00A75E60">
            <w:pPr>
              <w:pStyle w:val="IAS"/>
              <w:spacing w:after="40" w:line="240" w:lineRule="exact"/>
              <w:rPr>
                <w:lang w:val="it-IT"/>
              </w:rPr>
            </w:pPr>
          </w:p>
        </w:tc>
        <w:tc>
          <w:tcPr>
            <w:tcW w:w="851" w:type="dxa"/>
            <w:shd w:val="clear" w:color="auto" w:fill="auto"/>
            <w:tcMar>
              <w:left w:w="108" w:type="dxa"/>
              <w:right w:w="0" w:type="dxa"/>
            </w:tcMar>
          </w:tcPr>
          <w:p w:rsidR="00A75E60" w:rsidRPr="00237EFA" w:rsidRDefault="00A75E60" w:rsidP="00A75E60">
            <w:pPr>
              <w:pStyle w:val="IAS"/>
              <w:spacing w:after="40" w:line="240" w:lineRule="exact"/>
              <w:rPr>
                <w:lang w:val="it-IT"/>
              </w:rPr>
            </w:pPr>
          </w:p>
        </w:tc>
        <w:tc>
          <w:tcPr>
            <w:tcW w:w="7079" w:type="dxa"/>
            <w:shd w:val="clear" w:color="auto" w:fill="auto"/>
            <w:tcMar>
              <w:left w:w="108" w:type="dxa"/>
            </w:tcMar>
          </w:tcPr>
          <w:p w:rsidR="00A75E60" w:rsidRPr="00237EFA" w:rsidRDefault="00A75E60" w:rsidP="00A75E60">
            <w:pPr>
              <w:pStyle w:val="Titolo2"/>
              <w:spacing w:before="40" w:after="40"/>
              <w:rPr>
                <w:lang w:val="it-IT"/>
              </w:rPr>
            </w:pPr>
            <w:r w:rsidRPr="00237EFA">
              <w:rPr>
                <w:lang w:val="it-IT"/>
              </w:rPr>
              <w:t>Elementi di partecipazione discrezionali</w:t>
            </w:r>
          </w:p>
        </w:tc>
        <w:tc>
          <w:tcPr>
            <w:tcW w:w="575" w:type="dxa"/>
            <w:shd w:val="clear" w:color="auto" w:fill="auto"/>
            <w:tcMar>
              <w:left w:w="85" w:type="dxa"/>
              <w:right w:w="85" w:type="dxa"/>
            </w:tcMar>
            <w:vAlign w:val="center"/>
          </w:tcPr>
          <w:p w:rsidR="00A75E60" w:rsidRDefault="00A75E60" w:rsidP="00A75E60">
            <w:pPr>
              <w:spacing w:before="40" w:after="40" w:line="240" w:lineRule="exact"/>
              <w:jc w:val="center"/>
            </w:pPr>
          </w:p>
        </w:tc>
        <w:tc>
          <w:tcPr>
            <w:tcW w:w="567" w:type="dxa"/>
            <w:shd w:val="clear" w:color="auto" w:fill="auto"/>
            <w:tcMar>
              <w:left w:w="108" w:type="dxa"/>
            </w:tcMar>
            <w:vAlign w:val="center"/>
          </w:tcPr>
          <w:p w:rsidR="00A75E60" w:rsidRDefault="00A75E60" w:rsidP="00A75E60">
            <w:pPr>
              <w:spacing w:before="40" w:after="40" w:line="240" w:lineRule="exact"/>
              <w:jc w:val="center"/>
            </w:pPr>
          </w:p>
        </w:tc>
        <w:tc>
          <w:tcPr>
            <w:tcW w:w="567" w:type="dxa"/>
            <w:shd w:val="clear" w:color="auto" w:fill="auto"/>
            <w:vAlign w:val="center"/>
          </w:tcPr>
          <w:p w:rsidR="00A75E60" w:rsidRDefault="00A75E60" w:rsidP="00A75E60">
            <w:pPr>
              <w:spacing w:before="40" w:after="40" w:line="240" w:lineRule="exact"/>
              <w:jc w:val="center"/>
            </w:pPr>
          </w:p>
        </w:tc>
      </w:tr>
      <w:tr w:rsidR="00A75E60" w:rsidRPr="008129DA" w:rsidTr="00F235B5">
        <w:trPr>
          <w:cantSplit/>
        </w:trPr>
        <w:tc>
          <w:tcPr>
            <w:tcW w:w="567" w:type="dxa"/>
            <w:shd w:val="clear" w:color="auto" w:fill="auto"/>
            <w:tcMar>
              <w:left w:w="108" w:type="dxa"/>
            </w:tcMar>
          </w:tcPr>
          <w:p w:rsidR="00A75E60" w:rsidRPr="008A0F36" w:rsidRDefault="00A75E60" w:rsidP="00A75E60">
            <w:pPr>
              <w:pStyle w:val="Numeroelenco"/>
              <w:ind w:left="0" w:firstLine="57"/>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r w:rsidRPr="00237EFA">
              <w:rPr>
                <w:lang w:val="it-IT"/>
              </w:rPr>
              <w:t>IFRS 4.35, IFRS 7.20(b)</w:t>
            </w:r>
          </w:p>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spacing w:line="224" w:lineRule="exact"/>
              <w:rPr>
                <w:lang w:val="it-IT"/>
              </w:rPr>
            </w:pPr>
            <w:r w:rsidRPr="00237EFA">
              <w:rPr>
                <w:lang w:val="it-IT"/>
              </w:rPr>
              <w:t>Nel caso in cui l’entità emetta strumenti finanziari che contengono un elemento di partecipazione discrezionale, deve indicare gli interessi passivi totali rilevati nell’utile/(perdita) d’esercizio applicando l’IFRS 7.20 (b).</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A44ECD" w:rsidTr="00F235B5">
        <w:trPr>
          <w:cantSplit/>
          <w:trHeight w:val="199"/>
        </w:trPr>
        <w:tc>
          <w:tcPr>
            <w:tcW w:w="567" w:type="dxa"/>
            <w:shd w:val="clear" w:color="auto" w:fill="auto"/>
            <w:tcMar>
              <w:left w:w="108" w:type="dxa"/>
            </w:tcMar>
          </w:tcPr>
          <w:p w:rsidR="00A75E60" w:rsidRPr="008A0F36" w:rsidRDefault="00A75E60" w:rsidP="00A75E60">
            <w:pPr>
              <w:pStyle w:val="IAS"/>
              <w:rPr>
                <w:lang w:val="it-IT"/>
              </w:rPr>
            </w:pPr>
          </w:p>
        </w:tc>
        <w:tc>
          <w:tcPr>
            <w:tcW w:w="851" w:type="dxa"/>
            <w:shd w:val="clear" w:color="auto" w:fill="auto"/>
            <w:tcMar>
              <w:right w:w="0" w:type="dxa"/>
            </w:tcMar>
          </w:tcPr>
          <w:p w:rsidR="00A75E60" w:rsidRPr="00237EFA" w:rsidRDefault="00A75E60" w:rsidP="00A75E60">
            <w:pPr>
              <w:pStyle w:val="IAS"/>
              <w:rPr>
                <w:lang w:val="it-IT"/>
              </w:rPr>
            </w:pPr>
          </w:p>
        </w:tc>
        <w:tc>
          <w:tcPr>
            <w:tcW w:w="7079" w:type="dxa"/>
            <w:shd w:val="clear" w:color="auto" w:fill="auto"/>
          </w:tcPr>
          <w:p w:rsidR="00A75E60" w:rsidRPr="00237EFA" w:rsidRDefault="00A75E60" w:rsidP="00C15B75">
            <w:pPr>
              <w:pStyle w:val="Paragarfobordato"/>
            </w:pPr>
            <w:r w:rsidRPr="00237EFA">
              <w:t>Non è necessario che l’interesse sia calcolato usando il metodo dell’interesse effettivo.</w:t>
            </w:r>
          </w:p>
        </w:tc>
        <w:tc>
          <w:tcPr>
            <w:tcW w:w="575" w:type="dxa"/>
            <w:shd w:val="clear" w:color="auto" w:fill="auto"/>
            <w:tcMar>
              <w:left w:w="85" w:type="dxa"/>
              <w:right w:w="85" w:type="dxa"/>
            </w:tcMar>
            <w:vAlign w:val="center"/>
          </w:tcPr>
          <w:p w:rsidR="00A75E60" w:rsidRPr="00090BE7" w:rsidRDefault="00A75E60" w:rsidP="00A75E60">
            <w:pPr>
              <w:jc w:val="center"/>
              <w:rPr>
                <w:lang w:val="it-IT"/>
              </w:rPr>
            </w:pPr>
          </w:p>
        </w:tc>
        <w:tc>
          <w:tcPr>
            <w:tcW w:w="567" w:type="dxa"/>
            <w:shd w:val="clear" w:color="auto" w:fill="auto"/>
            <w:vAlign w:val="center"/>
          </w:tcPr>
          <w:p w:rsidR="00A75E60" w:rsidRPr="00090BE7" w:rsidRDefault="00A75E60" w:rsidP="00A75E60">
            <w:pPr>
              <w:jc w:val="center"/>
              <w:rPr>
                <w:lang w:val="it-IT"/>
              </w:rPr>
            </w:pPr>
          </w:p>
        </w:tc>
        <w:tc>
          <w:tcPr>
            <w:tcW w:w="567" w:type="dxa"/>
            <w:shd w:val="clear" w:color="auto" w:fill="auto"/>
            <w:vAlign w:val="center"/>
          </w:tcPr>
          <w:p w:rsidR="00A75E60" w:rsidRPr="00090BE7" w:rsidRDefault="00A75E60" w:rsidP="00A75E60">
            <w:pPr>
              <w:jc w:val="center"/>
              <w:rPr>
                <w:lang w:val="it-IT"/>
              </w:rPr>
            </w:pPr>
          </w:p>
        </w:tc>
      </w:tr>
      <w:tr w:rsidR="00A75E60" w:rsidRPr="00A44ECD"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Titolo2"/>
              <w:keepNext w:val="0"/>
              <w:spacing w:line="224" w:lineRule="exact"/>
              <w:rPr>
                <w:i/>
                <w:caps/>
                <w:sz w:val="16"/>
                <w:lang w:val="it-IT"/>
              </w:rPr>
            </w:pPr>
            <w:r w:rsidRPr="00237EFA">
              <w:rPr>
                <w:lang w:val="it-IT"/>
              </w:rPr>
              <w:t>Natura ed estensione del rischio derivante dai contratti assicurativi</w:t>
            </w:r>
          </w:p>
        </w:tc>
        <w:tc>
          <w:tcPr>
            <w:tcW w:w="575" w:type="dxa"/>
            <w:shd w:val="clear" w:color="auto" w:fill="auto"/>
            <w:tcMar>
              <w:left w:w="85" w:type="dxa"/>
              <w:right w:w="85" w:type="dxa"/>
            </w:tcMar>
            <w:vAlign w:val="center"/>
          </w:tcPr>
          <w:p w:rsidR="00A75E60" w:rsidRPr="00090BE7" w:rsidRDefault="00A75E60" w:rsidP="00A75E60">
            <w:pPr>
              <w:jc w:val="center"/>
              <w:rPr>
                <w:lang w:val="it-IT"/>
              </w:rPr>
            </w:pPr>
          </w:p>
        </w:tc>
        <w:tc>
          <w:tcPr>
            <w:tcW w:w="567" w:type="dxa"/>
            <w:shd w:val="clear" w:color="auto" w:fill="auto"/>
            <w:tcMar>
              <w:left w:w="108" w:type="dxa"/>
            </w:tcMar>
            <w:vAlign w:val="center"/>
          </w:tcPr>
          <w:p w:rsidR="00A75E60" w:rsidRPr="00090BE7" w:rsidRDefault="00A75E60" w:rsidP="00A75E60">
            <w:pPr>
              <w:jc w:val="center"/>
              <w:rPr>
                <w:lang w:val="it-IT"/>
              </w:rPr>
            </w:pPr>
          </w:p>
        </w:tc>
        <w:tc>
          <w:tcPr>
            <w:tcW w:w="567" w:type="dxa"/>
            <w:shd w:val="clear" w:color="auto" w:fill="auto"/>
            <w:vAlign w:val="center"/>
          </w:tcPr>
          <w:p w:rsidR="00A75E60" w:rsidRPr="00090BE7" w:rsidRDefault="00A75E60" w:rsidP="00A75E60">
            <w:pPr>
              <w:jc w:val="center"/>
              <w:rPr>
                <w:lang w:val="it-IT"/>
              </w:rPr>
            </w:pPr>
          </w:p>
        </w:tc>
      </w:tr>
      <w:tr w:rsidR="00A75E60" w:rsidRPr="00A44ECD" w:rsidTr="00F235B5">
        <w:trPr>
          <w:cantSplit/>
        </w:trPr>
        <w:tc>
          <w:tcPr>
            <w:tcW w:w="567" w:type="dxa"/>
            <w:shd w:val="clear" w:color="auto" w:fill="auto"/>
            <w:tcMar>
              <w:left w:w="108" w:type="dxa"/>
              <w:right w:w="0" w:type="dxa"/>
            </w:tcMar>
          </w:tcPr>
          <w:p w:rsidR="00A75E60" w:rsidRPr="008A0F36" w:rsidRDefault="00A75E60" w:rsidP="00A75E60">
            <w:pPr>
              <w:pStyle w:val="Numeroelenco"/>
              <w:ind w:left="0" w:firstLine="57"/>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r w:rsidRPr="00237EFA">
              <w:rPr>
                <w:lang w:val="it-IT"/>
              </w:rPr>
              <w:t>IFRS 4.38</w:t>
            </w:r>
          </w:p>
          <w:p w:rsidR="00A75E60" w:rsidRPr="00237EFA" w:rsidRDefault="00A75E60" w:rsidP="00A75E60">
            <w:pPr>
              <w:pStyle w:val="IAS"/>
              <w:rPr>
                <w:lang w:val="it-IT"/>
              </w:rPr>
            </w:pPr>
            <w:r w:rsidRPr="00237EFA">
              <w:rPr>
                <w:lang w:val="it-IT"/>
              </w:rPr>
              <w:t>IFRS 4.39</w:t>
            </w:r>
          </w:p>
        </w:tc>
        <w:tc>
          <w:tcPr>
            <w:tcW w:w="7079" w:type="dxa"/>
            <w:shd w:val="clear" w:color="auto" w:fill="auto"/>
            <w:tcMar>
              <w:left w:w="108" w:type="dxa"/>
            </w:tcMar>
          </w:tcPr>
          <w:p w:rsidR="00A75E60" w:rsidRPr="00237EFA" w:rsidRDefault="00A75E60" w:rsidP="00A75E60">
            <w:pPr>
              <w:rPr>
                <w:bCs/>
                <w:i/>
                <w:caps/>
                <w:lang w:val="it-IT"/>
              </w:rPr>
            </w:pPr>
            <w:r w:rsidRPr="00237EFA">
              <w:rPr>
                <w:lang w:val="it-IT"/>
              </w:rPr>
              <w:t>L’entità (assicuratore) consente agli utilizzatori del bilancio di comprendere la natura ed estensione dei rischi derivanti dai contratti assicurativi fornendo le seguenti informazioni:</w:t>
            </w:r>
          </w:p>
        </w:tc>
        <w:tc>
          <w:tcPr>
            <w:tcW w:w="575" w:type="dxa"/>
            <w:shd w:val="clear" w:color="auto" w:fill="auto"/>
            <w:tcMar>
              <w:left w:w="85" w:type="dxa"/>
              <w:right w:w="85" w:type="dxa"/>
            </w:tcMar>
            <w:vAlign w:val="center"/>
          </w:tcPr>
          <w:p w:rsidR="00A75E60" w:rsidRPr="00090BE7" w:rsidRDefault="00A75E60" w:rsidP="00A75E60">
            <w:pPr>
              <w:jc w:val="center"/>
              <w:rPr>
                <w:lang w:val="it-IT"/>
              </w:rPr>
            </w:pPr>
          </w:p>
        </w:tc>
        <w:tc>
          <w:tcPr>
            <w:tcW w:w="567" w:type="dxa"/>
            <w:shd w:val="clear" w:color="auto" w:fill="auto"/>
            <w:tcMar>
              <w:left w:w="108" w:type="dxa"/>
            </w:tcMar>
            <w:vAlign w:val="center"/>
          </w:tcPr>
          <w:p w:rsidR="00A75E60" w:rsidRPr="00090BE7" w:rsidRDefault="00A75E60" w:rsidP="00A75E60">
            <w:pPr>
              <w:jc w:val="center"/>
              <w:rPr>
                <w:lang w:val="it-IT"/>
              </w:rPr>
            </w:pPr>
          </w:p>
        </w:tc>
        <w:tc>
          <w:tcPr>
            <w:tcW w:w="567" w:type="dxa"/>
            <w:shd w:val="clear" w:color="auto" w:fill="auto"/>
            <w:vAlign w:val="center"/>
          </w:tcPr>
          <w:p w:rsidR="00A75E60" w:rsidRPr="00090BE7" w:rsidRDefault="00A75E60" w:rsidP="00A75E60">
            <w:pPr>
              <w:jc w:val="center"/>
              <w:rPr>
                <w:lang w:val="it-IT"/>
              </w:rPr>
            </w:pP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Rientroa"/>
              <w:numPr>
                <w:ilvl w:val="0"/>
                <w:numId w:val="174"/>
              </w:numPr>
              <w:tabs>
                <w:tab w:val="center" w:pos="4536"/>
                <w:tab w:val="right" w:pos="9072"/>
              </w:tabs>
              <w:spacing w:line="224" w:lineRule="exact"/>
              <w:rPr>
                <w:iCs/>
              </w:rPr>
            </w:pPr>
            <w:r w:rsidRPr="00237EFA">
              <w:t>i propri obiettivi nella gestione dei rischi connessi ai contratti assicurativi e le politiche adottate per contenere tali rischi</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Rientroa"/>
              <w:numPr>
                <w:ilvl w:val="0"/>
                <w:numId w:val="72"/>
              </w:numPr>
              <w:spacing w:line="224" w:lineRule="exact"/>
            </w:pPr>
            <w:r w:rsidRPr="00237EFA">
              <w:t>informazioni sul rischio assicurativo (prima e dopo la riduzione dello stesso tramite riassicurazione), incluse le informazioni relative a:</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182"/>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Puntoelenco"/>
              <w:tabs>
                <w:tab w:val="clear" w:pos="780"/>
              </w:tabs>
              <w:spacing w:line="224" w:lineRule="exact"/>
              <w:ind w:left="600" w:hanging="142"/>
            </w:pPr>
            <w:r w:rsidRPr="00237EFA">
              <w:t xml:space="preserve">la sensitività al rischio assicurativo (vedi punto </w:t>
            </w:r>
            <w:r w:rsidRPr="005F6B70">
              <w:t>successivo 4</w:t>
            </w:r>
            <w:r>
              <w:t>27</w:t>
            </w:r>
            <w:r w:rsidRPr="00237EFA">
              <w:t>)</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Puntoelenco"/>
              <w:tabs>
                <w:tab w:val="clear" w:pos="780"/>
              </w:tabs>
              <w:ind w:left="601" w:hanging="142"/>
            </w:pPr>
            <w:r w:rsidRPr="00237EFA">
              <w:t xml:space="preserve">concentrazione del rischio assicurativo, inclusa una descrizione di come il </w:t>
            </w:r>
            <w:r w:rsidRPr="000B2D80">
              <w:rPr>
                <w:i/>
              </w:rPr>
              <w:t>management</w:t>
            </w:r>
            <w:r w:rsidRPr="00237EFA">
              <w:t xml:space="preserve"> determina le concentrazioni e una descrizione delle caratteristiche di ripartizione che identificano le concentrazioni (es. tipo di evento assicurato area geografica, o valuta)</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322"/>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right w:w="0" w:type="dxa"/>
            </w:tcMar>
          </w:tcPr>
          <w:p w:rsidR="00A75E60" w:rsidRPr="00237EFA" w:rsidRDefault="00A75E60" w:rsidP="00A75E60">
            <w:pPr>
              <w:pStyle w:val="IAS"/>
              <w:rPr>
                <w:lang w:val="it-IT"/>
              </w:rPr>
            </w:pPr>
          </w:p>
        </w:tc>
        <w:tc>
          <w:tcPr>
            <w:tcW w:w="7079" w:type="dxa"/>
            <w:shd w:val="clear" w:color="auto" w:fill="auto"/>
          </w:tcPr>
          <w:p w:rsidR="00A75E60" w:rsidRPr="00237EFA" w:rsidRDefault="00A75E60" w:rsidP="00A75E60">
            <w:pPr>
              <w:pStyle w:val="Puntoelenco"/>
              <w:tabs>
                <w:tab w:val="clear" w:pos="780"/>
              </w:tabs>
              <w:spacing w:line="224" w:lineRule="exact"/>
              <w:ind w:left="600" w:hanging="142"/>
            </w:pPr>
            <w:r w:rsidRPr="00237EFA">
              <w:t>sinistri realmente verificatisi rispetto alle stime precedenti (ossia lo sviluppo dei sinistri)</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A44ECD"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r w:rsidRPr="00237EFA">
              <w:rPr>
                <w:lang w:val="it-IT"/>
              </w:rPr>
              <w:t>IFRS 4.39</w:t>
            </w:r>
          </w:p>
        </w:tc>
        <w:tc>
          <w:tcPr>
            <w:tcW w:w="7079" w:type="dxa"/>
            <w:shd w:val="clear" w:color="auto" w:fill="auto"/>
            <w:tcMar>
              <w:left w:w="108" w:type="dxa"/>
            </w:tcMar>
          </w:tcPr>
          <w:p w:rsidR="00A75E60" w:rsidRPr="00237EFA" w:rsidRDefault="00A75E60" w:rsidP="00C15B75">
            <w:pPr>
              <w:pStyle w:val="Paragarfobordato"/>
            </w:pPr>
            <w:r w:rsidRPr="00237EFA">
              <w:t>Le informazioni sullo sviluppo dei sinistri devono partire dal periodo del primo sinistro significativo per il quale non sono stati definiti con certezza l’importo e la tempistica dei pagamenti, ma non è necessario che risalgano a un periodo superiore ai dieci anni. L’assicuratore non è tenuto a rendere note tali informazioni nel caso di sinistri per i quali, nell’arco di un anno, si definiscono in genere importo e tempistica dei risarcimenti.</w:t>
            </w:r>
          </w:p>
        </w:tc>
        <w:tc>
          <w:tcPr>
            <w:tcW w:w="575" w:type="dxa"/>
            <w:shd w:val="clear" w:color="auto" w:fill="auto"/>
            <w:tcMar>
              <w:left w:w="85" w:type="dxa"/>
              <w:right w:w="85" w:type="dxa"/>
            </w:tcMar>
            <w:vAlign w:val="center"/>
          </w:tcPr>
          <w:p w:rsidR="00A75E60" w:rsidRPr="00090BE7" w:rsidRDefault="00A75E60" w:rsidP="00A75E60">
            <w:pPr>
              <w:jc w:val="center"/>
              <w:rPr>
                <w:lang w:val="it-IT"/>
              </w:rPr>
            </w:pPr>
          </w:p>
        </w:tc>
        <w:tc>
          <w:tcPr>
            <w:tcW w:w="567" w:type="dxa"/>
            <w:shd w:val="clear" w:color="auto" w:fill="auto"/>
            <w:tcMar>
              <w:left w:w="108" w:type="dxa"/>
            </w:tcMar>
            <w:vAlign w:val="center"/>
          </w:tcPr>
          <w:p w:rsidR="00A75E60" w:rsidRPr="00090BE7" w:rsidRDefault="00A75E60" w:rsidP="00A75E60">
            <w:pPr>
              <w:jc w:val="center"/>
              <w:rPr>
                <w:lang w:val="it-IT"/>
              </w:rPr>
            </w:pPr>
          </w:p>
        </w:tc>
        <w:tc>
          <w:tcPr>
            <w:tcW w:w="567" w:type="dxa"/>
            <w:shd w:val="clear" w:color="auto" w:fill="auto"/>
            <w:vAlign w:val="center"/>
          </w:tcPr>
          <w:p w:rsidR="00A75E60" w:rsidRPr="00090BE7" w:rsidRDefault="00A75E60" w:rsidP="00A75E60">
            <w:pPr>
              <w:jc w:val="center"/>
              <w:rPr>
                <w:lang w:val="it-IT"/>
              </w:rPr>
            </w:pPr>
          </w:p>
        </w:tc>
      </w:tr>
      <w:tr w:rsidR="00A75E60" w:rsidRPr="00A44ECD" w:rsidTr="00F235B5">
        <w:trPr>
          <w:cantSplit/>
        </w:trPr>
        <w:tc>
          <w:tcPr>
            <w:tcW w:w="567" w:type="dxa"/>
            <w:shd w:val="clear" w:color="auto" w:fill="auto"/>
            <w:tcMar>
              <w:left w:w="108"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r w:rsidRPr="00237EFA">
              <w:rPr>
                <w:lang w:val="it-IT"/>
              </w:rPr>
              <w:t>IFRS 4.44</w:t>
            </w:r>
          </w:p>
        </w:tc>
        <w:tc>
          <w:tcPr>
            <w:tcW w:w="7079" w:type="dxa"/>
            <w:shd w:val="clear" w:color="auto" w:fill="auto"/>
            <w:tcMar>
              <w:left w:w="108" w:type="dxa"/>
            </w:tcMar>
          </w:tcPr>
          <w:p w:rsidR="00A75E60" w:rsidRPr="00237EFA" w:rsidRDefault="00A75E60" w:rsidP="00C15B75">
            <w:pPr>
              <w:pStyle w:val="Paragarfobordato"/>
            </w:pPr>
            <w:r w:rsidRPr="00237EFA">
              <w:t>Un’entità non è tenuta a indicare informazioni relative allo sviluppo dei sinistri che risalgono a un periodo superiore ai cinque anni precedenti la fine del primo esercizio contabile in cui è stato applicato il presente IFRS. Inoltre, quando un’entità applica per la prima volta il presente IFRS, se non risulta fattibile predisporre informazioni relative allo sviluppo dei sinistri precedenti al primo esercizio in cui l’entità presenta informazioni comparative complete conformi al presente IFRS, l’entità deve evidenziare tale fatto.</w:t>
            </w:r>
          </w:p>
        </w:tc>
        <w:tc>
          <w:tcPr>
            <w:tcW w:w="575" w:type="dxa"/>
            <w:shd w:val="clear" w:color="auto" w:fill="auto"/>
            <w:tcMar>
              <w:left w:w="85" w:type="dxa"/>
              <w:right w:w="85" w:type="dxa"/>
            </w:tcMar>
            <w:vAlign w:val="center"/>
          </w:tcPr>
          <w:p w:rsidR="00A75E60" w:rsidRPr="00090BE7" w:rsidRDefault="00A75E60" w:rsidP="00A75E60">
            <w:pPr>
              <w:jc w:val="center"/>
              <w:rPr>
                <w:lang w:val="it-IT"/>
              </w:rPr>
            </w:pPr>
          </w:p>
        </w:tc>
        <w:tc>
          <w:tcPr>
            <w:tcW w:w="567" w:type="dxa"/>
            <w:shd w:val="clear" w:color="auto" w:fill="auto"/>
            <w:tcMar>
              <w:left w:w="108" w:type="dxa"/>
            </w:tcMar>
            <w:vAlign w:val="center"/>
          </w:tcPr>
          <w:p w:rsidR="00A75E60" w:rsidRPr="00090BE7" w:rsidRDefault="00A75E60" w:rsidP="00A75E60">
            <w:pPr>
              <w:jc w:val="center"/>
              <w:rPr>
                <w:lang w:val="it-IT"/>
              </w:rPr>
            </w:pPr>
          </w:p>
        </w:tc>
        <w:tc>
          <w:tcPr>
            <w:tcW w:w="567" w:type="dxa"/>
            <w:shd w:val="clear" w:color="auto" w:fill="auto"/>
            <w:vAlign w:val="center"/>
          </w:tcPr>
          <w:p w:rsidR="00A75E60" w:rsidRPr="00090BE7" w:rsidRDefault="00A75E60" w:rsidP="00A75E60">
            <w:pPr>
              <w:jc w:val="center"/>
              <w:rPr>
                <w:lang w:val="it-IT"/>
              </w:rPr>
            </w:pPr>
          </w:p>
        </w:tc>
      </w:tr>
      <w:tr w:rsidR="00A75E60" w:rsidRPr="008129DA" w:rsidTr="00F235B5">
        <w:trPr>
          <w:cantSplit/>
        </w:trPr>
        <w:tc>
          <w:tcPr>
            <w:tcW w:w="567" w:type="dxa"/>
            <w:shd w:val="clear" w:color="auto" w:fill="auto"/>
            <w:tcMar>
              <w:left w:w="108"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3A5BB7">
            <w:pPr>
              <w:pStyle w:val="Rientroa"/>
              <w:numPr>
                <w:ilvl w:val="0"/>
                <w:numId w:val="72"/>
              </w:numPr>
              <w:spacing w:line="210" w:lineRule="exact"/>
              <w:ind w:left="391" w:hanging="357"/>
            </w:pPr>
            <w:r w:rsidRPr="00237EFA">
              <w:t>le informazioni relative al rischi di credito, di liquidità, di mercato trattate nei punti 22</w:t>
            </w:r>
            <w:r>
              <w:t>6</w:t>
            </w:r>
            <w:r w:rsidRPr="00237EFA">
              <w:t>-24</w:t>
            </w:r>
            <w:r>
              <w:t>3</w:t>
            </w:r>
            <w:r w:rsidRPr="00237EFA">
              <w:t xml:space="preserve"> sarebbero applicabili se i contratti assicurativi rientrassero nell’ambito di applicazione dell’IFRS 7</w:t>
            </w:r>
          </w:p>
        </w:tc>
        <w:tc>
          <w:tcPr>
            <w:tcW w:w="575" w:type="dxa"/>
            <w:shd w:val="clear" w:color="auto" w:fill="auto"/>
            <w:tcMar>
              <w:left w:w="85" w:type="dxa"/>
              <w:right w:w="85" w:type="dxa"/>
            </w:tcMar>
            <w:vAlign w:val="center"/>
          </w:tcPr>
          <w:p w:rsidR="00A75E60" w:rsidRPr="00BC7990"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BC7990"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BC7990"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A44ECD" w:rsidTr="00F235B5">
        <w:trPr>
          <w:cantSplit/>
          <w:trHeight w:val="693"/>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right w:w="0" w:type="dxa"/>
            </w:tcMar>
          </w:tcPr>
          <w:p w:rsidR="00A75E60" w:rsidRPr="00237EFA" w:rsidRDefault="00A75E60" w:rsidP="00A75E60">
            <w:pPr>
              <w:pStyle w:val="IAS"/>
              <w:rPr>
                <w:lang w:val="it-IT"/>
              </w:rPr>
            </w:pPr>
          </w:p>
        </w:tc>
        <w:tc>
          <w:tcPr>
            <w:tcW w:w="7079" w:type="dxa"/>
            <w:shd w:val="clear" w:color="auto" w:fill="auto"/>
          </w:tcPr>
          <w:p w:rsidR="00A75E60" w:rsidRPr="00237EFA" w:rsidRDefault="00A75E60" w:rsidP="00C15B75">
            <w:pPr>
              <w:pStyle w:val="Paragarfobordato"/>
            </w:pPr>
            <w:r w:rsidRPr="00237EFA">
              <w:t>Un assicuratore non deve fornire l’analisi per scadenza richiesta dal paragrafo 39(a) e (b) dell’IFRS 7 se fornisce informazioni in merito alle tempistiche stimate dei flussi finanziari netti risultanti dalle passività assicurative iscritte. Questo può prendere la forma di un’analisi, stimando le tempistiche dell’ammontare iscritto nel prospetto della situazione patrimoniale-finanziaria.</w:t>
            </w:r>
          </w:p>
          <w:p w:rsidR="00A75E60" w:rsidRPr="00237EFA" w:rsidRDefault="00A75E60" w:rsidP="00C15B75">
            <w:pPr>
              <w:pStyle w:val="Paragarfobordato"/>
            </w:pPr>
            <w:r w:rsidRPr="00237EFA">
              <w:t xml:space="preserve">Se un assicuratore usa un metodo alternativo per gestire la sensitività alle condizioni del mercato come un’analisi dei valori impliciti, può utilizzare tale analisi di sensitività per soddisfare le </w:t>
            </w:r>
            <w:r>
              <w:t>disposizioni del punto 281</w:t>
            </w:r>
            <w:r w:rsidRPr="00237EFA">
              <w:t>. In tal caso l’assicuratore deve fornire anche l’inf</w:t>
            </w:r>
            <w:r>
              <w:t>ormativa richiesta dal punto 282</w:t>
            </w:r>
            <w:r w:rsidRPr="00237EFA">
              <w:t>.</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p>
        </w:tc>
        <w:tc>
          <w:tcPr>
            <w:tcW w:w="567" w:type="dxa"/>
            <w:shd w:val="clear" w:color="auto" w:fill="auto"/>
            <w:vAlign w:val="center"/>
          </w:tcPr>
          <w:p w:rsidR="00A75E60" w:rsidRPr="00A32A16" w:rsidRDefault="00A75E60" w:rsidP="00A75E60">
            <w:pPr>
              <w:jc w:val="center"/>
              <w:rPr>
                <w:lang w:val="it-IT"/>
              </w:rPr>
            </w:pPr>
          </w:p>
        </w:tc>
        <w:tc>
          <w:tcPr>
            <w:tcW w:w="567" w:type="dxa"/>
            <w:shd w:val="clear" w:color="auto" w:fill="auto"/>
            <w:vAlign w:val="center"/>
          </w:tcPr>
          <w:p w:rsidR="00A75E60" w:rsidRPr="00A32A16" w:rsidRDefault="00A75E60" w:rsidP="00A75E60">
            <w:pPr>
              <w:jc w:val="center"/>
              <w:rPr>
                <w:lang w:val="it-IT"/>
              </w:rPr>
            </w:pPr>
          </w:p>
        </w:tc>
      </w:tr>
      <w:tr w:rsidR="00A75E60" w:rsidRPr="008129DA" w:rsidTr="00F235B5">
        <w:trPr>
          <w:cantSplit/>
          <w:trHeight w:val="693"/>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right w:w="0" w:type="dxa"/>
            </w:tcMar>
          </w:tcPr>
          <w:p w:rsidR="00A75E60" w:rsidRPr="00237EFA" w:rsidRDefault="00A75E60" w:rsidP="00A75E60">
            <w:pPr>
              <w:pStyle w:val="IAS"/>
              <w:rPr>
                <w:lang w:val="it-IT"/>
              </w:rPr>
            </w:pPr>
          </w:p>
        </w:tc>
        <w:tc>
          <w:tcPr>
            <w:tcW w:w="7079" w:type="dxa"/>
            <w:shd w:val="clear" w:color="auto" w:fill="auto"/>
          </w:tcPr>
          <w:p w:rsidR="00A75E60" w:rsidRPr="00237EFA" w:rsidRDefault="00A75E60" w:rsidP="003A5BB7">
            <w:pPr>
              <w:pStyle w:val="Rientroa"/>
              <w:numPr>
                <w:ilvl w:val="0"/>
                <w:numId w:val="72"/>
              </w:numPr>
              <w:spacing w:line="214" w:lineRule="exact"/>
              <w:ind w:left="391" w:hanging="357"/>
            </w:pPr>
            <w:r w:rsidRPr="00237EFA">
              <w:t xml:space="preserve">le informazioni relative all’esposizione al rischio di tasso di interesse o al rischio di mercato dovuta ai derivati impliciti contenuti in un contratto assicurativo sottostante se all’assicuratore non è richiesta e non adotta la valutazione al </w:t>
            </w:r>
            <w:r w:rsidRPr="00237EFA">
              <w:rPr>
                <w:i/>
              </w:rPr>
              <w:t>fair value</w:t>
            </w:r>
            <w:r w:rsidRPr="00237EFA">
              <w:t xml:space="preserve"> dei derivati impliciti.</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A44ECD" w:rsidTr="00F235B5">
        <w:trPr>
          <w:cantSplit/>
          <w:trHeight w:val="440"/>
        </w:trPr>
        <w:tc>
          <w:tcPr>
            <w:tcW w:w="567" w:type="dxa"/>
            <w:shd w:val="clear" w:color="auto" w:fill="auto"/>
            <w:tcMar>
              <w:left w:w="108" w:type="dxa"/>
              <w:right w:w="0" w:type="dxa"/>
            </w:tcMar>
          </w:tcPr>
          <w:p w:rsidR="00A75E60" w:rsidRPr="008A0F36" w:rsidRDefault="00A75E60" w:rsidP="00A75E60">
            <w:pPr>
              <w:pStyle w:val="Numeroelenco"/>
              <w:ind w:left="0" w:firstLine="57"/>
              <w:rPr>
                <w:lang w:val="it-IT"/>
              </w:rPr>
            </w:pPr>
          </w:p>
        </w:tc>
        <w:tc>
          <w:tcPr>
            <w:tcW w:w="851" w:type="dxa"/>
            <w:shd w:val="clear" w:color="auto" w:fill="auto"/>
            <w:tcMar>
              <w:right w:w="0" w:type="dxa"/>
            </w:tcMar>
          </w:tcPr>
          <w:p w:rsidR="00A75E60" w:rsidRPr="00237EFA" w:rsidRDefault="00A75E60" w:rsidP="00A75E60">
            <w:pPr>
              <w:pStyle w:val="IAS"/>
              <w:rPr>
                <w:lang w:val="it-IT"/>
              </w:rPr>
            </w:pPr>
            <w:r w:rsidRPr="00237EFA">
              <w:rPr>
                <w:lang w:val="it-IT"/>
              </w:rPr>
              <w:t>IFRS 4.39A</w:t>
            </w:r>
          </w:p>
        </w:tc>
        <w:tc>
          <w:tcPr>
            <w:tcW w:w="7079" w:type="dxa"/>
            <w:shd w:val="clear" w:color="auto" w:fill="auto"/>
          </w:tcPr>
          <w:p w:rsidR="00A75E60" w:rsidRPr="00237EFA" w:rsidRDefault="00A75E60" w:rsidP="003A5BB7">
            <w:pPr>
              <w:spacing w:line="214" w:lineRule="exact"/>
              <w:rPr>
                <w:lang w:val="it-IT"/>
              </w:rPr>
            </w:pPr>
            <w:r w:rsidRPr="00237EFA">
              <w:rPr>
                <w:lang w:val="it-IT"/>
              </w:rPr>
              <w:t xml:space="preserve">Al fine di soddisfare le disposizioni del paragrafo IFRS 4.39 (c) (i) relative all’informativa sulla sensitività al mercato (vedi punto precedente </w:t>
            </w:r>
            <w:r>
              <w:rPr>
                <w:lang w:val="it-IT"/>
              </w:rPr>
              <w:t>426</w:t>
            </w:r>
            <w:r w:rsidRPr="00237EFA">
              <w:rPr>
                <w:lang w:val="it-IT"/>
              </w:rPr>
              <w:t>), l’entità indicherà alternativamente a) o b):</w:t>
            </w:r>
          </w:p>
        </w:tc>
        <w:tc>
          <w:tcPr>
            <w:tcW w:w="575" w:type="dxa"/>
            <w:shd w:val="clear" w:color="auto" w:fill="auto"/>
            <w:tcMar>
              <w:left w:w="85" w:type="dxa"/>
              <w:right w:w="85" w:type="dxa"/>
            </w:tcMar>
            <w:vAlign w:val="center"/>
          </w:tcPr>
          <w:p w:rsidR="00A75E60" w:rsidRPr="00BC7990" w:rsidRDefault="00A75E60" w:rsidP="00A75E60">
            <w:pPr>
              <w:jc w:val="center"/>
              <w:rPr>
                <w:lang w:val="it-IT"/>
              </w:rPr>
            </w:pPr>
          </w:p>
        </w:tc>
        <w:tc>
          <w:tcPr>
            <w:tcW w:w="567" w:type="dxa"/>
            <w:shd w:val="clear" w:color="auto" w:fill="auto"/>
            <w:vAlign w:val="center"/>
          </w:tcPr>
          <w:p w:rsidR="00A75E60" w:rsidRPr="00BC7990" w:rsidRDefault="00A75E60" w:rsidP="00A75E60">
            <w:pPr>
              <w:jc w:val="center"/>
              <w:rPr>
                <w:lang w:val="it-IT"/>
              </w:rPr>
            </w:pPr>
          </w:p>
        </w:tc>
        <w:tc>
          <w:tcPr>
            <w:tcW w:w="567" w:type="dxa"/>
            <w:shd w:val="clear" w:color="auto" w:fill="auto"/>
            <w:vAlign w:val="center"/>
          </w:tcPr>
          <w:p w:rsidR="00A75E60" w:rsidRPr="00BC7990" w:rsidRDefault="00A75E60" w:rsidP="00A75E60">
            <w:pPr>
              <w:jc w:val="center"/>
              <w:rPr>
                <w:lang w:val="it-IT"/>
              </w:rPr>
            </w:pP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Rientroa"/>
              <w:numPr>
                <w:ilvl w:val="0"/>
                <w:numId w:val="228"/>
              </w:numPr>
              <w:spacing w:line="224" w:lineRule="exact"/>
              <w:rPr>
                <w:iCs/>
              </w:rPr>
            </w:pPr>
            <w:r w:rsidRPr="00237EFA">
              <w:t>informazioni quantitative relative alla sensitività che comprendono:</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rPr>
                <w:lang w:val="it-IT"/>
              </w:rPr>
            </w:pPr>
          </w:p>
        </w:tc>
        <w:tc>
          <w:tcPr>
            <w:tcW w:w="851" w:type="dxa"/>
            <w:shd w:val="clear" w:color="auto" w:fill="auto"/>
            <w:tcMar>
              <w:left w:w="108" w:type="dxa"/>
              <w:right w:w="0" w:type="dxa"/>
            </w:tcMar>
          </w:tcPr>
          <w:p w:rsidR="00A75E60" w:rsidRPr="00237EFA" w:rsidRDefault="00A75E60" w:rsidP="00A75E60">
            <w:pPr>
              <w:rPr>
                <w:lang w:val="it-IT"/>
              </w:rPr>
            </w:pPr>
          </w:p>
        </w:tc>
        <w:tc>
          <w:tcPr>
            <w:tcW w:w="7079" w:type="dxa"/>
            <w:shd w:val="clear" w:color="auto" w:fill="auto"/>
            <w:tcMar>
              <w:left w:w="108" w:type="dxa"/>
            </w:tcMar>
          </w:tcPr>
          <w:p w:rsidR="00A75E60" w:rsidRPr="00237EFA" w:rsidRDefault="00A75E60" w:rsidP="003A5BB7">
            <w:pPr>
              <w:pStyle w:val="Puntoelenco"/>
              <w:tabs>
                <w:tab w:val="clear" w:pos="780"/>
              </w:tabs>
              <w:spacing w:line="214" w:lineRule="exact"/>
              <w:ind w:left="595" w:hanging="238"/>
            </w:pPr>
            <w:r w:rsidRPr="00237EFA">
              <w:t>un’analisi che mostri l’impatto sull’utile/(perdita) d’esercizio e sul patrimonio netto nel caso in cui si fossero verificati, alla data di chiusura dell’esercizio, variazioni ragionevolmente possibili alla variabile rilevante di rischio</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rPr>
                <w:lang w:val="it-IT"/>
              </w:rPr>
            </w:pPr>
          </w:p>
        </w:tc>
        <w:tc>
          <w:tcPr>
            <w:tcW w:w="851" w:type="dxa"/>
            <w:shd w:val="clear" w:color="auto" w:fill="auto"/>
            <w:tcMar>
              <w:left w:w="108" w:type="dxa"/>
              <w:right w:w="0" w:type="dxa"/>
            </w:tcMar>
          </w:tcPr>
          <w:p w:rsidR="00A75E60" w:rsidRPr="00237EFA" w:rsidRDefault="00A75E60" w:rsidP="00A75E60">
            <w:pPr>
              <w:rPr>
                <w:lang w:val="it-IT"/>
              </w:rPr>
            </w:pPr>
          </w:p>
        </w:tc>
        <w:tc>
          <w:tcPr>
            <w:tcW w:w="7079" w:type="dxa"/>
            <w:shd w:val="clear" w:color="auto" w:fill="auto"/>
            <w:tcMar>
              <w:left w:w="108" w:type="dxa"/>
            </w:tcMar>
          </w:tcPr>
          <w:p w:rsidR="00A75E60" w:rsidRPr="00237EFA" w:rsidRDefault="00A75E60" w:rsidP="00A75E60">
            <w:pPr>
              <w:pStyle w:val="Puntoelenco"/>
              <w:tabs>
                <w:tab w:val="clear" w:pos="780"/>
              </w:tabs>
              <w:spacing w:line="224" w:lineRule="exact"/>
              <w:ind w:left="600" w:hanging="240"/>
            </w:pPr>
            <w:r w:rsidRPr="00237EFA">
              <w:t>i metodi e le ipotesi usati per preparare l’analisi di sensitività</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shd w:val="clear" w:color="auto" w:fill="auto"/>
            <w:tcMar>
              <w:left w:w="108" w:type="dxa"/>
              <w:right w:w="0" w:type="dxa"/>
            </w:tcMar>
          </w:tcPr>
          <w:p w:rsidR="00A75E60" w:rsidRPr="008A0F36" w:rsidRDefault="00A75E60" w:rsidP="00A75E60">
            <w:pPr>
              <w:rPr>
                <w:lang w:val="it-IT"/>
              </w:rPr>
            </w:pPr>
          </w:p>
        </w:tc>
        <w:tc>
          <w:tcPr>
            <w:tcW w:w="851" w:type="dxa"/>
            <w:shd w:val="clear" w:color="auto" w:fill="auto"/>
            <w:tcMar>
              <w:left w:w="108" w:type="dxa"/>
              <w:right w:w="0" w:type="dxa"/>
            </w:tcMar>
          </w:tcPr>
          <w:p w:rsidR="00A75E60" w:rsidRPr="00237EFA" w:rsidRDefault="00A75E60" w:rsidP="00A75E60">
            <w:pPr>
              <w:rPr>
                <w:lang w:val="it-IT"/>
              </w:rPr>
            </w:pPr>
          </w:p>
        </w:tc>
        <w:tc>
          <w:tcPr>
            <w:tcW w:w="7079" w:type="dxa"/>
            <w:shd w:val="clear" w:color="auto" w:fill="auto"/>
            <w:tcMar>
              <w:left w:w="108" w:type="dxa"/>
            </w:tcMar>
          </w:tcPr>
          <w:p w:rsidR="00A75E60" w:rsidRPr="00237EFA" w:rsidRDefault="00A75E60" w:rsidP="00A75E60">
            <w:pPr>
              <w:pStyle w:val="Puntoelenco"/>
              <w:tabs>
                <w:tab w:val="clear" w:pos="780"/>
              </w:tabs>
              <w:spacing w:line="224" w:lineRule="exact"/>
              <w:ind w:left="600" w:hanging="240"/>
            </w:pPr>
            <w:r w:rsidRPr="00237EFA">
              <w:t>eventuali cambiamenti dal precedente esercizio nei metodi e ipotesi usate.</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A44ECD" w:rsidTr="00F235B5">
        <w:trPr>
          <w:cantSplit/>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r w:rsidRPr="00237EFA">
              <w:rPr>
                <w:lang w:val="it-IT"/>
              </w:rPr>
              <w:t>IFRS 4.39A IFRS 7.41</w:t>
            </w:r>
          </w:p>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C15B75">
            <w:pPr>
              <w:pStyle w:val="Paragarfobordato"/>
              <w:rPr>
                <w:spacing w:val="-2"/>
              </w:rPr>
            </w:pPr>
            <w:r w:rsidRPr="00237EFA">
              <w:t>Se un assicuratore usa un metodo alternativo per gestire la sensitività alle condizioni del mercato, come un’analisi dei valori impliciti, può soddisfare queste disposizioni indicando l’analisi di sensitività alternativa e l’informativa richiesta dal paragrafo 41 dell’IFRS 7 (vedi punto 24</w:t>
            </w:r>
            <w:r>
              <w:t>2</w:t>
            </w:r>
            <w:r w:rsidRPr="00237EFA">
              <w:t>).</w:t>
            </w:r>
          </w:p>
        </w:tc>
        <w:tc>
          <w:tcPr>
            <w:tcW w:w="575" w:type="dxa"/>
            <w:shd w:val="clear" w:color="auto" w:fill="auto"/>
            <w:tcMar>
              <w:left w:w="85" w:type="dxa"/>
              <w:right w:w="85" w:type="dxa"/>
            </w:tcMar>
            <w:vAlign w:val="center"/>
          </w:tcPr>
          <w:p w:rsidR="00A75E60" w:rsidRPr="00090BE7" w:rsidRDefault="00A75E60" w:rsidP="00A75E60">
            <w:pPr>
              <w:jc w:val="center"/>
              <w:rPr>
                <w:lang w:val="it-IT"/>
              </w:rPr>
            </w:pPr>
          </w:p>
        </w:tc>
        <w:tc>
          <w:tcPr>
            <w:tcW w:w="567" w:type="dxa"/>
            <w:shd w:val="clear" w:color="auto" w:fill="auto"/>
            <w:tcMar>
              <w:left w:w="108" w:type="dxa"/>
            </w:tcMar>
            <w:vAlign w:val="center"/>
          </w:tcPr>
          <w:p w:rsidR="00A75E60" w:rsidRPr="00090BE7" w:rsidRDefault="00A75E60" w:rsidP="00A75E60">
            <w:pPr>
              <w:jc w:val="center"/>
              <w:rPr>
                <w:lang w:val="it-IT"/>
              </w:rPr>
            </w:pPr>
          </w:p>
        </w:tc>
        <w:tc>
          <w:tcPr>
            <w:tcW w:w="567" w:type="dxa"/>
            <w:shd w:val="clear" w:color="auto" w:fill="auto"/>
            <w:vAlign w:val="center"/>
          </w:tcPr>
          <w:p w:rsidR="00A75E60" w:rsidRPr="00090BE7" w:rsidRDefault="00A75E60" w:rsidP="00A75E60">
            <w:pPr>
              <w:jc w:val="center"/>
              <w:rPr>
                <w:lang w:val="it-IT"/>
              </w:rPr>
            </w:pPr>
          </w:p>
        </w:tc>
      </w:tr>
      <w:tr w:rsidR="00A75E60" w:rsidRPr="008129DA" w:rsidTr="00F235B5">
        <w:trPr>
          <w:cantSplit/>
          <w:trHeight w:val="655"/>
        </w:trPr>
        <w:tc>
          <w:tcPr>
            <w:tcW w:w="567" w:type="dxa"/>
            <w:shd w:val="clear" w:color="auto" w:fill="auto"/>
            <w:tcMar>
              <w:left w:w="108" w:type="dxa"/>
              <w:right w:w="0" w:type="dxa"/>
            </w:tcMar>
          </w:tcPr>
          <w:p w:rsidR="00A75E60" w:rsidRPr="008A0F36" w:rsidRDefault="00A75E60" w:rsidP="00A75E60">
            <w:pPr>
              <w:pStyle w:val="IAS"/>
              <w:rPr>
                <w:lang w:val="it-IT"/>
              </w:rPr>
            </w:pPr>
          </w:p>
        </w:tc>
        <w:tc>
          <w:tcPr>
            <w:tcW w:w="851" w:type="dxa"/>
            <w:shd w:val="clear" w:color="auto" w:fill="auto"/>
            <w:tcMar>
              <w:left w:w="108" w:type="dxa"/>
              <w:right w:w="0" w:type="dxa"/>
            </w:tcMar>
          </w:tcPr>
          <w:p w:rsidR="00A75E60" w:rsidRPr="00237EFA" w:rsidRDefault="00A75E60" w:rsidP="00A75E60">
            <w:pPr>
              <w:pStyle w:val="IAS"/>
              <w:rPr>
                <w:lang w:val="it-IT"/>
              </w:rPr>
            </w:pPr>
          </w:p>
        </w:tc>
        <w:tc>
          <w:tcPr>
            <w:tcW w:w="7079" w:type="dxa"/>
            <w:shd w:val="clear" w:color="auto" w:fill="auto"/>
            <w:tcMar>
              <w:left w:w="108" w:type="dxa"/>
            </w:tcMar>
          </w:tcPr>
          <w:p w:rsidR="00A75E60" w:rsidRPr="00237EFA" w:rsidRDefault="00A75E60" w:rsidP="00A75E60">
            <w:pPr>
              <w:pStyle w:val="Rientroa"/>
              <w:numPr>
                <w:ilvl w:val="0"/>
                <w:numId w:val="72"/>
              </w:numPr>
            </w:pPr>
            <w:r w:rsidRPr="00237EFA">
              <w:t>informazioni qualitative sulla sensitività e informazioni su quei termini e condizioni dei contratti assicurativi che hanno un’influenza materiale sull’ammontare, sulla tempistica e incertezza dei flussi finanziari futuri dell’assicuratore.</w:t>
            </w:r>
          </w:p>
        </w:tc>
        <w:tc>
          <w:tcPr>
            <w:tcW w:w="575" w:type="dxa"/>
            <w:shd w:val="clear" w:color="auto" w:fill="auto"/>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shd w:val="clear" w:color="auto" w:fill="auto"/>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A44ECD" w:rsidTr="00F235B5">
        <w:trPr>
          <w:cantSplit/>
          <w:trHeight w:val="310"/>
        </w:trPr>
        <w:tc>
          <w:tcPr>
            <w:tcW w:w="567" w:type="dxa"/>
            <w:shd w:val="clear" w:color="auto" w:fill="auto"/>
            <w:tcMar>
              <w:left w:w="108" w:type="dxa"/>
              <w:right w:w="0" w:type="dxa"/>
            </w:tcMar>
            <w:vAlign w:val="center"/>
          </w:tcPr>
          <w:p w:rsidR="00A75E60" w:rsidRPr="008A0F36" w:rsidRDefault="00A75E60" w:rsidP="00A75E60">
            <w:pPr>
              <w:pStyle w:val="IAS"/>
              <w:jc w:val="left"/>
              <w:rPr>
                <w:lang w:val="it-IT"/>
              </w:rPr>
            </w:pPr>
          </w:p>
        </w:tc>
        <w:tc>
          <w:tcPr>
            <w:tcW w:w="851" w:type="dxa"/>
            <w:shd w:val="clear" w:color="auto" w:fill="auto"/>
            <w:tcMar>
              <w:right w:w="0" w:type="dxa"/>
            </w:tcMar>
            <w:vAlign w:val="center"/>
          </w:tcPr>
          <w:p w:rsidR="00A75E60" w:rsidRPr="00237EFA" w:rsidRDefault="00A75E60" w:rsidP="00A75E60">
            <w:pPr>
              <w:pStyle w:val="IAS"/>
              <w:jc w:val="left"/>
              <w:rPr>
                <w:lang w:val="it-IT"/>
              </w:rPr>
            </w:pPr>
          </w:p>
        </w:tc>
        <w:tc>
          <w:tcPr>
            <w:tcW w:w="7079" w:type="dxa"/>
            <w:shd w:val="clear" w:color="auto" w:fill="auto"/>
            <w:vAlign w:val="center"/>
          </w:tcPr>
          <w:p w:rsidR="00A75E60" w:rsidRPr="00237EFA" w:rsidRDefault="00A75E60" w:rsidP="00A75E60">
            <w:pPr>
              <w:pStyle w:val="Titolo1"/>
            </w:pPr>
            <w:r w:rsidRPr="00237EFA">
              <w:t xml:space="preserve">Informativa sul </w:t>
            </w:r>
            <w:r w:rsidRPr="00237EFA">
              <w:rPr>
                <w:i/>
              </w:rPr>
              <w:t>leasing</w:t>
            </w:r>
            <w:r w:rsidRPr="00237EFA">
              <w:t xml:space="preserve"> richiesta ai locatori</w:t>
            </w:r>
          </w:p>
        </w:tc>
        <w:tc>
          <w:tcPr>
            <w:tcW w:w="575" w:type="dxa"/>
            <w:shd w:val="clear" w:color="auto" w:fill="auto"/>
            <w:tcMar>
              <w:left w:w="85" w:type="dxa"/>
              <w:right w:w="85" w:type="dxa"/>
            </w:tcMar>
            <w:vAlign w:val="center"/>
          </w:tcPr>
          <w:p w:rsidR="00A75E60" w:rsidRPr="00090BE7" w:rsidRDefault="00A75E60" w:rsidP="00A75E60">
            <w:pPr>
              <w:jc w:val="left"/>
              <w:rPr>
                <w:lang w:val="it-IT"/>
              </w:rPr>
            </w:pPr>
          </w:p>
        </w:tc>
        <w:tc>
          <w:tcPr>
            <w:tcW w:w="567" w:type="dxa"/>
            <w:shd w:val="clear" w:color="auto" w:fill="auto"/>
            <w:vAlign w:val="center"/>
          </w:tcPr>
          <w:p w:rsidR="00A75E60" w:rsidRPr="00090BE7" w:rsidRDefault="00A75E60" w:rsidP="00A75E60">
            <w:pPr>
              <w:jc w:val="left"/>
              <w:rPr>
                <w:lang w:val="it-IT"/>
              </w:rPr>
            </w:pPr>
          </w:p>
        </w:tc>
        <w:tc>
          <w:tcPr>
            <w:tcW w:w="567" w:type="dxa"/>
            <w:shd w:val="clear" w:color="auto" w:fill="auto"/>
            <w:vAlign w:val="center"/>
          </w:tcPr>
          <w:p w:rsidR="00A75E60" w:rsidRPr="00090BE7" w:rsidRDefault="00A75E60" w:rsidP="00A75E60">
            <w:pPr>
              <w:jc w:val="left"/>
              <w:rPr>
                <w:lang w:val="it-IT"/>
              </w:rPr>
            </w:pPr>
          </w:p>
        </w:tc>
      </w:tr>
      <w:tr w:rsidR="00A75E60" w:rsidRPr="008A0F36"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A75E60">
            <w:pPr>
              <w:pStyle w:val="Titolo2"/>
              <w:rPr>
                <w:lang w:val="it-IT"/>
              </w:rPr>
            </w:pPr>
            <w:r w:rsidRPr="00237EFA">
              <w:rPr>
                <w:lang w:val="it-IT"/>
              </w:rPr>
              <w:t>Leasing finanziario</w:t>
            </w:r>
          </w:p>
        </w:tc>
        <w:tc>
          <w:tcPr>
            <w:tcW w:w="575" w:type="dxa"/>
            <w:tcMar>
              <w:left w:w="85" w:type="dxa"/>
              <w:right w:w="85" w:type="dxa"/>
            </w:tcMar>
            <w:vAlign w:val="center"/>
          </w:tcPr>
          <w:p w:rsidR="00A75E60" w:rsidRDefault="00A75E60" w:rsidP="00A75E60">
            <w:pPr>
              <w:jc w:val="center"/>
            </w:pPr>
          </w:p>
        </w:tc>
        <w:tc>
          <w:tcPr>
            <w:tcW w:w="567" w:type="dxa"/>
            <w:tcMar>
              <w:left w:w="108" w:type="dxa"/>
            </w:tcMar>
            <w:vAlign w:val="center"/>
          </w:tcPr>
          <w:p w:rsidR="00A75E60" w:rsidRDefault="00A75E60" w:rsidP="00A75E60">
            <w:pPr>
              <w:jc w:val="center"/>
            </w:pPr>
          </w:p>
        </w:tc>
        <w:tc>
          <w:tcPr>
            <w:tcW w:w="567" w:type="dxa"/>
            <w:vAlign w:val="center"/>
          </w:tcPr>
          <w:p w:rsidR="00A75E60" w:rsidRDefault="00A75E60" w:rsidP="00A75E60">
            <w:pPr>
              <w:jc w:val="center"/>
            </w:pPr>
          </w:p>
        </w:tc>
      </w:tr>
      <w:tr w:rsidR="00A75E60" w:rsidRPr="00A44ECD"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r w:rsidRPr="00237EFA">
              <w:rPr>
                <w:lang w:val="it-IT"/>
              </w:rPr>
              <w:t>IAS 17.47</w:t>
            </w:r>
          </w:p>
        </w:tc>
        <w:tc>
          <w:tcPr>
            <w:tcW w:w="7079" w:type="dxa"/>
            <w:tcMar>
              <w:left w:w="108" w:type="dxa"/>
            </w:tcMar>
          </w:tcPr>
          <w:p w:rsidR="00A75E60" w:rsidRPr="00237EFA" w:rsidRDefault="00A75E60" w:rsidP="00A75E60">
            <w:pPr>
              <w:pStyle w:val="Commentiriquadro"/>
              <w:rPr>
                <w:lang w:val="it-IT"/>
              </w:rPr>
            </w:pPr>
            <w:r w:rsidRPr="00237EFA">
              <w:rPr>
                <w:lang w:val="it-IT"/>
              </w:rPr>
              <w:t xml:space="preserve">L’informativa richiesta dall’IFRS 7 </w:t>
            </w:r>
            <w:r w:rsidRPr="00237EFA">
              <w:rPr>
                <w:i/>
                <w:lang w:val="it-IT"/>
              </w:rPr>
              <w:t xml:space="preserve">si applica anche ai </w:t>
            </w:r>
            <w:r w:rsidRPr="00237EFA">
              <w:rPr>
                <w:lang w:val="it-IT"/>
              </w:rPr>
              <w:t>leasing</w:t>
            </w:r>
            <w:r w:rsidRPr="00237EFA">
              <w:rPr>
                <w:i/>
                <w:lang w:val="it-IT"/>
              </w:rPr>
              <w:t xml:space="preserve"> finanziari.</w:t>
            </w:r>
          </w:p>
        </w:tc>
        <w:tc>
          <w:tcPr>
            <w:tcW w:w="575" w:type="dxa"/>
            <w:tcMar>
              <w:left w:w="85" w:type="dxa"/>
              <w:right w:w="85" w:type="dxa"/>
            </w:tcMar>
            <w:vAlign w:val="center"/>
          </w:tcPr>
          <w:p w:rsidR="00A75E60" w:rsidRPr="00090BE7" w:rsidRDefault="00A75E60" w:rsidP="00A75E60">
            <w:pPr>
              <w:jc w:val="center"/>
              <w:rPr>
                <w:lang w:val="it-IT"/>
              </w:rPr>
            </w:pPr>
          </w:p>
        </w:tc>
        <w:tc>
          <w:tcPr>
            <w:tcW w:w="567" w:type="dxa"/>
            <w:tcMar>
              <w:left w:w="108" w:type="dxa"/>
            </w:tcMar>
            <w:vAlign w:val="center"/>
          </w:tcPr>
          <w:p w:rsidR="00A75E60" w:rsidRPr="00090BE7" w:rsidRDefault="00A75E60" w:rsidP="00A75E60">
            <w:pPr>
              <w:jc w:val="center"/>
              <w:rPr>
                <w:lang w:val="it-IT"/>
              </w:rPr>
            </w:pPr>
          </w:p>
        </w:tc>
        <w:tc>
          <w:tcPr>
            <w:tcW w:w="567" w:type="dxa"/>
            <w:vAlign w:val="center"/>
          </w:tcPr>
          <w:p w:rsidR="00A75E60" w:rsidRPr="00090BE7" w:rsidRDefault="00A75E60" w:rsidP="00A75E60">
            <w:pPr>
              <w:jc w:val="center"/>
              <w:rPr>
                <w:lang w:val="it-IT"/>
              </w:rPr>
            </w:pPr>
          </w:p>
        </w:tc>
      </w:tr>
      <w:tr w:rsidR="00A75E60" w:rsidRPr="008129DA" w:rsidTr="00F235B5">
        <w:trPr>
          <w:cantSplit/>
        </w:trPr>
        <w:tc>
          <w:tcPr>
            <w:tcW w:w="567" w:type="dxa"/>
            <w:tcMar>
              <w:left w:w="108" w:type="dxa"/>
              <w:right w:w="0" w:type="dxa"/>
            </w:tcMar>
          </w:tcPr>
          <w:p w:rsidR="00A75E60" w:rsidRPr="008A0F36" w:rsidRDefault="00A75E60" w:rsidP="00A75E60">
            <w:pPr>
              <w:pStyle w:val="Numeroelenco"/>
              <w:ind w:left="0" w:firstLine="57"/>
              <w:rPr>
                <w:lang w:val="it-IT"/>
              </w:rPr>
            </w:pPr>
          </w:p>
        </w:tc>
        <w:tc>
          <w:tcPr>
            <w:tcW w:w="851" w:type="dxa"/>
            <w:tcMar>
              <w:left w:w="108" w:type="dxa"/>
              <w:right w:w="0" w:type="dxa"/>
            </w:tcMar>
          </w:tcPr>
          <w:p w:rsidR="00A75E60" w:rsidRPr="00237EFA" w:rsidRDefault="00A75E60" w:rsidP="00A75E60">
            <w:pPr>
              <w:pStyle w:val="IAS"/>
              <w:rPr>
                <w:lang w:val="it-IT"/>
              </w:rPr>
            </w:pPr>
            <w:r w:rsidRPr="00237EFA">
              <w:rPr>
                <w:lang w:val="it-IT"/>
              </w:rPr>
              <w:t>IAS 17.36</w:t>
            </w:r>
          </w:p>
        </w:tc>
        <w:tc>
          <w:tcPr>
            <w:tcW w:w="7079" w:type="dxa"/>
            <w:tcMar>
              <w:left w:w="108" w:type="dxa"/>
            </w:tcMar>
          </w:tcPr>
          <w:p w:rsidR="00A75E60" w:rsidRPr="00237EFA" w:rsidRDefault="00A75E60" w:rsidP="00C15B75">
            <w:pPr>
              <w:rPr>
                <w:lang w:val="it-IT"/>
              </w:rPr>
            </w:pPr>
            <w:r w:rsidRPr="00237EFA">
              <w:rPr>
                <w:lang w:val="it-IT"/>
              </w:rPr>
              <w:t xml:space="preserve">L’entità presenta i beni posseduti oggetto di operazioni di </w:t>
            </w:r>
            <w:r w:rsidRPr="00237EFA">
              <w:rPr>
                <w:i/>
                <w:lang w:val="it-IT"/>
              </w:rPr>
              <w:t>leasing</w:t>
            </w:r>
            <w:r w:rsidRPr="00237EFA">
              <w:rPr>
                <w:lang w:val="it-IT"/>
              </w:rPr>
              <w:t xml:space="preserve"> finanziario nel prospetto della situazione patrimoniale-finanziaria e li espone come credito a un valore uguale all’investimento netto nel </w:t>
            </w:r>
            <w:r w:rsidRPr="00237EFA">
              <w:rPr>
                <w:i/>
                <w:lang w:val="it-IT"/>
              </w:rPr>
              <w:t>leasing</w:t>
            </w:r>
            <w:r>
              <w:rPr>
                <w:lang w:val="it-IT"/>
              </w:rPr>
              <w:t>.</w:t>
            </w:r>
            <w:r w:rsidRPr="00237EFA">
              <w:rPr>
                <w:lang w:val="it-IT"/>
              </w:rPr>
              <w:t xml:space="preserve"> </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A44ECD" w:rsidTr="00F235B5">
        <w:trPr>
          <w:cantSplit/>
        </w:trPr>
        <w:tc>
          <w:tcPr>
            <w:tcW w:w="567" w:type="dxa"/>
            <w:tcMar>
              <w:left w:w="108" w:type="dxa"/>
              <w:right w:w="0" w:type="dxa"/>
            </w:tcMar>
          </w:tcPr>
          <w:p w:rsidR="00A75E60" w:rsidRPr="008A0F36" w:rsidRDefault="00A75E60" w:rsidP="00A75E60">
            <w:pPr>
              <w:pStyle w:val="Numeroelenco"/>
              <w:ind w:left="0" w:firstLine="57"/>
              <w:rPr>
                <w:lang w:val="it-IT"/>
              </w:rPr>
            </w:pPr>
          </w:p>
        </w:tc>
        <w:tc>
          <w:tcPr>
            <w:tcW w:w="851" w:type="dxa"/>
            <w:tcMar>
              <w:left w:w="108" w:type="dxa"/>
              <w:right w:w="0" w:type="dxa"/>
            </w:tcMar>
          </w:tcPr>
          <w:p w:rsidR="00A75E60" w:rsidRPr="00237EFA" w:rsidRDefault="00A75E60" w:rsidP="00A75E60">
            <w:pPr>
              <w:pStyle w:val="IAS"/>
              <w:rPr>
                <w:lang w:val="it-IT"/>
              </w:rPr>
            </w:pPr>
            <w:r w:rsidRPr="00237EFA">
              <w:rPr>
                <w:lang w:val="it-IT"/>
              </w:rPr>
              <w:t>IAS 17.47</w:t>
            </w:r>
          </w:p>
        </w:tc>
        <w:tc>
          <w:tcPr>
            <w:tcW w:w="7079" w:type="dxa"/>
            <w:tcMar>
              <w:left w:w="108" w:type="dxa"/>
            </w:tcMar>
          </w:tcPr>
          <w:p w:rsidR="00A75E60" w:rsidRPr="00237EFA" w:rsidRDefault="00A75E60" w:rsidP="00C15B75">
            <w:pPr>
              <w:rPr>
                <w:lang w:val="it-IT"/>
              </w:rPr>
            </w:pPr>
            <w:r w:rsidRPr="00237EFA">
              <w:rPr>
                <w:lang w:val="it-IT"/>
              </w:rPr>
              <w:t xml:space="preserve">L’entità indica le seguenti informazioni relativamente alle operazioni di </w:t>
            </w:r>
            <w:r w:rsidRPr="00237EFA">
              <w:rPr>
                <w:i/>
                <w:lang w:val="it-IT"/>
              </w:rPr>
              <w:t>leasing</w:t>
            </w:r>
            <w:r w:rsidRPr="00237EFA">
              <w:rPr>
                <w:lang w:val="it-IT"/>
              </w:rPr>
              <w:t xml:space="preserve"> finanziario:</w:t>
            </w:r>
          </w:p>
        </w:tc>
        <w:tc>
          <w:tcPr>
            <w:tcW w:w="575" w:type="dxa"/>
            <w:tcMar>
              <w:left w:w="85" w:type="dxa"/>
              <w:right w:w="85" w:type="dxa"/>
            </w:tcMar>
            <w:vAlign w:val="center"/>
          </w:tcPr>
          <w:p w:rsidR="00A75E60" w:rsidRPr="00090BE7" w:rsidRDefault="00A75E60" w:rsidP="00A75E60">
            <w:pPr>
              <w:jc w:val="center"/>
              <w:rPr>
                <w:lang w:val="it-IT"/>
              </w:rPr>
            </w:pPr>
          </w:p>
        </w:tc>
        <w:tc>
          <w:tcPr>
            <w:tcW w:w="567" w:type="dxa"/>
            <w:tcMar>
              <w:left w:w="108" w:type="dxa"/>
            </w:tcMar>
            <w:vAlign w:val="center"/>
          </w:tcPr>
          <w:p w:rsidR="00A75E60" w:rsidRPr="00090BE7" w:rsidRDefault="00A75E60" w:rsidP="00A75E60">
            <w:pPr>
              <w:jc w:val="center"/>
              <w:rPr>
                <w:lang w:val="it-IT"/>
              </w:rPr>
            </w:pPr>
          </w:p>
        </w:tc>
        <w:tc>
          <w:tcPr>
            <w:tcW w:w="567" w:type="dxa"/>
            <w:vAlign w:val="center"/>
          </w:tcPr>
          <w:p w:rsidR="00A75E60" w:rsidRPr="00090BE7" w:rsidRDefault="00A75E60" w:rsidP="00A75E60">
            <w:pPr>
              <w:jc w:val="center"/>
              <w:rPr>
                <w:lang w:val="it-IT"/>
              </w:rPr>
            </w:pP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C15B75">
            <w:pPr>
              <w:pStyle w:val="Rientroa"/>
              <w:numPr>
                <w:ilvl w:val="0"/>
                <w:numId w:val="175"/>
              </w:numPr>
            </w:pPr>
            <w:r w:rsidRPr="00237EFA">
              <w:t xml:space="preserve">una riconciliazione tra l’investimento lordo totale nel </w:t>
            </w:r>
            <w:r w:rsidRPr="00237EFA">
              <w:rPr>
                <w:i/>
              </w:rPr>
              <w:t>leasing</w:t>
            </w:r>
            <w:r w:rsidRPr="00237EFA">
              <w:t xml:space="preserve"> alla data di chiusura dell’esercizio e il valore attuale dei pagamenti minimi dovuti per il </w:t>
            </w:r>
            <w:r w:rsidRPr="00237EFA">
              <w:rPr>
                <w:i/>
              </w:rPr>
              <w:t>leasing</w:t>
            </w:r>
            <w:r w:rsidRPr="00237EFA">
              <w:t xml:space="preserve"> alla data di chiusura dell’esercizio</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C15B75">
            <w:pPr>
              <w:pStyle w:val="Rientroa"/>
              <w:numPr>
                <w:ilvl w:val="0"/>
                <w:numId w:val="72"/>
              </w:numPr>
            </w:pPr>
            <w:r w:rsidRPr="00237EFA">
              <w:t xml:space="preserve">l’investimento lordo totale nel </w:t>
            </w:r>
            <w:r w:rsidRPr="00237EFA">
              <w:rPr>
                <w:i/>
              </w:rPr>
              <w:t>leasing</w:t>
            </w:r>
            <w:r w:rsidRPr="00237EFA">
              <w:t xml:space="preserve"> alla data di chiusura dell’esercizio e il valore attuale dei pagamenti minimi dovuti per il </w:t>
            </w:r>
            <w:r w:rsidRPr="00237EFA">
              <w:rPr>
                <w:i/>
              </w:rPr>
              <w:t>leasing</w:t>
            </w:r>
            <w:r w:rsidRPr="00237EFA">
              <w:t xml:space="preserve"> alla data di chiusura dell’esercizio per ciascuno dei seguenti periodi: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C15B75">
            <w:pPr>
              <w:pStyle w:val="Puntoelenco"/>
              <w:tabs>
                <w:tab w:val="clear" w:pos="780"/>
              </w:tabs>
              <w:ind w:left="741" w:hanging="283"/>
            </w:pPr>
            <w:r w:rsidRPr="00237EFA">
              <w:t>non più di un anno</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C15B75">
            <w:pPr>
              <w:pStyle w:val="Puntoelenco"/>
              <w:tabs>
                <w:tab w:val="clear" w:pos="780"/>
                <w:tab w:val="num" w:pos="741"/>
              </w:tabs>
              <w:ind w:hanging="322"/>
            </w:pPr>
            <w:r w:rsidRPr="00237EFA">
              <w:t>tra uno e cinque anni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A0F36"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C15B75">
            <w:pPr>
              <w:pStyle w:val="Puntoelenco"/>
              <w:tabs>
                <w:tab w:val="clear" w:pos="780"/>
                <w:tab w:val="num" w:pos="741"/>
              </w:tabs>
              <w:ind w:hanging="322"/>
            </w:pPr>
            <w:r w:rsidRPr="00237EFA">
              <w:t>più di cinque anni.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C15B75">
            <w:pPr>
              <w:pStyle w:val="Rientroa"/>
              <w:numPr>
                <w:ilvl w:val="0"/>
                <w:numId w:val="72"/>
              </w:numPr>
            </w:pPr>
            <w:r w:rsidRPr="00237EFA">
              <w:t>gli utili finanziari non realizzati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C15B75">
            <w:pPr>
              <w:pStyle w:val="Rientroa"/>
              <w:numPr>
                <w:ilvl w:val="0"/>
                <w:numId w:val="72"/>
              </w:numPr>
            </w:pPr>
            <w:r w:rsidRPr="00237EFA">
              <w:t>i valori residui non garantiti spettanti al locatore</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C15B75">
            <w:pPr>
              <w:pStyle w:val="Rientroa"/>
              <w:numPr>
                <w:ilvl w:val="0"/>
                <w:numId w:val="72"/>
              </w:numPr>
            </w:pPr>
            <w:r w:rsidRPr="00237EFA">
              <w:t xml:space="preserve">il fondo accumulato per le perdite sui crediti riferibili ai pagamenti minimi derivanti dai </w:t>
            </w:r>
            <w:r w:rsidRPr="00237EFA">
              <w:rPr>
                <w:i/>
              </w:rPr>
              <w:t>leasing</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C15B75">
            <w:pPr>
              <w:pStyle w:val="Rientroa"/>
              <w:numPr>
                <w:ilvl w:val="0"/>
                <w:numId w:val="72"/>
              </w:numPr>
            </w:pPr>
            <w:r w:rsidRPr="00237EFA">
              <w:t>i canoni potenziali di locazione rilevati nell’utile/(perdita) d’esercizio</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C15B75">
            <w:pPr>
              <w:pStyle w:val="Rientroa"/>
              <w:numPr>
                <w:ilvl w:val="0"/>
                <w:numId w:val="72"/>
              </w:numPr>
            </w:pPr>
            <w:r w:rsidRPr="00237EFA">
              <w:t xml:space="preserve">una descrizione generale dei più rilevanti contratti di </w:t>
            </w:r>
            <w:r w:rsidRPr="00237EFA">
              <w:rPr>
                <w:i/>
              </w:rPr>
              <w:t>leasing</w:t>
            </w:r>
            <w:r w:rsidRPr="00237EFA">
              <w:t xml:space="preserve"> del locatore.</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A44ECD"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r w:rsidRPr="00237EFA">
              <w:rPr>
                <w:lang w:val="it-IT"/>
              </w:rPr>
              <w:t>IAS 17.48</w:t>
            </w:r>
          </w:p>
        </w:tc>
        <w:tc>
          <w:tcPr>
            <w:tcW w:w="7079" w:type="dxa"/>
            <w:tcMar>
              <w:left w:w="108" w:type="dxa"/>
            </w:tcMar>
          </w:tcPr>
          <w:p w:rsidR="00A75E60" w:rsidRPr="00237EFA" w:rsidRDefault="00A75E60" w:rsidP="00C15B75">
            <w:pPr>
              <w:pStyle w:val="Paragarfobordato"/>
            </w:pPr>
            <w:r w:rsidRPr="00237EFA">
              <w:t xml:space="preserve">Spesso è utile che l’entità indichi l’investimento lordo totale nel </w:t>
            </w:r>
            <w:r w:rsidRPr="00237EFA">
              <w:rPr>
                <w:i/>
              </w:rPr>
              <w:t>leasing</w:t>
            </w:r>
            <w:r w:rsidRPr="00237EFA">
              <w:t xml:space="preserve"> meno i ricavi differiti su nuove operazioni iscritte nell’esercizio, al netto dei valori per le operazioni di </w:t>
            </w:r>
            <w:r w:rsidRPr="00237EFA">
              <w:rPr>
                <w:i/>
              </w:rPr>
              <w:t>leasing</w:t>
            </w:r>
            <w:r w:rsidRPr="00237EFA">
              <w:t xml:space="preserve"> annullate. </w:t>
            </w:r>
          </w:p>
        </w:tc>
        <w:tc>
          <w:tcPr>
            <w:tcW w:w="575" w:type="dxa"/>
            <w:tcMar>
              <w:left w:w="85" w:type="dxa"/>
              <w:right w:w="85" w:type="dxa"/>
            </w:tcMar>
            <w:vAlign w:val="center"/>
          </w:tcPr>
          <w:p w:rsidR="00A75E60" w:rsidRPr="00090BE7" w:rsidRDefault="00A75E60" w:rsidP="00A75E60">
            <w:pPr>
              <w:jc w:val="center"/>
              <w:rPr>
                <w:lang w:val="it-IT"/>
              </w:rPr>
            </w:pPr>
          </w:p>
        </w:tc>
        <w:tc>
          <w:tcPr>
            <w:tcW w:w="567" w:type="dxa"/>
            <w:tcMar>
              <w:left w:w="108" w:type="dxa"/>
            </w:tcMar>
            <w:vAlign w:val="center"/>
          </w:tcPr>
          <w:p w:rsidR="00A75E60" w:rsidRPr="00090BE7" w:rsidRDefault="00A75E60" w:rsidP="00A75E60">
            <w:pPr>
              <w:jc w:val="center"/>
              <w:rPr>
                <w:lang w:val="it-IT"/>
              </w:rPr>
            </w:pPr>
          </w:p>
        </w:tc>
        <w:tc>
          <w:tcPr>
            <w:tcW w:w="567" w:type="dxa"/>
            <w:vAlign w:val="center"/>
          </w:tcPr>
          <w:p w:rsidR="00A75E60" w:rsidRPr="00090BE7" w:rsidRDefault="00A75E60" w:rsidP="00A75E60">
            <w:pPr>
              <w:jc w:val="center"/>
              <w:rPr>
                <w:lang w:val="it-IT"/>
              </w:rPr>
            </w:pPr>
          </w:p>
        </w:tc>
      </w:tr>
      <w:tr w:rsidR="00A75E60" w:rsidRPr="008A0F36"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A75E60">
            <w:pPr>
              <w:pStyle w:val="Titolo2"/>
              <w:keepNext w:val="0"/>
              <w:pageBreakBefore/>
              <w:rPr>
                <w:lang w:val="it-IT"/>
              </w:rPr>
            </w:pPr>
            <w:r w:rsidRPr="00237EFA">
              <w:rPr>
                <w:i/>
                <w:lang w:val="it-IT"/>
              </w:rPr>
              <w:t>Leasing</w:t>
            </w:r>
            <w:r w:rsidRPr="00237EFA">
              <w:rPr>
                <w:lang w:val="it-IT"/>
              </w:rPr>
              <w:t xml:space="preserve"> operativi</w:t>
            </w:r>
          </w:p>
        </w:tc>
        <w:tc>
          <w:tcPr>
            <w:tcW w:w="575" w:type="dxa"/>
            <w:tcMar>
              <w:left w:w="85" w:type="dxa"/>
              <w:right w:w="85" w:type="dxa"/>
            </w:tcMar>
            <w:vAlign w:val="center"/>
          </w:tcPr>
          <w:p w:rsidR="00A75E60" w:rsidRDefault="00A75E60" w:rsidP="00A75E60">
            <w:pPr>
              <w:pageBreakBefore/>
              <w:jc w:val="center"/>
            </w:pPr>
          </w:p>
        </w:tc>
        <w:tc>
          <w:tcPr>
            <w:tcW w:w="567" w:type="dxa"/>
            <w:tcMar>
              <w:left w:w="108" w:type="dxa"/>
            </w:tcMar>
            <w:vAlign w:val="center"/>
          </w:tcPr>
          <w:p w:rsidR="00A75E60" w:rsidRDefault="00A75E60" w:rsidP="00A75E60">
            <w:pPr>
              <w:pageBreakBefore/>
              <w:jc w:val="center"/>
            </w:pPr>
          </w:p>
        </w:tc>
        <w:tc>
          <w:tcPr>
            <w:tcW w:w="567" w:type="dxa"/>
            <w:vAlign w:val="center"/>
          </w:tcPr>
          <w:p w:rsidR="00A75E60" w:rsidRDefault="00A75E60" w:rsidP="00A75E60">
            <w:pPr>
              <w:pageBreakBefore/>
              <w:jc w:val="center"/>
            </w:pPr>
          </w:p>
        </w:tc>
      </w:tr>
      <w:tr w:rsidR="00A75E60" w:rsidRPr="008A0F36"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r w:rsidRPr="00237EFA">
              <w:rPr>
                <w:lang w:val="it-IT"/>
              </w:rPr>
              <w:t>IAS 17.57</w:t>
            </w:r>
          </w:p>
          <w:p w:rsidR="00A75E60" w:rsidRPr="00237EFA" w:rsidRDefault="00A75E60" w:rsidP="00A75E60">
            <w:pPr>
              <w:pStyle w:val="IAS"/>
              <w:rPr>
                <w:lang w:val="it-IT"/>
              </w:rPr>
            </w:pPr>
            <w:r w:rsidRPr="00237EFA">
              <w:rPr>
                <w:lang w:val="it-IT"/>
              </w:rPr>
              <w:br/>
            </w:r>
          </w:p>
          <w:p w:rsidR="00A75E60" w:rsidRPr="00237EFA" w:rsidRDefault="00A75E60" w:rsidP="00A75E60">
            <w:pPr>
              <w:pStyle w:val="IAS"/>
              <w:rPr>
                <w:lang w:val="it-IT"/>
              </w:rPr>
            </w:pPr>
          </w:p>
        </w:tc>
        <w:tc>
          <w:tcPr>
            <w:tcW w:w="7079" w:type="dxa"/>
            <w:tcMar>
              <w:left w:w="108" w:type="dxa"/>
            </w:tcMar>
          </w:tcPr>
          <w:p w:rsidR="00A75E60" w:rsidRPr="00237EFA" w:rsidRDefault="00A75E60" w:rsidP="00A75E60">
            <w:pPr>
              <w:pStyle w:val="Commentiriquadro"/>
              <w:keepNext/>
              <w:rPr>
                <w:lang w:val="it-IT"/>
              </w:rPr>
            </w:pPr>
            <w:r w:rsidRPr="00237EFA">
              <w:rPr>
                <w:lang w:val="it-IT"/>
              </w:rPr>
              <w:t xml:space="preserve">Le disposizioni sull’informativa richiesta in conformità ai seguenti principi, </w:t>
            </w:r>
            <w:r w:rsidRPr="00237EFA">
              <w:rPr>
                <w:i/>
                <w:lang w:val="it-IT"/>
              </w:rPr>
              <w:t xml:space="preserve">si applicano anche ai </w:t>
            </w:r>
            <w:r w:rsidRPr="00237EFA">
              <w:rPr>
                <w:lang w:val="it-IT"/>
              </w:rPr>
              <w:t>leasing</w:t>
            </w:r>
            <w:r w:rsidRPr="00237EFA">
              <w:rPr>
                <w:i/>
                <w:lang w:val="it-IT"/>
              </w:rPr>
              <w:t xml:space="preserve"> operativi</w:t>
            </w:r>
          </w:p>
          <w:p w:rsidR="00A75E60" w:rsidRPr="00237EFA" w:rsidRDefault="00A75E60" w:rsidP="00A75E60">
            <w:pPr>
              <w:pStyle w:val="Commentiariquadro"/>
              <w:keepNext/>
              <w:rPr>
                <w:i/>
              </w:rPr>
            </w:pPr>
            <w:r w:rsidRPr="00237EFA">
              <w:t>a)</w:t>
            </w:r>
            <w:r w:rsidRPr="00237EFA">
              <w:tab/>
              <w:t xml:space="preserve">IAS 16 </w:t>
            </w:r>
            <w:r w:rsidRPr="00237EFA">
              <w:rPr>
                <w:i/>
              </w:rPr>
              <w:t>Immobili, impianti e macchinari</w:t>
            </w:r>
          </w:p>
          <w:p w:rsidR="00A75E60" w:rsidRPr="00237EFA" w:rsidRDefault="00A75E60" w:rsidP="00A75E60">
            <w:pPr>
              <w:pStyle w:val="Commentiariquadro"/>
              <w:keepNext/>
              <w:rPr>
                <w:i/>
              </w:rPr>
            </w:pPr>
            <w:r w:rsidRPr="00237EFA">
              <w:t>b)</w:t>
            </w:r>
            <w:r w:rsidRPr="00237EFA">
              <w:tab/>
              <w:t xml:space="preserve">IAS 36 </w:t>
            </w:r>
            <w:r w:rsidRPr="00237EFA">
              <w:rPr>
                <w:i/>
              </w:rPr>
              <w:t>Riduzione di valore delle attività</w:t>
            </w:r>
          </w:p>
          <w:p w:rsidR="00A75E60" w:rsidRPr="00237EFA" w:rsidRDefault="00A75E60" w:rsidP="00A75E60">
            <w:pPr>
              <w:pStyle w:val="Commentiariquadro"/>
              <w:keepNext/>
              <w:rPr>
                <w:i/>
              </w:rPr>
            </w:pPr>
            <w:r w:rsidRPr="00237EFA">
              <w:t>c)</w:t>
            </w:r>
            <w:r w:rsidRPr="00237EFA">
              <w:tab/>
              <w:t xml:space="preserve">IAS 38 </w:t>
            </w:r>
            <w:r w:rsidRPr="00237EFA">
              <w:rPr>
                <w:i/>
              </w:rPr>
              <w:t>Attività immateriali</w:t>
            </w:r>
          </w:p>
          <w:p w:rsidR="00A75E60" w:rsidRPr="00237EFA" w:rsidRDefault="00A75E60" w:rsidP="00A75E60">
            <w:pPr>
              <w:pStyle w:val="Commentiariquadro"/>
              <w:keepNext/>
              <w:rPr>
                <w:i/>
              </w:rPr>
            </w:pPr>
            <w:r w:rsidRPr="00237EFA">
              <w:t xml:space="preserve">d) </w:t>
            </w:r>
            <w:r w:rsidRPr="00237EFA">
              <w:tab/>
              <w:t xml:space="preserve">IAS 40 </w:t>
            </w:r>
            <w:r w:rsidRPr="00237EFA">
              <w:rPr>
                <w:i/>
              </w:rPr>
              <w:t>Investimenti immobiliari</w:t>
            </w:r>
          </w:p>
          <w:p w:rsidR="00A75E60" w:rsidRPr="00237EFA" w:rsidRDefault="00A75E60" w:rsidP="00A75E60">
            <w:pPr>
              <w:pStyle w:val="Commentiariquadro"/>
              <w:keepNext/>
            </w:pPr>
            <w:r w:rsidRPr="00237EFA">
              <w:t>e)</w:t>
            </w:r>
            <w:r w:rsidRPr="00237EFA">
              <w:tab/>
              <w:t xml:space="preserve">IAS 41 </w:t>
            </w:r>
            <w:r w:rsidRPr="00237EFA">
              <w:rPr>
                <w:i/>
              </w:rPr>
              <w:t>Agricoltura.</w:t>
            </w:r>
          </w:p>
        </w:tc>
        <w:tc>
          <w:tcPr>
            <w:tcW w:w="575" w:type="dxa"/>
            <w:tcMar>
              <w:left w:w="85" w:type="dxa"/>
              <w:right w:w="85" w:type="dxa"/>
            </w:tcMar>
            <w:vAlign w:val="center"/>
          </w:tcPr>
          <w:p w:rsidR="00A75E60" w:rsidRDefault="00A75E60" w:rsidP="00A75E60">
            <w:pPr>
              <w:jc w:val="center"/>
            </w:pPr>
          </w:p>
        </w:tc>
        <w:tc>
          <w:tcPr>
            <w:tcW w:w="567" w:type="dxa"/>
            <w:tcMar>
              <w:left w:w="108" w:type="dxa"/>
            </w:tcMar>
            <w:vAlign w:val="center"/>
          </w:tcPr>
          <w:p w:rsidR="00A75E60" w:rsidRDefault="00A75E60" w:rsidP="00A75E60">
            <w:pPr>
              <w:jc w:val="center"/>
            </w:pPr>
          </w:p>
        </w:tc>
        <w:tc>
          <w:tcPr>
            <w:tcW w:w="567" w:type="dxa"/>
            <w:vAlign w:val="center"/>
          </w:tcPr>
          <w:p w:rsidR="00A75E60" w:rsidRDefault="00A75E60" w:rsidP="00A75E60">
            <w:pPr>
              <w:jc w:val="center"/>
            </w:pPr>
          </w:p>
        </w:tc>
      </w:tr>
      <w:tr w:rsidR="00A75E60" w:rsidRPr="00A44ECD"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r w:rsidRPr="00237EFA">
              <w:rPr>
                <w:lang w:val="it-IT"/>
              </w:rPr>
              <w:t>IAS 17.56</w:t>
            </w:r>
          </w:p>
        </w:tc>
        <w:tc>
          <w:tcPr>
            <w:tcW w:w="7079" w:type="dxa"/>
            <w:tcMar>
              <w:left w:w="108" w:type="dxa"/>
            </w:tcMar>
          </w:tcPr>
          <w:p w:rsidR="00A75E60" w:rsidRPr="00237EFA" w:rsidRDefault="00A75E60" w:rsidP="00C15B75">
            <w:pPr>
              <w:pStyle w:val="Paragarfobordato"/>
            </w:pPr>
            <w:r w:rsidRPr="00237EFA">
              <w:t xml:space="preserve">Le disposizioni sull’informativa richiesta in conformità all’IFRS 7 sono applicabili anche ai </w:t>
            </w:r>
            <w:r w:rsidRPr="00237EFA">
              <w:rPr>
                <w:i/>
              </w:rPr>
              <w:t>leasing</w:t>
            </w:r>
            <w:r w:rsidRPr="00237EFA">
              <w:t xml:space="preserve"> operativi.</w:t>
            </w:r>
          </w:p>
        </w:tc>
        <w:tc>
          <w:tcPr>
            <w:tcW w:w="575" w:type="dxa"/>
            <w:tcMar>
              <w:left w:w="85" w:type="dxa"/>
              <w:right w:w="85" w:type="dxa"/>
            </w:tcMar>
            <w:vAlign w:val="center"/>
          </w:tcPr>
          <w:p w:rsidR="00A75E60" w:rsidRPr="00BC7990" w:rsidRDefault="00A75E60" w:rsidP="00A75E60">
            <w:pPr>
              <w:jc w:val="center"/>
              <w:rPr>
                <w:lang w:val="it-IT"/>
              </w:rPr>
            </w:pPr>
          </w:p>
        </w:tc>
        <w:tc>
          <w:tcPr>
            <w:tcW w:w="567" w:type="dxa"/>
            <w:tcMar>
              <w:left w:w="108" w:type="dxa"/>
            </w:tcMar>
            <w:vAlign w:val="center"/>
          </w:tcPr>
          <w:p w:rsidR="00A75E60" w:rsidRPr="00BC7990" w:rsidRDefault="00A75E60" w:rsidP="00A75E60">
            <w:pPr>
              <w:jc w:val="center"/>
              <w:rPr>
                <w:lang w:val="it-IT"/>
              </w:rPr>
            </w:pPr>
          </w:p>
        </w:tc>
        <w:tc>
          <w:tcPr>
            <w:tcW w:w="567" w:type="dxa"/>
            <w:vAlign w:val="center"/>
          </w:tcPr>
          <w:p w:rsidR="00A75E60" w:rsidRPr="00BC7990" w:rsidRDefault="00A75E60" w:rsidP="00A75E60">
            <w:pPr>
              <w:jc w:val="center"/>
              <w:rPr>
                <w:lang w:val="it-IT"/>
              </w:rPr>
            </w:pPr>
          </w:p>
        </w:tc>
      </w:tr>
      <w:tr w:rsidR="00A75E60" w:rsidRPr="008129DA" w:rsidTr="00F235B5">
        <w:trPr>
          <w:cantSplit/>
        </w:trPr>
        <w:tc>
          <w:tcPr>
            <w:tcW w:w="567" w:type="dxa"/>
            <w:tcMar>
              <w:left w:w="108" w:type="dxa"/>
              <w:right w:w="0" w:type="dxa"/>
            </w:tcMar>
          </w:tcPr>
          <w:p w:rsidR="00A75E60" w:rsidRPr="008A0F36" w:rsidRDefault="00A75E60" w:rsidP="00A75E60">
            <w:pPr>
              <w:pStyle w:val="Numeroelenco"/>
              <w:ind w:left="0" w:firstLine="57"/>
              <w:rPr>
                <w:lang w:val="it-IT"/>
              </w:rPr>
            </w:pPr>
          </w:p>
        </w:tc>
        <w:tc>
          <w:tcPr>
            <w:tcW w:w="851" w:type="dxa"/>
            <w:tcMar>
              <w:left w:w="108" w:type="dxa"/>
              <w:right w:w="0" w:type="dxa"/>
            </w:tcMar>
          </w:tcPr>
          <w:p w:rsidR="00A75E60" w:rsidRPr="00237EFA" w:rsidRDefault="00A75E60" w:rsidP="00A75E60">
            <w:pPr>
              <w:pStyle w:val="IAS"/>
              <w:rPr>
                <w:lang w:val="it-IT"/>
              </w:rPr>
            </w:pPr>
            <w:r w:rsidRPr="00237EFA">
              <w:rPr>
                <w:lang w:val="it-IT"/>
              </w:rPr>
              <w:t>IAS 17.49</w:t>
            </w:r>
          </w:p>
        </w:tc>
        <w:tc>
          <w:tcPr>
            <w:tcW w:w="7079" w:type="dxa"/>
            <w:tcMar>
              <w:left w:w="108" w:type="dxa"/>
            </w:tcMar>
          </w:tcPr>
          <w:p w:rsidR="00A75E60" w:rsidRPr="00237EFA" w:rsidRDefault="00A75E60" w:rsidP="00A75E60">
            <w:pPr>
              <w:rPr>
                <w:lang w:val="it-IT"/>
              </w:rPr>
            </w:pPr>
            <w:r w:rsidRPr="00237EFA">
              <w:rPr>
                <w:lang w:val="it-IT"/>
              </w:rPr>
              <w:t xml:space="preserve">L’entità presenta i beni posseduti oggetto di operazioni di </w:t>
            </w:r>
            <w:r w:rsidRPr="00237EFA">
              <w:rPr>
                <w:i/>
                <w:lang w:val="it-IT"/>
              </w:rPr>
              <w:t>leasing</w:t>
            </w:r>
            <w:r w:rsidRPr="00237EFA">
              <w:rPr>
                <w:lang w:val="it-IT"/>
              </w:rPr>
              <w:t xml:space="preserve"> operativo nel prospetto della situazione patrimoniale-finanziaria in base alla natura dei beni</w:t>
            </w:r>
            <w:r>
              <w:rPr>
                <w:lang w:val="it-IT"/>
              </w:rPr>
              <w:t>.</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A44ECD" w:rsidTr="00F235B5">
        <w:trPr>
          <w:cantSplit/>
          <w:trHeight w:val="217"/>
        </w:trPr>
        <w:tc>
          <w:tcPr>
            <w:tcW w:w="567" w:type="dxa"/>
            <w:tcMar>
              <w:left w:w="108" w:type="dxa"/>
              <w:right w:w="0" w:type="dxa"/>
            </w:tcMar>
          </w:tcPr>
          <w:p w:rsidR="00A75E60" w:rsidRPr="008A0F36" w:rsidRDefault="00A75E60" w:rsidP="00A75E60">
            <w:pPr>
              <w:pStyle w:val="Numeroelenco"/>
              <w:ind w:left="0" w:firstLine="57"/>
              <w:rPr>
                <w:lang w:val="it-IT"/>
              </w:rPr>
            </w:pPr>
          </w:p>
        </w:tc>
        <w:tc>
          <w:tcPr>
            <w:tcW w:w="851" w:type="dxa"/>
            <w:tcMar>
              <w:left w:w="108" w:type="dxa"/>
              <w:right w:w="0" w:type="dxa"/>
            </w:tcMar>
          </w:tcPr>
          <w:p w:rsidR="00A75E60" w:rsidRPr="00237EFA" w:rsidRDefault="00A75E60" w:rsidP="00A75E60">
            <w:pPr>
              <w:pStyle w:val="IAS"/>
              <w:rPr>
                <w:lang w:val="it-IT"/>
              </w:rPr>
            </w:pPr>
            <w:r w:rsidRPr="00237EFA">
              <w:rPr>
                <w:lang w:val="it-IT"/>
              </w:rPr>
              <w:t>IAS 17.56</w:t>
            </w:r>
          </w:p>
        </w:tc>
        <w:tc>
          <w:tcPr>
            <w:tcW w:w="7079" w:type="dxa"/>
            <w:tcMar>
              <w:left w:w="108" w:type="dxa"/>
            </w:tcMar>
          </w:tcPr>
          <w:p w:rsidR="00A75E60" w:rsidRPr="00237EFA" w:rsidRDefault="00A75E60" w:rsidP="00C15B75">
            <w:pPr>
              <w:spacing w:line="224" w:lineRule="exact"/>
              <w:rPr>
                <w:lang w:val="it-IT"/>
              </w:rPr>
            </w:pPr>
            <w:r w:rsidRPr="00237EFA">
              <w:rPr>
                <w:lang w:val="it-IT"/>
              </w:rPr>
              <w:t xml:space="preserve">L’entità indica le seguenti informazioni relativamente alle operazioni di </w:t>
            </w:r>
            <w:r w:rsidRPr="00237EFA">
              <w:rPr>
                <w:i/>
                <w:lang w:val="it-IT"/>
              </w:rPr>
              <w:t>leasing</w:t>
            </w:r>
            <w:r w:rsidRPr="00237EFA">
              <w:rPr>
                <w:lang w:val="it-IT"/>
              </w:rPr>
              <w:t xml:space="preserve"> operativo:</w:t>
            </w:r>
          </w:p>
        </w:tc>
        <w:tc>
          <w:tcPr>
            <w:tcW w:w="575" w:type="dxa"/>
            <w:tcMar>
              <w:left w:w="85" w:type="dxa"/>
              <w:right w:w="85" w:type="dxa"/>
            </w:tcMar>
            <w:vAlign w:val="center"/>
          </w:tcPr>
          <w:p w:rsidR="00A75E60" w:rsidRPr="00BC7990" w:rsidRDefault="00A75E60" w:rsidP="00A75E60">
            <w:pPr>
              <w:jc w:val="center"/>
              <w:rPr>
                <w:lang w:val="it-IT"/>
              </w:rPr>
            </w:pPr>
          </w:p>
        </w:tc>
        <w:tc>
          <w:tcPr>
            <w:tcW w:w="567" w:type="dxa"/>
            <w:tcMar>
              <w:left w:w="108" w:type="dxa"/>
            </w:tcMar>
            <w:vAlign w:val="center"/>
          </w:tcPr>
          <w:p w:rsidR="00A75E60" w:rsidRPr="00BC7990" w:rsidRDefault="00A75E60" w:rsidP="00A75E60">
            <w:pPr>
              <w:jc w:val="center"/>
              <w:rPr>
                <w:lang w:val="it-IT"/>
              </w:rPr>
            </w:pPr>
          </w:p>
        </w:tc>
        <w:tc>
          <w:tcPr>
            <w:tcW w:w="567" w:type="dxa"/>
            <w:vAlign w:val="center"/>
          </w:tcPr>
          <w:p w:rsidR="00A75E60" w:rsidRPr="00BC7990" w:rsidRDefault="00A75E60" w:rsidP="00A75E60">
            <w:pPr>
              <w:jc w:val="center"/>
              <w:rPr>
                <w:lang w:val="it-IT"/>
              </w:rPr>
            </w:pP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C15B75">
            <w:pPr>
              <w:pStyle w:val="Rientroa"/>
              <w:numPr>
                <w:ilvl w:val="0"/>
                <w:numId w:val="176"/>
              </w:numPr>
              <w:spacing w:line="224" w:lineRule="exact"/>
            </w:pPr>
            <w:r w:rsidRPr="00237EFA">
              <w:t xml:space="preserve">il totale dei pagamenti minimi derivanti da un </w:t>
            </w:r>
            <w:r w:rsidRPr="00237EFA">
              <w:rPr>
                <w:i/>
              </w:rPr>
              <w:t>leasing</w:t>
            </w:r>
            <w:r w:rsidRPr="00237EFA">
              <w:t xml:space="preserve"> operativo non annullabile, complessivamente e per ciascuno dei seguenti periodi: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C15B75">
            <w:pPr>
              <w:pStyle w:val="Puntoelenco"/>
              <w:tabs>
                <w:tab w:val="clear" w:pos="780"/>
              </w:tabs>
              <w:spacing w:line="224" w:lineRule="exact"/>
              <w:ind w:left="712" w:hanging="284"/>
            </w:pPr>
            <w:r w:rsidRPr="00237EFA">
              <w:t>non più di un anno</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C15B75">
            <w:pPr>
              <w:pStyle w:val="Puntoelenco"/>
              <w:tabs>
                <w:tab w:val="clear" w:pos="780"/>
              </w:tabs>
              <w:spacing w:line="224" w:lineRule="exact"/>
              <w:ind w:left="712" w:hanging="284"/>
            </w:pPr>
            <w:r w:rsidRPr="00237EFA">
              <w:t>tra uno e cinque anni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A0F36"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C15B75">
            <w:pPr>
              <w:pStyle w:val="Puntoelenco"/>
              <w:tabs>
                <w:tab w:val="clear" w:pos="780"/>
              </w:tabs>
              <w:spacing w:line="224" w:lineRule="exact"/>
              <w:ind w:left="712" w:hanging="284"/>
            </w:pPr>
            <w:r w:rsidRPr="00237EFA">
              <w:t>più di cinque anni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C15B75">
            <w:pPr>
              <w:pStyle w:val="Rientroa"/>
              <w:numPr>
                <w:ilvl w:val="0"/>
                <w:numId w:val="72"/>
              </w:numPr>
              <w:spacing w:line="224" w:lineRule="exact"/>
            </w:pPr>
            <w:r w:rsidRPr="00237EFA">
              <w:t>il totale dei canoni potenziali di locazione totali rilevati come proventi nell’esercizio; e</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C15B75">
            <w:pPr>
              <w:pStyle w:val="Rientroa"/>
              <w:numPr>
                <w:ilvl w:val="0"/>
                <w:numId w:val="72"/>
              </w:numPr>
              <w:spacing w:line="224" w:lineRule="exact"/>
            </w:pPr>
            <w:r w:rsidRPr="00237EFA">
              <w:t xml:space="preserve">una descrizione generale dei più significativi contratti di </w:t>
            </w:r>
            <w:r w:rsidRPr="00237EFA">
              <w:rPr>
                <w:i/>
              </w:rPr>
              <w:t>leasing</w:t>
            </w:r>
            <w:r w:rsidRPr="00237EFA">
              <w:t xml:space="preserve"> del locatore.</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A44ECD"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A75E60">
            <w:pPr>
              <w:pStyle w:val="Titolo2"/>
              <w:rPr>
                <w:lang w:val="it-IT"/>
              </w:rPr>
            </w:pPr>
            <w:r w:rsidRPr="00237EFA">
              <w:rPr>
                <w:lang w:val="it-IT"/>
              </w:rPr>
              <w:t>Operazioni di vendita e retrolocazione</w:t>
            </w:r>
          </w:p>
        </w:tc>
        <w:tc>
          <w:tcPr>
            <w:tcW w:w="575" w:type="dxa"/>
            <w:tcMar>
              <w:left w:w="85" w:type="dxa"/>
              <w:right w:w="85" w:type="dxa"/>
            </w:tcMar>
            <w:vAlign w:val="center"/>
          </w:tcPr>
          <w:p w:rsidR="00A75E60" w:rsidRPr="00090BE7" w:rsidRDefault="00A75E60" w:rsidP="00A75E60">
            <w:pPr>
              <w:jc w:val="center"/>
              <w:rPr>
                <w:lang w:val="it-IT"/>
              </w:rPr>
            </w:pPr>
          </w:p>
        </w:tc>
        <w:tc>
          <w:tcPr>
            <w:tcW w:w="567" w:type="dxa"/>
            <w:tcMar>
              <w:left w:w="108" w:type="dxa"/>
            </w:tcMar>
            <w:vAlign w:val="center"/>
          </w:tcPr>
          <w:p w:rsidR="00A75E60" w:rsidRPr="00090BE7" w:rsidRDefault="00A75E60" w:rsidP="00A75E60">
            <w:pPr>
              <w:jc w:val="center"/>
              <w:rPr>
                <w:lang w:val="it-IT"/>
              </w:rPr>
            </w:pPr>
          </w:p>
        </w:tc>
        <w:tc>
          <w:tcPr>
            <w:tcW w:w="567" w:type="dxa"/>
            <w:vAlign w:val="center"/>
          </w:tcPr>
          <w:p w:rsidR="00A75E60" w:rsidRPr="00090BE7" w:rsidRDefault="00A75E60" w:rsidP="00A75E60">
            <w:pPr>
              <w:jc w:val="center"/>
              <w:rPr>
                <w:lang w:val="it-IT"/>
              </w:rPr>
            </w:pPr>
          </w:p>
        </w:tc>
      </w:tr>
      <w:tr w:rsidR="00A75E60" w:rsidRPr="008129DA" w:rsidTr="00F235B5">
        <w:trPr>
          <w:cantSplit/>
        </w:trPr>
        <w:tc>
          <w:tcPr>
            <w:tcW w:w="567" w:type="dxa"/>
            <w:tcMar>
              <w:left w:w="108" w:type="dxa"/>
              <w:right w:w="0" w:type="dxa"/>
            </w:tcMar>
          </w:tcPr>
          <w:p w:rsidR="00A75E60" w:rsidRPr="008A0F36" w:rsidRDefault="00A75E60" w:rsidP="00A75E60">
            <w:pPr>
              <w:pStyle w:val="Numeroelenco"/>
              <w:ind w:left="0" w:firstLine="57"/>
              <w:rPr>
                <w:lang w:val="it-IT"/>
              </w:rPr>
            </w:pPr>
          </w:p>
        </w:tc>
        <w:tc>
          <w:tcPr>
            <w:tcW w:w="851" w:type="dxa"/>
            <w:tcMar>
              <w:left w:w="108" w:type="dxa"/>
              <w:right w:w="0" w:type="dxa"/>
            </w:tcMar>
          </w:tcPr>
          <w:p w:rsidR="00A75E60" w:rsidRPr="00237EFA" w:rsidRDefault="00A75E60" w:rsidP="00A75E60">
            <w:pPr>
              <w:pStyle w:val="IAS"/>
              <w:rPr>
                <w:lang w:val="it-IT"/>
              </w:rPr>
            </w:pPr>
            <w:r w:rsidRPr="00237EFA">
              <w:rPr>
                <w:lang w:val="it-IT"/>
              </w:rPr>
              <w:t>IAS 17.65</w:t>
            </w:r>
          </w:p>
        </w:tc>
        <w:tc>
          <w:tcPr>
            <w:tcW w:w="7079" w:type="dxa"/>
            <w:tcMar>
              <w:left w:w="108" w:type="dxa"/>
            </w:tcMar>
          </w:tcPr>
          <w:p w:rsidR="00A75E60" w:rsidRPr="00237EFA" w:rsidRDefault="00A75E60" w:rsidP="00A75E60">
            <w:pPr>
              <w:rPr>
                <w:lang w:val="it-IT"/>
              </w:rPr>
            </w:pPr>
            <w:r w:rsidRPr="00237EFA">
              <w:rPr>
                <w:lang w:val="it-IT"/>
              </w:rPr>
              <w:t xml:space="preserve">La descrizione degli accordi significativi di </w:t>
            </w:r>
            <w:r w:rsidRPr="00237EFA">
              <w:rPr>
                <w:i/>
                <w:lang w:val="it-IT"/>
              </w:rPr>
              <w:t>leasing</w:t>
            </w:r>
            <w:r w:rsidRPr="00237EFA">
              <w:rPr>
                <w:lang w:val="it-IT"/>
              </w:rPr>
              <w:t xml:space="preserve"> include l’informativa su inusuali accantonamenti relativi ad accordi o i termini di operazioni di vendita e retrolocazione</w:t>
            </w:r>
            <w:r>
              <w:rPr>
                <w:lang w:val="it-IT"/>
              </w:rPr>
              <w:t>.</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A44ECD"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r w:rsidRPr="00237EFA">
              <w:rPr>
                <w:lang w:val="it-IT"/>
              </w:rPr>
              <w:t>IAS 17.66</w:t>
            </w:r>
          </w:p>
        </w:tc>
        <w:tc>
          <w:tcPr>
            <w:tcW w:w="7079" w:type="dxa"/>
            <w:tcMar>
              <w:left w:w="108" w:type="dxa"/>
            </w:tcMar>
          </w:tcPr>
          <w:p w:rsidR="00A75E60" w:rsidRPr="00237EFA" w:rsidRDefault="00A75E60" w:rsidP="00C15B75">
            <w:pPr>
              <w:pStyle w:val="Paragarfobordato"/>
            </w:pPr>
            <w:r w:rsidRPr="00237EFA">
              <w:t>Operazioni di vendita e retrolocazione possono richiedere rappresentazione separata in base allo IAS 1, che richiede che un’entità non compensi ricavi e costi, se non è richiesto o consentito da un altro IFRS e che l’entità indichi elementi materiali di ricavi e costi.</w:t>
            </w:r>
          </w:p>
        </w:tc>
        <w:tc>
          <w:tcPr>
            <w:tcW w:w="575" w:type="dxa"/>
            <w:tcMar>
              <w:left w:w="85" w:type="dxa"/>
              <w:right w:w="85" w:type="dxa"/>
            </w:tcMar>
            <w:vAlign w:val="center"/>
          </w:tcPr>
          <w:p w:rsidR="00A75E60" w:rsidRPr="00090BE7" w:rsidRDefault="00A75E60" w:rsidP="00A75E60">
            <w:pPr>
              <w:jc w:val="center"/>
              <w:rPr>
                <w:lang w:val="it-IT"/>
              </w:rPr>
            </w:pPr>
          </w:p>
        </w:tc>
        <w:tc>
          <w:tcPr>
            <w:tcW w:w="567" w:type="dxa"/>
            <w:tcMar>
              <w:left w:w="108" w:type="dxa"/>
            </w:tcMar>
            <w:vAlign w:val="center"/>
          </w:tcPr>
          <w:p w:rsidR="00A75E60" w:rsidRPr="00090BE7" w:rsidRDefault="00A75E60" w:rsidP="00A75E60">
            <w:pPr>
              <w:jc w:val="center"/>
              <w:rPr>
                <w:lang w:val="it-IT"/>
              </w:rPr>
            </w:pPr>
          </w:p>
        </w:tc>
        <w:tc>
          <w:tcPr>
            <w:tcW w:w="567" w:type="dxa"/>
            <w:vAlign w:val="center"/>
          </w:tcPr>
          <w:p w:rsidR="00A75E60" w:rsidRPr="00090BE7" w:rsidRDefault="00A75E60" w:rsidP="00A75E60">
            <w:pPr>
              <w:jc w:val="center"/>
              <w:rPr>
                <w:lang w:val="it-IT"/>
              </w:rPr>
            </w:pPr>
          </w:p>
        </w:tc>
      </w:tr>
      <w:tr w:rsidR="00A75E60" w:rsidRPr="00A44ECD" w:rsidTr="00F235B5">
        <w:trPr>
          <w:cantSplit/>
        </w:trPr>
        <w:tc>
          <w:tcPr>
            <w:tcW w:w="567" w:type="dxa"/>
            <w:tcMar>
              <w:left w:w="108" w:type="dxa"/>
              <w:right w:w="0" w:type="dxa"/>
            </w:tcMar>
          </w:tcPr>
          <w:p w:rsidR="00A75E60" w:rsidRPr="008A0F36" w:rsidRDefault="00A75E60" w:rsidP="00C15B75">
            <w:pPr>
              <w:pStyle w:val="IAS"/>
              <w:pageBreakBefore/>
              <w:rPr>
                <w:lang w:val="it-IT"/>
              </w:rPr>
            </w:pPr>
          </w:p>
        </w:tc>
        <w:tc>
          <w:tcPr>
            <w:tcW w:w="851" w:type="dxa"/>
            <w:tcMar>
              <w:left w:w="108" w:type="dxa"/>
              <w:right w:w="0" w:type="dxa"/>
            </w:tcMar>
          </w:tcPr>
          <w:p w:rsidR="00A75E60" w:rsidRPr="00237EFA" w:rsidRDefault="00A75E60" w:rsidP="00C15B75">
            <w:pPr>
              <w:pStyle w:val="IAS"/>
              <w:pageBreakBefore/>
              <w:rPr>
                <w:lang w:val="it-IT"/>
              </w:rPr>
            </w:pPr>
          </w:p>
        </w:tc>
        <w:tc>
          <w:tcPr>
            <w:tcW w:w="7079" w:type="dxa"/>
            <w:tcMar>
              <w:left w:w="108" w:type="dxa"/>
            </w:tcMar>
          </w:tcPr>
          <w:p w:rsidR="00A75E60" w:rsidRPr="00237EFA" w:rsidRDefault="00A75E60" w:rsidP="00C15B75">
            <w:pPr>
              <w:pStyle w:val="Titolo2"/>
              <w:pageBreakBefore/>
              <w:rPr>
                <w:lang w:val="it-IT"/>
              </w:rPr>
            </w:pPr>
            <w:r w:rsidRPr="00237EFA">
              <w:rPr>
                <w:lang w:val="it-IT"/>
              </w:rPr>
              <w:t xml:space="preserve">Sostanza delle operazioni nella forma legale del </w:t>
            </w:r>
            <w:r w:rsidRPr="00237EFA">
              <w:rPr>
                <w:i/>
                <w:lang w:val="it-IT"/>
              </w:rPr>
              <w:t>leasing</w:t>
            </w:r>
          </w:p>
        </w:tc>
        <w:tc>
          <w:tcPr>
            <w:tcW w:w="575" w:type="dxa"/>
            <w:tcMar>
              <w:left w:w="85" w:type="dxa"/>
              <w:right w:w="85" w:type="dxa"/>
            </w:tcMar>
            <w:vAlign w:val="center"/>
          </w:tcPr>
          <w:p w:rsidR="00A75E60" w:rsidRPr="00090BE7" w:rsidRDefault="00A75E60" w:rsidP="00C15B75">
            <w:pPr>
              <w:pageBreakBefore/>
              <w:jc w:val="center"/>
              <w:rPr>
                <w:lang w:val="it-IT"/>
              </w:rPr>
            </w:pPr>
          </w:p>
        </w:tc>
        <w:tc>
          <w:tcPr>
            <w:tcW w:w="567" w:type="dxa"/>
            <w:tcMar>
              <w:left w:w="108" w:type="dxa"/>
            </w:tcMar>
            <w:vAlign w:val="center"/>
          </w:tcPr>
          <w:p w:rsidR="00A75E60" w:rsidRPr="00090BE7" w:rsidRDefault="00A75E60" w:rsidP="00C15B75">
            <w:pPr>
              <w:pageBreakBefore/>
              <w:jc w:val="center"/>
              <w:rPr>
                <w:lang w:val="it-IT"/>
              </w:rPr>
            </w:pPr>
          </w:p>
        </w:tc>
        <w:tc>
          <w:tcPr>
            <w:tcW w:w="567" w:type="dxa"/>
            <w:vAlign w:val="center"/>
          </w:tcPr>
          <w:p w:rsidR="00A75E60" w:rsidRPr="00090BE7" w:rsidRDefault="00A75E60" w:rsidP="00C15B75">
            <w:pPr>
              <w:pageBreakBefore/>
              <w:jc w:val="center"/>
              <w:rPr>
                <w:lang w:val="it-IT"/>
              </w:rPr>
            </w:pPr>
          </w:p>
        </w:tc>
      </w:tr>
      <w:tr w:rsidR="00A75E60" w:rsidRPr="00A44ECD" w:rsidTr="00F235B5">
        <w:trPr>
          <w:cantSplit/>
        </w:trPr>
        <w:tc>
          <w:tcPr>
            <w:tcW w:w="567" w:type="dxa"/>
            <w:tcMar>
              <w:left w:w="108" w:type="dxa"/>
              <w:right w:w="0" w:type="dxa"/>
            </w:tcMar>
          </w:tcPr>
          <w:p w:rsidR="00A75E60" w:rsidRPr="008A0F36" w:rsidRDefault="00A75E60" w:rsidP="00A75E60">
            <w:pPr>
              <w:pStyle w:val="Numeroelenco"/>
              <w:ind w:left="0" w:firstLine="57"/>
              <w:rPr>
                <w:lang w:val="it-IT"/>
              </w:rPr>
            </w:pPr>
          </w:p>
        </w:tc>
        <w:tc>
          <w:tcPr>
            <w:tcW w:w="851" w:type="dxa"/>
            <w:tcMar>
              <w:left w:w="108" w:type="dxa"/>
              <w:right w:w="0" w:type="dxa"/>
            </w:tcMar>
          </w:tcPr>
          <w:p w:rsidR="00A75E60" w:rsidRPr="00237EFA" w:rsidRDefault="00A75E60" w:rsidP="00A75E60">
            <w:pPr>
              <w:pStyle w:val="IAS"/>
              <w:rPr>
                <w:lang w:val="it-IT"/>
              </w:rPr>
            </w:pPr>
            <w:r w:rsidRPr="00237EFA">
              <w:rPr>
                <w:lang w:val="it-IT"/>
              </w:rPr>
              <w:t>SIC 27.10</w:t>
            </w:r>
          </w:p>
          <w:p w:rsidR="00A75E60" w:rsidRPr="00237EFA" w:rsidRDefault="00A75E60" w:rsidP="00A75E60">
            <w:pPr>
              <w:pStyle w:val="IAS"/>
              <w:rPr>
                <w:lang w:val="it-IT"/>
              </w:rPr>
            </w:pPr>
            <w:r w:rsidRPr="00237EFA">
              <w:rPr>
                <w:lang w:val="it-IT"/>
              </w:rPr>
              <w:t>SIC 27.11</w:t>
            </w:r>
          </w:p>
          <w:p w:rsidR="00A75E60" w:rsidRPr="00237EFA" w:rsidRDefault="00A75E60" w:rsidP="00A75E60">
            <w:pPr>
              <w:pStyle w:val="IAS"/>
              <w:rPr>
                <w:lang w:val="it-IT"/>
              </w:rPr>
            </w:pPr>
          </w:p>
        </w:tc>
        <w:tc>
          <w:tcPr>
            <w:tcW w:w="7079" w:type="dxa"/>
            <w:tcMar>
              <w:left w:w="108" w:type="dxa"/>
            </w:tcMar>
          </w:tcPr>
          <w:p w:rsidR="00A75E60" w:rsidRPr="00237EFA" w:rsidRDefault="00A75E60" w:rsidP="000E2839">
            <w:pPr>
              <w:spacing w:line="224" w:lineRule="exact"/>
              <w:rPr>
                <w:lang w:val="it-IT"/>
              </w:rPr>
            </w:pPr>
            <w:r w:rsidRPr="00237EFA">
              <w:rPr>
                <w:lang w:val="it-IT"/>
              </w:rPr>
              <w:t xml:space="preserve">Tutti gli aspetti di un accordo che nella sostanza non rientra come </w:t>
            </w:r>
            <w:r w:rsidRPr="00237EFA">
              <w:rPr>
                <w:i/>
                <w:lang w:val="it-IT"/>
              </w:rPr>
              <w:t>leasing</w:t>
            </w:r>
            <w:r w:rsidRPr="00237EFA">
              <w:rPr>
                <w:lang w:val="it-IT"/>
              </w:rPr>
              <w:t xml:space="preserve"> regolato dallo IAS 17 dovrebbero essere considerati determinando l’appropriata informativa che è necessaria per una comprensione dell’accordo e del trattamento contabile adottato. Quando un’entità stipula accordi che sono </w:t>
            </w:r>
            <w:r w:rsidRPr="00237EFA">
              <w:rPr>
                <w:i/>
                <w:lang w:val="it-IT"/>
              </w:rPr>
              <w:t>leasing</w:t>
            </w:r>
            <w:r w:rsidRPr="00237EFA">
              <w:rPr>
                <w:lang w:val="it-IT"/>
              </w:rPr>
              <w:t xml:space="preserve"> nella forma ma non nella sostanza, l’entità ha fornito, separatamente per ogni accordo o ogni classe di accordi, le seguenti informazioni per ogni esercizio in cui l’accordo è efficace:</w:t>
            </w:r>
          </w:p>
        </w:tc>
        <w:tc>
          <w:tcPr>
            <w:tcW w:w="575" w:type="dxa"/>
            <w:tcMar>
              <w:left w:w="85" w:type="dxa"/>
              <w:right w:w="85" w:type="dxa"/>
            </w:tcMar>
            <w:vAlign w:val="center"/>
          </w:tcPr>
          <w:p w:rsidR="00A75E60" w:rsidRPr="00090BE7" w:rsidRDefault="00A75E60" w:rsidP="00A75E60">
            <w:pPr>
              <w:jc w:val="center"/>
              <w:rPr>
                <w:lang w:val="it-IT"/>
              </w:rPr>
            </w:pPr>
          </w:p>
        </w:tc>
        <w:tc>
          <w:tcPr>
            <w:tcW w:w="567" w:type="dxa"/>
            <w:tcMar>
              <w:left w:w="108" w:type="dxa"/>
            </w:tcMar>
            <w:vAlign w:val="center"/>
          </w:tcPr>
          <w:p w:rsidR="00A75E60" w:rsidRPr="00090BE7" w:rsidRDefault="00A75E60" w:rsidP="00A75E60">
            <w:pPr>
              <w:jc w:val="center"/>
              <w:rPr>
                <w:lang w:val="it-IT"/>
              </w:rPr>
            </w:pPr>
          </w:p>
        </w:tc>
        <w:tc>
          <w:tcPr>
            <w:tcW w:w="567" w:type="dxa"/>
            <w:vAlign w:val="center"/>
          </w:tcPr>
          <w:p w:rsidR="00A75E60" w:rsidRPr="00090BE7" w:rsidRDefault="00A75E60" w:rsidP="00A75E60">
            <w:pPr>
              <w:jc w:val="center"/>
              <w:rPr>
                <w:lang w:val="it-IT"/>
              </w:rPr>
            </w:pPr>
          </w:p>
        </w:tc>
      </w:tr>
      <w:tr w:rsidR="00A75E60" w:rsidRPr="008A0F36"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0E2839">
            <w:pPr>
              <w:pStyle w:val="Rientroa"/>
              <w:numPr>
                <w:ilvl w:val="0"/>
                <w:numId w:val="177"/>
              </w:numPr>
              <w:spacing w:line="224" w:lineRule="exact"/>
            </w:pPr>
            <w:r w:rsidRPr="00237EFA">
              <w:t>una descrizione dell’accordo, incluso:</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0E2839">
            <w:pPr>
              <w:pStyle w:val="Puntoelenco"/>
              <w:spacing w:line="224" w:lineRule="exact"/>
              <w:ind w:hanging="322"/>
            </w:pPr>
            <w:r w:rsidRPr="00237EFA">
              <w:t>bene in oggetto e qualsiasi relativo vincolo d’uso</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0E2839">
            <w:pPr>
              <w:pStyle w:val="Puntoelenco"/>
              <w:spacing w:line="224" w:lineRule="exact"/>
              <w:ind w:hanging="322"/>
            </w:pPr>
            <w:r w:rsidRPr="00237EFA">
              <w:t>la durata dell’accordo e le altre fondamentali condizioni previste nell’accordo</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0E2839">
            <w:pPr>
              <w:pStyle w:val="Puntoelenco"/>
              <w:spacing w:line="224" w:lineRule="exact"/>
              <w:ind w:hanging="322"/>
            </w:pPr>
            <w:r w:rsidRPr="00237EFA">
              <w:t>le operazioni tra loro collegate, incluse eventuali opzioni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0E2839">
            <w:pPr>
              <w:pStyle w:val="Rientroa"/>
              <w:numPr>
                <w:ilvl w:val="0"/>
                <w:numId w:val="72"/>
              </w:numPr>
              <w:spacing w:line="224" w:lineRule="exact"/>
            </w:pPr>
            <w:r w:rsidRPr="00237EFA">
              <w:t>il trattamento contabile applicato a qualsiasi compenso ricevuto</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0E2839">
            <w:pPr>
              <w:pStyle w:val="Rientroa"/>
              <w:numPr>
                <w:ilvl w:val="0"/>
                <w:numId w:val="72"/>
              </w:numPr>
              <w:spacing w:line="224" w:lineRule="exact"/>
            </w:pPr>
            <w:r w:rsidRPr="00237EFA">
              <w:t>l’importo rilevato come ricavo nell’esercizio; e</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0E2839">
            <w:pPr>
              <w:pStyle w:val="Rientroa"/>
              <w:numPr>
                <w:ilvl w:val="0"/>
                <w:numId w:val="72"/>
              </w:numPr>
              <w:spacing w:line="224" w:lineRule="exact"/>
            </w:pPr>
            <w:r w:rsidRPr="00237EFA">
              <w:t>le voci del prospetto (dei prospetti) dell’utile/(perdita) d’esercizio e delle altre componenti di conto economico complessivo in cui lo stesso è stato incluso.</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A44ECD"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A75E60">
            <w:pPr>
              <w:pStyle w:val="Titolo2"/>
              <w:rPr>
                <w:lang w:val="it-IT"/>
              </w:rPr>
            </w:pPr>
            <w:r w:rsidRPr="00237EFA">
              <w:rPr>
                <w:lang w:val="it-IT"/>
              </w:rPr>
              <w:t xml:space="preserve">Determinare se un contratto contiene un </w:t>
            </w:r>
            <w:r w:rsidRPr="00237EFA">
              <w:rPr>
                <w:i/>
                <w:lang w:val="it-IT"/>
              </w:rPr>
              <w:t>leasing</w:t>
            </w:r>
          </w:p>
        </w:tc>
        <w:tc>
          <w:tcPr>
            <w:tcW w:w="575" w:type="dxa"/>
            <w:tcMar>
              <w:left w:w="85" w:type="dxa"/>
              <w:right w:w="85" w:type="dxa"/>
            </w:tcMar>
            <w:vAlign w:val="center"/>
          </w:tcPr>
          <w:p w:rsidR="00A75E60" w:rsidRPr="00090BE7" w:rsidRDefault="00A75E60" w:rsidP="00A75E60">
            <w:pPr>
              <w:jc w:val="center"/>
              <w:rPr>
                <w:lang w:val="it-IT"/>
              </w:rPr>
            </w:pPr>
          </w:p>
        </w:tc>
        <w:tc>
          <w:tcPr>
            <w:tcW w:w="567" w:type="dxa"/>
            <w:tcMar>
              <w:left w:w="108" w:type="dxa"/>
            </w:tcMar>
            <w:vAlign w:val="center"/>
          </w:tcPr>
          <w:p w:rsidR="00A75E60" w:rsidRPr="00090BE7" w:rsidRDefault="00A75E60" w:rsidP="00A75E60">
            <w:pPr>
              <w:jc w:val="center"/>
              <w:rPr>
                <w:lang w:val="it-IT"/>
              </w:rPr>
            </w:pPr>
          </w:p>
        </w:tc>
        <w:tc>
          <w:tcPr>
            <w:tcW w:w="567" w:type="dxa"/>
            <w:vAlign w:val="center"/>
          </w:tcPr>
          <w:p w:rsidR="00A75E60" w:rsidRPr="00090BE7" w:rsidRDefault="00A75E60" w:rsidP="00A75E60">
            <w:pPr>
              <w:jc w:val="center"/>
              <w:rPr>
                <w:lang w:val="it-IT"/>
              </w:rPr>
            </w:pPr>
          </w:p>
        </w:tc>
      </w:tr>
      <w:tr w:rsidR="00A75E60" w:rsidRPr="008129DA" w:rsidTr="00F235B5">
        <w:trPr>
          <w:cantSplit/>
        </w:trPr>
        <w:tc>
          <w:tcPr>
            <w:tcW w:w="567" w:type="dxa"/>
            <w:tcMar>
              <w:left w:w="108" w:type="dxa"/>
              <w:right w:w="0" w:type="dxa"/>
            </w:tcMar>
          </w:tcPr>
          <w:p w:rsidR="00A75E60" w:rsidRPr="008A0F36" w:rsidRDefault="00A75E60" w:rsidP="00A75E60">
            <w:pPr>
              <w:pStyle w:val="Numeroelenco"/>
              <w:ind w:left="0" w:firstLine="57"/>
              <w:rPr>
                <w:lang w:val="it-IT"/>
              </w:rPr>
            </w:pPr>
          </w:p>
        </w:tc>
        <w:tc>
          <w:tcPr>
            <w:tcW w:w="851" w:type="dxa"/>
            <w:tcMar>
              <w:left w:w="108" w:type="dxa"/>
              <w:right w:w="0" w:type="dxa"/>
            </w:tcMar>
          </w:tcPr>
          <w:p w:rsidR="00A75E60" w:rsidRPr="00237EFA" w:rsidRDefault="00A75E60" w:rsidP="00A75E60">
            <w:pPr>
              <w:pStyle w:val="IAS"/>
              <w:rPr>
                <w:lang w:val="it-IT"/>
              </w:rPr>
            </w:pPr>
            <w:r w:rsidRPr="00237EFA">
              <w:rPr>
                <w:lang w:val="it-IT"/>
              </w:rPr>
              <w:t>IAS 1.117</w:t>
            </w:r>
          </w:p>
        </w:tc>
        <w:tc>
          <w:tcPr>
            <w:tcW w:w="7079" w:type="dxa"/>
            <w:tcMar>
              <w:left w:w="108" w:type="dxa"/>
            </w:tcMar>
          </w:tcPr>
          <w:p w:rsidR="00A75E60" w:rsidRPr="00237EFA" w:rsidRDefault="00A75E60" w:rsidP="00A75E60">
            <w:pPr>
              <w:rPr>
                <w:szCs w:val="18"/>
                <w:lang w:val="it-IT"/>
              </w:rPr>
            </w:pPr>
            <w:r w:rsidRPr="00237EFA">
              <w:rPr>
                <w:lang w:val="it-IT"/>
              </w:rPr>
              <w:t xml:space="preserve">L’entità indica la politica contabile adottata per determinare se un contratto contiene un </w:t>
            </w:r>
            <w:r w:rsidRPr="00237EFA">
              <w:rPr>
                <w:i/>
                <w:lang w:val="it-IT"/>
              </w:rPr>
              <w:t>leasing</w:t>
            </w:r>
            <w:r w:rsidRPr="00237EFA">
              <w:rPr>
                <w:lang w:val="it-IT"/>
              </w:rPr>
              <w:t>.</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A44ECD"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r w:rsidRPr="00237EFA">
              <w:rPr>
                <w:lang w:val="it-IT"/>
              </w:rPr>
              <w:t>IFRIC 4.12, IFRIC 4.13</w:t>
            </w:r>
          </w:p>
          <w:p w:rsidR="00A75E60" w:rsidRPr="00237EFA" w:rsidRDefault="00A75E60" w:rsidP="00A75E60">
            <w:pPr>
              <w:pStyle w:val="IAS"/>
              <w:rPr>
                <w:lang w:val="it-IT"/>
              </w:rPr>
            </w:pPr>
          </w:p>
        </w:tc>
        <w:tc>
          <w:tcPr>
            <w:tcW w:w="7079" w:type="dxa"/>
            <w:tcMar>
              <w:left w:w="108" w:type="dxa"/>
            </w:tcMar>
          </w:tcPr>
          <w:p w:rsidR="00A75E60" w:rsidRPr="00237EFA" w:rsidRDefault="00A75E60" w:rsidP="000E2839">
            <w:pPr>
              <w:pStyle w:val="Paragarfobordato"/>
            </w:pPr>
            <w:r w:rsidRPr="00237EFA">
              <w:t xml:space="preserve">L’IFRIC 4 fornisce una guida nel determinare se un contratto, che non ha la forma legale del </w:t>
            </w:r>
            <w:r w:rsidRPr="00237EFA">
              <w:rPr>
                <w:i/>
              </w:rPr>
              <w:t>leasing</w:t>
            </w:r>
            <w:r w:rsidRPr="00237EFA">
              <w:t xml:space="preserve">, ma implica un diritto ad usare il bene, è o contiene un </w:t>
            </w:r>
            <w:r w:rsidRPr="00237EFA">
              <w:rPr>
                <w:i/>
              </w:rPr>
              <w:t>leasing</w:t>
            </w:r>
            <w:r w:rsidRPr="00237EFA">
              <w:t xml:space="preserve"> che dovrebbe essere rilevato in conformità allo IAS 17. Al fine di applicare lo IAS 17, i pagamenti e gli altri termini dell’accordo devono essere separati. In alcuni casi sarà impraticabile separare i pagamenti per il </w:t>
            </w:r>
            <w:r w:rsidRPr="00237EFA">
              <w:rPr>
                <w:i/>
              </w:rPr>
              <w:t>leasing</w:t>
            </w:r>
            <w:r w:rsidRPr="00237EFA">
              <w:t xml:space="preserve"> dai pagamenti per altri elementi del contratto.</w:t>
            </w:r>
          </w:p>
        </w:tc>
        <w:tc>
          <w:tcPr>
            <w:tcW w:w="575" w:type="dxa"/>
            <w:tcMar>
              <w:left w:w="85" w:type="dxa"/>
              <w:right w:w="85" w:type="dxa"/>
            </w:tcMar>
            <w:vAlign w:val="center"/>
          </w:tcPr>
          <w:p w:rsidR="00A75E60" w:rsidRPr="00090BE7" w:rsidRDefault="00A75E60" w:rsidP="00A75E60">
            <w:pPr>
              <w:jc w:val="center"/>
              <w:rPr>
                <w:lang w:val="it-IT"/>
              </w:rPr>
            </w:pPr>
          </w:p>
        </w:tc>
        <w:tc>
          <w:tcPr>
            <w:tcW w:w="567" w:type="dxa"/>
            <w:tcMar>
              <w:left w:w="108" w:type="dxa"/>
            </w:tcMar>
            <w:vAlign w:val="center"/>
          </w:tcPr>
          <w:p w:rsidR="00A75E60" w:rsidRPr="00090BE7" w:rsidRDefault="00A75E60" w:rsidP="00A75E60">
            <w:pPr>
              <w:jc w:val="center"/>
              <w:rPr>
                <w:lang w:val="it-IT"/>
              </w:rPr>
            </w:pPr>
          </w:p>
        </w:tc>
        <w:tc>
          <w:tcPr>
            <w:tcW w:w="567" w:type="dxa"/>
            <w:vAlign w:val="center"/>
          </w:tcPr>
          <w:p w:rsidR="00A75E60" w:rsidRPr="00090BE7" w:rsidRDefault="00A75E60" w:rsidP="00A75E60">
            <w:pPr>
              <w:jc w:val="center"/>
              <w:rPr>
                <w:lang w:val="it-IT"/>
              </w:rPr>
            </w:pPr>
          </w:p>
        </w:tc>
      </w:tr>
      <w:tr w:rsidR="00A75E60" w:rsidRPr="00A44ECD" w:rsidTr="00F235B5">
        <w:trPr>
          <w:cantSplit/>
        </w:trPr>
        <w:tc>
          <w:tcPr>
            <w:tcW w:w="567" w:type="dxa"/>
            <w:tcMar>
              <w:left w:w="108" w:type="dxa"/>
              <w:right w:w="0" w:type="dxa"/>
            </w:tcMar>
            <w:vAlign w:val="center"/>
          </w:tcPr>
          <w:p w:rsidR="00A75E60" w:rsidRPr="008A0F36" w:rsidRDefault="00A75E60" w:rsidP="00A75E60">
            <w:pPr>
              <w:pStyle w:val="IAS"/>
              <w:jc w:val="left"/>
              <w:rPr>
                <w:lang w:val="it-IT"/>
              </w:rPr>
            </w:pPr>
          </w:p>
        </w:tc>
        <w:tc>
          <w:tcPr>
            <w:tcW w:w="851" w:type="dxa"/>
            <w:tcMar>
              <w:left w:w="108" w:type="dxa"/>
              <w:right w:w="0" w:type="dxa"/>
            </w:tcMar>
            <w:vAlign w:val="center"/>
          </w:tcPr>
          <w:p w:rsidR="00A75E60" w:rsidRPr="00237EFA" w:rsidRDefault="00A75E60" w:rsidP="00A75E60">
            <w:pPr>
              <w:pStyle w:val="IAS"/>
              <w:jc w:val="left"/>
              <w:rPr>
                <w:lang w:val="it-IT"/>
              </w:rPr>
            </w:pPr>
          </w:p>
        </w:tc>
        <w:tc>
          <w:tcPr>
            <w:tcW w:w="7079" w:type="dxa"/>
            <w:tcMar>
              <w:left w:w="108" w:type="dxa"/>
            </w:tcMar>
            <w:vAlign w:val="center"/>
          </w:tcPr>
          <w:p w:rsidR="00A75E60" w:rsidRPr="00237EFA" w:rsidRDefault="00A75E60" w:rsidP="000E2839">
            <w:pPr>
              <w:pStyle w:val="Titolo1"/>
              <w:spacing w:before="20" w:after="20"/>
            </w:pPr>
            <w:r w:rsidRPr="00237EFA">
              <w:t>BILANCI DEI fondi di previdenza</w:t>
            </w:r>
          </w:p>
        </w:tc>
        <w:tc>
          <w:tcPr>
            <w:tcW w:w="575" w:type="dxa"/>
            <w:tcMar>
              <w:left w:w="85" w:type="dxa"/>
              <w:right w:w="85" w:type="dxa"/>
            </w:tcMar>
            <w:vAlign w:val="center"/>
          </w:tcPr>
          <w:p w:rsidR="00A75E60" w:rsidRPr="00090BE7" w:rsidRDefault="00A75E60" w:rsidP="00A75E60">
            <w:pPr>
              <w:jc w:val="left"/>
              <w:rPr>
                <w:lang w:val="it-IT"/>
              </w:rPr>
            </w:pPr>
          </w:p>
        </w:tc>
        <w:tc>
          <w:tcPr>
            <w:tcW w:w="567" w:type="dxa"/>
            <w:tcMar>
              <w:left w:w="108" w:type="dxa"/>
            </w:tcMar>
            <w:vAlign w:val="center"/>
          </w:tcPr>
          <w:p w:rsidR="00A75E60" w:rsidRPr="00090BE7" w:rsidRDefault="00A75E60" w:rsidP="00A75E60">
            <w:pPr>
              <w:jc w:val="left"/>
              <w:rPr>
                <w:lang w:val="it-IT"/>
              </w:rPr>
            </w:pPr>
          </w:p>
        </w:tc>
        <w:tc>
          <w:tcPr>
            <w:tcW w:w="567" w:type="dxa"/>
            <w:vAlign w:val="center"/>
          </w:tcPr>
          <w:p w:rsidR="00A75E60" w:rsidRPr="00090BE7" w:rsidRDefault="00A75E60" w:rsidP="00A75E60">
            <w:pPr>
              <w:jc w:val="left"/>
              <w:rPr>
                <w:lang w:val="it-IT"/>
              </w:rPr>
            </w:pPr>
          </w:p>
        </w:tc>
      </w:tr>
      <w:tr w:rsidR="00A75E60" w:rsidRPr="00A44ECD"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r w:rsidRPr="00237EFA">
              <w:rPr>
                <w:lang w:val="it-IT"/>
              </w:rPr>
              <w:t>IAS 26.1</w:t>
            </w:r>
          </w:p>
        </w:tc>
        <w:tc>
          <w:tcPr>
            <w:tcW w:w="7079" w:type="dxa"/>
            <w:tcMar>
              <w:left w:w="108" w:type="dxa"/>
            </w:tcMar>
          </w:tcPr>
          <w:p w:rsidR="00A75E60" w:rsidRPr="00237EFA" w:rsidRDefault="00A75E60" w:rsidP="000E2839">
            <w:pPr>
              <w:pStyle w:val="Paragarfobordato"/>
            </w:pPr>
            <w:r w:rsidRPr="00237EFA">
              <w:t>La seguente informativa deve essere applicata ai bilanci predisposti da parte di fondi di previdenza.</w:t>
            </w:r>
          </w:p>
        </w:tc>
        <w:tc>
          <w:tcPr>
            <w:tcW w:w="575" w:type="dxa"/>
            <w:tcMar>
              <w:left w:w="85" w:type="dxa"/>
              <w:right w:w="85" w:type="dxa"/>
            </w:tcMar>
            <w:vAlign w:val="center"/>
          </w:tcPr>
          <w:p w:rsidR="00A75E60" w:rsidRPr="00090BE7" w:rsidRDefault="00A75E60" w:rsidP="00A75E60">
            <w:pPr>
              <w:jc w:val="center"/>
              <w:rPr>
                <w:lang w:val="it-IT"/>
              </w:rPr>
            </w:pPr>
          </w:p>
        </w:tc>
        <w:tc>
          <w:tcPr>
            <w:tcW w:w="567" w:type="dxa"/>
            <w:tcMar>
              <w:left w:w="108" w:type="dxa"/>
            </w:tcMar>
            <w:vAlign w:val="center"/>
          </w:tcPr>
          <w:p w:rsidR="00A75E60" w:rsidRPr="00090BE7" w:rsidRDefault="00A75E60" w:rsidP="00A75E60">
            <w:pPr>
              <w:jc w:val="center"/>
              <w:rPr>
                <w:lang w:val="it-IT"/>
              </w:rPr>
            </w:pPr>
          </w:p>
        </w:tc>
        <w:tc>
          <w:tcPr>
            <w:tcW w:w="567" w:type="dxa"/>
            <w:vAlign w:val="center"/>
          </w:tcPr>
          <w:p w:rsidR="00A75E60" w:rsidRPr="00090BE7" w:rsidRDefault="00A75E60" w:rsidP="00A75E60">
            <w:pPr>
              <w:jc w:val="center"/>
              <w:rPr>
                <w:lang w:val="it-IT"/>
              </w:rPr>
            </w:pPr>
          </w:p>
        </w:tc>
      </w:tr>
      <w:tr w:rsidR="00A75E60" w:rsidRPr="008A0F36" w:rsidTr="00F235B5">
        <w:trPr>
          <w:cantSplit/>
        </w:trPr>
        <w:tc>
          <w:tcPr>
            <w:tcW w:w="567" w:type="dxa"/>
            <w:tcMar>
              <w:left w:w="108" w:type="dxa"/>
              <w:right w:w="0" w:type="dxa"/>
            </w:tcMar>
          </w:tcPr>
          <w:p w:rsidR="00A75E60" w:rsidRDefault="00A75E60" w:rsidP="00A75E60">
            <w:pPr>
              <w:pStyle w:val="IAS"/>
              <w:rPr>
                <w:b/>
                <w:bCs/>
                <w:i/>
                <w:lang w:val="it-IT"/>
              </w:rPr>
            </w:pPr>
          </w:p>
        </w:tc>
        <w:tc>
          <w:tcPr>
            <w:tcW w:w="851" w:type="dxa"/>
            <w:tcMar>
              <w:left w:w="108" w:type="dxa"/>
              <w:right w:w="0" w:type="dxa"/>
            </w:tcMar>
          </w:tcPr>
          <w:p w:rsidR="00A75E60" w:rsidRPr="00237EFA" w:rsidRDefault="00A75E60" w:rsidP="00A75E60">
            <w:pPr>
              <w:pStyle w:val="IAS"/>
              <w:rPr>
                <w:b/>
                <w:bCs/>
                <w:i/>
                <w:lang w:val="it-IT"/>
              </w:rPr>
            </w:pPr>
          </w:p>
        </w:tc>
        <w:tc>
          <w:tcPr>
            <w:tcW w:w="7079" w:type="dxa"/>
            <w:tcMar>
              <w:left w:w="108" w:type="dxa"/>
            </w:tcMar>
          </w:tcPr>
          <w:p w:rsidR="00A75E60" w:rsidRPr="00237EFA" w:rsidRDefault="00A75E60" w:rsidP="00A75E60">
            <w:pPr>
              <w:pStyle w:val="Titolo2"/>
              <w:keepNext w:val="0"/>
              <w:rPr>
                <w:lang w:val="it-IT"/>
              </w:rPr>
            </w:pPr>
            <w:r w:rsidRPr="00237EFA">
              <w:rPr>
                <w:lang w:val="it-IT"/>
              </w:rPr>
              <w:t>Piani a contribuzione definita</w:t>
            </w:r>
          </w:p>
        </w:tc>
        <w:tc>
          <w:tcPr>
            <w:tcW w:w="575" w:type="dxa"/>
            <w:tcMar>
              <w:left w:w="85" w:type="dxa"/>
              <w:right w:w="85" w:type="dxa"/>
            </w:tcMar>
            <w:vAlign w:val="center"/>
          </w:tcPr>
          <w:p w:rsidR="00A75E60" w:rsidRDefault="00A75E60" w:rsidP="00A75E60">
            <w:pPr>
              <w:jc w:val="center"/>
            </w:pPr>
          </w:p>
        </w:tc>
        <w:tc>
          <w:tcPr>
            <w:tcW w:w="567" w:type="dxa"/>
            <w:tcMar>
              <w:left w:w="108" w:type="dxa"/>
            </w:tcMar>
            <w:vAlign w:val="center"/>
          </w:tcPr>
          <w:p w:rsidR="00A75E60" w:rsidRDefault="00A75E60" w:rsidP="00A75E60">
            <w:pPr>
              <w:jc w:val="center"/>
            </w:pPr>
          </w:p>
        </w:tc>
        <w:tc>
          <w:tcPr>
            <w:tcW w:w="567" w:type="dxa"/>
            <w:vAlign w:val="center"/>
          </w:tcPr>
          <w:p w:rsidR="00A75E60" w:rsidRDefault="00A75E60" w:rsidP="00A75E60">
            <w:pPr>
              <w:jc w:val="center"/>
            </w:pPr>
          </w:p>
        </w:tc>
      </w:tr>
      <w:tr w:rsidR="00A75E60" w:rsidRPr="00A44ECD" w:rsidTr="00F235B5">
        <w:trPr>
          <w:cantSplit/>
        </w:trPr>
        <w:tc>
          <w:tcPr>
            <w:tcW w:w="567" w:type="dxa"/>
            <w:tcMar>
              <w:left w:w="108" w:type="dxa"/>
              <w:right w:w="0" w:type="dxa"/>
            </w:tcMar>
          </w:tcPr>
          <w:p w:rsidR="00A75E60" w:rsidRPr="008A0F36" w:rsidRDefault="00A75E60" w:rsidP="00A75E60">
            <w:pPr>
              <w:pStyle w:val="Numeroelenco"/>
              <w:ind w:left="0" w:firstLine="57"/>
              <w:rPr>
                <w:lang w:val="it-IT"/>
              </w:rPr>
            </w:pPr>
          </w:p>
        </w:tc>
        <w:tc>
          <w:tcPr>
            <w:tcW w:w="851" w:type="dxa"/>
            <w:tcMar>
              <w:left w:w="108" w:type="dxa"/>
              <w:right w:w="0" w:type="dxa"/>
            </w:tcMar>
          </w:tcPr>
          <w:p w:rsidR="00A75E60" w:rsidRPr="00237EFA" w:rsidRDefault="00A75E60" w:rsidP="00A75E60">
            <w:pPr>
              <w:pStyle w:val="IAS"/>
              <w:rPr>
                <w:lang w:val="it-IT"/>
              </w:rPr>
            </w:pPr>
            <w:r w:rsidRPr="00237EFA">
              <w:rPr>
                <w:lang w:val="it-IT"/>
              </w:rPr>
              <w:t>IAS 26.34-35</w:t>
            </w:r>
          </w:p>
        </w:tc>
        <w:tc>
          <w:tcPr>
            <w:tcW w:w="7079" w:type="dxa"/>
            <w:tcMar>
              <w:left w:w="108" w:type="dxa"/>
            </w:tcMar>
          </w:tcPr>
          <w:p w:rsidR="00A75E60" w:rsidRPr="00237EFA" w:rsidRDefault="00A75E60" w:rsidP="00A75E60">
            <w:pPr>
              <w:spacing w:line="224" w:lineRule="exact"/>
              <w:rPr>
                <w:lang w:val="it-IT"/>
              </w:rPr>
            </w:pPr>
            <w:r w:rsidRPr="00237EFA">
              <w:rPr>
                <w:lang w:val="it-IT"/>
              </w:rPr>
              <w:t>La relazione e il bilancio contengono le seguenti informazioni:</w:t>
            </w:r>
          </w:p>
        </w:tc>
        <w:tc>
          <w:tcPr>
            <w:tcW w:w="575" w:type="dxa"/>
            <w:tcMar>
              <w:left w:w="85" w:type="dxa"/>
              <w:right w:w="85" w:type="dxa"/>
            </w:tcMar>
            <w:vAlign w:val="center"/>
          </w:tcPr>
          <w:p w:rsidR="00A75E60" w:rsidRPr="00090BE7" w:rsidRDefault="00A75E60" w:rsidP="00A75E60">
            <w:pPr>
              <w:jc w:val="center"/>
              <w:rPr>
                <w:lang w:val="it-IT"/>
              </w:rPr>
            </w:pPr>
          </w:p>
        </w:tc>
        <w:tc>
          <w:tcPr>
            <w:tcW w:w="567" w:type="dxa"/>
            <w:tcMar>
              <w:left w:w="108" w:type="dxa"/>
            </w:tcMar>
            <w:vAlign w:val="center"/>
          </w:tcPr>
          <w:p w:rsidR="00A75E60" w:rsidRPr="00090BE7" w:rsidRDefault="00A75E60" w:rsidP="00A75E60">
            <w:pPr>
              <w:jc w:val="center"/>
              <w:rPr>
                <w:lang w:val="it-IT"/>
              </w:rPr>
            </w:pPr>
          </w:p>
        </w:tc>
        <w:tc>
          <w:tcPr>
            <w:tcW w:w="567" w:type="dxa"/>
            <w:vAlign w:val="center"/>
          </w:tcPr>
          <w:p w:rsidR="00A75E60" w:rsidRPr="00090BE7" w:rsidRDefault="00A75E60" w:rsidP="00A75E60">
            <w:pPr>
              <w:jc w:val="center"/>
              <w:rPr>
                <w:lang w:val="it-IT"/>
              </w:rPr>
            </w:pP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A75E60">
            <w:pPr>
              <w:pStyle w:val="Rientroa"/>
              <w:numPr>
                <w:ilvl w:val="0"/>
                <w:numId w:val="178"/>
              </w:numPr>
              <w:spacing w:line="224" w:lineRule="exact"/>
            </w:pPr>
            <w:r w:rsidRPr="00237EFA">
              <w:t>un prospetto delle attività nette disponibili per i benefici da erogare che indichi: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A75E60">
            <w:pPr>
              <w:pStyle w:val="Puntoelenco"/>
              <w:spacing w:line="224" w:lineRule="exact"/>
              <w:ind w:hanging="352"/>
            </w:pPr>
            <w:r w:rsidRPr="00237EFA">
              <w:t>le attività al termine dell’esercizio opportunamente classificate</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A75E60">
            <w:pPr>
              <w:pStyle w:val="Puntoelenco"/>
              <w:spacing w:line="224" w:lineRule="exact"/>
              <w:ind w:hanging="352"/>
            </w:pPr>
            <w:r w:rsidRPr="00237EFA">
              <w:t>i criteri di valutazione delle attività</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A75E60">
            <w:pPr>
              <w:pStyle w:val="Puntoelenco"/>
              <w:spacing w:line="224" w:lineRule="exact"/>
              <w:ind w:hanging="352"/>
            </w:pPr>
            <w:r w:rsidRPr="00237EFA">
              <w:t>i dettagli di ogni singolo investimento eccedente il 5% delle attività nette disponibili per i benefici da erogare o il 5% di ogni classe o tipo di valori mobiliari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A75E60">
            <w:pPr>
              <w:pStyle w:val="Puntoelenco"/>
              <w:spacing w:line="224" w:lineRule="exact"/>
              <w:ind w:hanging="352"/>
            </w:pPr>
            <w:r w:rsidRPr="00237EFA">
              <w:t>i dettagli di qualsiasi investimento nell’entità del datore di lavoro; e</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A75E60">
            <w:pPr>
              <w:pStyle w:val="Puntoelenco"/>
              <w:spacing w:line="224" w:lineRule="exact"/>
              <w:ind w:hanging="352"/>
            </w:pPr>
            <w:r w:rsidRPr="00237EFA">
              <w:t>le passività diverse dal valore attuale attuariale dei benefici previdenziali previsti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A75E60">
            <w:pPr>
              <w:pStyle w:val="Rientroa"/>
              <w:numPr>
                <w:ilvl w:val="0"/>
                <w:numId w:val="72"/>
              </w:numPr>
              <w:spacing w:line="224" w:lineRule="exact"/>
            </w:pPr>
            <w:r w:rsidRPr="00237EFA">
              <w:t>un prospetto delle variazioni delle attività nette disponibili per i benefici da erogare che riporti i seguenti punti: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A75E60">
            <w:pPr>
              <w:pStyle w:val="Puntoelenco"/>
              <w:spacing w:line="224" w:lineRule="exact"/>
              <w:ind w:hanging="322"/>
            </w:pPr>
            <w:r w:rsidRPr="00237EFA">
              <w:t>le contribuzioni dei datori di lavoro</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A0F36"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A75E60">
            <w:pPr>
              <w:pStyle w:val="Puntoelenco"/>
              <w:spacing w:line="224" w:lineRule="exact"/>
              <w:ind w:hanging="322"/>
            </w:pPr>
            <w:r w:rsidRPr="00237EFA">
              <w:t>le contribuzioni dei dipendenti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A75E60">
            <w:pPr>
              <w:pStyle w:val="Puntoelenco"/>
              <w:spacing w:line="224" w:lineRule="exact"/>
              <w:ind w:hanging="322"/>
            </w:pPr>
            <w:r w:rsidRPr="00237EFA">
              <w:t>i proventi degli investimenti, quali interessi e dividendi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A0F36"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A75E60">
            <w:pPr>
              <w:pStyle w:val="Puntoelenco"/>
              <w:spacing w:line="224" w:lineRule="exact"/>
              <w:ind w:hanging="322"/>
            </w:pPr>
            <w:r w:rsidRPr="00237EFA">
              <w:t>gli altri proventi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A75E60">
            <w:pPr>
              <w:pStyle w:val="Puntoelenco"/>
              <w:spacing w:line="224" w:lineRule="exact"/>
              <w:ind w:hanging="322"/>
            </w:pPr>
            <w:r w:rsidRPr="00237EFA">
              <w:t>i benefici pagati o dovuti (analizzati, per esempio, tra pensioni, indennità per morte e indennità per invalidità, e pagamenti in un’unica soluzione)</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A0F36"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A75E60">
            <w:pPr>
              <w:pStyle w:val="Puntoelenco"/>
              <w:spacing w:line="224" w:lineRule="exact"/>
              <w:ind w:hanging="322"/>
            </w:pPr>
            <w:r w:rsidRPr="00237EFA">
              <w:t>i costi amministrativi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A0F36"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A75E60">
            <w:pPr>
              <w:pStyle w:val="Puntoelenco"/>
              <w:spacing w:line="224" w:lineRule="exact"/>
              <w:ind w:hanging="322"/>
            </w:pPr>
            <w:r w:rsidRPr="00237EFA">
              <w:t>gli altri costi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A0F36"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A75E60">
            <w:pPr>
              <w:pStyle w:val="Puntoelenco"/>
              <w:spacing w:line="224" w:lineRule="exact"/>
              <w:ind w:hanging="322"/>
            </w:pPr>
            <w:r w:rsidRPr="00237EFA">
              <w:t>le imposte sul reddito</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A75E60">
            <w:pPr>
              <w:pStyle w:val="Puntoelenco"/>
              <w:spacing w:line="224" w:lineRule="exact"/>
              <w:ind w:hanging="322"/>
            </w:pPr>
            <w:r w:rsidRPr="00237EFA">
              <w:t>gli utili e le perdite dalla dismissione di investimenti e dalle variazioni nel valore degli investimenti; e</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A75E60">
            <w:pPr>
              <w:pStyle w:val="Puntoelenco"/>
              <w:spacing w:line="224" w:lineRule="exact"/>
              <w:ind w:hanging="322"/>
            </w:pPr>
            <w:r w:rsidRPr="00237EFA">
              <w:t>i trasferimenti da, ovvero a, altri piani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A75E60">
            <w:pPr>
              <w:pStyle w:val="Rientroa"/>
              <w:numPr>
                <w:ilvl w:val="0"/>
                <w:numId w:val="72"/>
              </w:numPr>
              <w:spacing w:line="224" w:lineRule="exact"/>
            </w:pPr>
            <w:r w:rsidRPr="00237EFA">
              <w:t>una descrizione dei criteri di contribuzione</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260"/>
        </w:trPr>
        <w:tc>
          <w:tcPr>
            <w:tcW w:w="567" w:type="dxa"/>
            <w:tcMar>
              <w:left w:w="108" w:type="dxa"/>
              <w:right w:w="0" w:type="dxa"/>
            </w:tcMar>
          </w:tcPr>
          <w:p w:rsidR="00A75E60" w:rsidRPr="008A0F36" w:rsidRDefault="00A75E60" w:rsidP="00A75E60">
            <w:pPr>
              <w:pStyle w:val="IAS"/>
              <w:rPr>
                <w:lang w:val="it-IT"/>
              </w:rPr>
            </w:pPr>
          </w:p>
        </w:tc>
        <w:tc>
          <w:tcPr>
            <w:tcW w:w="851" w:type="dxa"/>
            <w:tcMar>
              <w:right w:w="0" w:type="dxa"/>
            </w:tcMar>
          </w:tcPr>
          <w:p w:rsidR="00A75E60" w:rsidRPr="00237EFA" w:rsidRDefault="00A75E60" w:rsidP="00A75E60">
            <w:pPr>
              <w:pStyle w:val="IAS"/>
              <w:rPr>
                <w:lang w:val="it-IT"/>
              </w:rPr>
            </w:pPr>
          </w:p>
        </w:tc>
        <w:tc>
          <w:tcPr>
            <w:tcW w:w="7079" w:type="dxa"/>
          </w:tcPr>
          <w:p w:rsidR="00A75E60" w:rsidRPr="00237EFA" w:rsidRDefault="00A75E60" w:rsidP="00A75E60">
            <w:pPr>
              <w:pStyle w:val="Rientroa"/>
              <w:numPr>
                <w:ilvl w:val="0"/>
                <w:numId w:val="72"/>
              </w:numPr>
              <w:spacing w:line="224" w:lineRule="exact"/>
            </w:pPr>
            <w:r w:rsidRPr="00237EFA">
              <w:t xml:space="preserve">una descrizione dei principi contabili rilevanti. </w:t>
            </w:r>
          </w:p>
        </w:tc>
        <w:tc>
          <w:tcPr>
            <w:tcW w:w="575"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A44ECD" w:rsidTr="00F235B5">
        <w:trPr>
          <w:cantSplit/>
        </w:trPr>
        <w:tc>
          <w:tcPr>
            <w:tcW w:w="567" w:type="dxa"/>
            <w:tcMar>
              <w:left w:w="108" w:type="dxa"/>
              <w:right w:w="0" w:type="dxa"/>
            </w:tcMar>
          </w:tcPr>
          <w:p w:rsidR="00A75E60" w:rsidRPr="008A0F36" w:rsidRDefault="00A75E60" w:rsidP="00A75E60">
            <w:pPr>
              <w:pStyle w:val="Numeroelenco"/>
              <w:ind w:left="0" w:firstLine="57"/>
              <w:rPr>
                <w:lang w:val="it-IT"/>
              </w:rPr>
            </w:pPr>
          </w:p>
        </w:tc>
        <w:tc>
          <w:tcPr>
            <w:tcW w:w="851" w:type="dxa"/>
            <w:tcMar>
              <w:left w:w="108" w:type="dxa"/>
              <w:right w:w="0" w:type="dxa"/>
            </w:tcMar>
          </w:tcPr>
          <w:p w:rsidR="00A75E60" w:rsidRPr="00237EFA" w:rsidRDefault="00A75E60" w:rsidP="00A75E60">
            <w:pPr>
              <w:pStyle w:val="IAS"/>
              <w:rPr>
                <w:lang w:val="it-IT"/>
              </w:rPr>
            </w:pPr>
            <w:r w:rsidRPr="00237EFA">
              <w:rPr>
                <w:lang w:val="it-IT"/>
              </w:rPr>
              <w:t>IAS 26.36</w:t>
            </w:r>
          </w:p>
        </w:tc>
        <w:tc>
          <w:tcPr>
            <w:tcW w:w="7079" w:type="dxa"/>
            <w:tcMar>
              <w:left w:w="108" w:type="dxa"/>
            </w:tcMar>
          </w:tcPr>
          <w:p w:rsidR="00A75E60" w:rsidRPr="00237EFA" w:rsidRDefault="00A75E60" w:rsidP="00A75E60">
            <w:pPr>
              <w:spacing w:line="224" w:lineRule="exact"/>
              <w:rPr>
                <w:lang w:val="it-IT"/>
              </w:rPr>
            </w:pPr>
            <w:r w:rsidRPr="00237EFA">
              <w:rPr>
                <w:lang w:val="it-IT"/>
              </w:rPr>
              <w:t xml:space="preserve">L’entità fornisce una descrizione del piano pensionistico a contribuzione definita alternativamente come parte del bilancio o è in una relazione separata; la descrizione può includere i seguenti elementi: </w:t>
            </w:r>
          </w:p>
        </w:tc>
        <w:tc>
          <w:tcPr>
            <w:tcW w:w="575" w:type="dxa"/>
            <w:tcMar>
              <w:left w:w="85" w:type="dxa"/>
              <w:right w:w="85" w:type="dxa"/>
            </w:tcMar>
            <w:vAlign w:val="center"/>
          </w:tcPr>
          <w:p w:rsidR="00A75E60" w:rsidRPr="00090BE7" w:rsidRDefault="00A75E60" w:rsidP="00A75E60">
            <w:pPr>
              <w:jc w:val="center"/>
              <w:rPr>
                <w:lang w:val="it-IT"/>
              </w:rPr>
            </w:pPr>
          </w:p>
        </w:tc>
        <w:tc>
          <w:tcPr>
            <w:tcW w:w="567" w:type="dxa"/>
            <w:tcMar>
              <w:left w:w="108" w:type="dxa"/>
            </w:tcMar>
            <w:vAlign w:val="center"/>
          </w:tcPr>
          <w:p w:rsidR="00A75E60" w:rsidRPr="00090BE7" w:rsidRDefault="00A75E60" w:rsidP="00A75E60">
            <w:pPr>
              <w:jc w:val="center"/>
              <w:rPr>
                <w:lang w:val="it-IT"/>
              </w:rPr>
            </w:pPr>
          </w:p>
        </w:tc>
        <w:tc>
          <w:tcPr>
            <w:tcW w:w="567" w:type="dxa"/>
            <w:vAlign w:val="center"/>
          </w:tcPr>
          <w:p w:rsidR="00A75E60" w:rsidRPr="00090BE7" w:rsidRDefault="00A75E60" w:rsidP="00A75E60">
            <w:pPr>
              <w:jc w:val="center"/>
              <w:rPr>
                <w:lang w:val="it-IT"/>
              </w:rPr>
            </w:pP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A75E60">
            <w:pPr>
              <w:pStyle w:val="Rientroisottoa"/>
              <w:spacing w:line="224" w:lineRule="exact"/>
              <w:ind w:left="404" w:hanging="396"/>
            </w:pPr>
            <w:r w:rsidRPr="00237EFA">
              <w:t>i)</w:t>
            </w:r>
            <w:r w:rsidRPr="00237EFA">
              <w:tab/>
              <w:t>l’indicazione dei datori di lavoro e dei gruppi di dipendenti partecipanti al piano</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A75E60">
            <w:pPr>
              <w:pStyle w:val="Rientroisottoa"/>
              <w:spacing w:line="224" w:lineRule="exact"/>
              <w:ind w:left="404" w:hanging="396"/>
            </w:pPr>
            <w:r w:rsidRPr="00237EFA">
              <w:t>ii)</w:t>
            </w:r>
            <w:r w:rsidRPr="00237EFA">
              <w:tab/>
              <w:t>il numero di partecipanti che ricevono benefici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A75E60">
            <w:pPr>
              <w:pStyle w:val="Rientroisottoa"/>
              <w:spacing w:line="224" w:lineRule="exact"/>
              <w:ind w:left="404" w:hanging="396"/>
            </w:pPr>
            <w:r w:rsidRPr="00237EFA">
              <w:t>iii)</w:t>
            </w:r>
            <w:r w:rsidRPr="00237EFA">
              <w:tab/>
              <w:t>il numero degli altri partecipanti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A75E60">
            <w:pPr>
              <w:pStyle w:val="Rientroisottoa"/>
              <w:spacing w:line="224" w:lineRule="exact"/>
              <w:ind w:left="404" w:hanging="396"/>
            </w:pPr>
            <w:r w:rsidRPr="00237EFA">
              <w:t>iv)</w:t>
            </w:r>
            <w:r w:rsidRPr="00237EFA">
              <w:tab/>
              <w:t>il tipo di piano, ossia a contribuzione definita</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A75E60">
            <w:pPr>
              <w:pStyle w:val="Rientroisottoa"/>
              <w:spacing w:line="224" w:lineRule="exact"/>
              <w:ind w:left="404" w:hanging="396"/>
            </w:pPr>
            <w:r w:rsidRPr="00237EFA">
              <w:t>v)</w:t>
            </w:r>
            <w:r w:rsidRPr="00237EFA">
              <w:tab/>
              <w:t>una nota che indichi se i partecipanti contribuiscono al piano</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A75E60">
            <w:pPr>
              <w:pStyle w:val="Rientroisottoa"/>
              <w:spacing w:line="224" w:lineRule="exact"/>
              <w:ind w:left="404" w:hanging="396"/>
            </w:pPr>
            <w:r w:rsidRPr="00237EFA">
              <w:t>vi)</w:t>
            </w:r>
            <w:r w:rsidRPr="00237EFA">
              <w:tab/>
              <w:t>una descrizione dei benefici previdenziali previsti per i partecipanti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A75E60">
            <w:pPr>
              <w:pStyle w:val="Rientroisottoa"/>
              <w:spacing w:line="224" w:lineRule="exact"/>
              <w:ind w:left="404" w:hanging="396"/>
            </w:pPr>
            <w:r w:rsidRPr="00237EFA">
              <w:t>vii)</w:t>
            </w:r>
            <w:r w:rsidRPr="00237EFA">
              <w:tab/>
              <w:t>una descrizione di eventuali condizioni per la cessazione del piano</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A75E60">
            <w:pPr>
              <w:pStyle w:val="Rientroisottoa"/>
              <w:spacing w:line="224" w:lineRule="exact"/>
              <w:ind w:left="404" w:hanging="396"/>
            </w:pPr>
            <w:r w:rsidRPr="00237EFA">
              <w:t>viii)</w:t>
            </w:r>
            <w:r w:rsidRPr="00237EFA">
              <w:tab/>
              <w:t>le variazioni negli elementi compresi nei punti da i. a vii. durante il periodo preso in considerazione dal bilancio.</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A44ECD"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0E2839">
            <w:pPr>
              <w:pStyle w:val="Paragarfobordato"/>
            </w:pPr>
            <w:r w:rsidRPr="00237EFA">
              <w:t>Non è raro fare riferimento ad altri documenti facilmente disponibili per gli utilizzatori del bilancio nel quale il piano è descritto ed includere nella relazione solo informazioni sulle variazioni successive</w:t>
            </w:r>
          </w:p>
        </w:tc>
        <w:tc>
          <w:tcPr>
            <w:tcW w:w="575" w:type="dxa"/>
            <w:tcMar>
              <w:left w:w="85" w:type="dxa"/>
              <w:right w:w="85" w:type="dxa"/>
            </w:tcMar>
            <w:vAlign w:val="center"/>
          </w:tcPr>
          <w:p w:rsidR="00A75E60" w:rsidRPr="00090BE7" w:rsidRDefault="00A75E60" w:rsidP="00A75E60">
            <w:pPr>
              <w:jc w:val="center"/>
              <w:rPr>
                <w:lang w:val="it-IT"/>
              </w:rPr>
            </w:pPr>
          </w:p>
        </w:tc>
        <w:tc>
          <w:tcPr>
            <w:tcW w:w="567" w:type="dxa"/>
            <w:tcMar>
              <w:left w:w="108" w:type="dxa"/>
            </w:tcMar>
            <w:vAlign w:val="center"/>
          </w:tcPr>
          <w:p w:rsidR="00A75E60" w:rsidRPr="00090BE7" w:rsidRDefault="00A75E60" w:rsidP="00A75E60">
            <w:pPr>
              <w:jc w:val="center"/>
              <w:rPr>
                <w:lang w:val="it-IT"/>
              </w:rPr>
            </w:pPr>
          </w:p>
        </w:tc>
        <w:tc>
          <w:tcPr>
            <w:tcW w:w="567" w:type="dxa"/>
            <w:vAlign w:val="center"/>
          </w:tcPr>
          <w:p w:rsidR="00A75E60" w:rsidRPr="00090BE7" w:rsidRDefault="00A75E60" w:rsidP="00A75E60">
            <w:pPr>
              <w:jc w:val="center"/>
              <w:rPr>
                <w:lang w:val="it-IT"/>
              </w:rPr>
            </w:pPr>
          </w:p>
        </w:tc>
      </w:tr>
      <w:tr w:rsidR="00A75E60" w:rsidRPr="00A44ECD" w:rsidTr="00F235B5">
        <w:trPr>
          <w:cantSplit/>
          <w:trHeight w:val="547"/>
        </w:trPr>
        <w:tc>
          <w:tcPr>
            <w:tcW w:w="567" w:type="dxa"/>
            <w:tcMar>
              <w:left w:w="108" w:type="dxa"/>
              <w:right w:w="0" w:type="dxa"/>
            </w:tcMar>
          </w:tcPr>
          <w:p w:rsidR="00A75E60" w:rsidRPr="008A0F36" w:rsidRDefault="00A75E60" w:rsidP="00A75E60">
            <w:pPr>
              <w:pStyle w:val="Numeroelenco"/>
              <w:ind w:left="0" w:firstLine="57"/>
              <w:rPr>
                <w:lang w:val="it-IT"/>
              </w:rPr>
            </w:pPr>
          </w:p>
        </w:tc>
        <w:tc>
          <w:tcPr>
            <w:tcW w:w="851" w:type="dxa"/>
            <w:tcMar>
              <w:right w:w="0" w:type="dxa"/>
            </w:tcMar>
          </w:tcPr>
          <w:p w:rsidR="00A75E60" w:rsidRPr="00237EFA" w:rsidRDefault="00A75E60" w:rsidP="00A75E60">
            <w:pPr>
              <w:pStyle w:val="IAS"/>
              <w:rPr>
                <w:lang w:val="it-IT"/>
              </w:rPr>
            </w:pPr>
            <w:r w:rsidRPr="00237EFA">
              <w:rPr>
                <w:lang w:val="it-IT"/>
              </w:rPr>
              <w:t>IAS 26.32</w:t>
            </w:r>
          </w:p>
          <w:p w:rsidR="00A75E60" w:rsidRPr="00237EFA" w:rsidRDefault="00A75E60" w:rsidP="00A75E60">
            <w:pPr>
              <w:pStyle w:val="IAS"/>
              <w:rPr>
                <w:lang w:val="it-IT"/>
              </w:rPr>
            </w:pPr>
          </w:p>
        </w:tc>
        <w:tc>
          <w:tcPr>
            <w:tcW w:w="7079" w:type="dxa"/>
          </w:tcPr>
          <w:p w:rsidR="00A75E60" w:rsidRPr="00237EFA" w:rsidRDefault="00A75E60" w:rsidP="00A75E60">
            <w:pPr>
              <w:spacing w:line="224" w:lineRule="exact"/>
              <w:rPr>
                <w:lang w:val="it-IT"/>
              </w:rPr>
            </w:pPr>
            <w:r w:rsidRPr="00237EFA">
              <w:rPr>
                <w:lang w:val="it-IT"/>
              </w:rPr>
              <w:t xml:space="preserve">Laddove non sia possibile una stima del </w:t>
            </w:r>
            <w:r w:rsidRPr="00237EFA">
              <w:rPr>
                <w:i/>
                <w:lang w:val="it-IT"/>
              </w:rPr>
              <w:t>fair value</w:t>
            </w:r>
            <w:r w:rsidRPr="00237EFA">
              <w:rPr>
                <w:lang w:val="it-IT"/>
              </w:rPr>
              <w:t xml:space="preserve"> degli investimenti posseduti dal piano deve essere fornita un’illustrazione dei motivi per i quali non viene utilizzato il </w:t>
            </w:r>
            <w:r w:rsidRPr="00237EFA">
              <w:rPr>
                <w:i/>
                <w:lang w:val="it-IT"/>
              </w:rPr>
              <w:t>fair value</w:t>
            </w:r>
            <w:r w:rsidRPr="00237EFA">
              <w:rPr>
                <w:lang w:val="it-IT"/>
              </w:rPr>
              <w:t xml:space="preserve">. </w:t>
            </w:r>
          </w:p>
        </w:tc>
        <w:tc>
          <w:tcPr>
            <w:tcW w:w="575" w:type="dxa"/>
            <w:tcMar>
              <w:left w:w="85" w:type="dxa"/>
              <w:right w:w="85" w:type="dxa"/>
            </w:tcMar>
            <w:vAlign w:val="center"/>
          </w:tcPr>
          <w:p w:rsidR="00A75E60" w:rsidRPr="00A32A16" w:rsidRDefault="00A75E60" w:rsidP="00A75E60">
            <w:pPr>
              <w:jc w:val="center"/>
              <w:rPr>
                <w:lang w:val="it-IT"/>
              </w:rPr>
            </w:pPr>
          </w:p>
        </w:tc>
        <w:tc>
          <w:tcPr>
            <w:tcW w:w="567" w:type="dxa"/>
            <w:vAlign w:val="center"/>
          </w:tcPr>
          <w:p w:rsidR="00A75E60" w:rsidRPr="00A32A16" w:rsidRDefault="00A75E60" w:rsidP="00A75E60">
            <w:pPr>
              <w:jc w:val="center"/>
              <w:rPr>
                <w:lang w:val="it-IT"/>
              </w:rPr>
            </w:pPr>
          </w:p>
        </w:tc>
        <w:tc>
          <w:tcPr>
            <w:tcW w:w="567" w:type="dxa"/>
            <w:vAlign w:val="center"/>
          </w:tcPr>
          <w:p w:rsidR="00A75E60" w:rsidRPr="00A32A16" w:rsidRDefault="00A75E60" w:rsidP="00A75E60">
            <w:pPr>
              <w:jc w:val="center"/>
              <w:rPr>
                <w:lang w:val="it-IT"/>
              </w:rPr>
            </w:pPr>
          </w:p>
        </w:tc>
      </w:tr>
      <w:tr w:rsidR="00A75E60" w:rsidRPr="008129DA" w:rsidTr="00F235B5">
        <w:trPr>
          <w:cantSplit/>
          <w:trHeight w:val="256"/>
        </w:trPr>
        <w:tc>
          <w:tcPr>
            <w:tcW w:w="567" w:type="dxa"/>
            <w:tcMar>
              <w:left w:w="108" w:type="dxa"/>
              <w:right w:w="0" w:type="dxa"/>
            </w:tcMar>
          </w:tcPr>
          <w:p w:rsidR="00A75E60" w:rsidRPr="008A0F36" w:rsidRDefault="00A75E60" w:rsidP="00A75E60">
            <w:pPr>
              <w:pStyle w:val="Numeroelenco"/>
              <w:ind w:left="0" w:firstLine="57"/>
              <w:rPr>
                <w:lang w:val="it-IT"/>
              </w:rPr>
            </w:pPr>
          </w:p>
        </w:tc>
        <w:tc>
          <w:tcPr>
            <w:tcW w:w="851" w:type="dxa"/>
            <w:tcMar>
              <w:right w:w="0" w:type="dxa"/>
            </w:tcMar>
          </w:tcPr>
          <w:p w:rsidR="00A75E60" w:rsidRPr="00237EFA" w:rsidRDefault="00A75E60" w:rsidP="00A75E60">
            <w:pPr>
              <w:pStyle w:val="IAS"/>
              <w:rPr>
                <w:lang w:val="it-IT"/>
              </w:rPr>
            </w:pPr>
            <w:r w:rsidRPr="00237EFA">
              <w:rPr>
                <w:lang w:val="it-IT"/>
              </w:rPr>
              <w:t>IAS 26.16</w:t>
            </w:r>
          </w:p>
        </w:tc>
        <w:tc>
          <w:tcPr>
            <w:tcW w:w="7079" w:type="dxa"/>
          </w:tcPr>
          <w:p w:rsidR="00A75E60" w:rsidRPr="00237EFA" w:rsidRDefault="00A75E60" w:rsidP="00A75E60">
            <w:pPr>
              <w:spacing w:line="224" w:lineRule="exact"/>
              <w:rPr>
                <w:lang w:val="it-IT"/>
              </w:rPr>
            </w:pPr>
            <w:r w:rsidRPr="00237EFA">
              <w:rPr>
                <w:lang w:val="it-IT"/>
              </w:rPr>
              <w:t>Il bilancio del piano a contribuzione definito riporta le seguenti informazioni addizionali:</w:t>
            </w:r>
          </w:p>
        </w:tc>
        <w:tc>
          <w:tcPr>
            <w:tcW w:w="575" w:type="dxa"/>
            <w:tcMar>
              <w:left w:w="85" w:type="dxa"/>
              <w:right w:w="85" w:type="dxa"/>
            </w:tcMar>
            <w:vAlign w:val="center"/>
          </w:tcPr>
          <w:p w:rsidR="00A75E60" w:rsidRPr="00090BE7"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090BE7"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090BE7"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160"/>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A75E60">
            <w:pPr>
              <w:pStyle w:val="Rientroa"/>
              <w:numPr>
                <w:ilvl w:val="0"/>
                <w:numId w:val="209"/>
              </w:numPr>
              <w:spacing w:line="224" w:lineRule="exact"/>
            </w:pPr>
            <w:r w:rsidRPr="00237EFA">
              <w:t>una descrizione delle operazioni dell’esercizio rilevanti e gli effetti di eventuali variazioni relative al piano, la sua composizione e le sue condizioni generali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160"/>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A75E60">
            <w:pPr>
              <w:pStyle w:val="Rientroa"/>
              <w:numPr>
                <w:ilvl w:val="0"/>
                <w:numId w:val="72"/>
              </w:numPr>
              <w:spacing w:line="224" w:lineRule="exact"/>
            </w:pPr>
            <w:r w:rsidRPr="00237EFA">
              <w:t>prospetti che riportino le operazioni e il rendimento degli investimenti nell’esercizio e la situazione patrimoniale-finanziaria del piano alla fine dell’esercizio</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160"/>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A75E60">
            <w:pPr>
              <w:pStyle w:val="Rientroa"/>
              <w:numPr>
                <w:ilvl w:val="0"/>
                <w:numId w:val="72"/>
              </w:numPr>
              <w:spacing w:line="224" w:lineRule="exact"/>
            </w:pPr>
            <w:r w:rsidRPr="00237EFA">
              <w:t>una descrizione delle politiche di investimento.</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A0F36" w:rsidTr="00F235B5">
        <w:trPr>
          <w:cantSplit/>
          <w:trHeight w:val="160"/>
        </w:trPr>
        <w:tc>
          <w:tcPr>
            <w:tcW w:w="567" w:type="dxa"/>
            <w:tcMar>
              <w:left w:w="108" w:type="dxa"/>
              <w:right w:w="0" w:type="dxa"/>
            </w:tcMar>
          </w:tcPr>
          <w:p w:rsidR="00A75E60" w:rsidRDefault="00A75E60" w:rsidP="00A75E60">
            <w:pPr>
              <w:pStyle w:val="IAS"/>
              <w:rPr>
                <w:b/>
                <w:bCs/>
                <w:i/>
                <w:lang w:val="it-IT"/>
              </w:rPr>
            </w:pPr>
          </w:p>
        </w:tc>
        <w:tc>
          <w:tcPr>
            <w:tcW w:w="851" w:type="dxa"/>
            <w:tcMar>
              <w:left w:w="108" w:type="dxa"/>
              <w:right w:w="0" w:type="dxa"/>
            </w:tcMar>
          </w:tcPr>
          <w:p w:rsidR="00A75E60" w:rsidRPr="00237EFA" w:rsidRDefault="00A75E60" w:rsidP="00A75E60">
            <w:pPr>
              <w:pStyle w:val="IAS"/>
              <w:rPr>
                <w:b/>
                <w:bCs/>
                <w:i/>
                <w:lang w:val="it-IT"/>
              </w:rPr>
            </w:pPr>
          </w:p>
        </w:tc>
        <w:tc>
          <w:tcPr>
            <w:tcW w:w="7079" w:type="dxa"/>
            <w:tcMar>
              <w:left w:w="108" w:type="dxa"/>
            </w:tcMar>
          </w:tcPr>
          <w:p w:rsidR="00A75E60" w:rsidRPr="00237EFA" w:rsidRDefault="00A75E60" w:rsidP="00A75E60">
            <w:pPr>
              <w:pStyle w:val="Titolo2"/>
              <w:keepNext w:val="0"/>
              <w:rPr>
                <w:lang w:val="it-IT"/>
              </w:rPr>
            </w:pPr>
            <w:r w:rsidRPr="00237EFA">
              <w:rPr>
                <w:lang w:val="it-IT"/>
              </w:rPr>
              <w:t>Piani a benefici definiti</w:t>
            </w:r>
          </w:p>
        </w:tc>
        <w:tc>
          <w:tcPr>
            <w:tcW w:w="575" w:type="dxa"/>
            <w:tcMar>
              <w:left w:w="85" w:type="dxa"/>
              <w:right w:w="85" w:type="dxa"/>
            </w:tcMar>
            <w:vAlign w:val="center"/>
          </w:tcPr>
          <w:p w:rsidR="00A75E60" w:rsidRDefault="00A75E60" w:rsidP="00A75E60">
            <w:pPr>
              <w:jc w:val="center"/>
            </w:pPr>
          </w:p>
        </w:tc>
        <w:tc>
          <w:tcPr>
            <w:tcW w:w="567" w:type="dxa"/>
            <w:tcMar>
              <w:left w:w="108" w:type="dxa"/>
            </w:tcMar>
            <w:vAlign w:val="center"/>
          </w:tcPr>
          <w:p w:rsidR="00A75E60" w:rsidRDefault="00A75E60" w:rsidP="00A75E60">
            <w:pPr>
              <w:jc w:val="center"/>
            </w:pPr>
          </w:p>
        </w:tc>
        <w:tc>
          <w:tcPr>
            <w:tcW w:w="567" w:type="dxa"/>
            <w:vAlign w:val="center"/>
          </w:tcPr>
          <w:p w:rsidR="00A75E60" w:rsidRDefault="00A75E60" w:rsidP="00A75E60">
            <w:pPr>
              <w:jc w:val="center"/>
            </w:pPr>
          </w:p>
        </w:tc>
      </w:tr>
      <w:tr w:rsidR="00A75E60" w:rsidRPr="00A44ECD" w:rsidTr="00F235B5">
        <w:trPr>
          <w:cantSplit/>
          <w:trHeight w:val="160"/>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r w:rsidRPr="00237EFA">
              <w:rPr>
                <w:lang w:val="it-IT"/>
              </w:rPr>
              <w:t>IAS 26.28</w:t>
            </w:r>
            <w:r w:rsidRPr="00237EFA">
              <w:rPr>
                <w:lang w:val="it-IT"/>
              </w:rPr>
              <w:br/>
              <w:t>IAS 26.31</w:t>
            </w:r>
          </w:p>
        </w:tc>
        <w:tc>
          <w:tcPr>
            <w:tcW w:w="7079" w:type="dxa"/>
            <w:tcMar>
              <w:left w:w="108" w:type="dxa"/>
            </w:tcMar>
          </w:tcPr>
          <w:p w:rsidR="00A75E60" w:rsidRPr="00237EFA" w:rsidRDefault="00A75E60" w:rsidP="000E2839">
            <w:pPr>
              <w:pStyle w:val="Paragarfobordato"/>
            </w:pPr>
            <w:r w:rsidRPr="00237EFA">
              <w:t>Per i piani a benefici definiti, le informazioni finanziarie devono essere presentate in uno dei seguenti schemi che riflettono le differenti consuetudini nell’indicazione e nella presentazione delle informazioni attuariali:</w:t>
            </w:r>
          </w:p>
          <w:p w:rsidR="00A75E60" w:rsidRPr="00237EFA" w:rsidRDefault="00A75E60" w:rsidP="000E2839">
            <w:pPr>
              <w:pStyle w:val="Paragarfobordato"/>
              <w:ind w:left="205" w:hanging="205"/>
            </w:pPr>
            <w:r w:rsidRPr="00237EFA">
              <w:t>a)</w:t>
            </w:r>
            <w:r w:rsidRPr="00237EFA">
              <w:tab/>
              <w:t xml:space="preserve">un prospetto, incluso nel bilancio, che riporta le attività nette disponibili per i benefici da erogare, il valore attuale attuariale dei benefici previdenziali previsti e l’avanzo o il disavanzo risultante. Il prospetto del piano contiene anche il prospetto delle variazioni delle attività nette disponibili per i benefici da erogare e il prospetto delle variazioni nel valore attuale attuariale dei benefici previdenziali previsti. Il bilancio del piano può includere anche una relazione distinta dell’attuario per comprovare il valore attuale attuariale dei benefici previdenziali previsti </w:t>
            </w:r>
          </w:p>
          <w:p w:rsidR="00A75E60" w:rsidRPr="00237EFA" w:rsidRDefault="00A75E60" w:rsidP="000E2839">
            <w:pPr>
              <w:pStyle w:val="Paragarfobordato"/>
              <w:ind w:left="205" w:hanging="205"/>
            </w:pPr>
            <w:r w:rsidRPr="00237EFA">
              <w:t>b)</w:t>
            </w:r>
            <w:r w:rsidRPr="00237EFA">
              <w:tab/>
              <w:t>un bilancio che comprenda un prospetto delle attività nette disponibili per i benefici da erogare e un prospetto delle variazioni delle attività nette disponibili per tali benefici. Il valore attuale attuariale dei benefici previdenziali previsti è indicato in una nota ai prospetti. Il bilancio può essere inoltre accompagnato da una relazione di un attuario per comprovare il valore attuale attuariale dei benefici previdenziali previsti</w:t>
            </w:r>
          </w:p>
          <w:p w:rsidR="00A75E60" w:rsidRPr="00237EFA" w:rsidRDefault="00A75E60" w:rsidP="000E2839">
            <w:pPr>
              <w:pStyle w:val="Paragarfobordato"/>
              <w:ind w:left="205" w:hanging="205"/>
            </w:pPr>
            <w:r w:rsidRPr="00237EFA">
              <w:t>c)</w:t>
            </w:r>
            <w:r w:rsidRPr="00237EFA">
              <w:tab/>
              <w:t>un bilancio che comprenda un prospetto delle attività nette disponibili per i benefici da erogare e un prospetto delle variazioni delle attività nette disponibili per tali benefici con il valore attuale attuariale dei benefici previdenziali previsti contenuto in una relazione attuariale separata.</w:t>
            </w:r>
          </w:p>
        </w:tc>
        <w:tc>
          <w:tcPr>
            <w:tcW w:w="575" w:type="dxa"/>
            <w:tcMar>
              <w:left w:w="85" w:type="dxa"/>
              <w:right w:w="85" w:type="dxa"/>
            </w:tcMar>
            <w:vAlign w:val="center"/>
          </w:tcPr>
          <w:p w:rsidR="00A75E60" w:rsidRPr="00090BE7" w:rsidRDefault="00A75E60" w:rsidP="00A75E60">
            <w:pPr>
              <w:jc w:val="center"/>
              <w:rPr>
                <w:lang w:val="it-IT"/>
              </w:rPr>
            </w:pPr>
          </w:p>
        </w:tc>
        <w:tc>
          <w:tcPr>
            <w:tcW w:w="567" w:type="dxa"/>
            <w:tcMar>
              <w:left w:w="108" w:type="dxa"/>
            </w:tcMar>
            <w:vAlign w:val="center"/>
          </w:tcPr>
          <w:p w:rsidR="00A75E60" w:rsidRPr="00090BE7" w:rsidRDefault="00A75E60" w:rsidP="00A75E60">
            <w:pPr>
              <w:jc w:val="center"/>
              <w:rPr>
                <w:lang w:val="it-IT"/>
              </w:rPr>
            </w:pPr>
          </w:p>
        </w:tc>
        <w:tc>
          <w:tcPr>
            <w:tcW w:w="567" w:type="dxa"/>
            <w:vAlign w:val="center"/>
          </w:tcPr>
          <w:p w:rsidR="00A75E60" w:rsidRPr="00090BE7" w:rsidRDefault="00A75E60" w:rsidP="00A75E60">
            <w:pPr>
              <w:jc w:val="center"/>
              <w:rPr>
                <w:lang w:val="it-IT"/>
              </w:rPr>
            </w:pPr>
          </w:p>
        </w:tc>
      </w:tr>
      <w:tr w:rsidR="00A75E60" w:rsidRPr="00A44ECD" w:rsidTr="00F235B5">
        <w:trPr>
          <w:cantSplit/>
          <w:trHeight w:val="160"/>
        </w:trPr>
        <w:tc>
          <w:tcPr>
            <w:tcW w:w="567" w:type="dxa"/>
            <w:tcMar>
              <w:left w:w="108" w:type="dxa"/>
              <w:right w:w="0" w:type="dxa"/>
            </w:tcMar>
          </w:tcPr>
          <w:p w:rsidR="00A75E60" w:rsidRPr="008A0F36" w:rsidRDefault="00A75E60" w:rsidP="00A75E60">
            <w:pPr>
              <w:pStyle w:val="Numeroelenco"/>
              <w:ind w:left="0" w:firstLine="57"/>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0E2839">
            <w:pPr>
              <w:spacing w:line="226" w:lineRule="exact"/>
              <w:rPr>
                <w:lang w:val="it-IT"/>
              </w:rPr>
            </w:pPr>
            <w:r w:rsidRPr="00237EFA">
              <w:rPr>
                <w:lang w:val="it-IT"/>
              </w:rPr>
              <w:t>Il bilancio dei piani previdenziali contiene le seguenti in formazioni:</w:t>
            </w:r>
          </w:p>
        </w:tc>
        <w:tc>
          <w:tcPr>
            <w:tcW w:w="575" w:type="dxa"/>
            <w:tcMar>
              <w:left w:w="85" w:type="dxa"/>
              <w:right w:w="85" w:type="dxa"/>
            </w:tcMar>
            <w:vAlign w:val="center"/>
          </w:tcPr>
          <w:p w:rsidR="00A75E60" w:rsidRPr="00090BE7" w:rsidRDefault="00A75E60" w:rsidP="00A75E60">
            <w:pPr>
              <w:jc w:val="center"/>
              <w:rPr>
                <w:lang w:val="it-IT"/>
              </w:rPr>
            </w:pPr>
          </w:p>
        </w:tc>
        <w:tc>
          <w:tcPr>
            <w:tcW w:w="567" w:type="dxa"/>
            <w:tcMar>
              <w:left w:w="108" w:type="dxa"/>
            </w:tcMar>
            <w:vAlign w:val="center"/>
          </w:tcPr>
          <w:p w:rsidR="00A75E60" w:rsidRPr="00090BE7" w:rsidRDefault="00A75E60" w:rsidP="00A75E60">
            <w:pPr>
              <w:jc w:val="center"/>
              <w:rPr>
                <w:lang w:val="it-IT"/>
              </w:rPr>
            </w:pPr>
          </w:p>
        </w:tc>
        <w:tc>
          <w:tcPr>
            <w:tcW w:w="567" w:type="dxa"/>
            <w:vAlign w:val="center"/>
          </w:tcPr>
          <w:p w:rsidR="00A75E60" w:rsidRPr="00090BE7" w:rsidRDefault="00A75E60" w:rsidP="00A75E60">
            <w:pPr>
              <w:jc w:val="center"/>
              <w:rPr>
                <w:lang w:val="it-IT"/>
              </w:rPr>
            </w:pPr>
          </w:p>
        </w:tc>
      </w:tr>
      <w:tr w:rsidR="00A75E60" w:rsidRPr="008129DA" w:rsidTr="00F235B5">
        <w:trPr>
          <w:cantSplit/>
          <w:trHeight w:val="160"/>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r w:rsidRPr="00237EFA">
              <w:rPr>
                <w:lang w:val="it-IT"/>
              </w:rPr>
              <w:t>IAS 26.35</w:t>
            </w:r>
          </w:p>
        </w:tc>
        <w:tc>
          <w:tcPr>
            <w:tcW w:w="7079" w:type="dxa"/>
            <w:tcMar>
              <w:left w:w="108" w:type="dxa"/>
            </w:tcMar>
          </w:tcPr>
          <w:p w:rsidR="00A75E60" w:rsidRPr="00237EFA" w:rsidRDefault="00A75E60" w:rsidP="000E2839">
            <w:pPr>
              <w:pStyle w:val="Rientroa"/>
              <w:numPr>
                <w:ilvl w:val="0"/>
                <w:numId w:val="210"/>
              </w:numPr>
              <w:spacing w:line="226" w:lineRule="exact"/>
            </w:pPr>
            <w:r w:rsidRPr="00237EFA">
              <w:t>un prospetto delle attività nette disponibili per i benefici da erogare indicante:</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160"/>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0E2839">
            <w:pPr>
              <w:pStyle w:val="Puntoelenco"/>
              <w:spacing w:line="226" w:lineRule="exact"/>
              <w:ind w:hanging="322"/>
              <w:contextualSpacing w:val="0"/>
            </w:pPr>
            <w:r w:rsidRPr="00237EFA">
              <w:t>le attività al termine dell’esercizio opportunamente classificate</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160"/>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0E2839">
            <w:pPr>
              <w:pStyle w:val="Puntoelenco"/>
              <w:spacing w:line="226" w:lineRule="exact"/>
              <w:ind w:hanging="322"/>
              <w:contextualSpacing w:val="0"/>
            </w:pPr>
            <w:r w:rsidRPr="00237EFA">
              <w:t>i criteri di valutazione delle attività</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160"/>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0E2839">
            <w:pPr>
              <w:pStyle w:val="Puntoelenco"/>
              <w:spacing w:line="226" w:lineRule="exact"/>
              <w:ind w:hanging="322"/>
              <w:contextualSpacing w:val="0"/>
            </w:pPr>
            <w:r w:rsidRPr="00237EFA">
              <w:t>i dettagli di ogni singolo investimento eccedente il 5% delle attività nette disponibili per i benefici da erogare o il 5% di ogni classe o tipo di valori mobiliari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160"/>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0E2839">
            <w:pPr>
              <w:pStyle w:val="Puntoelenco"/>
              <w:spacing w:line="226" w:lineRule="exact"/>
              <w:ind w:hanging="322"/>
              <w:contextualSpacing w:val="0"/>
            </w:pPr>
            <w:r w:rsidRPr="00237EFA">
              <w:t>i dettagli di qualsiasi investimento nell’entità del datore di lavoro; e</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160"/>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0E2839">
            <w:pPr>
              <w:pStyle w:val="Puntoelenco"/>
              <w:spacing w:line="226" w:lineRule="exact"/>
              <w:ind w:hanging="322"/>
              <w:contextualSpacing w:val="0"/>
            </w:pPr>
            <w:r w:rsidRPr="00237EFA">
              <w:t>le passività diverse dal valore attuale attuariale dei benefici previdenziali previsti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160"/>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r w:rsidRPr="00237EFA">
              <w:rPr>
                <w:lang w:val="it-IT"/>
              </w:rPr>
              <w:t>IAS 26.35</w:t>
            </w:r>
          </w:p>
        </w:tc>
        <w:tc>
          <w:tcPr>
            <w:tcW w:w="7079" w:type="dxa"/>
            <w:tcMar>
              <w:left w:w="108" w:type="dxa"/>
            </w:tcMar>
          </w:tcPr>
          <w:p w:rsidR="00A75E60" w:rsidRPr="00237EFA" w:rsidRDefault="00A75E60" w:rsidP="000E2839">
            <w:pPr>
              <w:pStyle w:val="Rientroa"/>
              <w:numPr>
                <w:ilvl w:val="0"/>
                <w:numId w:val="72"/>
              </w:numPr>
              <w:spacing w:line="226" w:lineRule="exact"/>
            </w:pPr>
            <w:r w:rsidRPr="00237EFA">
              <w:t>un prospetto delle variazioni delle attività nette disponibili per i benefici da erogare che riporti i seguenti punti: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160"/>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0E2839">
            <w:pPr>
              <w:pStyle w:val="Puntoelenco"/>
              <w:spacing w:line="226" w:lineRule="exact"/>
              <w:ind w:hanging="322"/>
              <w:contextualSpacing w:val="0"/>
            </w:pPr>
            <w:r w:rsidRPr="00237EFA">
              <w:t>le contribuzioni dei datori di lavoro</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A0F36" w:rsidTr="00F235B5">
        <w:trPr>
          <w:cantSplit/>
          <w:trHeight w:val="160"/>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0E2839">
            <w:pPr>
              <w:pStyle w:val="Puntoelenco"/>
              <w:spacing w:line="226" w:lineRule="exact"/>
              <w:ind w:hanging="322"/>
              <w:contextualSpacing w:val="0"/>
            </w:pPr>
            <w:r w:rsidRPr="00237EFA">
              <w:t>le contribuzioni dei dipendenti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160"/>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0E2839">
            <w:pPr>
              <w:pStyle w:val="Puntoelenco"/>
              <w:spacing w:line="226" w:lineRule="exact"/>
              <w:ind w:hanging="322"/>
              <w:contextualSpacing w:val="0"/>
            </w:pPr>
            <w:r w:rsidRPr="00237EFA">
              <w:t>i proventi degli investimenti quali interessi e dividendi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A0F36" w:rsidTr="00F235B5">
        <w:trPr>
          <w:cantSplit/>
          <w:trHeight w:val="160"/>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0E2839">
            <w:pPr>
              <w:pStyle w:val="Puntoelenco"/>
              <w:spacing w:line="226" w:lineRule="exact"/>
              <w:ind w:hanging="322"/>
              <w:contextualSpacing w:val="0"/>
            </w:pPr>
            <w:r w:rsidRPr="00237EFA">
              <w:t>gli altri proventi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160"/>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0E2839">
            <w:pPr>
              <w:pStyle w:val="Puntoelenco"/>
              <w:spacing w:line="226" w:lineRule="exact"/>
              <w:ind w:hanging="322"/>
              <w:contextualSpacing w:val="0"/>
            </w:pPr>
            <w:r w:rsidRPr="00237EFA">
              <w:t>i benefici pagati o dovuti (suddivisi, per esempio, tra pensioni, indennità per morte e indennità per invalidità, e pagamenti in un’unica soluzione)</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A0F36" w:rsidTr="00F235B5">
        <w:trPr>
          <w:cantSplit/>
          <w:trHeight w:val="160"/>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0E2839">
            <w:pPr>
              <w:pStyle w:val="Puntoelenco"/>
              <w:spacing w:line="226" w:lineRule="exact"/>
              <w:ind w:hanging="322"/>
              <w:contextualSpacing w:val="0"/>
            </w:pPr>
            <w:r w:rsidRPr="00237EFA">
              <w:t>i costi amministrativi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A0F36" w:rsidTr="00F235B5">
        <w:trPr>
          <w:cantSplit/>
          <w:trHeight w:val="160"/>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0E2839">
            <w:pPr>
              <w:pStyle w:val="Puntoelenco"/>
              <w:spacing w:line="226" w:lineRule="exact"/>
              <w:ind w:hanging="322"/>
              <w:contextualSpacing w:val="0"/>
            </w:pPr>
            <w:r w:rsidRPr="00237EFA">
              <w:t>gli altri costi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A0F36" w:rsidTr="00F235B5">
        <w:trPr>
          <w:cantSplit/>
          <w:trHeight w:val="160"/>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0E2839">
            <w:pPr>
              <w:pStyle w:val="Puntoelenco"/>
              <w:spacing w:line="226" w:lineRule="exact"/>
              <w:ind w:hanging="322"/>
              <w:contextualSpacing w:val="0"/>
            </w:pPr>
            <w:r w:rsidRPr="00237EFA">
              <w:t>le imposte sul reddito</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160"/>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0E2839">
            <w:pPr>
              <w:pStyle w:val="Puntoelenco"/>
              <w:spacing w:line="226" w:lineRule="exact"/>
              <w:ind w:hanging="322"/>
              <w:contextualSpacing w:val="0"/>
            </w:pPr>
            <w:r w:rsidRPr="00237EFA">
              <w:t>gli utili e le perdite dalla dismissione di investimenti e dalle variazioni nel valore degli investimenti; e</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160"/>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0E2839">
            <w:pPr>
              <w:pStyle w:val="Puntoelenco"/>
              <w:spacing w:line="226" w:lineRule="exact"/>
              <w:ind w:hanging="322"/>
              <w:contextualSpacing w:val="0"/>
            </w:pPr>
            <w:r w:rsidRPr="00237EFA">
              <w:t>i trasferimenti da, ovvero a, altri piani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160"/>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r w:rsidRPr="00237EFA">
              <w:rPr>
                <w:lang w:val="it-IT"/>
              </w:rPr>
              <w:t>IAS 26.35</w:t>
            </w:r>
          </w:p>
        </w:tc>
        <w:tc>
          <w:tcPr>
            <w:tcW w:w="7079" w:type="dxa"/>
            <w:tcMar>
              <w:left w:w="108" w:type="dxa"/>
            </w:tcMar>
          </w:tcPr>
          <w:p w:rsidR="00A75E60" w:rsidRPr="00237EFA" w:rsidRDefault="00A75E60" w:rsidP="000E2839">
            <w:pPr>
              <w:pStyle w:val="Rientroa"/>
              <w:numPr>
                <w:ilvl w:val="0"/>
                <w:numId w:val="72"/>
              </w:numPr>
              <w:spacing w:line="226" w:lineRule="exact"/>
            </w:pPr>
            <w:r w:rsidRPr="00237EFA">
              <w:t>una descrizione del criterio di contribuzione</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204"/>
        </w:trPr>
        <w:tc>
          <w:tcPr>
            <w:tcW w:w="567" w:type="dxa"/>
            <w:tcMar>
              <w:left w:w="108" w:type="dxa"/>
              <w:right w:w="0" w:type="dxa"/>
            </w:tcMar>
          </w:tcPr>
          <w:p w:rsidR="00A75E60" w:rsidRPr="008A0F36" w:rsidRDefault="00A75E60" w:rsidP="00A75E60">
            <w:pPr>
              <w:pStyle w:val="IAS"/>
              <w:rPr>
                <w:lang w:val="it-IT"/>
              </w:rPr>
            </w:pPr>
          </w:p>
        </w:tc>
        <w:tc>
          <w:tcPr>
            <w:tcW w:w="851" w:type="dxa"/>
            <w:tcMar>
              <w:right w:w="0" w:type="dxa"/>
            </w:tcMar>
          </w:tcPr>
          <w:p w:rsidR="00A75E60" w:rsidRPr="00237EFA" w:rsidRDefault="00A75E60" w:rsidP="00A75E60">
            <w:pPr>
              <w:pStyle w:val="IAS"/>
              <w:rPr>
                <w:lang w:val="it-IT"/>
              </w:rPr>
            </w:pPr>
            <w:r w:rsidRPr="00237EFA">
              <w:rPr>
                <w:lang w:val="it-IT"/>
              </w:rPr>
              <w:t>IAS 26.34</w:t>
            </w:r>
          </w:p>
        </w:tc>
        <w:tc>
          <w:tcPr>
            <w:tcW w:w="7079" w:type="dxa"/>
          </w:tcPr>
          <w:p w:rsidR="00A75E60" w:rsidRPr="00237EFA" w:rsidRDefault="00A75E60" w:rsidP="000E2839">
            <w:pPr>
              <w:pStyle w:val="Rientroa"/>
              <w:numPr>
                <w:ilvl w:val="0"/>
                <w:numId w:val="72"/>
              </w:numPr>
              <w:spacing w:line="226" w:lineRule="exact"/>
            </w:pPr>
            <w:r w:rsidRPr="00237EFA">
              <w:t>una sintesi dei principi contabili rilevanti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154"/>
        </w:trPr>
        <w:tc>
          <w:tcPr>
            <w:tcW w:w="567" w:type="dxa"/>
            <w:tcMar>
              <w:left w:w="108" w:type="dxa"/>
              <w:right w:w="0" w:type="dxa"/>
            </w:tcMar>
          </w:tcPr>
          <w:p w:rsidR="00A75E60" w:rsidRPr="008A0F36" w:rsidRDefault="00A75E60" w:rsidP="00A75E60">
            <w:pPr>
              <w:pStyle w:val="IAS"/>
              <w:rPr>
                <w:lang w:val="it-IT"/>
              </w:rPr>
            </w:pPr>
          </w:p>
        </w:tc>
        <w:tc>
          <w:tcPr>
            <w:tcW w:w="851" w:type="dxa"/>
            <w:tcMar>
              <w:right w:w="0" w:type="dxa"/>
            </w:tcMar>
          </w:tcPr>
          <w:p w:rsidR="00A75E60" w:rsidRPr="00237EFA" w:rsidRDefault="00A75E60" w:rsidP="00A75E60">
            <w:pPr>
              <w:pStyle w:val="IAS"/>
              <w:rPr>
                <w:lang w:val="it-IT"/>
              </w:rPr>
            </w:pPr>
            <w:r w:rsidRPr="00237EFA">
              <w:rPr>
                <w:lang w:val="it-IT"/>
              </w:rPr>
              <w:t>IAS 26.36</w:t>
            </w:r>
          </w:p>
        </w:tc>
        <w:tc>
          <w:tcPr>
            <w:tcW w:w="7079" w:type="dxa"/>
          </w:tcPr>
          <w:p w:rsidR="00A75E60" w:rsidRPr="00237EFA" w:rsidRDefault="00A75E60" w:rsidP="000E2839">
            <w:pPr>
              <w:pStyle w:val="Rientroa"/>
              <w:numPr>
                <w:ilvl w:val="0"/>
                <w:numId w:val="72"/>
              </w:numPr>
              <w:spacing w:line="226" w:lineRule="exact"/>
            </w:pPr>
            <w:r w:rsidRPr="00237EFA">
              <w:t>una descrizione dei presupposti attuariali rilevanti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160"/>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r w:rsidRPr="00237EFA">
              <w:rPr>
                <w:lang w:val="it-IT"/>
              </w:rPr>
              <w:t>IAS 26.35</w:t>
            </w:r>
          </w:p>
        </w:tc>
        <w:tc>
          <w:tcPr>
            <w:tcW w:w="7079" w:type="dxa"/>
            <w:tcMar>
              <w:left w:w="108" w:type="dxa"/>
            </w:tcMar>
          </w:tcPr>
          <w:p w:rsidR="00A75E60" w:rsidRPr="00237EFA" w:rsidRDefault="00A75E60" w:rsidP="000E2839">
            <w:pPr>
              <w:pStyle w:val="Rientroa"/>
              <w:numPr>
                <w:ilvl w:val="0"/>
                <w:numId w:val="72"/>
              </w:numPr>
              <w:spacing w:line="226" w:lineRule="exact"/>
            </w:pPr>
            <w:r w:rsidRPr="00237EFA">
              <w:t>il metodo utilizzato per calcolare il valore attuale attuariale dei benefici previdenziali previsti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220"/>
        </w:trPr>
        <w:tc>
          <w:tcPr>
            <w:tcW w:w="567" w:type="dxa"/>
            <w:tcMar>
              <w:left w:w="108" w:type="dxa"/>
              <w:right w:w="0" w:type="dxa"/>
            </w:tcMar>
          </w:tcPr>
          <w:p w:rsidR="00A75E60" w:rsidRPr="008A0F36" w:rsidRDefault="00A75E60" w:rsidP="00A75E60">
            <w:pPr>
              <w:pStyle w:val="IAS"/>
              <w:rPr>
                <w:lang w:val="it-IT"/>
              </w:rPr>
            </w:pPr>
          </w:p>
        </w:tc>
        <w:tc>
          <w:tcPr>
            <w:tcW w:w="851" w:type="dxa"/>
            <w:tcMar>
              <w:right w:w="0" w:type="dxa"/>
            </w:tcMar>
          </w:tcPr>
          <w:p w:rsidR="00A75E60" w:rsidRPr="00237EFA" w:rsidRDefault="00A75E60" w:rsidP="00A75E60">
            <w:pPr>
              <w:pStyle w:val="IAS"/>
              <w:rPr>
                <w:lang w:val="it-IT"/>
              </w:rPr>
            </w:pPr>
            <w:r w:rsidRPr="00237EFA">
              <w:rPr>
                <w:lang w:val="it-IT"/>
              </w:rPr>
              <w:t>IAS 26.35</w:t>
            </w:r>
          </w:p>
        </w:tc>
        <w:tc>
          <w:tcPr>
            <w:tcW w:w="7079" w:type="dxa"/>
          </w:tcPr>
          <w:p w:rsidR="00A75E60" w:rsidRPr="00237EFA" w:rsidRDefault="00A75E60" w:rsidP="000E2839">
            <w:pPr>
              <w:pStyle w:val="Rientroa"/>
              <w:numPr>
                <w:ilvl w:val="0"/>
                <w:numId w:val="72"/>
              </w:numPr>
              <w:spacing w:line="226" w:lineRule="exact"/>
            </w:pPr>
            <w:r w:rsidRPr="00237EFA">
              <w:t>il valore attuale attuariale dei benefici previdenziali previsti (che può essere distinto tra benefici acquisiti e non ancora acquisiti) basato sui benefici previsti dalle condizioni del piano, sul lavoro prestato fino a quel momento, utilizzando il livello delle retribuzioni correnti o quello delle previsioni delle retribuzioni. Queste informazioni possono essere incluse in una relazione attuariali allegata da leggersi unitamente all’informazione finanziaria relativa inclusa nella relazione del piano.</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507"/>
        </w:trPr>
        <w:tc>
          <w:tcPr>
            <w:tcW w:w="567" w:type="dxa"/>
            <w:tcMar>
              <w:left w:w="108" w:type="dxa"/>
              <w:right w:w="0" w:type="dxa"/>
            </w:tcMar>
          </w:tcPr>
          <w:p w:rsidR="00A75E60" w:rsidRPr="008A0F36" w:rsidRDefault="00A75E60" w:rsidP="00A75E60">
            <w:pPr>
              <w:pStyle w:val="IAS"/>
              <w:rPr>
                <w:lang w:val="it-IT"/>
              </w:rPr>
            </w:pPr>
          </w:p>
        </w:tc>
        <w:tc>
          <w:tcPr>
            <w:tcW w:w="851" w:type="dxa"/>
            <w:tcMar>
              <w:right w:w="0" w:type="dxa"/>
            </w:tcMar>
          </w:tcPr>
          <w:p w:rsidR="00A75E60" w:rsidRPr="00237EFA" w:rsidRDefault="00A75E60" w:rsidP="00A75E60">
            <w:pPr>
              <w:pStyle w:val="IAS"/>
              <w:rPr>
                <w:lang w:val="it-IT"/>
              </w:rPr>
            </w:pPr>
            <w:r w:rsidRPr="00237EFA">
              <w:rPr>
                <w:lang w:val="it-IT"/>
              </w:rPr>
              <w:t>IAS 26.35</w:t>
            </w:r>
          </w:p>
        </w:tc>
        <w:tc>
          <w:tcPr>
            <w:tcW w:w="7079" w:type="dxa"/>
          </w:tcPr>
          <w:p w:rsidR="00A75E60" w:rsidRPr="00237EFA" w:rsidRDefault="00A75E60" w:rsidP="000E2839">
            <w:pPr>
              <w:pStyle w:val="Rientroa"/>
              <w:numPr>
                <w:ilvl w:val="0"/>
                <w:numId w:val="72"/>
              </w:numPr>
              <w:spacing w:line="226" w:lineRule="exact"/>
            </w:pPr>
            <w:r w:rsidRPr="00237EFA">
              <w:t>una descrizione del piano e gli effetti di eventuali cambiamenti nel piano durante l’esercizio.</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A44ECD" w:rsidTr="00F235B5">
        <w:trPr>
          <w:cantSplit/>
          <w:trHeight w:val="160"/>
        </w:trPr>
        <w:tc>
          <w:tcPr>
            <w:tcW w:w="567" w:type="dxa"/>
            <w:tcMar>
              <w:left w:w="108" w:type="dxa"/>
              <w:right w:w="0" w:type="dxa"/>
            </w:tcMar>
          </w:tcPr>
          <w:p w:rsidR="00A75E60" w:rsidRPr="008A0F36" w:rsidRDefault="00A75E60" w:rsidP="00A75E60">
            <w:pPr>
              <w:pStyle w:val="Numeroelenco"/>
              <w:ind w:left="0" w:firstLine="57"/>
              <w:rPr>
                <w:lang w:val="it-IT"/>
              </w:rPr>
            </w:pPr>
          </w:p>
        </w:tc>
        <w:tc>
          <w:tcPr>
            <w:tcW w:w="851" w:type="dxa"/>
            <w:tcMar>
              <w:left w:w="108" w:type="dxa"/>
              <w:right w:w="0" w:type="dxa"/>
            </w:tcMar>
          </w:tcPr>
          <w:p w:rsidR="00A75E60" w:rsidRPr="00237EFA" w:rsidRDefault="00A75E60" w:rsidP="00A75E60">
            <w:pPr>
              <w:pStyle w:val="IAS"/>
              <w:rPr>
                <w:lang w:val="it-IT"/>
              </w:rPr>
            </w:pPr>
            <w:r w:rsidRPr="00237EFA">
              <w:rPr>
                <w:lang w:val="it-IT"/>
              </w:rPr>
              <w:t>IAS 26.36</w:t>
            </w:r>
          </w:p>
          <w:p w:rsidR="00A75E60" w:rsidRPr="00237EFA" w:rsidRDefault="00A75E60" w:rsidP="00A75E60">
            <w:pPr>
              <w:pStyle w:val="IAS"/>
              <w:rPr>
                <w:lang w:val="it-IT"/>
              </w:rPr>
            </w:pPr>
          </w:p>
        </w:tc>
        <w:tc>
          <w:tcPr>
            <w:tcW w:w="7079" w:type="dxa"/>
            <w:tcMar>
              <w:left w:w="108" w:type="dxa"/>
            </w:tcMar>
          </w:tcPr>
          <w:p w:rsidR="00A75E60" w:rsidRPr="00237EFA" w:rsidRDefault="00A75E60" w:rsidP="000E2839">
            <w:pPr>
              <w:spacing w:line="226" w:lineRule="exact"/>
              <w:rPr>
                <w:lang w:val="it-IT"/>
              </w:rPr>
            </w:pPr>
            <w:r w:rsidRPr="00237EFA">
              <w:rPr>
                <w:lang w:val="it-IT"/>
              </w:rPr>
              <w:t xml:space="preserve">L’entità fornisce una descrizione del piano pensionistico a benefici definiti alternativamente come parte del bilancio o è in una relazione separata; la descrizione può includere i seguenti elementi: </w:t>
            </w:r>
          </w:p>
        </w:tc>
        <w:tc>
          <w:tcPr>
            <w:tcW w:w="575" w:type="dxa"/>
            <w:tcMar>
              <w:left w:w="85" w:type="dxa"/>
              <w:right w:w="85" w:type="dxa"/>
            </w:tcMar>
            <w:vAlign w:val="center"/>
          </w:tcPr>
          <w:p w:rsidR="00A75E60" w:rsidRPr="00090BE7" w:rsidRDefault="00A75E60" w:rsidP="00A75E60">
            <w:pPr>
              <w:jc w:val="center"/>
              <w:rPr>
                <w:lang w:val="it-IT"/>
              </w:rPr>
            </w:pPr>
          </w:p>
        </w:tc>
        <w:tc>
          <w:tcPr>
            <w:tcW w:w="567" w:type="dxa"/>
            <w:tcMar>
              <w:left w:w="108" w:type="dxa"/>
            </w:tcMar>
            <w:vAlign w:val="center"/>
          </w:tcPr>
          <w:p w:rsidR="00A75E60" w:rsidRPr="00090BE7" w:rsidRDefault="00A75E60" w:rsidP="00A75E60">
            <w:pPr>
              <w:jc w:val="center"/>
              <w:rPr>
                <w:lang w:val="it-IT"/>
              </w:rPr>
            </w:pPr>
          </w:p>
        </w:tc>
        <w:tc>
          <w:tcPr>
            <w:tcW w:w="567" w:type="dxa"/>
            <w:vAlign w:val="center"/>
          </w:tcPr>
          <w:p w:rsidR="00A75E60" w:rsidRPr="00090BE7" w:rsidRDefault="00A75E60" w:rsidP="00A75E60">
            <w:pPr>
              <w:jc w:val="center"/>
              <w:rPr>
                <w:lang w:val="it-IT"/>
              </w:rPr>
            </w:pPr>
          </w:p>
        </w:tc>
      </w:tr>
      <w:tr w:rsidR="00A75E60" w:rsidRPr="008129DA" w:rsidTr="00F235B5">
        <w:trPr>
          <w:cantSplit/>
          <w:trHeight w:val="224"/>
        </w:trPr>
        <w:tc>
          <w:tcPr>
            <w:tcW w:w="567" w:type="dxa"/>
            <w:tcMar>
              <w:left w:w="108" w:type="dxa"/>
              <w:right w:w="0" w:type="dxa"/>
            </w:tcMar>
          </w:tcPr>
          <w:p w:rsidR="00A75E60" w:rsidRPr="008A0F36" w:rsidRDefault="00A75E60" w:rsidP="00A75E60">
            <w:pPr>
              <w:pStyle w:val="IAS"/>
              <w:rPr>
                <w:lang w:val="it-IT"/>
              </w:rPr>
            </w:pPr>
          </w:p>
        </w:tc>
        <w:tc>
          <w:tcPr>
            <w:tcW w:w="851" w:type="dxa"/>
            <w:tcMar>
              <w:right w:w="0" w:type="dxa"/>
            </w:tcMar>
          </w:tcPr>
          <w:p w:rsidR="00A75E60" w:rsidRPr="00237EFA" w:rsidRDefault="00A75E60" w:rsidP="00A75E60">
            <w:pPr>
              <w:pStyle w:val="IAS"/>
              <w:rPr>
                <w:lang w:val="it-IT"/>
              </w:rPr>
            </w:pPr>
          </w:p>
        </w:tc>
        <w:tc>
          <w:tcPr>
            <w:tcW w:w="7079" w:type="dxa"/>
          </w:tcPr>
          <w:p w:rsidR="00A75E60" w:rsidRPr="00237EFA" w:rsidRDefault="00A75E60" w:rsidP="000E2839">
            <w:pPr>
              <w:pStyle w:val="Rientroa"/>
              <w:numPr>
                <w:ilvl w:val="0"/>
                <w:numId w:val="211"/>
              </w:numPr>
              <w:spacing w:line="226" w:lineRule="exact"/>
              <w:rPr>
                <w:iCs/>
              </w:rPr>
            </w:pPr>
            <w:r w:rsidRPr="00237EFA">
              <w:t>l’indicazione dei datori di lavoro e dei gruppi di dipendenti partecipanti al piano</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234"/>
        </w:trPr>
        <w:tc>
          <w:tcPr>
            <w:tcW w:w="567" w:type="dxa"/>
            <w:tcMar>
              <w:left w:w="108" w:type="dxa"/>
              <w:right w:w="0" w:type="dxa"/>
            </w:tcMar>
          </w:tcPr>
          <w:p w:rsidR="00A75E60" w:rsidRPr="008A0F36" w:rsidRDefault="00A75E60" w:rsidP="00A75E60">
            <w:pPr>
              <w:pStyle w:val="IAS"/>
              <w:rPr>
                <w:lang w:val="it-IT"/>
              </w:rPr>
            </w:pPr>
          </w:p>
        </w:tc>
        <w:tc>
          <w:tcPr>
            <w:tcW w:w="851" w:type="dxa"/>
            <w:tcMar>
              <w:right w:w="0" w:type="dxa"/>
            </w:tcMar>
          </w:tcPr>
          <w:p w:rsidR="00A75E60" w:rsidRPr="00237EFA" w:rsidRDefault="00A75E60" w:rsidP="00A75E60">
            <w:pPr>
              <w:pStyle w:val="IAS"/>
              <w:rPr>
                <w:lang w:val="it-IT"/>
              </w:rPr>
            </w:pPr>
          </w:p>
        </w:tc>
        <w:tc>
          <w:tcPr>
            <w:tcW w:w="7079" w:type="dxa"/>
          </w:tcPr>
          <w:p w:rsidR="00A75E60" w:rsidRPr="00237EFA" w:rsidRDefault="00A75E60" w:rsidP="000E2839">
            <w:pPr>
              <w:pStyle w:val="Rientroa"/>
              <w:numPr>
                <w:ilvl w:val="0"/>
                <w:numId w:val="72"/>
              </w:numPr>
              <w:spacing w:line="226" w:lineRule="exact"/>
            </w:pPr>
            <w:r w:rsidRPr="00237EFA">
              <w:t>il numero di partecipanti che ricevono benefici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20"/>
        </w:trPr>
        <w:tc>
          <w:tcPr>
            <w:tcW w:w="567" w:type="dxa"/>
            <w:tcMar>
              <w:left w:w="108" w:type="dxa"/>
              <w:right w:w="0" w:type="dxa"/>
            </w:tcMar>
          </w:tcPr>
          <w:p w:rsidR="00A75E60" w:rsidRPr="008A0F36" w:rsidRDefault="00A75E60" w:rsidP="00A75E60">
            <w:pPr>
              <w:pStyle w:val="IAS"/>
              <w:rPr>
                <w:lang w:val="it-IT"/>
              </w:rPr>
            </w:pPr>
          </w:p>
        </w:tc>
        <w:tc>
          <w:tcPr>
            <w:tcW w:w="851" w:type="dxa"/>
            <w:tcMar>
              <w:right w:w="0" w:type="dxa"/>
            </w:tcMar>
          </w:tcPr>
          <w:p w:rsidR="00A75E60" w:rsidRPr="00237EFA" w:rsidRDefault="00A75E60" w:rsidP="00A75E60">
            <w:pPr>
              <w:pStyle w:val="IAS"/>
              <w:rPr>
                <w:lang w:val="it-IT"/>
              </w:rPr>
            </w:pPr>
          </w:p>
        </w:tc>
        <w:tc>
          <w:tcPr>
            <w:tcW w:w="7079" w:type="dxa"/>
          </w:tcPr>
          <w:p w:rsidR="00A75E60" w:rsidRPr="00237EFA" w:rsidRDefault="00A75E60" w:rsidP="000E2839">
            <w:pPr>
              <w:pStyle w:val="Rientroa"/>
              <w:numPr>
                <w:ilvl w:val="0"/>
                <w:numId w:val="72"/>
              </w:numPr>
              <w:spacing w:line="226" w:lineRule="exact"/>
            </w:pPr>
            <w:r w:rsidRPr="00237EFA">
              <w:t>il numero degli altri partecipanti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20"/>
        </w:trPr>
        <w:tc>
          <w:tcPr>
            <w:tcW w:w="567" w:type="dxa"/>
            <w:tcMar>
              <w:left w:w="108" w:type="dxa"/>
              <w:right w:w="0" w:type="dxa"/>
            </w:tcMar>
          </w:tcPr>
          <w:p w:rsidR="00A75E60" w:rsidRPr="008A0F36" w:rsidRDefault="00A75E60" w:rsidP="00A75E60">
            <w:pPr>
              <w:pStyle w:val="IAS"/>
              <w:rPr>
                <w:lang w:val="it-IT"/>
              </w:rPr>
            </w:pPr>
          </w:p>
        </w:tc>
        <w:tc>
          <w:tcPr>
            <w:tcW w:w="851" w:type="dxa"/>
            <w:tcMar>
              <w:right w:w="0" w:type="dxa"/>
            </w:tcMar>
          </w:tcPr>
          <w:p w:rsidR="00A75E60" w:rsidRPr="00237EFA" w:rsidRDefault="00A75E60" w:rsidP="00A75E60">
            <w:pPr>
              <w:pStyle w:val="IAS"/>
              <w:rPr>
                <w:lang w:val="it-IT"/>
              </w:rPr>
            </w:pPr>
          </w:p>
        </w:tc>
        <w:tc>
          <w:tcPr>
            <w:tcW w:w="7079" w:type="dxa"/>
          </w:tcPr>
          <w:p w:rsidR="00A75E60" w:rsidRPr="00237EFA" w:rsidRDefault="00A75E60" w:rsidP="000E2839">
            <w:pPr>
              <w:pStyle w:val="Rientroa"/>
              <w:numPr>
                <w:ilvl w:val="0"/>
                <w:numId w:val="72"/>
              </w:numPr>
              <w:spacing w:line="226" w:lineRule="exact"/>
            </w:pPr>
            <w:r w:rsidRPr="00237EFA">
              <w:t>il tipo di piano, ossia a benefici definiti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113"/>
        </w:trPr>
        <w:tc>
          <w:tcPr>
            <w:tcW w:w="567" w:type="dxa"/>
            <w:tcMar>
              <w:left w:w="108" w:type="dxa"/>
              <w:right w:w="0" w:type="dxa"/>
            </w:tcMar>
          </w:tcPr>
          <w:p w:rsidR="00A75E60" w:rsidRPr="008A0F36" w:rsidRDefault="00A75E60" w:rsidP="00A75E60">
            <w:pPr>
              <w:pStyle w:val="IAS"/>
              <w:rPr>
                <w:lang w:val="it-IT"/>
              </w:rPr>
            </w:pPr>
          </w:p>
        </w:tc>
        <w:tc>
          <w:tcPr>
            <w:tcW w:w="851" w:type="dxa"/>
            <w:tcMar>
              <w:right w:w="0" w:type="dxa"/>
            </w:tcMar>
          </w:tcPr>
          <w:p w:rsidR="00A75E60" w:rsidRPr="00237EFA" w:rsidRDefault="00A75E60" w:rsidP="00A75E60">
            <w:pPr>
              <w:pStyle w:val="IAS"/>
              <w:rPr>
                <w:lang w:val="it-IT"/>
              </w:rPr>
            </w:pPr>
          </w:p>
        </w:tc>
        <w:tc>
          <w:tcPr>
            <w:tcW w:w="7079" w:type="dxa"/>
          </w:tcPr>
          <w:p w:rsidR="00A75E60" w:rsidRPr="00237EFA" w:rsidRDefault="00A75E60" w:rsidP="000E2839">
            <w:pPr>
              <w:pStyle w:val="Rientroa"/>
              <w:numPr>
                <w:ilvl w:val="0"/>
                <w:numId w:val="72"/>
              </w:numPr>
              <w:spacing w:line="226" w:lineRule="exact"/>
            </w:pPr>
            <w:r w:rsidRPr="00237EFA">
              <w:t>una nota che indichi se i partecipanti contribuiscono al piano</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57"/>
        </w:trPr>
        <w:tc>
          <w:tcPr>
            <w:tcW w:w="567" w:type="dxa"/>
            <w:tcMar>
              <w:left w:w="108" w:type="dxa"/>
              <w:right w:w="0" w:type="dxa"/>
            </w:tcMar>
          </w:tcPr>
          <w:p w:rsidR="00A75E60" w:rsidRPr="008A0F36" w:rsidRDefault="00A75E60" w:rsidP="00A75E60">
            <w:pPr>
              <w:pStyle w:val="IAS"/>
              <w:rPr>
                <w:lang w:val="it-IT"/>
              </w:rPr>
            </w:pPr>
          </w:p>
        </w:tc>
        <w:tc>
          <w:tcPr>
            <w:tcW w:w="851" w:type="dxa"/>
            <w:tcMar>
              <w:right w:w="0" w:type="dxa"/>
            </w:tcMar>
          </w:tcPr>
          <w:p w:rsidR="00A75E60" w:rsidRPr="00237EFA" w:rsidRDefault="00A75E60" w:rsidP="00A75E60">
            <w:pPr>
              <w:pStyle w:val="IAS"/>
              <w:rPr>
                <w:lang w:val="it-IT"/>
              </w:rPr>
            </w:pPr>
          </w:p>
        </w:tc>
        <w:tc>
          <w:tcPr>
            <w:tcW w:w="7079" w:type="dxa"/>
          </w:tcPr>
          <w:p w:rsidR="00A75E60" w:rsidRPr="00237EFA" w:rsidRDefault="00A75E60" w:rsidP="000E2839">
            <w:pPr>
              <w:pStyle w:val="Rientroa"/>
              <w:numPr>
                <w:ilvl w:val="0"/>
                <w:numId w:val="72"/>
              </w:numPr>
              <w:spacing w:line="226" w:lineRule="exact"/>
            </w:pPr>
            <w:r w:rsidRPr="00237EFA">
              <w:t>una descrizione dei benefici previdenziali previsti per i partecipanti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20"/>
        </w:trPr>
        <w:tc>
          <w:tcPr>
            <w:tcW w:w="567" w:type="dxa"/>
            <w:tcMar>
              <w:left w:w="108" w:type="dxa"/>
              <w:right w:w="0" w:type="dxa"/>
            </w:tcMar>
          </w:tcPr>
          <w:p w:rsidR="00A75E60" w:rsidRPr="008A0F36" w:rsidRDefault="00A75E60" w:rsidP="00A75E60">
            <w:pPr>
              <w:pStyle w:val="IAS"/>
              <w:rPr>
                <w:lang w:val="it-IT"/>
              </w:rPr>
            </w:pPr>
          </w:p>
        </w:tc>
        <w:tc>
          <w:tcPr>
            <w:tcW w:w="851" w:type="dxa"/>
            <w:tcMar>
              <w:right w:w="0" w:type="dxa"/>
            </w:tcMar>
          </w:tcPr>
          <w:p w:rsidR="00A75E60" w:rsidRPr="00237EFA" w:rsidRDefault="00A75E60" w:rsidP="00A75E60">
            <w:pPr>
              <w:pStyle w:val="IAS"/>
              <w:rPr>
                <w:lang w:val="it-IT"/>
              </w:rPr>
            </w:pPr>
          </w:p>
        </w:tc>
        <w:tc>
          <w:tcPr>
            <w:tcW w:w="7079" w:type="dxa"/>
          </w:tcPr>
          <w:p w:rsidR="00A75E60" w:rsidRPr="00237EFA" w:rsidRDefault="00A75E60" w:rsidP="000E2839">
            <w:pPr>
              <w:pStyle w:val="Rientroa"/>
              <w:numPr>
                <w:ilvl w:val="0"/>
                <w:numId w:val="72"/>
              </w:numPr>
              <w:spacing w:line="226" w:lineRule="exact"/>
            </w:pPr>
            <w:r w:rsidRPr="00237EFA">
              <w:t>una descrizione di eventuali condizioni per la cessazione del piano</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20"/>
        </w:trPr>
        <w:tc>
          <w:tcPr>
            <w:tcW w:w="567" w:type="dxa"/>
            <w:tcMar>
              <w:left w:w="108" w:type="dxa"/>
              <w:right w:w="0" w:type="dxa"/>
            </w:tcMar>
          </w:tcPr>
          <w:p w:rsidR="00A75E60" w:rsidRPr="008A0F36" w:rsidRDefault="00A75E60" w:rsidP="00A75E60">
            <w:pPr>
              <w:pStyle w:val="IAS"/>
              <w:rPr>
                <w:lang w:val="it-IT"/>
              </w:rPr>
            </w:pPr>
          </w:p>
        </w:tc>
        <w:tc>
          <w:tcPr>
            <w:tcW w:w="851" w:type="dxa"/>
            <w:tcMar>
              <w:right w:w="0" w:type="dxa"/>
            </w:tcMar>
          </w:tcPr>
          <w:p w:rsidR="00A75E60" w:rsidRPr="00237EFA" w:rsidRDefault="00A75E60" w:rsidP="00A75E60">
            <w:pPr>
              <w:pStyle w:val="IAS"/>
              <w:rPr>
                <w:lang w:val="it-IT"/>
              </w:rPr>
            </w:pPr>
          </w:p>
        </w:tc>
        <w:tc>
          <w:tcPr>
            <w:tcW w:w="7079" w:type="dxa"/>
          </w:tcPr>
          <w:p w:rsidR="00A75E60" w:rsidRPr="00237EFA" w:rsidRDefault="00A75E60" w:rsidP="000E2839">
            <w:pPr>
              <w:pStyle w:val="Rientroa"/>
              <w:numPr>
                <w:ilvl w:val="0"/>
                <w:numId w:val="72"/>
              </w:numPr>
              <w:spacing w:line="226" w:lineRule="exact"/>
            </w:pPr>
            <w:r w:rsidRPr="00237EFA">
              <w:t>le variazioni negli elementi compresi nei punti da a) - g) durante il periodo preso in considerazione dal bilancio.</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A44ECD" w:rsidTr="00F235B5">
        <w:trPr>
          <w:cantSplit/>
          <w:trHeight w:val="20"/>
        </w:trPr>
        <w:tc>
          <w:tcPr>
            <w:tcW w:w="567" w:type="dxa"/>
            <w:tcMar>
              <w:left w:w="108" w:type="dxa"/>
              <w:right w:w="0" w:type="dxa"/>
            </w:tcMar>
          </w:tcPr>
          <w:p w:rsidR="00A75E60" w:rsidRPr="008A0F36" w:rsidRDefault="00A75E60" w:rsidP="00A75E60">
            <w:pPr>
              <w:pStyle w:val="IAS"/>
              <w:rPr>
                <w:lang w:val="it-IT"/>
              </w:rPr>
            </w:pPr>
          </w:p>
        </w:tc>
        <w:tc>
          <w:tcPr>
            <w:tcW w:w="851" w:type="dxa"/>
            <w:tcMar>
              <w:right w:w="0" w:type="dxa"/>
            </w:tcMar>
          </w:tcPr>
          <w:p w:rsidR="00A75E60" w:rsidRPr="00237EFA" w:rsidRDefault="00A75E60" w:rsidP="00A75E60">
            <w:pPr>
              <w:pStyle w:val="IAS"/>
              <w:rPr>
                <w:lang w:val="it-IT"/>
              </w:rPr>
            </w:pPr>
          </w:p>
        </w:tc>
        <w:tc>
          <w:tcPr>
            <w:tcW w:w="7079" w:type="dxa"/>
          </w:tcPr>
          <w:p w:rsidR="00A75E60" w:rsidRPr="00237EFA" w:rsidRDefault="00A75E60" w:rsidP="000E2839">
            <w:pPr>
              <w:pStyle w:val="Paragarfobordato"/>
            </w:pPr>
            <w:r w:rsidRPr="00237EFA">
              <w:t>Non è raro fare riferimento ad altri documenti facilmente disponibili per gli utilizzatori del bilancio nel quale il piano è descritto ed includere nella relazione solo informazioni sulle variazioni successive</w:t>
            </w:r>
          </w:p>
        </w:tc>
        <w:tc>
          <w:tcPr>
            <w:tcW w:w="575" w:type="dxa"/>
            <w:tcMar>
              <w:left w:w="85" w:type="dxa"/>
              <w:right w:w="85" w:type="dxa"/>
            </w:tcMar>
            <w:vAlign w:val="center"/>
          </w:tcPr>
          <w:p w:rsidR="00A75E60" w:rsidRPr="00090BE7" w:rsidRDefault="00A75E60" w:rsidP="00A75E60">
            <w:pPr>
              <w:jc w:val="center"/>
              <w:rPr>
                <w:lang w:val="it-IT"/>
              </w:rPr>
            </w:pPr>
          </w:p>
        </w:tc>
        <w:tc>
          <w:tcPr>
            <w:tcW w:w="567" w:type="dxa"/>
            <w:vAlign w:val="center"/>
          </w:tcPr>
          <w:p w:rsidR="00A75E60" w:rsidRPr="00090BE7" w:rsidRDefault="00A75E60" w:rsidP="00A75E60">
            <w:pPr>
              <w:jc w:val="center"/>
              <w:rPr>
                <w:lang w:val="it-IT"/>
              </w:rPr>
            </w:pPr>
          </w:p>
        </w:tc>
        <w:tc>
          <w:tcPr>
            <w:tcW w:w="567" w:type="dxa"/>
            <w:vAlign w:val="center"/>
          </w:tcPr>
          <w:p w:rsidR="00A75E60" w:rsidRPr="00090BE7" w:rsidRDefault="00A75E60" w:rsidP="00A75E60">
            <w:pPr>
              <w:jc w:val="center"/>
              <w:rPr>
                <w:lang w:val="it-IT"/>
              </w:rPr>
            </w:pPr>
          </w:p>
        </w:tc>
      </w:tr>
      <w:tr w:rsidR="00A75E60" w:rsidRPr="008129DA" w:rsidTr="00F235B5">
        <w:trPr>
          <w:cantSplit/>
          <w:trHeight w:val="547"/>
        </w:trPr>
        <w:tc>
          <w:tcPr>
            <w:tcW w:w="567" w:type="dxa"/>
            <w:tcMar>
              <w:left w:w="108" w:type="dxa"/>
              <w:right w:w="0" w:type="dxa"/>
            </w:tcMar>
          </w:tcPr>
          <w:p w:rsidR="00A75E60" w:rsidRPr="008A0F36" w:rsidRDefault="00A75E60" w:rsidP="00A75E60">
            <w:pPr>
              <w:pStyle w:val="Numeroelenco"/>
              <w:ind w:left="0" w:firstLine="57"/>
              <w:rPr>
                <w:lang w:val="it-IT"/>
              </w:rPr>
            </w:pPr>
          </w:p>
        </w:tc>
        <w:tc>
          <w:tcPr>
            <w:tcW w:w="851" w:type="dxa"/>
            <w:tcMar>
              <w:right w:w="0" w:type="dxa"/>
            </w:tcMar>
          </w:tcPr>
          <w:p w:rsidR="00A75E60" w:rsidRPr="00237EFA" w:rsidRDefault="00A75E60" w:rsidP="00A75E60">
            <w:pPr>
              <w:pStyle w:val="IAS"/>
              <w:rPr>
                <w:lang w:val="it-IT"/>
              </w:rPr>
            </w:pPr>
            <w:r w:rsidRPr="00237EFA">
              <w:rPr>
                <w:lang w:val="it-IT"/>
              </w:rPr>
              <w:t>IAS 26.18</w:t>
            </w:r>
          </w:p>
        </w:tc>
        <w:tc>
          <w:tcPr>
            <w:tcW w:w="7079" w:type="dxa"/>
          </w:tcPr>
          <w:p w:rsidR="00A75E60" w:rsidRPr="00237EFA" w:rsidRDefault="00A75E60" w:rsidP="000E2839">
            <w:pPr>
              <w:spacing w:line="226" w:lineRule="exact"/>
              <w:rPr>
                <w:lang w:val="it-IT"/>
              </w:rPr>
            </w:pPr>
            <w:r w:rsidRPr="00237EFA">
              <w:rPr>
                <w:lang w:val="it-IT"/>
              </w:rPr>
              <w:t>E’ stato indicato l’effetto di eventuali variazioni dei parametri attuariali che hanno avuto un effetto rilevante sul valore attuale attuariale dei benefici previdenziali previsti</w:t>
            </w:r>
            <w:r>
              <w:rPr>
                <w:lang w:val="it-IT"/>
              </w:rPr>
              <w:t>.</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283"/>
        </w:trPr>
        <w:tc>
          <w:tcPr>
            <w:tcW w:w="567" w:type="dxa"/>
            <w:tcMar>
              <w:left w:w="108" w:type="dxa"/>
              <w:right w:w="0" w:type="dxa"/>
            </w:tcMar>
          </w:tcPr>
          <w:p w:rsidR="00A75E60" w:rsidRPr="008A0F36" w:rsidRDefault="00A75E60" w:rsidP="00A75E60">
            <w:pPr>
              <w:pStyle w:val="Numeroelenco"/>
              <w:ind w:left="0" w:firstLine="57"/>
              <w:rPr>
                <w:lang w:val="it-IT"/>
              </w:rPr>
            </w:pPr>
          </w:p>
        </w:tc>
        <w:tc>
          <w:tcPr>
            <w:tcW w:w="851" w:type="dxa"/>
            <w:tcMar>
              <w:right w:w="0" w:type="dxa"/>
            </w:tcMar>
          </w:tcPr>
          <w:p w:rsidR="00A75E60" w:rsidRPr="00237EFA" w:rsidRDefault="00A75E60" w:rsidP="00A75E60">
            <w:pPr>
              <w:pStyle w:val="IAS"/>
              <w:rPr>
                <w:lang w:val="it-IT"/>
              </w:rPr>
            </w:pPr>
            <w:r w:rsidRPr="00237EFA">
              <w:rPr>
                <w:lang w:val="it-IT"/>
              </w:rPr>
              <w:t>IAS 26.17</w:t>
            </w:r>
          </w:p>
        </w:tc>
        <w:tc>
          <w:tcPr>
            <w:tcW w:w="7079" w:type="dxa"/>
          </w:tcPr>
          <w:p w:rsidR="00A75E60" w:rsidRPr="00237EFA" w:rsidRDefault="00A75E60" w:rsidP="000E2839">
            <w:pPr>
              <w:spacing w:line="226" w:lineRule="exact"/>
              <w:rPr>
                <w:lang w:val="it-IT"/>
              </w:rPr>
            </w:pPr>
            <w:r w:rsidRPr="00237EFA">
              <w:rPr>
                <w:lang w:val="it-IT"/>
              </w:rPr>
              <w:t>Se una valutazione attuariale non è stata preparata alla data di chiusura dell’esercizio, deve essere usata come base la valutazione attuariale più recente, la cui data deve essere indicata.</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427"/>
        </w:trPr>
        <w:tc>
          <w:tcPr>
            <w:tcW w:w="567" w:type="dxa"/>
            <w:tcMar>
              <w:left w:w="108" w:type="dxa"/>
              <w:right w:w="0" w:type="dxa"/>
            </w:tcMar>
          </w:tcPr>
          <w:p w:rsidR="00A75E60" w:rsidRPr="008A0F36" w:rsidRDefault="00A75E60" w:rsidP="00A75E60">
            <w:pPr>
              <w:pStyle w:val="Numeroelenco"/>
              <w:ind w:left="0" w:firstLine="57"/>
              <w:rPr>
                <w:lang w:val="it-IT"/>
              </w:rPr>
            </w:pPr>
          </w:p>
        </w:tc>
        <w:tc>
          <w:tcPr>
            <w:tcW w:w="851" w:type="dxa"/>
            <w:tcMar>
              <w:right w:w="0" w:type="dxa"/>
            </w:tcMar>
          </w:tcPr>
          <w:p w:rsidR="00A75E60" w:rsidRPr="00237EFA" w:rsidRDefault="00A75E60" w:rsidP="00A75E60">
            <w:pPr>
              <w:pStyle w:val="IAS"/>
              <w:rPr>
                <w:lang w:val="it-IT"/>
              </w:rPr>
            </w:pPr>
            <w:r w:rsidRPr="00237EFA">
              <w:rPr>
                <w:lang w:val="it-IT"/>
              </w:rPr>
              <w:t>IAS 26.18</w:t>
            </w:r>
          </w:p>
        </w:tc>
        <w:tc>
          <w:tcPr>
            <w:tcW w:w="7079" w:type="dxa"/>
          </w:tcPr>
          <w:p w:rsidR="00A75E60" w:rsidRPr="00237EFA" w:rsidRDefault="00A75E60" w:rsidP="000E2839">
            <w:pPr>
              <w:spacing w:line="226" w:lineRule="exact"/>
              <w:rPr>
                <w:lang w:val="it-IT"/>
              </w:rPr>
            </w:pPr>
            <w:r w:rsidRPr="00237EFA">
              <w:rPr>
                <w:lang w:val="it-IT"/>
              </w:rPr>
              <w:t>L’entità ha indicato il criterio usato - il livello delle retribuzioni correnti o quello delle previsioni delle retribuzioni - per calcolare il valore attuale attuariale dei benefici previdenziali previsti.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386"/>
        </w:trPr>
        <w:tc>
          <w:tcPr>
            <w:tcW w:w="567" w:type="dxa"/>
            <w:tcMar>
              <w:left w:w="108" w:type="dxa"/>
              <w:right w:w="0" w:type="dxa"/>
            </w:tcMar>
          </w:tcPr>
          <w:p w:rsidR="00A75E60" w:rsidRPr="008A0F36" w:rsidRDefault="00A75E60" w:rsidP="00A75E60">
            <w:pPr>
              <w:pStyle w:val="Numeroelenco"/>
              <w:ind w:left="0" w:firstLine="57"/>
              <w:rPr>
                <w:lang w:val="it-IT"/>
              </w:rPr>
            </w:pPr>
          </w:p>
        </w:tc>
        <w:tc>
          <w:tcPr>
            <w:tcW w:w="851" w:type="dxa"/>
            <w:tcMar>
              <w:right w:w="0" w:type="dxa"/>
            </w:tcMar>
          </w:tcPr>
          <w:p w:rsidR="00A75E60" w:rsidRPr="00237EFA" w:rsidRDefault="00A75E60" w:rsidP="00A75E60">
            <w:pPr>
              <w:pStyle w:val="IAS"/>
              <w:rPr>
                <w:lang w:val="it-IT"/>
              </w:rPr>
            </w:pPr>
            <w:r w:rsidRPr="00237EFA">
              <w:rPr>
                <w:lang w:val="it-IT"/>
              </w:rPr>
              <w:t>IAS 26.32</w:t>
            </w:r>
          </w:p>
        </w:tc>
        <w:tc>
          <w:tcPr>
            <w:tcW w:w="7079" w:type="dxa"/>
          </w:tcPr>
          <w:p w:rsidR="00A75E60" w:rsidRPr="00237EFA" w:rsidRDefault="00A75E60" w:rsidP="000E2839">
            <w:pPr>
              <w:spacing w:line="226" w:lineRule="exact"/>
              <w:rPr>
                <w:lang w:val="it-IT"/>
              </w:rPr>
            </w:pPr>
            <w:r w:rsidRPr="00237EFA">
              <w:rPr>
                <w:lang w:val="it-IT"/>
              </w:rPr>
              <w:t xml:space="preserve">Laddove non sia possibile una stima del </w:t>
            </w:r>
            <w:r w:rsidRPr="00237EFA">
              <w:rPr>
                <w:i/>
                <w:lang w:val="it-IT"/>
              </w:rPr>
              <w:t>fair value</w:t>
            </w:r>
            <w:r w:rsidRPr="00237EFA">
              <w:rPr>
                <w:lang w:val="it-IT"/>
              </w:rPr>
              <w:t xml:space="preserve"> degli investimenti posseduti dal piano deve essere fornita un’illustrazione dei motivi per i quali non viene utilizzato il </w:t>
            </w:r>
            <w:r w:rsidRPr="00237EFA">
              <w:rPr>
                <w:i/>
                <w:lang w:val="it-IT"/>
              </w:rPr>
              <w:t>fair value</w:t>
            </w:r>
            <w:r w:rsidRPr="00237EFA">
              <w:rPr>
                <w:lang w:val="it-IT"/>
              </w:rPr>
              <w:t xml:space="preserve">. </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A44ECD" w:rsidTr="00F235B5">
        <w:trPr>
          <w:cantSplit/>
          <w:trHeight w:val="194"/>
        </w:trPr>
        <w:tc>
          <w:tcPr>
            <w:tcW w:w="567" w:type="dxa"/>
            <w:tcMar>
              <w:left w:w="108" w:type="dxa"/>
              <w:right w:w="0" w:type="dxa"/>
            </w:tcMar>
          </w:tcPr>
          <w:p w:rsidR="00A75E60" w:rsidRPr="008A0F36" w:rsidRDefault="00A75E60" w:rsidP="00A75E60">
            <w:pPr>
              <w:pStyle w:val="Numeroelenco"/>
              <w:ind w:left="0" w:firstLine="57"/>
              <w:rPr>
                <w:lang w:val="it-IT"/>
              </w:rPr>
            </w:pPr>
          </w:p>
        </w:tc>
        <w:tc>
          <w:tcPr>
            <w:tcW w:w="851" w:type="dxa"/>
            <w:tcMar>
              <w:right w:w="0" w:type="dxa"/>
            </w:tcMar>
          </w:tcPr>
          <w:p w:rsidR="00A75E60" w:rsidRPr="00237EFA" w:rsidRDefault="00A75E60" w:rsidP="00A75E60">
            <w:pPr>
              <w:pStyle w:val="IAS"/>
              <w:rPr>
                <w:lang w:val="it-IT"/>
              </w:rPr>
            </w:pPr>
            <w:r w:rsidRPr="00237EFA">
              <w:rPr>
                <w:lang w:val="it-IT"/>
              </w:rPr>
              <w:t>IAS 26.17</w:t>
            </w:r>
          </w:p>
        </w:tc>
        <w:tc>
          <w:tcPr>
            <w:tcW w:w="7079" w:type="dxa"/>
          </w:tcPr>
          <w:p w:rsidR="00A75E60" w:rsidRPr="00237EFA" w:rsidRDefault="00A75E60" w:rsidP="000E2839">
            <w:pPr>
              <w:spacing w:line="230" w:lineRule="exact"/>
              <w:rPr>
                <w:lang w:val="it-IT"/>
              </w:rPr>
            </w:pPr>
            <w:r w:rsidRPr="00237EFA">
              <w:rPr>
                <w:lang w:val="it-IT"/>
              </w:rPr>
              <w:t>Il bilancio del piano a benefici definiti deve contenere alternativamente:</w:t>
            </w:r>
          </w:p>
        </w:tc>
        <w:tc>
          <w:tcPr>
            <w:tcW w:w="575" w:type="dxa"/>
            <w:tcMar>
              <w:left w:w="85" w:type="dxa"/>
              <w:right w:w="85" w:type="dxa"/>
            </w:tcMar>
            <w:vAlign w:val="center"/>
          </w:tcPr>
          <w:p w:rsidR="00A75E60" w:rsidRPr="00090BE7" w:rsidRDefault="00A75E60" w:rsidP="00A75E60">
            <w:pPr>
              <w:jc w:val="center"/>
              <w:rPr>
                <w:lang w:val="it-IT"/>
              </w:rPr>
            </w:pPr>
          </w:p>
        </w:tc>
        <w:tc>
          <w:tcPr>
            <w:tcW w:w="567" w:type="dxa"/>
            <w:vAlign w:val="center"/>
          </w:tcPr>
          <w:p w:rsidR="00A75E60" w:rsidRPr="00090BE7" w:rsidRDefault="00A75E60" w:rsidP="00A75E60">
            <w:pPr>
              <w:jc w:val="center"/>
              <w:rPr>
                <w:lang w:val="it-IT"/>
              </w:rPr>
            </w:pPr>
          </w:p>
        </w:tc>
        <w:tc>
          <w:tcPr>
            <w:tcW w:w="567" w:type="dxa"/>
            <w:vAlign w:val="center"/>
          </w:tcPr>
          <w:p w:rsidR="00A75E60" w:rsidRPr="00090BE7" w:rsidRDefault="00A75E60" w:rsidP="00A75E60">
            <w:pPr>
              <w:jc w:val="center"/>
              <w:rPr>
                <w:lang w:val="it-IT"/>
              </w:rPr>
            </w:pPr>
          </w:p>
        </w:tc>
      </w:tr>
      <w:tr w:rsidR="00A75E60" w:rsidRPr="008A0F36" w:rsidTr="00F235B5">
        <w:trPr>
          <w:cantSplit/>
          <w:trHeight w:val="160"/>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0E2839">
            <w:pPr>
              <w:pStyle w:val="Rientroa"/>
              <w:numPr>
                <w:ilvl w:val="0"/>
                <w:numId w:val="208"/>
              </w:numPr>
              <w:tabs>
                <w:tab w:val="center" w:pos="4536"/>
                <w:tab w:val="right" w:pos="9072"/>
              </w:tabs>
              <w:spacing w:line="230" w:lineRule="exact"/>
              <w:rPr>
                <w:iCs/>
              </w:rPr>
            </w:pPr>
            <w:r w:rsidRPr="00237EFA">
              <w:t>un prospetto che evidenzi: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160"/>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0E2839">
            <w:pPr>
              <w:pStyle w:val="Rientroisottoa"/>
              <w:spacing w:line="230" w:lineRule="exact"/>
            </w:pPr>
            <w:r w:rsidRPr="00237EFA">
              <w:t>i)</w:t>
            </w:r>
            <w:r w:rsidRPr="00237EFA">
              <w:tab/>
              <w:t>le attività nette disponibili per i benefici da erogare</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136"/>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0E2839">
            <w:pPr>
              <w:pStyle w:val="Rientroisottoa"/>
              <w:spacing w:line="230" w:lineRule="exact"/>
            </w:pPr>
            <w:r w:rsidRPr="00237EFA">
              <w:t>ii)</w:t>
            </w:r>
            <w:r w:rsidRPr="00237EFA">
              <w:tab/>
              <w:t>il valore attuale attuariale dei benefici previdenziali previsti, distinguendo tra quelli acquisiti e quelli non ancora acquisiti; e</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160"/>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0E2839">
            <w:pPr>
              <w:pStyle w:val="Rientroisottoa"/>
              <w:spacing w:line="230" w:lineRule="exact"/>
            </w:pPr>
            <w:r w:rsidRPr="00237EFA">
              <w:t>iii)</w:t>
            </w:r>
            <w:r w:rsidRPr="00237EFA">
              <w:tab/>
              <w:t>l’avanzo o il disavanzo risultante; o</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160"/>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0E2839">
            <w:pPr>
              <w:pStyle w:val="Rientroa"/>
              <w:numPr>
                <w:ilvl w:val="0"/>
                <w:numId w:val="72"/>
              </w:numPr>
              <w:spacing w:line="230" w:lineRule="exact"/>
            </w:pPr>
            <w:r w:rsidRPr="00237EFA">
              <w:t>un prospetto delle attività nette disponibili per i benefici da erogare comprendente alternativamente:</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0E2839">
            <w:pPr>
              <w:pStyle w:val="Rientroisottoa"/>
              <w:spacing w:line="230" w:lineRule="exact"/>
            </w:pPr>
            <w:r w:rsidRPr="00237EFA">
              <w:t>i)</w:t>
            </w:r>
            <w:r w:rsidRPr="00237EFA">
              <w:tab/>
              <w:t>una nota indicante il valore attuale attuariale dei benefici previdenziali previsti, distinguendo tra quelli acquisiti e quelli non ancora acquisiti; o</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0E2839">
            <w:pPr>
              <w:pStyle w:val="Rientroisottoa"/>
              <w:spacing w:line="230" w:lineRule="exact"/>
            </w:pPr>
            <w:r w:rsidRPr="00237EFA">
              <w:t>ii)</w:t>
            </w:r>
            <w:r w:rsidRPr="00237EFA">
              <w:tab/>
              <w:t>un riferimento a queste informazioni contenute in una relazione attuariale allegata.</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3A5BB7">
            <w:pPr>
              <w:pStyle w:val="Numeroelenco"/>
              <w:ind w:left="0" w:firstLine="57"/>
              <w:rPr>
                <w:lang w:val="it-IT"/>
              </w:rPr>
            </w:pPr>
          </w:p>
        </w:tc>
        <w:tc>
          <w:tcPr>
            <w:tcW w:w="851" w:type="dxa"/>
            <w:tcMar>
              <w:left w:w="108" w:type="dxa"/>
              <w:right w:w="0" w:type="dxa"/>
            </w:tcMar>
          </w:tcPr>
          <w:p w:rsidR="00A75E60" w:rsidRPr="00237EFA" w:rsidRDefault="00A75E60" w:rsidP="003A5BB7">
            <w:pPr>
              <w:pStyle w:val="IAS"/>
              <w:rPr>
                <w:lang w:val="it-IT"/>
              </w:rPr>
            </w:pPr>
            <w:r w:rsidRPr="00237EFA">
              <w:rPr>
                <w:lang w:val="it-IT"/>
              </w:rPr>
              <w:t>IAS 26.19</w:t>
            </w:r>
          </w:p>
        </w:tc>
        <w:tc>
          <w:tcPr>
            <w:tcW w:w="7079" w:type="dxa"/>
            <w:tcMar>
              <w:left w:w="108" w:type="dxa"/>
            </w:tcMar>
          </w:tcPr>
          <w:p w:rsidR="00A75E60" w:rsidRPr="00237EFA" w:rsidRDefault="00A75E60" w:rsidP="000E2839">
            <w:pPr>
              <w:spacing w:line="226" w:lineRule="exact"/>
              <w:rPr>
                <w:lang w:val="it-IT"/>
              </w:rPr>
            </w:pPr>
            <w:r w:rsidRPr="00237EFA">
              <w:rPr>
                <w:lang w:val="it-IT"/>
              </w:rPr>
              <w:t>La relazione illustra il rapporto tra il valore attuale attuariale dei benefici previdenziali previsti e le attività nette disponibili per i benefici da erogare e la politica per il finanziamento dei benefici previsti</w:t>
            </w:r>
            <w:r>
              <w:rPr>
                <w:lang w:val="it-IT"/>
              </w:rPr>
              <w:t>.</w:t>
            </w:r>
          </w:p>
        </w:tc>
        <w:tc>
          <w:tcPr>
            <w:tcW w:w="575" w:type="dxa"/>
            <w:tcMar>
              <w:left w:w="85" w:type="dxa"/>
              <w:right w:w="85" w:type="dxa"/>
            </w:tcMar>
            <w:vAlign w:val="center"/>
          </w:tcPr>
          <w:p w:rsidR="00A75E60" w:rsidRPr="00A32A16" w:rsidRDefault="00A75E60" w:rsidP="003A5BB7">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3A5BB7">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3A5BB7">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A44ECD" w:rsidTr="00F235B5">
        <w:trPr>
          <w:cantSplit/>
        </w:trPr>
        <w:tc>
          <w:tcPr>
            <w:tcW w:w="567" w:type="dxa"/>
            <w:tcMar>
              <w:left w:w="108" w:type="dxa"/>
              <w:right w:w="0" w:type="dxa"/>
            </w:tcMar>
          </w:tcPr>
          <w:p w:rsidR="00A75E60" w:rsidRPr="008A0F36" w:rsidRDefault="00A75E60" w:rsidP="00A75E60">
            <w:pPr>
              <w:pStyle w:val="Numeroelenco"/>
              <w:ind w:left="0" w:firstLine="57"/>
              <w:rPr>
                <w:lang w:val="it-IT"/>
              </w:rPr>
            </w:pPr>
          </w:p>
        </w:tc>
        <w:tc>
          <w:tcPr>
            <w:tcW w:w="851" w:type="dxa"/>
            <w:tcMar>
              <w:left w:w="108" w:type="dxa"/>
              <w:right w:w="0" w:type="dxa"/>
            </w:tcMar>
          </w:tcPr>
          <w:p w:rsidR="00A75E60" w:rsidRPr="00237EFA" w:rsidRDefault="00A75E60" w:rsidP="00A75E60">
            <w:pPr>
              <w:pStyle w:val="IAS"/>
              <w:rPr>
                <w:lang w:val="it-IT"/>
              </w:rPr>
            </w:pPr>
            <w:r w:rsidRPr="00237EFA">
              <w:rPr>
                <w:lang w:val="it-IT"/>
              </w:rPr>
              <w:t>IAS 26.22</w:t>
            </w:r>
          </w:p>
        </w:tc>
        <w:tc>
          <w:tcPr>
            <w:tcW w:w="7079" w:type="dxa"/>
            <w:tcMar>
              <w:left w:w="108" w:type="dxa"/>
            </w:tcMar>
          </w:tcPr>
          <w:p w:rsidR="00A75E60" w:rsidRPr="00237EFA" w:rsidRDefault="00A75E60" w:rsidP="000E2839">
            <w:pPr>
              <w:spacing w:line="226" w:lineRule="exact"/>
              <w:rPr>
                <w:lang w:val="it-IT"/>
              </w:rPr>
            </w:pPr>
            <w:r w:rsidRPr="00237EFA">
              <w:rPr>
                <w:lang w:val="it-IT"/>
              </w:rPr>
              <w:t>La relazione del piano a benefici definiti contiene le seguenti informazioni addizionali:</w:t>
            </w:r>
          </w:p>
        </w:tc>
        <w:tc>
          <w:tcPr>
            <w:tcW w:w="575" w:type="dxa"/>
            <w:tcMar>
              <w:left w:w="85" w:type="dxa"/>
              <w:right w:w="85" w:type="dxa"/>
            </w:tcMar>
            <w:vAlign w:val="center"/>
          </w:tcPr>
          <w:p w:rsidR="00A75E60" w:rsidRPr="00090BE7" w:rsidRDefault="00A75E60" w:rsidP="00A75E60">
            <w:pPr>
              <w:jc w:val="center"/>
              <w:rPr>
                <w:lang w:val="it-IT"/>
              </w:rPr>
            </w:pPr>
          </w:p>
        </w:tc>
        <w:tc>
          <w:tcPr>
            <w:tcW w:w="567" w:type="dxa"/>
            <w:tcMar>
              <w:left w:w="108" w:type="dxa"/>
            </w:tcMar>
            <w:vAlign w:val="center"/>
          </w:tcPr>
          <w:p w:rsidR="00A75E60" w:rsidRPr="00090BE7" w:rsidRDefault="00A75E60" w:rsidP="00A75E60">
            <w:pPr>
              <w:jc w:val="center"/>
              <w:rPr>
                <w:lang w:val="it-IT"/>
              </w:rPr>
            </w:pPr>
          </w:p>
        </w:tc>
        <w:tc>
          <w:tcPr>
            <w:tcW w:w="567" w:type="dxa"/>
            <w:vAlign w:val="center"/>
          </w:tcPr>
          <w:p w:rsidR="00A75E60" w:rsidRPr="00090BE7" w:rsidRDefault="00A75E60" w:rsidP="00A75E60">
            <w:pPr>
              <w:jc w:val="center"/>
              <w:rPr>
                <w:lang w:val="it-IT"/>
              </w:rPr>
            </w:pP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0E2839">
            <w:pPr>
              <w:pStyle w:val="Rientroa"/>
              <w:numPr>
                <w:ilvl w:val="0"/>
                <w:numId w:val="191"/>
              </w:numPr>
              <w:tabs>
                <w:tab w:val="center" w:pos="4536"/>
                <w:tab w:val="right" w:pos="9072"/>
              </w:tabs>
              <w:spacing w:line="226" w:lineRule="exact"/>
              <w:rPr>
                <w:iCs/>
              </w:rPr>
            </w:pPr>
            <w:r w:rsidRPr="00237EFA">
              <w:t>una descrizione delle operazioni dell’esercizio rilevanti e l’effetto di eventuali variazioni relative al piano, la sua composizione e le sue condizioni generali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0E2839">
            <w:pPr>
              <w:pStyle w:val="Rientroa"/>
              <w:numPr>
                <w:ilvl w:val="0"/>
                <w:numId w:val="72"/>
              </w:numPr>
              <w:spacing w:line="226" w:lineRule="exact"/>
            </w:pPr>
            <w:r w:rsidRPr="00237EFA">
              <w:t>rendiconti delle operazioni e del rendimento degli investimenti nell’esercizio e la situazione patrimoniale-finanziaria del piano al termine dell’esercizio</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0E2839">
            <w:pPr>
              <w:pStyle w:val="Rientroa"/>
              <w:numPr>
                <w:ilvl w:val="0"/>
                <w:numId w:val="72"/>
              </w:numPr>
              <w:spacing w:line="226" w:lineRule="exact"/>
            </w:pPr>
            <w:r w:rsidRPr="00237EFA">
              <w:t>informazioni attuariali, sia come parte del rendiconto, sia come relazione separata; e</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0E2839">
            <w:pPr>
              <w:pStyle w:val="Rientroa"/>
              <w:numPr>
                <w:ilvl w:val="0"/>
                <w:numId w:val="72"/>
              </w:numPr>
              <w:spacing w:line="226" w:lineRule="exact"/>
            </w:pPr>
            <w:r w:rsidRPr="00237EFA">
              <w:t>una descrizione delle politiche d’investimento.</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A0F36" w:rsidTr="00F235B5">
        <w:trPr>
          <w:cantSplit/>
        </w:trPr>
        <w:tc>
          <w:tcPr>
            <w:tcW w:w="567" w:type="dxa"/>
            <w:tcMar>
              <w:left w:w="108" w:type="dxa"/>
              <w:right w:w="0" w:type="dxa"/>
            </w:tcMar>
            <w:vAlign w:val="center"/>
          </w:tcPr>
          <w:p w:rsidR="00A75E60" w:rsidRPr="008A0F36" w:rsidRDefault="00A75E60" w:rsidP="000E2839">
            <w:pPr>
              <w:pStyle w:val="IAS"/>
              <w:pageBreakBefore/>
              <w:spacing w:after="40" w:line="224" w:lineRule="exact"/>
              <w:jc w:val="left"/>
              <w:rPr>
                <w:lang w:val="it-IT"/>
              </w:rPr>
            </w:pPr>
          </w:p>
        </w:tc>
        <w:tc>
          <w:tcPr>
            <w:tcW w:w="851" w:type="dxa"/>
            <w:tcMar>
              <w:left w:w="108" w:type="dxa"/>
              <w:right w:w="0" w:type="dxa"/>
            </w:tcMar>
            <w:vAlign w:val="center"/>
          </w:tcPr>
          <w:p w:rsidR="00A75E60" w:rsidRPr="00237EFA" w:rsidRDefault="00A75E60" w:rsidP="000E2839">
            <w:pPr>
              <w:pStyle w:val="IAS"/>
              <w:pageBreakBefore/>
              <w:spacing w:after="40" w:line="224" w:lineRule="exact"/>
              <w:jc w:val="left"/>
              <w:rPr>
                <w:lang w:val="it-IT"/>
              </w:rPr>
            </w:pPr>
          </w:p>
        </w:tc>
        <w:tc>
          <w:tcPr>
            <w:tcW w:w="7079" w:type="dxa"/>
            <w:tcMar>
              <w:left w:w="108" w:type="dxa"/>
            </w:tcMar>
            <w:vAlign w:val="center"/>
          </w:tcPr>
          <w:p w:rsidR="00A75E60" w:rsidRPr="00237EFA" w:rsidRDefault="00A75E60" w:rsidP="000E2839">
            <w:pPr>
              <w:pStyle w:val="Titolo1"/>
              <w:pageBreakBefore/>
              <w:spacing w:before="40" w:after="40" w:line="224" w:lineRule="exact"/>
            </w:pPr>
            <w:r w:rsidRPr="00237EFA">
              <w:t>Bilanci Intermedi</w:t>
            </w:r>
          </w:p>
        </w:tc>
        <w:tc>
          <w:tcPr>
            <w:tcW w:w="575" w:type="dxa"/>
            <w:tcMar>
              <w:left w:w="85" w:type="dxa"/>
              <w:right w:w="85" w:type="dxa"/>
            </w:tcMar>
            <w:vAlign w:val="center"/>
          </w:tcPr>
          <w:p w:rsidR="00A75E60" w:rsidRDefault="00A75E60" w:rsidP="000E2839">
            <w:pPr>
              <w:pageBreakBefore/>
              <w:spacing w:before="40" w:after="40" w:line="224" w:lineRule="exact"/>
              <w:jc w:val="left"/>
            </w:pPr>
          </w:p>
        </w:tc>
        <w:tc>
          <w:tcPr>
            <w:tcW w:w="567" w:type="dxa"/>
            <w:tcMar>
              <w:left w:w="108" w:type="dxa"/>
            </w:tcMar>
            <w:vAlign w:val="center"/>
          </w:tcPr>
          <w:p w:rsidR="00A75E60" w:rsidRDefault="00A75E60" w:rsidP="000E2839">
            <w:pPr>
              <w:pageBreakBefore/>
              <w:spacing w:before="40" w:after="40" w:line="224" w:lineRule="exact"/>
              <w:jc w:val="left"/>
            </w:pPr>
          </w:p>
        </w:tc>
        <w:tc>
          <w:tcPr>
            <w:tcW w:w="567" w:type="dxa"/>
            <w:vAlign w:val="center"/>
          </w:tcPr>
          <w:p w:rsidR="00A75E60" w:rsidRDefault="00A75E60" w:rsidP="000E2839">
            <w:pPr>
              <w:pageBreakBefore/>
              <w:spacing w:before="40" w:after="40" w:line="224" w:lineRule="exact"/>
              <w:jc w:val="left"/>
            </w:pPr>
          </w:p>
        </w:tc>
      </w:tr>
      <w:tr w:rsidR="00A75E60" w:rsidRPr="00A44ECD" w:rsidTr="00F235B5">
        <w:trPr>
          <w:cantSplit/>
          <w:trHeight w:val="283"/>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r w:rsidRPr="00237EFA">
              <w:rPr>
                <w:lang w:val="it-IT"/>
              </w:rPr>
              <w:t>IAS 34.1</w:t>
            </w:r>
          </w:p>
        </w:tc>
        <w:tc>
          <w:tcPr>
            <w:tcW w:w="7079" w:type="dxa"/>
            <w:tcMar>
              <w:left w:w="108" w:type="dxa"/>
            </w:tcMar>
          </w:tcPr>
          <w:p w:rsidR="00A75E60" w:rsidRPr="00237EFA" w:rsidRDefault="00A75E60" w:rsidP="000E2839">
            <w:pPr>
              <w:pStyle w:val="Paragarfobordato"/>
            </w:pPr>
            <w:r w:rsidRPr="00237EFA">
              <w:t>Lo IAS 34 non sancisce se un’entità debba presentare bilanci intermedi, con quale frequenza, o quanto tempo dopo la fine del periodo di riferimento. Tuttavia lo IAS 34 si applica laddove l’entità è obbligato o sceglie di pubblicare bilanci intermedi applicando gli IFRS.</w:t>
            </w:r>
          </w:p>
        </w:tc>
        <w:tc>
          <w:tcPr>
            <w:tcW w:w="575" w:type="dxa"/>
            <w:tcMar>
              <w:left w:w="85" w:type="dxa"/>
              <w:right w:w="85" w:type="dxa"/>
            </w:tcMar>
            <w:vAlign w:val="center"/>
          </w:tcPr>
          <w:p w:rsidR="00A75E60" w:rsidRPr="00090BE7" w:rsidRDefault="00A75E60" w:rsidP="00A75E60">
            <w:pPr>
              <w:jc w:val="center"/>
              <w:rPr>
                <w:lang w:val="it-IT"/>
              </w:rPr>
            </w:pPr>
          </w:p>
        </w:tc>
        <w:tc>
          <w:tcPr>
            <w:tcW w:w="567" w:type="dxa"/>
            <w:tcMar>
              <w:left w:w="108" w:type="dxa"/>
            </w:tcMar>
            <w:vAlign w:val="center"/>
          </w:tcPr>
          <w:p w:rsidR="00A75E60" w:rsidRPr="00090BE7" w:rsidRDefault="00A75E60" w:rsidP="00A75E60">
            <w:pPr>
              <w:jc w:val="center"/>
              <w:rPr>
                <w:lang w:val="it-IT"/>
              </w:rPr>
            </w:pPr>
          </w:p>
        </w:tc>
        <w:tc>
          <w:tcPr>
            <w:tcW w:w="567" w:type="dxa"/>
            <w:tcMar>
              <w:left w:w="108" w:type="dxa"/>
            </w:tcMar>
            <w:vAlign w:val="center"/>
          </w:tcPr>
          <w:p w:rsidR="00A75E60" w:rsidRPr="00090BE7" w:rsidRDefault="00A75E60" w:rsidP="00A75E60">
            <w:pPr>
              <w:jc w:val="center"/>
              <w:rPr>
                <w:lang w:val="it-IT"/>
              </w:rPr>
            </w:pPr>
          </w:p>
        </w:tc>
      </w:tr>
      <w:tr w:rsidR="00A75E60" w:rsidRPr="00A44ECD" w:rsidTr="00F235B5">
        <w:trPr>
          <w:cantSplit/>
          <w:trHeight w:val="283"/>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r w:rsidRPr="00237EFA">
              <w:rPr>
                <w:lang w:val="it-IT"/>
              </w:rPr>
              <w:t>IAS 34.9</w:t>
            </w:r>
          </w:p>
        </w:tc>
        <w:tc>
          <w:tcPr>
            <w:tcW w:w="7079" w:type="dxa"/>
            <w:tcMar>
              <w:left w:w="108" w:type="dxa"/>
            </w:tcMar>
          </w:tcPr>
          <w:p w:rsidR="00A75E60" w:rsidRPr="00237EFA" w:rsidRDefault="00A75E60" w:rsidP="000E2839">
            <w:pPr>
              <w:pStyle w:val="Paragarfobordato"/>
            </w:pPr>
            <w:r w:rsidRPr="00237EFA">
              <w:t>Se l’entità pubblica un bilancio intermedio completo la forma ed il contenuto di tali bilanci devono essere conformi ai requisiti dello IAS 1 per un bilancio competo.</w:t>
            </w:r>
          </w:p>
        </w:tc>
        <w:tc>
          <w:tcPr>
            <w:tcW w:w="575" w:type="dxa"/>
            <w:tcMar>
              <w:left w:w="85" w:type="dxa"/>
              <w:right w:w="85" w:type="dxa"/>
            </w:tcMar>
            <w:vAlign w:val="center"/>
          </w:tcPr>
          <w:p w:rsidR="00A75E60" w:rsidRPr="00090BE7" w:rsidRDefault="00A75E60" w:rsidP="00A75E60">
            <w:pPr>
              <w:jc w:val="center"/>
              <w:rPr>
                <w:lang w:val="it-IT"/>
              </w:rPr>
            </w:pPr>
          </w:p>
        </w:tc>
        <w:tc>
          <w:tcPr>
            <w:tcW w:w="567" w:type="dxa"/>
            <w:tcMar>
              <w:left w:w="108" w:type="dxa"/>
            </w:tcMar>
            <w:vAlign w:val="center"/>
          </w:tcPr>
          <w:p w:rsidR="00A75E60" w:rsidRPr="00090BE7" w:rsidRDefault="00A75E60" w:rsidP="00A75E60">
            <w:pPr>
              <w:jc w:val="center"/>
              <w:rPr>
                <w:lang w:val="it-IT"/>
              </w:rPr>
            </w:pPr>
          </w:p>
        </w:tc>
        <w:tc>
          <w:tcPr>
            <w:tcW w:w="567" w:type="dxa"/>
            <w:tcMar>
              <w:left w:w="108" w:type="dxa"/>
            </w:tcMar>
            <w:vAlign w:val="center"/>
          </w:tcPr>
          <w:p w:rsidR="00A75E60" w:rsidRPr="00090BE7" w:rsidRDefault="00A75E60" w:rsidP="00A75E60">
            <w:pPr>
              <w:jc w:val="center"/>
              <w:rPr>
                <w:lang w:val="it-IT"/>
              </w:rPr>
            </w:pPr>
          </w:p>
        </w:tc>
      </w:tr>
      <w:tr w:rsidR="00A75E60" w:rsidRPr="00A44ECD" w:rsidTr="00F235B5">
        <w:trPr>
          <w:cantSplit/>
          <w:trHeight w:val="283"/>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r w:rsidRPr="00237EFA">
              <w:rPr>
                <w:lang w:val="it-IT"/>
              </w:rPr>
              <w:t>IAS 34.18</w:t>
            </w:r>
          </w:p>
        </w:tc>
        <w:tc>
          <w:tcPr>
            <w:tcW w:w="7079" w:type="dxa"/>
            <w:tcMar>
              <w:left w:w="108" w:type="dxa"/>
            </w:tcMar>
          </w:tcPr>
          <w:p w:rsidR="00A75E60" w:rsidRPr="00237EFA" w:rsidRDefault="00A75E60" w:rsidP="000E2839">
            <w:pPr>
              <w:pStyle w:val="Paragarfobordato"/>
            </w:pPr>
            <w:r w:rsidRPr="00237EFA">
              <w:t xml:space="preserve">Altri IFRS specificano informativa che l’entità deve includere nel bilancio. In tale contesto, con bilancio si intende un set completo di bilancio normalmente incluso nel bilancio annuale e qualche volta in altri </w:t>
            </w:r>
            <w:r w:rsidRPr="00237EFA">
              <w:rPr>
                <w:i/>
              </w:rPr>
              <w:t>reports</w:t>
            </w:r>
            <w:r w:rsidRPr="00237EFA">
              <w:t xml:space="preserve">. Non è obbligatorio includere l’informativa richiesta dagli altri IFRS nei bilanci intermedi se questi contengono solo prospetti sintetici e note di bilancio selezionate. </w:t>
            </w:r>
          </w:p>
        </w:tc>
        <w:tc>
          <w:tcPr>
            <w:tcW w:w="575" w:type="dxa"/>
            <w:tcMar>
              <w:left w:w="85" w:type="dxa"/>
              <w:right w:w="85" w:type="dxa"/>
            </w:tcMar>
            <w:vAlign w:val="center"/>
          </w:tcPr>
          <w:p w:rsidR="00A75E60" w:rsidRPr="00090BE7" w:rsidRDefault="00A75E60" w:rsidP="00A75E60">
            <w:pPr>
              <w:jc w:val="center"/>
              <w:rPr>
                <w:lang w:val="it-IT"/>
              </w:rPr>
            </w:pPr>
          </w:p>
        </w:tc>
        <w:tc>
          <w:tcPr>
            <w:tcW w:w="567" w:type="dxa"/>
            <w:tcMar>
              <w:left w:w="108" w:type="dxa"/>
            </w:tcMar>
            <w:vAlign w:val="center"/>
          </w:tcPr>
          <w:p w:rsidR="00A75E60" w:rsidRPr="00090BE7" w:rsidRDefault="00A75E60" w:rsidP="00A75E60">
            <w:pPr>
              <w:jc w:val="center"/>
              <w:rPr>
                <w:lang w:val="it-IT"/>
              </w:rPr>
            </w:pPr>
          </w:p>
        </w:tc>
        <w:tc>
          <w:tcPr>
            <w:tcW w:w="567" w:type="dxa"/>
            <w:tcMar>
              <w:left w:w="108" w:type="dxa"/>
            </w:tcMar>
            <w:vAlign w:val="center"/>
          </w:tcPr>
          <w:p w:rsidR="00A75E60" w:rsidRPr="00090BE7" w:rsidRDefault="00A75E60" w:rsidP="00A75E60">
            <w:pPr>
              <w:jc w:val="center"/>
              <w:rPr>
                <w:lang w:val="it-IT"/>
              </w:rPr>
            </w:pPr>
          </w:p>
        </w:tc>
      </w:tr>
      <w:tr w:rsidR="00A75E60" w:rsidRPr="00A44ECD" w:rsidTr="00F235B5">
        <w:trPr>
          <w:cantSplit/>
          <w:trHeight w:val="283"/>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0E2839">
            <w:pPr>
              <w:pStyle w:val="Paragarfobordato"/>
            </w:pPr>
            <w:r w:rsidRPr="00237EFA">
              <w:t>Conseguentemente, la checklist contiene solo l’informativa che è specificamente richiesta dagli IFRS nel caso di bilancio intermedio sintetico. In accordo con IAS 34.6, il bilancio intermedio è finalizzato a fornire un aggiornamento rispetto all’ultimo bilancio annuale completo. Di conseguenza, esso si deve concentrare sulle nuove attività, fatti e circostanze e non deve ripetere informazioni già fornite nell’ultimo bilancio annuale.</w:t>
            </w:r>
            <w:r>
              <w:t xml:space="preserve">  </w:t>
            </w:r>
          </w:p>
        </w:tc>
        <w:tc>
          <w:tcPr>
            <w:tcW w:w="575" w:type="dxa"/>
            <w:tcMar>
              <w:left w:w="85" w:type="dxa"/>
              <w:right w:w="85" w:type="dxa"/>
            </w:tcMar>
            <w:vAlign w:val="center"/>
          </w:tcPr>
          <w:p w:rsidR="00A75E60" w:rsidRPr="00090BE7" w:rsidRDefault="00A75E60" w:rsidP="00A75E60">
            <w:pPr>
              <w:jc w:val="center"/>
              <w:rPr>
                <w:lang w:val="it-IT"/>
              </w:rPr>
            </w:pPr>
          </w:p>
        </w:tc>
        <w:tc>
          <w:tcPr>
            <w:tcW w:w="567" w:type="dxa"/>
            <w:tcMar>
              <w:left w:w="108" w:type="dxa"/>
            </w:tcMar>
            <w:vAlign w:val="center"/>
          </w:tcPr>
          <w:p w:rsidR="00A75E60" w:rsidRPr="00090BE7" w:rsidRDefault="00A75E60" w:rsidP="00A75E60">
            <w:pPr>
              <w:jc w:val="center"/>
              <w:rPr>
                <w:lang w:val="it-IT"/>
              </w:rPr>
            </w:pPr>
          </w:p>
        </w:tc>
        <w:tc>
          <w:tcPr>
            <w:tcW w:w="567" w:type="dxa"/>
            <w:tcMar>
              <w:left w:w="108" w:type="dxa"/>
            </w:tcMar>
            <w:vAlign w:val="center"/>
          </w:tcPr>
          <w:p w:rsidR="00A75E60" w:rsidRPr="00090BE7" w:rsidRDefault="00A75E60" w:rsidP="00A75E60">
            <w:pPr>
              <w:jc w:val="center"/>
              <w:rPr>
                <w:lang w:val="it-IT"/>
              </w:rPr>
            </w:pPr>
          </w:p>
        </w:tc>
      </w:tr>
      <w:tr w:rsidR="00A75E60" w:rsidRPr="00A44ECD" w:rsidTr="00F235B5">
        <w:trPr>
          <w:cantSplit/>
          <w:trHeight w:val="283"/>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r w:rsidRPr="00237EFA">
              <w:rPr>
                <w:lang w:val="it-IT"/>
              </w:rPr>
              <w:t>IAS 34.19</w:t>
            </w:r>
          </w:p>
        </w:tc>
        <w:tc>
          <w:tcPr>
            <w:tcW w:w="7079" w:type="dxa"/>
            <w:tcMar>
              <w:left w:w="108" w:type="dxa"/>
            </w:tcMar>
          </w:tcPr>
          <w:p w:rsidR="00A75E60" w:rsidRPr="00237EFA" w:rsidRDefault="00A75E60" w:rsidP="000E2839">
            <w:pPr>
              <w:pStyle w:val="Paragarfobordato"/>
            </w:pPr>
            <w:r w:rsidRPr="00237EFA">
              <w:t>Un bilancio infrannuale rispetta gli IFRS nel momento in cui rispetta tutti i requisiti imposti dagli IFRS.</w:t>
            </w:r>
          </w:p>
        </w:tc>
        <w:tc>
          <w:tcPr>
            <w:tcW w:w="575" w:type="dxa"/>
            <w:tcMar>
              <w:left w:w="85" w:type="dxa"/>
              <w:right w:w="85" w:type="dxa"/>
            </w:tcMar>
            <w:vAlign w:val="center"/>
          </w:tcPr>
          <w:p w:rsidR="00A75E60" w:rsidRPr="00090BE7" w:rsidRDefault="00A75E60" w:rsidP="00A75E60">
            <w:pPr>
              <w:jc w:val="center"/>
              <w:rPr>
                <w:lang w:val="it-IT"/>
              </w:rPr>
            </w:pPr>
          </w:p>
        </w:tc>
        <w:tc>
          <w:tcPr>
            <w:tcW w:w="567" w:type="dxa"/>
            <w:tcMar>
              <w:left w:w="108" w:type="dxa"/>
            </w:tcMar>
            <w:vAlign w:val="center"/>
          </w:tcPr>
          <w:p w:rsidR="00A75E60" w:rsidRPr="00090BE7" w:rsidRDefault="00A75E60" w:rsidP="00A75E60">
            <w:pPr>
              <w:jc w:val="center"/>
              <w:rPr>
                <w:lang w:val="it-IT"/>
              </w:rPr>
            </w:pPr>
          </w:p>
        </w:tc>
        <w:tc>
          <w:tcPr>
            <w:tcW w:w="567" w:type="dxa"/>
            <w:tcMar>
              <w:left w:w="108" w:type="dxa"/>
            </w:tcMar>
            <w:vAlign w:val="center"/>
          </w:tcPr>
          <w:p w:rsidR="00A75E60" w:rsidRPr="00090BE7" w:rsidRDefault="00A75E60" w:rsidP="00A75E60">
            <w:pPr>
              <w:jc w:val="center"/>
              <w:rPr>
                <w:lang w:val="it-IT"/>
              </w:rPr>
            </w:pPr>
          </w:p>
        </w:tc>
      </w:tr>
      <w:tr w:rsidR="00A75E60" w:rsidRPr="00A44ECD" w:rsidTr="00F235B5">
        <w:trPr>
          <w:cantSplit/>
          <w:trHeight w:val="283"/>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r w:rsidRPr="00237EFA">
              <w:rPr>
                <w:lang w:val="it-IT"/>
              </w:rPr>
              <w:t>IAS 34.43 IAS 34.44</w:t>
            </w:r>
          </w:p>
        </w:tc>
        <w:tc>
          <w:tcPr>
            <w:tcW w:w="7079" w:type="dxa"/>
            <w:tcMar>
              <w:left w:w="108" w:type="dxa"/>
            </w:tcMar>
          </w:tcPr>
          <w:p w:rsidR="00A75E60" w:rsidRPr="00237EFA" w:rsidRDefault="00A75E60" w:rsidP="000E2839">
            <w:pPr>
              <w:pStyle w:val="Paragarfobordato"/>
            </w:pPr>
            <w:r w:rsidRPr="00237EFA">
              <w:t>Le modalità su come rideterminare i valori utilizzati in precedenti informative intermedie a seguito di un cambiamento di un principio contabile, ad eccezione dei casi in cui la transizione sia disciplinata dal nuovo IFRS, sono fornite dallo IAS 34.43 e IAS 34.44.</w:t>
            </w:r>
          </w:p>
        </w:tc>
        <w:tc>
          <w:tcPr>
            <w:tcW w:w="575" w:type="dxa"/>
            <w:tcMar>
              <w:left w:w="85" w:type="dxa"/>
              <w:right w:w="85" w:type="dxa"/>
            </w:tcMar>
            <w:vAlign w:val="center"/>
          </w:tcPr>
          <w:p w:rsidR="00A75E60" w:rsidRPr="00090BE7" w:rsidRDefault="00A75E60" w:rsidP="00A75E60">
            <w:pPr>
              <w:jc w:val="center"/>
              <w:rPr>
                <w:lang w:val="it-IT"/>
              </w:rPr>
            </w:pPr>
          </w:p>
        </w:tc>
        <w:tc>
          <w:tcPr>
            <w:tcW w:w="567" w:type="dxa"/>
            <w:tcMar>
              <w:left w:w="108" w:type="dxa"/>
            </w:tcMar>
            <w:vAlign w:val="center"/>
          </w:tcPr>
          <w:p w:rsidR="00A75E60" w:rsidRPr="00090BE7" w:rsidRDefault="00A75E60" w:rsidP="00A75E60">
            <w:pPr>
              <w:jc w:val="center"/>
              <w:rPr>
                <w:lang w:val="it-IT"/>
              </w:rPr>
            </w:pPr>
          </w:p>
        </w:tc>
        <w:tc>
          <w:tcPr>
            <w:tcW w:w="567" w:type="dxa"/>
            <w:tcMar>
              <w:left w:w="108" w:type="dxa"/>
            </w:tcMar>
            <w:vAlign w:val="center"/>
          </w:tcPr>
          <w:p w:rsidR="00A75E60" w:rsidRPr="00090BE7" w:rsidRDefault="00A75E60" w:rsidP="00A75E60">
            <w:pPr>
              <w:jc w:val="center"/>
              <w:rPr>
                <w:lang w:val="it-IT"/>
              </w:rPr>
            </w:pPr>
          </w:p>
        </w:tc>
      </w:tr>
      <w:tr w:rsidR="00A75E60" w:rsidRPr="00A44ECD" w:rsidTr="00F235B5">
        <w:trPr>
          <w:cantSplit/>
          <w:trHeight w:val="283"/>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A75E60">
            <w:pPr>
              <w:pStyle w:val="Titolo2"/>
              <w:keepNext w:val="0"/>
              <w:rPr>
                <w:lang w:val="it-IT"/>
              </w:rPr>
            </w:pPr>
            <w:r w:rsidRPr="00237EFA">
              <w:rPr>
                <w:lang w:val="it-IT"/>
              </w:rPr>
              <w:t>Componenti di un bilancio intermedio sintetico</w:t>
            </w:r>
          </w:p>
        </w:tc>
        <w:tc>
          <w:tcPr>
            <w:tcW w:w="575" w:type="dxa"/>
            <w:tcMar>
              <w:left w:w="85" w:type="dxa"/>
              <w:right w:w="85" w:type="dxa"/>
            </w:tcMar>
            <w:vAlign w:val="center"/>
          </w:tcPr>
          <w:p w:rsidR="00A75E60" w:rsidRPr="00090BE7" w:rsidRDefault="00A75E60" w:rsidP="00A75E60">
            <w:pPr>
              <w:jc w:val="center"/>
              <w:rPr>
                <w:lang w:val="it-IT"/>
              </w:rPr>
            </w:pPr>
          </w:p>
        </w:tc>
        <w:tc>
          <w:tcPr>
            <w:tcW w:w="567" w:type="dxa"/>
            <w:tcMar>
              <w:left w:w="108" w:type="dxa"/>
            </w:tcMar>
            <w:vAlign w:val="center"/>
          </w:tcPr>
          <w:p w:rsidR="00A75E60" w:rsidRPr="00090BE7" w:rsidRDefault="00A75E60" w:rsidP="00A75E60">
            <w:pPr>
              <w:jc w:val="center"/>
              <w:rPr>
                <w:lang w:val="it-IT"/>
              </w:rPr>
            </w:pPr>
          </w:p>
        </w:tc>
        <w:tc>
          <w:tcPr>
            <w:tcW w:w="567" w:type="dxa"/>
            <w:tcMar>
              <w:left w:w="108" w:type="dxa"/>
            </w:tcMar>
            <w:vAlign w:val="center"/>
          </w:tcPr>
          <w:p w:rsidR="00A75E60" w:rsidRPr="00090BE7" w:rsidRDefault="00A75E60" w:rsidP="00A75E60">
            <w:pPr>
              <w:jc w:val="center"/>
              <w:rPr>
                <w:lang w:val="it-IT"/>
              </w:rPr>
            </w:pPr>
          </w:p>
        </w:tc>
      </w:tr>
      <w:tr w:rsidR="00A75E60" w:rsidRPr="008129DA" w:rsidTr="00F235B5">
        <w:trPr>
          <w:cantSplit/>
          <w:trHeight w:val="283"/>
        </w:trPr>
        <w:tc>
          <w:tcPr>
            <w:tcW w:w="567" w:type="dxa"/>
            <w:tcMar>
              <w:left w:w="108" w:type="dxa"/>
              <w:right w:w="0" w:type="dxa"/>
            </w:tcMar>
          </w:tcPr>
          <w:p w:rsidR="00A75E60" w:rsidRPr="008A0F36" w:rsidRDefault="00A75E60" w:rsidP="00A75E60">
            <w:pPr>
              <w:pStyle w:val="Numeroelenco"/>
              <w:ind w:left="0" w:firstLine="57"/>
              <w:rPr>
                <w:lang w:val="it-IT"/>
              </w:rPr>
            </w:pPr>
          </w:p>
        </w:tc>
        <w:tc>
          <w:tcPr>
            <w:tcW w:w="851" w:type="dxa"/>
            <w:tcMar>
              <w:left w:w="108" w:type="dxa"/>
              <w:right w:w="0" w:type="dxa"/>
            </w:tcMar>
          </w:tcPr>
          <w:p w:rsidR="00A75E60" w:rsidRPr="00237EFA" w:rsidRDefault="00A75E60" w:rsidP="00A75E60">
            <w:pPr>
              <w:pStyle w:val="IAS"/>
              <w:rPr>
                <w:lang w:val="it-IT"/>
              </w:rPr>
            </w:pPr>
            <w:r w:rsidRPr="00237EFA">
              <w:rPr>
                <w:lang w:val="it-IT"/>
              </w:rPr>
              <w:t>IAS 34.19</w:t>
            </w:r>
          </w:p>
        </w:tc>
        <w:tc>
          <w:tcPr>
            <w:tcW w:w="7079" w:type="dxa"/>
            <w:tcMar>
              <w:left w:w="108" w:type="dxa"/>
            </w:tcMar>
          </w:tcPr>
          <w:p w:rsidR="00A75E60" w:rsidRPr="00237EFA" w:rsidRDefault="00A75E60" w:rsidP="00A75E60">
            <w:pPr>
              <w:rPr>
                <w:b/>
                <w:bCs/>
                <w:lang w:val="it-IT"/>
              </w:rPr>
            </w:pPr>
            <w:r w:rsidRPr="00237EFA">
              <w:rPr>
                <w:lang w:val="it-IT"/>
              </w:rPr>
              <w:t>L’entità ha indicato che il bilancio intermedio è stato compilato nel rispetto dello IAS 34</w:t>
            </w:r>
            <w:r>
              <w:rPr>
                <w:lang w:val="it-IT"/>
              </w:rPr>
              <w:t>.</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A44ECD" w:rsidTr="00F235B5">
        <w:trPr>
          <w:cantSplit/>
          <w:trHeight w:val="283"/>
        </w:trPr>
        <w:tc>
          <w:tcPr>
            <w:tcW w:w="567" w:type="dxa"/>
            <w:tcMar>
              <w:left w:w="108" w:type="dxa"/>
              <w:right w:w="0" w:type="dxa"/>
            </w:tcMar>
          </w:tcPr>
          <w:p w:rsidR="00A75E60" w:rsidRPr="008A0F36" w:rsidRDefault="00A75E60" w:rsidP="00A75E60">
            <w:pPr>
              <w:pStyle w:val="Numeroelenco"/>
              <w:ind w:left="0" w:firstLine="57"/>
              <w:rPr>
                <w:lang w:val="it-IT"/>
              </w:rPr>
            </w:pPr>
          </w:p>
        </w:tc>
        <w:tc>
          <w:tcPr>
            <w:tcW w:w="851" w:type="dxa"/>
            <w:tcMar>
              <w:left w:w="108" w:type="dxa"/>
              <w:right w:w="0" w:type="dxa"/>
            </w:tcMar>
          </w:tcPr>
          <w:p w:rsidR="00A75E60" w:rsidRPr="00237EFA" w:rsidRDefault="00A75E60" w:rsidP="00A75E60">
            <w:pPr>
              <w:pStyle w:val="IAS"/>
              <w:rPr>
                <w:lang w:val="it-IT"/>
              </w:rPr>
            </w:pPr>
            <w:r w:rsidRPr="00237EFA">
              <w:rPr>
                <w:lang w:val="it-IT"/>
              </w:rPr>
              <w:t>IAS 34.8</w:t>
            </w:r>
          </w:p>
        </w:tc>
        <w:tc>
          <w:tcPr>
            <w:tcW w:w="7079" w:type="dxa"/>
            <w:tcMar>
              <w:left w:w="108" w:type="dxa"/>
            </w:tcMar>
          </w:tcPr>
          <w:p w:rsidR="00A75E60" w:rsidRPr="00237EFA" w:rsidRDefault="00A75E60" w:rsidP="00A75E60">
            <w:pPr>
              <w:rPr>
                <w:lang w:val="it-IT"/>
              </w:rPr>
            </w:pPr>
            <w:r w:rsidRPr="00237EFA">
              <w:rPr>
                <w:lang w:val="it-IT"/>
              </w:rPr>
              <w:t xml:space="preserve">Il bilancio infrannuale contiene almeno i seguenti componenti: </w:t>
            </w:r>
          </w:p>
        </w:tc>
        <w:tc>
          <w:tcPr>
            <w:tcW w:w="575" w:type="dxa"/>
            <w:tcMar>
              <w:left w:w="85" w:type="dxa"/>
              <w:right w:w="85" w:type="dxa"/>
            </w:tcMar>
            <w:vAlign w:val="center"/>
          </w:tcPr>
          <w:p w:rsidR="00A75E60" w:rsidRPr="00BC7990" w:rsidRDefault="00A75E60" w:rsidP="00A75E60">
            <w:pPr>
              <w:jc w:val="center"/>
              <w:rPr>
                <w:lang w:val="it-IT"/>
              </w:rPr>
            </w:pPr>
          </w:p>
        </w:tc>
        <w:tc>
          <w:tcPr>
            <w:tcW w:w="567" w:type="dxa"/>
            <w:tcMar>
              <w:left w:w="108" w:type="dxa"/>
            </w:tcMar>
            <w:vAlign w:val="center"/>
          </w:tcPr>
          <w:p w:rsidR="00A75E60" w:rsidRPr="00BC7990" w:rsidRDefault="00A75E60" w:rsidP="00A75E60">
            <w:pPr>
              <w:jc w:val="center"/>
              <w:rPr>
                <w:lang w:val="it-IT"/>
              </w:rPr>
            </w:pPr>
          </w:p>
        </w:tc>
        <w:tc>
          <w:tcPr>
            <w:tcW w:w="567" w:type="dxa"/>
            <w:tcMar>
              <w:left w:w="108" w:type="dxa"/>
            </w:tcMar>
            <w:vAlign w:val="center"/>
          </w:tcPr>
          <w:p w:rsidR="00A75E60" w:rsidRPr="00BC7990" w:rsidRDefault="00A75E60" w:rsidP="00A75E60">
            <w:pPr>
              <w:jc w:val="center"/>
              <w:rPr>
                <w:lang w:val="it-IT"/>
              </w:rPr>
            </w:pPr>
          </w:p>
        </w:tc>
      </w:tr>
      <w:tr w:rsidR="00A75E60" w:rsidRPr="008129DA" w:rsidTr="00F235B5">
        <w:trPr>
          <w:cantSplit/>
          <w:trHeight w:val="283"/>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A75E60">
            <w:pPr>
              <w:pStyle w:val="Rientroa"/>
              <w:numPr>
                <w:ilvl w:val="0"/>
                <w:numId w:val="192"/>
              </w:numPr>
              <w:rPr>
                <w:iCs/>
              </w:rPr>
            </w:pPr>
            <w:r w:rsidRPr="00237EFA">
              <w:t>un prospetto sintetico della situazione patrimoniale-finanziaria</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283"/>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A75E60">
            <w:pPr>
              <w:pStyle w:val="Rientroa"/>
              <w:numPr>
                <w:ilvl w:val="0"/>
                <w:numId w:val="72"/>
              </w:numPr>
            </w:pPr>
            <w:r w:rsidRPr="00237EFA">
              <w:t xml:space="preserve">un prospetto sintetico dell’utile/(perdita) d’esercizio e delle altre componenti di conto economico complessivo </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283"/>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A75E60">
            <w:pPr>
              <w:pStyle w:val="Rientroa"/>
              <w:numPr>
                <w:ilvl w:val="0"/>
                <w:numId w:val="72"/>
              </w:numPr>
            </w:pPr>
            <w:r w:rsidRPr="00237EFA">
              <w:t>un prospetto sintetico delle variazioni del patrimonio netto</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283"/>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A75E60">
            <w:pPr>
              <w:pStyle w:val="Rientroa"/>
              <w:numPr>
                <w:ilvl w:val="0"/>
                <w:numId w:val="72"/>
              </w:numPr>
            </w:pPr>
            <w:r w:rsidRPr="00237EFA">
              <w:t>un rendiconto finanziario sintetico; e</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A0F36" w:rsidTr="00F235B5">
        <w:trPr>
          <w:cantSplit/>
          <w:trHeight w:val="283"/>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A75E60">
            <w:pPr>
              <w:pStyle w:val="Rientroa"/>
              <w:numPr>
                <w:ilvl w:val="0"/>
                <w:numId w:val="72"/>
              </w:numPr>
            </w:pPr>
            <w:r w:rsidRPr="00237EFA">
              <w:t>note illustrative specifiche.</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A0F36" w:rsidTr="00F235B5">
        <w:trPr>
          <w:cantSplit/>
          <w:trHeight w:val="283"/>
        </w:trPr>
        <w:tc>
          <w:tcPr>
            <w:tcW w:w="567" w:type="dxa"/>
            <w:tcMar>
              <w:left w:w="108" w:type="dxa"/>
              <w:right w:w="0" w:type="dxa"/>
            </w:tcMar>
          </w:tcPr>
          <w:p w:rsidR="00A75E60" w:rsidRPr="008A0F36" w:rsidRDefault="00A75E60" w:rsidP="00A75E60">
            <w:pPr>
              <w:pStyle w:val="Numeroelenco"/>
              <w:ind w:left="0" w:firstLine="57"/>
              <w:rPr>
                <w:lang w:val="it-IT"/>
              </w:rPr>
            </w:pPr>
          </w:p>
        </w:tc>
        <w:tc>
          <w:tcPr>
            <w:tcW w:w="851" w:type="dxa"/>
            <w:tcMar>
              <w:left w:w="108" w:type="dxa"/>
              <w:right w:w="0" w:type="dxa"/>
            </w:tcMar>
          </w:tcPr>
          <w:p w:rsidR="00A75E60" w:rsidRPr="00237EFA" w:rsidRDefault="00A75E60" w:rsidP="00A75E60">
            <w:pPr>
              <w:pStyle w:val="IAS"/>
              <w:rPr>
                <w:lang w:val="it-IT"/>
              </w:rPr>
            </w:pPr>
            <w:r w:rsidRPr="00237EFA">
              <w:rPr>
                <w:lang w:val="it-IT"/>
              </w:rPr>
              <w:t>IAS 34.10</w:t>
            </w:r>
          </w:p>
        </w:tc>
        <w:tc>
          <w:tcPr>
            <w:tcW w:w="7079" w:type="dxa"/>
            <w:tcMar>
              <w:left w:w="108" w:type="dxa"/>
            </w:tcMar>
          </w:tcPr>
          <w:p w:rsidR="00A75E60" w:rsidRPr="00237EFA" w:rsidRDefault="00A75E60" w:rsidP="00A75E60">
            <w:pPr>
              <w:rPr>
                <w:lang w:val="it-IT"/>
              </w:rPr>
            </w:pPr>
            <w:r w:rsidRPr="00237EFA">
              <w:rPr>
                <w:lang w:val="it-IT"/>
              </w:rPr>
              <w:t>Il formato del bilancio sintetico deve essere coerente con il formato del bilancio annuale. Il bilancio sintetico include:</w:t>
            </w:r>
          </w:p>
        </w:tc>
        <w:tc>
          <w:tcPr>
            <w:tcW w:w="575" w:type="dxa"/>
            <w:tcMar>
              <w:left w:w="85" w:type="dxa"/>
              <w:right w:w="85" w:type="dxa"/>
            </w:tcMar>
            <w:vAlign w:val="center"/>
          </w:tcPr>
          <w:p w:rsidR="00A75E60" w:rsidRDefault="00A75E60" w:rsidP="00A75E60">
            <w:pPr>
              <w:jc w:val="center"/>
            </w:pPr>
          </w:p>
        </w:tc>
        <w:tc>
          <w:tcPr>
            <w:tcW w:w="567" w:type="dxa"/>
            <w:tcMar>
              <w:left w:w="108" w:type="dxa"/>
            </w:tcMar>
            <w:vAlign w:val="center"/>
          </w:tcPr>
          <w:p w:rsidR="00A75E60" w:rsidRDefault="00A75E60" w:rsidP="00A75E60">
            <w:pPr>
              <w:jc w:val="center"/>
            </w:pPr>
          </w:p>
        </w:tc>
        <w:tc>
          <w:tcPr>
            <w:tcW w:w="567" w:type="dxa"/>
            <w:tcMar>
              <w:left w:w="108" w:type="dxa"/>
            </w:tcMar>
            <w:vAlign w:val="center"/>
          </w:tcPr>
          <w:p w:rsidR="00A75E60" w:rsidRDefault="00A75E60" w:rsidP="00A75E60">
            <w:pPr>
              <w:jc w:val="center"/>
            </w:pPr>
          </w:p>
        </w:tc>
      </w:tr>
      <w:tr w:rsidR="00A75E60" w:rsidRPr="008129DA" w:rsidTr="00F235B5">
        <w:trPr>
          <w:cantSplit/>
          <w:trHeight w:val="283"/>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A75E60">
            <w:pPr>
              <w:pStyle w:val="Rientroa"/>
              <w:numPr>
                <w:ilvl w:val="0"/>
                <w:numId w:val="193"/>
              </w:numPr>
              <w:rPr>
                <w:iCs/>
              </w:rPr>
            </w:pPr>
            <w:r w:rsidRPr="00237EFA">
              <w:t>ogni intestazione e sub-totale incluso nel più recente bilancio annuale dell’entità; e</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283"/>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A75E60">
            <w:pPr>
              <w:pStyle w:val="Rientroa"/>
              <w:numPr>
                <w:ilvl w:val="0"/>
                <w:numId w:val="72"/>
              </w:numPr>
            </w:pPr>
            <w:r w:rsidRPr="00237EFA">
              <w:t>note di bilancio selezionate come richiesto dallo IAS 34</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283"/>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A75E60">
            <w:pPr>
              <w:pStyle w:val="Rientroa"/>
              <w:numPr>
                <w:ilvl w:val="0"/>
                <w:numId w:val="72"/>
              </w:numPr>
            </w:pPr>
            <w:r w:rsidRPr="00237EFA">
              <w:t>voci aggiuntive o note la cui omissione renderebbe il bilancio sintetico fuorviante.</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283"/>
        </w:trPr>
        <w:tc>
          <w:tcPr>
            <w:tcW w:w="567" w:type="dxa"/>
            <w:tcMar>
              <w:left w:w="108" w:type="dxa"/>
              <w:right w:w="0" w:type="dxa"/>
            </w:tcMar>
          </w:tcPr>
          <w:p w:rsidR="00A75E60" w:rsidRPr="008A0F36" w:rsidRDefault="00A75E60" w:rsidP="00A75E60">
            <w:pPr>
              <w:pStyle w:val="Numeroelenco"/>
              <w:ind w:left="0" w:firstLine="57"/>
              <w:rPr>
                <w:lang w:val="it-IT"/>
              </w:rPr>
            </w:pPr>
          </w:p>
        </w:tc>
        <w:tc>
          <w:tcPr>
            <w:tcW w:w="851" w:type="dxa"/>
            <w:tcMar>
              <w:left w:w="108" w:type="dxa"/>
              <w:right w:w="0" w:type="dxa"/>
            </w:tcMar>
          </w:tcPr>
          <w:p w:rsidR="00A75E60" w:rsidRPr="00237EFA" w:rsidRDefault="00A75E60" w:rsidP="00A75E60">
            <w:pPr>
              <w:pStyle w:val="IAS"/>
              <w:rPr>
                <w:lang w:val="it-IT"/>
              </w:rPr>
            </w:pPr>
            <w:r w:rsidRPr="00237EFA">
              <w:rPr>
                <w:lang w:val="it-IT"/>
              </w:rPr>
              <w:t>IAS 34.11</w:t>
            </w:r>
          </w:p>
          <w:p w:rsidR="00A75E60" w:rsidRPr="00237EFA" w:rsidRDefault="00A75E60" w:rsidP="00A75E60">
            <w:pPr>
              <w:pStyle w:val="IAS"/>
              <w:rPr>
                <w:lang w:val="it-IT"/>
              </w:rPr>
            </w:pPr>
            <w:r w:rsidRPr="00237EFA">
              <w:rPr>
                <w:lang w:val="it-IT"/>
              </w:rPr>
              <w:t>IAS 34.11A</w:t>
            </w:r>
          </w:p>
          <w:p w:rsidR="00A75E60" w:rsidRPr="00237EFA" w:rsidRDefault="00A75E60" w:rsidP="00A75E60">
            <w:pPr>
              <w:pStyle w:val="IAS"/>
              <w:rPr>
                <w:lang w:val="it-IT"/>
              </w:rPr>
            </w:pPr>
            <w:r w:rsidRPr="00237EFA">
              <w:rPr>
                <w:lang w:val="it-IT"/>
              </w:rPr>
              <w:t>IAS 33.2</w:t>
            </w:r>
          </w:p>
        </w:tc>
        <w:tc>
          <w:tcPr>
            <w:tcW w:w="7079" w:type="dxa"/>
            <w:tcMar>
              <w:left w:w="108" w:type="dxa"/>
            </w:tcMar>
          </w:tcPr>
          <w:p w:rsidR="00A75E60" w:rsidRPr="00237EFA" w:rsidRDefault="00A75E60" w:rsidP="00A75E60">
            <w:pPr>
              <w:rPr>
                <w:lang w:val="it-IT"/>
              </w:rPr>
            </w:pPr>
            <w:r w:rsidRPr="00237EFA">
              <w:rPr>
                <w:lang w:val="it-IT"/>
              </w:rPr>
              <w:t>Se l’entità rientra nell’ambito di applicazione dello IAS 33, l’entità presenta l’utile di base e diluito per azione nel prospetto che espone le componenti dell’utile/(perdita) d’esercizio per un periodo intermedio (che in base alla scelta dell’entità, può quindi essere un prospetto separato).</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A0F36" w:rsidTr="00F235B5">
        <w:trPr>
          <w:cantSplit/>
          <w:trHeight w:val="283"/>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A75E60">
            <w:pPr>
              <w:pStyle w:val="Titolo2"/>
              <w:keepNext w:val="0"/>
              <w:rPr>
                <w:lang w:val="it-IT"/>
              </w:rPr>
            </w:pPr>
            <w:r w:rsidRPr="00237EFA">
              <w:rPr>
                <w:bCs/>
                <w:lang w:val="it-IT"/>
              </w:rPr>
              <w:t>Periodi</w:t>
            </w:r>
            <w:r w:rsidRPr="00237EFA">
              <w:rPr>
                <w:lang w:val="it-IT"/>
              </w:rPr>
              <w:t xml:space="preserve"> da includere</w:t>
            </w:r>
          </w:p>
        </w:tc>
        <w:tc>
          <w:tcPr>
            <w:tcW w:w="575" w:type="dxa"/>
            <w:tcMar>
              <w:left w:w="85" w:type="dxa"/>
              <w:right w:w="85" w:type="dxa"/>
            </w:tcMar>
            <w:vAlign w:val="center"/>
          </w:tcPr>
          <w:p w:rsidR="00A75E60" w:rsidRDefault="00A75E60" w:rsidP="00A75E60">
            <w:pPr>
              <w:jc w:val="center"/>
            </w:pPr>
          </w:p>
        </w:tc>
        <w:tc>
          <w:tcPr>
            <w:tcW w:w="567" w:type="dxa"/>
            <w:tcMar>
              <w:left w:w="108" w:type="dxa"/>
            </w:tcMar>
            <w:vAlign w:val="center"/>
          </w:tcPr>
          <w:p w:rsidR="00A75E60" w:rsidRDefault="00A75E60" w:rsidP="00A75E60">
            <w:pPr>
              <w:jc w:val="center"/>
            </w:pPr>
          </w:p>
        </w:tc>
        <w:tc>
          <w:tcPr>
            <w:tcW w:w="567" w:type="dxa"/>
            <w:tcMar>
              <w:left w:w="108" w:type="dxa"/>
            </w:tcMar>
            <w:vAlign w:val="center"/>
          </w:tcPr>
          <w:p w:rsidR="00A75E60" w:rsidRDefault="00A75E60" w:rsidP="00A75E60">
            <w:pPr>
              <w:jc w:val="center"/>
            </w:pPr>
          </w:p>
        </w:tc>
      </w:tr>
      <w:tr w:rsidR="00A75E60" w:rsidRPr="00A44ECD" w:rsidTr="00F235B5">
        <w:trPr>
          <w:cantSplit/>
          <w:trHeight w:val="283"/>
        </w:trPr>
        <w:tc>
          <w:tcPr>
            <w:tcW w:w="567" w:type="dxa"/>
            <w:tcMar>
              <w:left w:w="108" w:type="dxa"/>
              <w:right w:w="0" w:type="dxa"/>
            </w:tcMar>
          </w:tcPr>
          <w:p w:rsidR="00A75E60" w:rsidRPr="008A0F36" w:rsidRDefault="00A75E60" w:rsidP="00A75E60">
            <w:pPr>
              <w:pStyle w:val="Numeroelenco"/>
              <w:ind w:left="0" w:firstLine="57"/>
              <w:rPr>
                <w:lang w:val="it-IT"/>
              </w:rPr>
            </w:pPr>
          </w:p>
        </w:tc>
        <w:tc>
          <w:tcPr>
            <w:tcW w:w="851" w:type="dxa"/>
            <w:tcMar>
              <w:left w:w="108" w:type="dxa"/>
              <w:right w:w="0" w:type="dxa"/>
            </w:tcMar>
          </w:tcPr>
          <w:p w:rsidR="00A75E60" w:rsidRPr="00237EFA" w:rsidRDefault="00A75E60" w:rsidP="00A75E60">
            <w:pPr>
              <w:pStyle w:val="IAS"/>
              <w:rPr>
                <w:lang w:val="it-IT"/>
              </w:rPr>
            </w:pPr>
            <w:r w:rsidRPr="00237EFA">
              <w:rPr>
                <w:lang w:val="it-IT"/>
              </w:rPr>
              <w:t>IAS 34.20</w:t>
            </w:r>
          </w:p>
        </w:tc>
        <w:tc>
          <w:tcPr>
            <w:tcW w:w="7079" w:type="dxa"/>
            <w:tcMar>
              <w:left w:w="108" w:type="dxa"/>
            </w:tcMar>
          </w:tcPr>
          <w:p w:rsidR="00A75E60" w:rsidRPr="00237EFA" w:rsidRDefault="00A75E60" w:rsidP="00150B74">
            <w:pPr>
              <w:rPr>
                <w:lang w:val="it-IT"/>
              </w:rPr>
            </w:pPr>
            <w:r w:rsidRPr="00237EFA">
              <w:rPr>
                <w:lang w:val="it-IT"/>
              </w:rPr>
              <w:t>L’entità include nei bilanci intermedi (sintetici o completi) le seguenti informazioni:</w:t>
            </w:r>
          </w:p>
        </w:tc>
        <w:tc>
          <w:tcPr>
            <w:tcW w:w="575" w:type="dxa"/>
            <w:tcMar>
              <w:left w:w="85" w:type="dxa"/>
              <w:right w:w="85" w:type="dxa"/>
            </w:tcMar>
            <w:vAlign w:val="center"/>
          </w:tcPr>
          <w:p w:rsidR="00A75E60" w:rsidRPr="00090BE7" w:rsidRDefault="00A75E60" w:rsidP="00A75E60">
            <w:pPr>
              <w:jc w:val="center"/>
              <w:rPr>
                <w:lang w:val="it-IT"/>
              </w:rPr>
            </w:pPr>
          </w:p>
        </w:tc>
        <w:tc>
          <w:tcPr>
            <w:tcW w:w="567" w:type="dxa"/>
            <w:tcMar>
              <w:left w:w="108" w:type="dxa"/>
            </w:tcMar>
            <w:vAlign w:val="center"/>
          </w:tcPr>
          <w:p w:rsidR="00A75E60" w:rsidRPr="00090BE7" w:rsidRDefault="00A75E60" w:rsidP="00A75E60">
            <w:pPr>
              <w:jc w:val="center"/>
              <w:rPr>
                <w:lang w:val="it-IT"/>
              </w:rPr>
            </w:pPr>
          </w:p>
        </w:tc>
        <w:tc>
          <w:tcPr>
            <w:tcW w:w="567" w:type="dxa"/>
            <w:tcMar>
              <w:left w:w="108" w:type="dxa"/>
            </w:tcMar>
            <w:vAlign w:val="center"/>
          </w:tcPr>
          <w:p w:rsidR="00A75E60" w:rsidRPr="00090BE7" w:rsidRDefault="00A75E60" w:rsidP="00A75E60">
            <w:pPr>
              <w:jc w:val="center"/>
              <w:rPr>
                <w:lang w:val="it-IT"/>
              </w:rPr>
            </w:pPr>
          </w:p>
        </w:tc>
      </w:tr>
      <w:tr w:rsidR="00A75E60" w:rsidRPr="008129DA" w:rsidTr="00F235B5">
        <w:trPr>
          <w:cantSplit/>
          <w:trHeight w:val="283"/>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150B74">
            <w:pPr>
              <w:pStyle w:val="Rientroa"/>
              <w:numPr>
                <w:ilvl w:val="0"/>
                <w:numId w:val="194"/>
              </w:numPr>
              <w:rPr>
                <w:iCs/>
              </w:rPr>
            </w:pPr>
            <w:r w:rsidRPr="00237EFA">
              <w:t>prospetto della situazione patrimoniale-finanziaria:</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283"/>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150B74">
            <w:pPr>
              <w:pStyle w:val="Puntoelenco"/>
              <w:ind w:hanging="322"/>
            </w:pPr>
            <w:r w:rsidRPr="00237EFA">
              <w:t>indicante la situazione al termine del periodo intermedio corrente</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283"/>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150B74">
            <w:pPr>
              <w:pStyle w:val="Puntoelenco"/>
              <w:ind w:hanging="322"/>
            </w:pPr>
            <w:r w:rsidRPr="00237EFA">
              <w:t>indicante la situazione al termine dell’esercizio immediatamente precedente</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283"/>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150B74">
            <w:pPr>
              <w:pStyle w:val="Rientroa"/>
              <w:numPr>
                <w:ilvl w:val="0"/>
                <w:numId w:val="72"/>
              </w:numPr>
            </w:pPr>
            <w:r w:rsidRPr="00237EFA">
              <w:t xml:space="preserve">un prospetto dell’utile/(perdita) d’esercizio e delle altre componenti di conto economico complessivo: </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283"/>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150B74">
            <w:pPr>
              <w:pStyle w:val="Puntoelenco"/>
              <w:ind w:hanging="322"/>
            </w:pPr>
            <w:r w:rsidRPr="00237EFA">
              <w:t>per il periodo intermedio corrente</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326"/>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150B74">
            <w:pPr>
              <w:pStyle w:val="Puntoelenco"/>
              <w:ind w:hanging="322"/>
            </w:pPr>
            <w:r w:rsidRPr="00237EFA">
              <w:t>per lo stesso periodo intermedio dell’esercizio precedente</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283"/>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150B74">
            <w:pPr>
              <w:pStyle w:val="Rientro1"/>
              <w:ind w:left="404"/>
            </w:pPr>
            <w:r w:rsidRPr="00237EFA">
              <w:t>un prospetto dell’utile/(perdita) d’esercizio e delle altre componenti di conto economico complessivo cumulativo:</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283"/>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150B74">
            <w:pPr>
              <w:pStyle w:val="Puntoelenco"/>
              <w:ind w:hanging="322"/>
            </w:pPr>
            <w:r w:rsidRPr="00237EFA">
              <w:t>per il periodo compreso tra l’inizio dell’esercizio in corso e la data di chiusura del periodo intermedio di riferimento</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283"/>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150B74">
            <w:pPr>
              <w:pStyle w:val="Puntoelenco"/>
              <w:ind w:hanging="322"/>
            </w:pPr>
            <w:r w:rsidRPr="00237EFA">
              <w:t>per lo stesso periodo fino alla data di chiusura del periodo intermedio di riferimento dell’esercizio precedente</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A44ECD" w:rsidTr="00F235B5">
        <w:trPr>
          <w:cantSplit/>
          <w:trHeight w:val="283"/>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p w:rsidR="00A75E60" w:rsidRPr="00237EFA" w:rsidRDefault="00A75E60" w:rsidP="00A75E60">
            <w:pPr>
              <w:pStyle w:val="IAS"/>
              <w:rPr>
                <w:lang w:val="it-IT"/>
              </w:rPr>
            </w:pPr>
          </w:p>
          <w:p w:rsidR="00A75E60" w:rsidRPr="00237EFA" w:rsidRDefault="00A75E60" w:rsidP="00A75E60">
            <w:pPr>
              <w:pStyle w:val="IAS"/>
              <w:rPr>
                <w:lang w:val="it-IT"/>
              </w:rPr>
            </w:pPr>
          </w:p>
          <w:p w:rsidR="00A75E60" w:rsidRPr="00237EFA" w:rsidRDefault="00A75E60" w:rsidP="00A75E60">
            <w:pPr>
              <w:pStyle w:val="IAS"/>
              <w:jc w:val="both"/>
              <w:rPr>
                <w:lang w:val="it-IT"/>
              </w:rPr>
            </w:pPr>
          </w:p>
          <w:p w:rsidR="00A75E60" w:rsidRPr="00237EFA" w:rsidRDefault="00A75E60" w:rsidP="00A75E60">
            <w:pPr>
              <w:pStyle w:val="IAS"/>
              <w:rPr>
                <w:lang w:val="it-IT"/>
              </w:rPr>
            </w:pPr>
            <w:r w:rsidRPr="00237EFA">
              <w:rPr>
                <w:lang w:val="it-IT"/>
              </w:rPr>
              <w:t>IAS 34.8A</w:t>
            </w:r>
          </w:p>
        </w:tc>
        <w:tc>
          <w:tcPr>
            <w:tcW w:w="7079" w:type="dxa"/>
            <w:tcMar>
              <w:left w:w="108" w:type="dxa"/>
            </w:tcMar>
          </w:tcPr>
          <w:p w:rsidR="00A75E60" w:rsidRPr="00237EFA" w:rsidRDefault="00A75E60" w:rsidP="000E2839">
            <w:pPr>
              <w:pStyle w:val="Paragarfobordato"/>
            </w:pPr>
            <w:r w:rsidRPr="00237EFA">
              <w:t xml:space="preserve">Come consentito dallo IAS 1, un bilancio intermedio può presentare per ciascun esercizio un singolo prospetto, oppure un prospetto distinto che espone le componenti dell’utile/(perdita) d’esercizio e un secondo prospetto che inizia con l’utile/(perdita) d’esercizio ed espone le voci delle altre componenti di conto economico complessivo. </w:t>
            </w:r>
          </w:p>
          <w:p w:rsidR="00A75E60" w:rsidRPr="00237EFA" w:rsidRDefault="00A75E60" w:rsidP="000E2839">
            <w:pPr>
              <w:pStyle w:val="Paragarfobordato"/>
            </w:pPr>
            <w:r w:rsidRPr="00237EFA">
              <w:t>Se un’entità presenta le componenti dell’utile/(perdita) d’esercizio in un prospetto separato, essa presente l’informativa sintetica intermedia in base a tale prospetto separato.</w:t>
            </w:r>
          </w:p>
        </w:tc>
        <w:tc>
          <w:tcPr>
            <w:tcW w:w="575" w:type="dxa"/>
            <w:tcMar>
              <w:left w:w="85" w:type="dxa"/>
              <w:right w:w="85" w:type="dxa"/>
            </w:tcMar>
            <w:vAlign w:val="center"/>
          </w:tcPr>
          <w:p w:rsidR="00A75E60" w:rsidRPr="00090BE7" w:rsidRDefault="00A75E60" w:rsidP="00A75E60">
            <w:pPr>
              <w:jc w:val="center"/>
              <w:rPr>
                <w:lang w:val="it-IT"/>
              </w:rPr>
            </w:pPr>
          </w:p>
        </w:tc>
        <w:tc>
          <w:tcPr>
            <w:tcW w:w="567" w:type="dxa"/>
            <w:tcMar>
              <w:left w:w="108" w:type="dxa"/>
            </w:tcMar>
            <w:vAlign w:val="center"/>
          </w:tcPr>
          <w:p w:rsidR="00A75E60" w:rsidRPr="00090BE7" w:rsidRDefault="00A75E60" w:rsidP="00A75E60">
            <w:pPr>
              <w:jc w:val="center"/>
              <w:rPr>
                <w:lang w:val="it-IT"/>
              </w:rPr>
            </w:pPr>
          </w:p>
        </w:tc>
        <w:tc>
          <w:tcPr>
            <w:tcW w:w="567" w:type="dxa"/>
            <w:tcMar>
              <w:left w:w="108" w:type="dxa"/>
            </w:tcMar>
            <w:vAlign w:val="center"/>
          </w:tcPr>
          <w:p w:rsidR="00A75E60" w:rsidRPr="00090BE7" w:rsidRDefault="00A75E60" w:rsidP="00A75E60">
            <w:pPr>
              <w:jc w:val="center"/>
              <w:rPr>
                <w:lang w:val="it-IT"/>
              </w:rPr>
            </w:pPr>
          </w:p>
        </w:tc>
      </w:tr>
      <w:tr w:rsidR="00A75E60" w:rsidRPr="008129DA" w:rsidTr="00F235B5">
        <w:trPr>
          <w:cantSplit/>
          <w:trHeight w:val="283"/>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150B74">
            <w:pPr>
              <w:pStyle w:val="Rientroa"/>
              <w:numPr>
                <w:ilvl w:val="0"/>
                <w:numId w:val="72"/>
              </w:numPr>
            </w:pPr>
            <w:r w:rsidRPr="00237EFA">
              <w:t>un prospetto indicante le variazioni cumulative di patrimonio netto:</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283"/>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150B74">
            <w:pPr>
              <w:pStyle w:val="Puntoelenco"/>
              <w:tabs>
                <w:tab w:val="clear" w:pos="780"/>
                <w:tab w:val="num" w:pos="741"/>
              </w:tabs>
              <w:ind w:hanging="322"/>
              <w:rPr>
                <w:b/>
              </w:rPr>
            </w:pPr>
            <w:r w:rsidRPr="00237EFA">
              <w:t>per il periodo compreso tra l’inizio dell’esercizio in corso e la data di chiusura del periodo intermedio di riferimento</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283"/>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150B74">
            <w:pPr>
              <w:pStyle w:val="Puntoelenco"/>
              <w:tabs>
                <w:tab w:val="clear" w:pos="780"/>
                <w:tab w:val="num" w:pos="741"/>
              </w:tabs>
              <w:ind w:hanging="322"/>
            </w:pPr>
            <w:r w:rsidRPr="00237EFA">
              <w:t>per lo stesso periodo fino alla data di chiusura del periodo intermedio di riferimento dell’esercizio precedente</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A0F36" w:rsidTr="00F235B5">
        <w:trPr>
          <w:cantSplit/>
          <w:trHeight w:val="283"/>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150B74">
            <w:pPr>
              <w:pStyle w:val="Rientroa"/>
              <w:numPr>
                <w:ilvl w:val="0"/>
                <w:numId w:val="72"/>
              </w:numPr>
            </w:pPr>
            <w:r w:rsidRPr="00237EFA">
              <w:t>rendiconto finanziario cumulativo:</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283"/>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150B74">
            <w:pPr>
              <w:pStyle w:val="Puntoelenco"/>
              <w:tabs>
                <w:tab w:val="clear" w:pos="780"/>
                <w:tab w:val="num" w:pos="741"/>
              </w:tabs>
              <w:ind w:hanging="322"/>
            </w:pPr>
            <w:r w:rsidRPr="00237EFA">
              <w:t>per il periodo compreso tra l’inizio dell’esercizio in corso e la data di chiusura del periodo intermedio di riferimento</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283"/>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150B74">
            <w:pPr>
              <w:pStyle w:val="Puntoelenco"/>
              <w:tabs>
                <w:tab w:val="clear" w:pos="780"/>
              </w:tabs>
              <w:ind w:hanging="322"/>
            </w:pPr>
            <w:r w:rsidRPr="00237EFA">
              <w:t>per lo stesso periodo fino alla data di chiusura del periodo intermedio di riferimento dell’esercizio precedente.</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A44ECD" w:rsidTr="00F235B5">
        <w:trPr>
          <w:cantSplit/>
          <w:trHeight w:val="283"/>
        </w:trPr>
        <w:tc>
          <w:tcPr>
            <w:tcW w:w="567" w:type="dxa"/>
            <w:tcMar>
              <w:left w:w="108" w:type="dxa"/>
              <w:right w:w="0" w:type="dxa"/>
            </w:tcMar>
          </w:tcPr>
          <w:p w:rsidR="00A75E60" w:rsidRPr="008A0F36" w:rsidRDefault="00A75E60" w:rsidP="00A75E60">
            <w:pPr>
              <w:pStyle w:val="Numeroelenco"/>
              <w:ind w:left="0" w:firstLine="57"/>
              <w:rPr>
                <w:lang w:val="it-IT"/>
              </w:rPr>
            </w:pPr>
          </w:p>
        </w:tc>
        <w:tc>
          <w:tcPr>
            <w:tcW w:w="851" w:type="dxa"/>
            <w:tcMar>
              <w:left w:w="108" w:type="dxa"/>
              <w:right w:w="0" w:type="dxa"/>
            </w:tcMar>
          </w:tcPr>
          <w:p w:rsidR="00A75E60" w:rsidRPr="00237EFA" w:rsidRDefault="00A75E60" w:rsidP="00A75E60">
            <w:pPr>
              <w:pStyle w:val="IAS"/>
              <w:rPr>
                <w:lang w:val="it-IT"/>
              </w:rPr>
            </w:pPr>
            <w:r w:rsidRPr="00237EFA">
              <w:rPr>
                <w:lang w:val="it-IT"/>
              </w:rPr>
              <w:t>IAS 34.21</w:t>
            </w:r>
          </w:p>
        </w:tc>
        <w:tc>
          <w:tcPr>
            <w:tcW w:w="7079" w:type="dxa"/>
            <w:tcMar>
              <w:left w:w="108" w:type="dxa"/>
            </w:tcMar>
          </w:tcPr>
          <w:p w:rsidR="00A75E60" w:rsidRPr="00237EFA" w:rsidRDefault="00A75E60" w:rsidP="00150B74">
            <w:pPr>
              <w:rPr>
                <w:lang w:val="it-IT"/>
              </w:rPr>
            </w:pPr>
            <w:r w:rsidRPr="00237EFA">
              <w:rPr>
                <w:lang w:val="it-IT"/>
              </w:rPr>
              <w:t>Se l’attività dell’entità è fortemente stagionale, indica:</w:t>
            </w:r>
          </w:p>
        </w:tc>
        <w:tc>
          <w:tcPr>
            <w:tcW w:w="575" w:type="dxa"/>
            <w:tcMar>
              <w:left w:w="85" w:type="dxa"/>
              <w:right w:w="85" w:type="dxa"/>
            </w:tcMar>
            <w:vAlign w:val="center"/>
          </w:tcPr>
          <w:p w:rsidR="00A75E60" w:rsidRPr="00A32A16" w:rsidRDefault="00A75E60" w:rsidP="00A75E60">
            <w:pPr>
              <w:jc w:val="center"/>
              <w:rPr>
                <w:lang w:val="it-IT"/>
              </w:rPr>
            </w:pPr>
          </w:p>
        </w:tc>
        <w:tc>
          <w:tcPr>
            <w:tcW w:w="567" w:type="dxa"/>
            <w:tcMar>
              <w:left w:w="108" w:type="dxa"/>
            </w:tcMar>
            <w:vAlign w:val="center"/>
          </w:tcPr>
          <w:p w:rsidR="00A75E60" w:rsidRPr="00A32A16" w:rsidRDefault="00A75E60" w:rsidP="00A75E60">
            <w:pPr>
              <w:jc w:val="center"/>
              <w:rPr>
                <w:lang w:val="it-IT"/>
              </w:rPr>
            </w:pPr>
          </w:p>
        </w:tc>
        <w:tc>
          <w:tcPr>
            <w:tcW w:w="567" w:type="dxa"/>
            <w:tcMar>
              <w:left w:w="108" w:type="dxa"/>
            </w:tcMar>
            <w:vAlign w:val="center"/>
          </w:tcPr>
          <w:p w:rsidR="00A75E60" w:rsidRPr="00A32A16" w:rsidRDefault="00A75E60" w:rsidP="00A75E60">
            <w:pPr>
              <w:jc w:val="center"/>
              <w:rPr>
                <w:lang w:val="it-IT"/>
              </w:rPr>
            </w:pPr>
          </w:p>
        </w:tc>
      </w:tr>
      <w:tr w:rsidR="00A75E60" w:rsidRPr="008129DA" w:rsidTr="00F235B5">
        <w:trPr>
          <w:cantSplit/>
          <w:trHeight w:val="283"/>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150B74">
            <w:pPr>
              <w:pStyle w:val="Puntoelenco"/>
              <w:tabs>
                <w:tab w:val="clear" w:pos="780"/>
                <w:tab w:val="num" w:pos="600"/>
              </w:tabs>
              <w:ind w:hanging="322"/>
            </w:pPr>
            <w:r>
              <w:tab/>
            </w:r>
            <w:r w:rsidRPr="00237EFA">
              <w:t>informazioni finanziarie per i dodici mesi aventi termine alla data di chiusura del periodo intermedio di riferimento; e</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283"/>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150B74">
            <w:pPr>
              <w:pStyle w:val="Puntoelenco"/>
              <w:tabs>
                <w:tab w:val="clear" w:pos="780"/>
                <w:tab w:val="num" w:pos="600"/>
              </w:tabs>
              <w:ind w:hanging="322"/>
            </w:pPr>
            <w:r>
              <w:tab/>
            </w:r>
            <w:r w:rsidRPr="00237EFA">
              <w:t>informazioni comparative per i dodici mesi precedenti.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A0F36" w:rsidTr="00F235B5">
        <w:trPr>
          <w:cantSplit/>
          <w:trHeight w:val="283"/>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A75E60">
            <w:pPr>
              <w:pStyle w:val="Titolo2"/>
              <w:rPr>
                <w:lang w:val="it-IT"/>
              </w:rPr>
            </w:pPr>
            <w:r w:rsidRPr="00237EFA">
              <w:rPr>
                <w:lang w:val="it-IT"/>
              </w:rPr>
              <w:t>Note illustrative specifiche</w:t>
            </w:r>
          </w:p>
        </w:tc>
        <w:tc>
          <w:tcPr>
            <w:tcW w:w="575" w:type="dxa"/>
            <w:tcMar>
              <w:left w:w="85" w:type="dxa"/>
              <w:right w:w="85" w:type="dxa"/>
            </w:tcMar>
            <w:vAlign w:val="center"/>
          </w:tcPr>
          <w:p w:rsidR="00A75E60" w:rsidRDefault="00A75E60" w:rsidP="00A75E60">
            <w:pPr>
              <w:jc w:val="center"/>
            </w:pPr>
          </w:p>
        </w:tc>
        <w:tc>
          <w:tcPr>
            <w:tcW w:w="567" w:type="dxa"/>
            <w:tcMar>
              <w:left w:w="108" w:type="dxa"/>
            </w:tcMar>
            <w:vAlign w:val="center"/>
          </w:tcPr>
          <w:p w:rsidR="00A75E60" w:rsidRDefault="00A75E60" w:rsidP="00A75E60">
            <w:pPr>
              <w:jc w:val="center"/>
            </w:pPr>
          </w:p>
        </w:tc>
        <w:tc>
          <w:tcPr>
            <w:tcW w:w="567" w:type="dxa"/>
            <w:tcMar>
              <w:left w:w="108" w:type="dxa"/>
            </w:tcMar>
            <w:vAlign w:val="center"/>
          </w:tcPr>
          <w:p w:rsidR="00A75E60" w:rsidRDefault="00A75E60" w:rsidP="00A75E60">
            <w:pPr>
              <w:jc w:val="center"/>
            </w:pPr>
          </w:p>
        </w:tc>
      </w:tr>
      <w:tr w:rsidR="00A75E60" w:rsidRPr="00A44ECD" w:rsidTr="00F235B5">
        <w:trPr>
          <w:cantSplit/>
          <w:trHeight w:val="283"/>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r w:rsidRPr="00237EFA">
              <w:rPr>
                <w:lang w:val="it-IT"/>
              </w:rPr>
              <w:t>IAS 34.15</w:t>
            </w:r>
          </w:p>
          <w:p w:rsidR="00A75E60" w:rsidRPr="00237EFA" w:rsidRDefault="00A75E60" w:rsidP="00A75E60">
            <w:pPr>
              <w:pStyle w:val="IAS"/>
              <w:rPr>
                <w:lang w:val="it-IT"/>
              </w:rPr>
            </w:pPr>
            <w:r w:rsidRPr="00237EFA">
              <w:rPr>
                <w:lang w:val="it-IT"/>
              </w:rPr>
              <w:t>IAS 34.15A</w:t>
            </w:r>
          </w:p>
        </w:tc>
        <w:tc>
          <w:tcPr>
            <w:tcW w:w="7079" w:type="dxa"/>
            <w:tcMar>
              <w:left w:w="108" w:type="dxa"/>
            </w:tcMar>
          </w:tcPr>
          <w:p w:rsidR="00A75E60" w:rsidRPr="00237EFA" w:rsidRDefault="00A75E60" w:rsidP="000E2839">
            <w:pPr>
              <w:pStyle w:val="Paragarfobordato"/>
            </w:pPr>
            <w:r w:rsidRPr="00237EFA">
              <w:t>Nel proprio bilancio intermedio, un'entità deve riportare una spiegazione delle operazioni e dei fatti rilevanti per la comprensione delle variazioni nella situazione patrimoniale-finanziaria e nel risultato gestionale dell'entità successivamente alla data di chiusura dell'ultimo esercizio. Le informazioni fornite in merito a tali operazioni e fatti significativi aggiorneranno le informazioni pertinenti esposte nel bilancio più recente.</w:t>
            </w:r>
          </w:p>
          <w:p w:rsidR="00A75E60" w:rsidRPr="00237EFA" w:rsidRDefault="00A75E60" w:rsidP="000E2839">
            <w:pPr>
              <w:pStyle w:val="Paragarfobordato"/>
            </w:pPr>
            <w:r w:rsidRPr="00237EFA">
              <w:t>L'utilizzatore di un bilancio intermedio dell'entità avrà a disposizione l'ultimo bilancio annuale dell'entità stessa. Non è necessario, perciò, che le note a un bilancio intermedio forniscano aggiornamenti relativamente non rilevanti alle informazioni fornite nelle note dell'ultimo bilancio annuale.</w:t>
            </w:r>
          </w:p>
        </w:tc>
        <w:tc>
          <w:tcPr>
            <w:tcW w:w="575" w:type="dxa"/>
            <w:tcMar>
              <w:left w:w="85" w:type="dxa"/>
              <w:right w:w="85" w:type="dxa"/>
            </w:tcMar>
            <w:vAlign w:val="center"/>
          </w:tcPr>
          <w:p w:rsidR="00A75E60" w:rsidRPr="00090BE7" w:rsidRDefault="00A75E60" w:rsidP="00A75E60">
            <w:pPr>
              <w:jc w:val="center"/>
              <w:rPr>
                <w:lang w:val="it-IT"/>
              </w:rPr>
            </w:pPr>
          </w:p>
        </w:tc>
        <w:tc>
          <w:tcPr>
            <w:tcW w:w="567" w:type="dxa"/>
            <w:tcMar>
              <w:left w:w="108" w:type="dxa"/>
            </w:tcMar>
            <w:vAlign w:val="center"/>
          </w:tcPr>
          <w:p w:rsidR="00A75E60" w:rsidRPr="00090BE7" w:rsidRDefault="00A75E60" w:rsidP="00A75E60">
            <w:pPr>
              <w:jc w:val="center"/>
              <w:rPr>
                <w:lang w:val="it-IT"/>
              </w:rPr>
            </w:pPr>
          </w:p>
        </w:tc>
        <w:tc>
          <w:tcPr>
            <w:tcW w:w="567" w:type="dxa"/>
            <w:tcMar>
              <w:left w:w="108" w:type="dxa"/>
            </w:tcMar>
            <w:vAlign w:val="center"/>
          </w:tcPr>
          <w:p w:rsidR="00A75E60" w:rsidRPr="00090BE7" w:rsidRDefault="00A75E60" w:rsidP="00A75E60">
            <w:pPr>
              <w:jc w:val="center"/>
              <w:rPr>
                <w:lang w:val="it-IT"/>
              </w:rPr>
            </w:pPr>
          </w:p>
        </w:tc>
      </w:tr>
      <w:tr w:rsidR="00A75E60" w:rsidRPr="00A44ECD" w:rsidTr="00F235B5">
        <w:trPr>
          <w:cantSplit/>
          <w:trHeight w:val="283"/>
        </w:trPr>
        <w:tc>
          <w:tcPr>
            <w:tcW w:w="567" w:type="dxa"/>
            <w:tcMar>
              <w:left w:w="108" w:type="dxa"/>
              <w:right w:w="0" w:type="dxa"/>
            </w:tcMar>
          </w:tcPr>
          <w:p w:rsidR="00A75E60" w:rsidRPr="008A0F36" w:rsidRDefault="00A75E60" w:rsidP="00A75E60">
            <w:pPr>
              <w:pStyle w:val="Numeroelenco"/>
              <w:ind w:left="0" w:firstLine="57"/>
              <w:rPr>
                <w:lang w:val="it-IT"/>
              </w:rPr>
            </w:pPr>
          </w:p>
        </w:tc>
        <w:tc>
          <w:tcPr>
            <w:tcW w:w="851" w:type="dxa"/>
            <w:tcMar>
              <w:left w:w="108" w:type="dxa"/>
              <w:right w:w="0" w:type="dxa"/>
            </w:tcMar>
          </w:tcPr>
          <w:p w:rsidR="00A75E60" w:rsidRPr="00237EFA" w:rsidRDefault="00A75E60" w:rsidP="00A75E60">
            <w:pPr>
              <w:pStyle w:val="IAS"/>
              <w:rPr>
                <w:lang w:val="it-IT"/>
              </w:rPr>
            </w:pPr>
            <w:r w:rsidRPr="00237EFA">
              <w:rPr>
                <w:lang w:val="it-IT"/>
              </w:rPr>
              <w:t>IAS 34.15B</w:t>
            </w:r>
          </w:p>
        </w:tc>
        <w:tc>
          <w:tcPr>
            <w:tcW w:w="7079" w:type="dxa"/>
            <w:tcMar>
              <w:left w:w="108" w:type="dxa"/>
            </w:tcMar>
          </w:tcPr>
          <w:p w:rsidR="00A75E60" w:rsidRPr="00237EFA" w:rsidRDefault="00A75E60" w:rsidP="00150B74">
            <w:pPr>
              <w:rPr>
                <w:lang w:val="it-IT"/>
              </w:rPr>
            </w:pPr>
            <w:r w:rsidRPr="00237EFA">
              <w:rPr>
                <w:rFonts w:cs="EUAlbertina"/>
                <w:color w:val="19161B"/>
                <w:lang w:val="it-IT"/>
              </w:rPr>
              <w:t>Di seguito è riportato un elenco non esaustivo di fatti e operazioni per i quali sarebbe necessario fornire informazioni, se tali fatti e operazioni sono significativi</w:t>
            </w:r>
            <w:r w:rsidRPr="00237EFA">
              <w:rPr>
                <w:lang w:val="it-IT"/>
              </w:rPr>
              <w:t>:</w:t>
            </w:r>
          </w:p>
        </w:tc>
        <w:tc>
          <w:tcPr>
            <w:tcW w:w="575" w:type="dxa"/>
            <w:tcMar>
              <w:left w:w="85" w:type="dxa"/>
              <w:right w:w="85" w:type="dxa"/>
            </w:tcMar>
            <w:vAlign w:val="center"/>
          </w:tcPr>
          <w:p w:rsidR="00A75E60" w:rsidRPr="00090BE7" w:rsidRDefault="00A75E60" w:rsidP="00A75E60">
            <w:pPr>
              <w:jc w:val="center"/>
              <w:rPr>
                <w:lang w:val="it-IT"/>
              </w:rPr>
            </w:pPr>
          </w:p>
        </w:tc>
        <w:tc>
          <w:tcPr>
            <w:tcW w:w="567" w:type="dxa"/>
            <w:tcMar>
              <w:left w:w="108" w:type="dxa"/>
            </w:tcMar>
            <w:vAlign w:val="center"/>
          </w:tcPr>
          <w:p w:rsidR="00A75E60" w:rsidRPr="00090BE7" w:rsidRDefault="00A75E60" w:rsidP="00A75E60">
            <w:pPr>
              <w:jc w:val="center"/>
              <w:rPr>
                <w:lang w:val="it-IT"/>
              </w:rPr>
            </w:pPr>
          </w:p>
        </w:tc>
        <w:tc>
          <w:tcPr>
            <w:tcW w:w="567" w:type="dxa"/>
            <w:tcMar>
              <w:left w:w="108" w:type="dxa"/>
            </w:tcMar>
            <w:vAlign w:val="center"/>
          </w:tcPr>
          <w:p w:rsidR="00A75E60" w:rsidRPr="00090BE7" w:rsidRDefault="00A75E60" w:rsidP="00A75E60">
            <w:pPr>
              <w:jc w:val="center"/>
              <w:rPr>
                <w:lang w:val="it-IT"/>
              </w:rPr>
            </w:pPr>
          </w:p>
        </w:tc>
      </w:tr>
      <w:tr w:rsidR="00A75E60" w:rsidRPr="008129DA" w:rsidTr="00F235B5">
        <w:trPr>
          <w:cantSplit/>
          <w:trHeight w:val="283"/>
        </w:trPr>
        <w:tc>
          <w:tcPr>
            <w:tcW w:w="567" w:type="dxa"/>
            <w:tcMar>
              <w:left w:w="108" w:type="dxa"/>
              <w:right w:w="0" w:type="dxa"/>
            </w:tcMar>
          </w:tcPr>
          <w:p w:rsidR="00A75E60" w:rsidRPr="008A0F36" w:rsidRDefault="00A75E60" w:rsidP="00A75E60">
            <w:pPr>
              <w:rPr>
                <w:lang w:val="it-IT"/>
              </w:rPr>
            </w:pPr>
          </w:p>
        </w:tc>
        <w:tc>
          <w:tcPr>
            <w:tcW w:w="851" w:type="dxa"/>
            <w:tcMar>
              <w:left w:w="108" w:type="dxa"/>
              <w:right w:w="0" w:type="dxa"/>
            </w:tcMar>
          </w:tcPr>
          <w:p w:rsidR="00A75E60" w:rsidRPr="00237EFA" w:rsidRDefault="00A75E60" w:rsidP="00A75E60">
            <w:pPr>
              <w:rPr>
                <w:lang w:val="it-IT"/>
              </w:rPr>
            </w:pPr>
          </w:p>
        </w:tc>
        <w:tc>
          <w:tcPr>
            <w:tcW w:w="7079" w:type="dxa"/>
            <w:tcMar>
              <w:left w:w="108" w:type="dxa"/>
            </w:tcMar>
          </w:tcPr>
          <w:p w:rsidR="00A75E60" w:rsidRPr="00237EFA" w:rsidRDefault="00A75E60" w:rsidP="00150B74">
            <w:pPr>
              <w:pStyle w:val="Paragrafoelenco"/>
              <w:numPr>
                <w:ilvl w:val="0"/>
                <w:numId w:val="200"/>
              </w:numPr>
              <w:ind w:left="457" w:hanging="425"/>
              <w:contextualSpacing w:val="0"/>
              <w:rPr>
                <w:iCs/>
                <w:lang w:val="it-IT"/>
              </w:rPr>
            </w:pPr>
            <w:r w:rsidRPr="00237EFA">
              <w:rPr>
                <w:lang w:val="it-IT"/>
              </w:rPr>
              <w:t>la svalutazione delle rimanenze al valore netto di realizzo e lo storno di tali svalutazioni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283"/>
        </w:trPr>
        <w:tc>
          <w:tcPr>
            <w:tcW w:w="567" w:type="dxa"/>
            <w:tcMar>
              <w:left w:w="108" w:type="dxa"/>
              <w:right w:w="0" w:type="dxa"/>
            </w:tcMar>
          </w:tcPr>
          <w:p w:rsidR="00A75E60" w:rsidRPr="008A0F36" w:rsidRDefault="00A75E60" w:rsidP="00A75E60">
            <w:pPr>
              <w:rPr>
                <w:lang w:val="it-IT"/>
              </w:rPr>
            </w:pPr>
          </w:p>
        </w:tc>
        <w:tc>
          <w:tcPr>
            <w:tcW w:w="851" w:type="dxa"/>
            <w:tcMar>
              <w:left w:w="108" w:type="dxa"/>
              <w:right w:w="0" w:type="dxa"/>
            </w:tcMar>
          </w:tcPr>
          <w:p w:rsidR="00A75E60" w:rsidRPr="00237EFA" w:rsidRDefault="00A75E60" w:rsidP="00A75E60">
            <w:pPr>
              <w:rPr>
                <w:lang w:val="it-IT"/>
              </w:rPr>
            </w:pPr>
          </w:p>
        </w:tc>
        <w:tc>
          <w:tcPr>
            <w:tcW w:w="7079" w:type="dxa"/>
            <w:tcMar>
              <w:left w:w="108" w:type="dxa"/>
            </w:tcMar>
          </w:tcPr>
          <w:p w:rsidR="00A75E60" w:rsidRPr="00237EFA" w:rsidRDefault="00A75E60" w:rsidP="00150B74">
            <w:pPr>
              <w:pStyle w:val="Paragrafoelenco"/>
              <w:numPr>
                <w:ilvl w:val="0"/>
                <w:numId w:val="200"/>
              </w:numPr>
              <w:ind w:left="461" w:hanging="432"/>
              <w:contextualSpacing w:val="0"/>
              <w:rPr>
                <w:iCs/>
                <w:lang w:val="it-IT"/>
              </w:rPr>
            </w:pPr>
            <w:r w:rsidRPr="00237EFA">
              <w:rPr>
                <w:lang w:val="it-IT"/>
              </w:rPr>
              <w:t>la rilevazione di una perdita per riduzione di valore su attività finanziarie, immobili, impianti e macchinari, attività immateriali o altre attività e lo storno di tali perdite per riduzione di valore</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53791E" w:rsidRPr="00A44ECD" w:rsidTr="00AF78B1">
        <w:trPr>
          <w:cantSplit/>
          <w:trHeight w:val="20"/>
        </w:trPr>
        <w:tc>
          <w:tcPr>
            <w:tcW w:w="567" w:type="dxa"/>
          </w:tcPr>
          <w:p w:rsidR="0053791E" w:rsidRPr="008A0F36" w:rsidRDefault="0053791E" w:rsidP="00AF78B1">
            <w:pPr>
              <w:spacing w:line="224" w:lineRule="exact"/>
              <w:ind w:firstLine="57"/>
              <w:rPr>
                <w:lang w:val="it-IT"/>
              </w:rPr>
            </w:pPr>
          </w:p>
        </w:tc>
        <w:tc>
          <w:tcPr>
            <w:tcW w:w="851" w:type="dxa"/>
            <w:tcMar>
              <w:left w:w="108" w:type="dxa"/>
              <w:right w:w="0" w:type="dxa"/>
            </w:tcMar>
          </w:tcPr>
          <w:p w:rsidR="0053791E" w:rsidRDefault="0053791E" w:rsidP="00AF78B1">
            <w:pPr>
              <w:pStyle w:val="IAS"/>
              <w:spacing w:before="20" w:line="224" w:lineRule="exact"/>
              <w:jc w:val="both"/>
              <w:rPr>
                <w:lang w:val="it-IT"/>
              </w:rPr>
            </w:pPr>
          </w:p>
        </w:tc>
        <w:tc>
          <w:tcPr>
            <w:tcW w:w="7079" w:type="dxa"/>
            <w:shd w:val="clear" w:color="auto" w:fill="D9D9D9" w:themeFill="background1" w:themeFillShade="D9"/>
            <w:tcMar>
              <w:left w:w="108" w:type="dxa"/>
            </w:tcMar>
          </w:tcPr>
          <w:p w:rsidR="0053791E" w:rsidRDefault="0053791E" w:rsidP="000E2839">
            <w:pPr>
              <w:pStyle w:val="Paragarfobordato"/>
              <w:rPr>
                <w:rStyle w:val="Enfasicorsivo"/>
                <w:i w:val="0"/>
                <w:sz w:val="13"/>
                <w:szCs w:val="13"/>
              </w:rPr>
            </w:pPr>
            <w:r>
              <w:rPr>
                <w:rStyle w:val="Enfasicorsivo"/>
                <w:i w:val="0"/>
              </w:rPr>
              <w:t>Se l’entità applica anticipatamente l’IFRS 15 deve essere indicata anche la rielvazione di una perdita per riduzione di valore con riferimento alle attività derivanti da contratto con i clienti.</w:t>
            </w:r>
          </w:p>
        </w:tc>
        <w:tc>
          <w:tcPr>
            <w:tcW w:w="575" w:type="dxa"/>
            <w:tcMar>
              <w:left w:w="85" w:type="dxa"/>
              <w:right w:w="85" w:type="dxa"/>
            </w:tcMar>
            <w:vAlign w:val="center"/>
          </w:tcPr>
          <w:p w:rsidR="0053791E" w:rsidRPr="00A32A16" w:rsidRDefault="0053791E" w:rsidP="00AF78B1">
            <w:pPr>
              <w:spacing w:line="224" w:lineRule="exact"/>
              <w:jc w:val="center"/>
              <w:rPr>
                <w:lang w:val="it-IT"/>
              </w:rPr>
            </w:pPr>
          </w:p>
        </w:tc>
        <w:tc>
          <w:tcPr>
            <w:tcW w:w="567" w:type="dxa"/>
            <w:tcMar>
              <w:left w:w="108" w:type="dxa"/>
            </w:tcMar>
            <w:vAlign w:val="center"/>
          </w:tcPr>
          <w:p w:rsidR="0053791E" w:rsidRPr="00A32A16" w:rsidRDefault="0053791E" w:rsidP="00AF78B1">
            <w:pPr>
              <w:spacing w:line="224" w:lineRule="exact"/>
              <w:jc w:val="center"/>
              <w:rPr>
                <w:lang w:val="it-IT"/>
              </w:rPr>
            </w:pPr>
          </w:p>
        </w:tc>
        <w:tc>
          <w:tcPr>
            <w:tcW w:w="567" w:type="dxa"/>
            <w:tcMar>
              <w:left w:w="108" w:type="dxa"/>
            </w:tcMar>
            <w:vAlign w:val="center"/>
          </w:tcPr>
          <w:p w:rsidR="0053791E" w:rsidRPr="00A32A16" w:rsidRDefault="0053791E" w:rsidP="00AF78B1">
            <w:pPr>
              <w:spacing w:line="224" w:lineRule="exact"/>
              <w:jc w:val="center"/>
              <w:rPr>
                <w:lang w:val="it-IT"/>
              </w:rPr>
            </w:pPr>
          </w:p>
        </w:tc>
      </w:tr>
      <w:tr w:rsidR="00A75E60" w:rsidRPr="008129DA" w:rsidTr="00F235B5">
        <w:trPr>
          <w:cantSplit/>
          <w:trHeight w:val="283"/>
        </w:trPr>
        <w:tc>
          <w:tcPr>
            <w:tcW w:w="567" w:type="dxa"/>
            <w:tcMar>
              <w:left w:w="108" w:type="dxa"/>
              <w:right w:w="0" w:type="dxa"/>
            </w:tcMar>
          </w:tcPr>
          <w:p w:rsidR="00A75E60" w:rsidRPr="008A0F36" w:rsidRDefault="00A75E60" w:rsidP="00A75E60">
            <w:pPr>
              <w:rPr>
                <w:lang w:val="it-IT"/>
              </w:rPr>
            </w:pPr>
          </w:p>
        </w:tc>
        <w:tc>
          <w:tcPr>
            <w:tcW w:w="851" w:type="dxa"/>
            <w:tcMar>
              <w:left w:w="108" w:type="dxa"/>
              <w:right w:w="0" w:type="dxa"/>
            </w:tcMar>
          </w:tcPr>
          <w:p w:rsidR="00A75E60" w:rsidRPr="00237EFA" w:rsidRDefault="00A75E60" w:rsidP="00A75E60">
            <w:pPr>
              <w:rPr>
                <w:lang w:val="it-IT"/>
              </w:rPr>
            </w:pPr>
          </w:p>
        </w:tc>
        <w:tc>
          <w:tcPr>
            <w:tcW w:w="7079" w:type="dxa"/>
            <w:tcMar>
              <w:left w:w="108" w:type="dxa"/>
            </w:tcMar>
          </w:tcPr>
          <w:p w:rsidR="00A75E60" w:rsidRPr="00237EFA" w:rsidRDefault="00A75E60" w:rsidP="00150B74">
            <w:pPr>
              <w:pStyle w:val="Rientroa"/>
              <w:numPr>
                <w:ilvl w:val="0"/>
                <w:numId w:val="212"/>
              </w:numPr>
              <w:rPr>
                <w:iCs/>
              </w:rPr>
            </w:pPr>
            <w:r w:rsidRPr="00237EFA">
              <w:t>lo storno di qualsiasi accantonamento per costi di ristrutturazione</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283"/>
        </w:trPr>
        <w:tc>
          <w:tcPr>
            <w:tcW w:w="567" w:type="dxa"/>
            <w:tcMar>
              <w:left w:w="108" w:type="dxa"/>
              <w:right w:w="0" w:type="dxa"/>
            </w:tcMar>
          </w:tcPr>
          <w:p w:rsidR="00A75E60" w:rsidRPr="008A0F36" w:rsidRDefault="00A75E60" w:rsidP="00A75E60">
            <w:pPr>
              <w:rPr>
                <w:lang w:val="it-IT"/>
              </w:rPr>
            </w:pPr>
          </w:p>
        </w:tc>
        <w:tc>
          <w:tcPr>
            <w:tcW w:w="851" w:type="dxa"/>
            <w:tcMar>
              <w:left w:w="108" w:type="dxa"/>
              <w:right w:w="0" w:type="dxa"/>
            </w:tcMar>
          </w:tcPr>
          <w:p w:rsidR="00A75E60" w:rsidRPr="00237EFA" w:rsidRDefault="00A75E60" w:rsidP="00A75E60">
            <w:pPr>
              <w:rPr>
                <w:lang w:val="it-IT"/>
              </w:rPr>
            </w:pPr>
          </w:p>
        </w:tc>
        <w:tc>
          <w:tcPr>
            <w:tcW w:w="7079" w:type="dxa"/>
            <w:tcMar>
              <w:left w:w="108" w:type="dxa"/>
            </w:tcMar>
          </w:tcPr>
          <w:p w:rsidR="00A75E60" w:rsidRPr="00237EFA" w:rsidRDefault="00A75E60" w:rsidP="00150B74">
            <w:pPr>
              <w:pStyle w:val="Rientroa"/>
              <w:numPr>
                <w:ilvl w:val="0"/>
                <w:numId w:val="72"/>
              </w:numPr>
            </w:pPr>
            <w:r w:rsidRPr="00237EFA">
              <w:t>acquisizioni o dismissioni di elementi di immobili, impianti o macchinari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283"/>
        </w:trPr>
        <w:tc>
          <w:tcPr>
            <w:tcW w:w="567" w:type="dxa"/>
            <w:tcMar>
              <w:left w:w="108" w:type="dxa"/>
              <w:right w:w="0" w:type="dxa"/>
            </w:tcMar>
          </w:tcPr>
          <w:p w:rsidR="00A75E60" w:rsidRPr="008A0F36" w:rsidRDefault="00A75E60" w:rsidP="00A75E60">
            <w:pPr>
              <w:rPr>
                <w:lang w:val="it-IT"/>
              </w:rPr>
            </w:pPr>
          </w:p>
        </w:tc>
        <w:tc>
          <w:tcPr>
            <w:tcW w:w="851" w:type="dxa"/>
            <w:tcMar>
              <w:left w:w="108" w:type="dxa"/>
              <w:right w:w="0" w:type="dxa"/>
            </w:tcMar>
          </w:tcPr>
          <w:p w:rsidR="00A75E60" w:rsidRPr="00237EFA" w:rsidRDefault="00A75E60" w:rsidP="00A75E60">
            <w:pPr>
              <w:rPr>
                <w:lang w:val="it-IT"/>
              </w:rPr>
            </w:pPr>
          </w:p>
        </w:tc>
        <w:tc>
          <w:tcPr>
            <w:tcW w:w="7079" w:type="dxa"/>
            <w:tcMar>
              <w:left w:w="108" w:type="dxa"/>
            </w:tcMar>
          </w:tcPr>
          <w:p w:rsidR="00A75E60" w:rsidRPr="00237EFA" w:rsidRDefault="00A75E60" w:rsidP="00150B74">
            <w:pPr>
              <w:pStyle w:val="Rientroa"/>
              <w:numPr>
                <w:ilvl w:val="0"/>
                <w:numId w:val="72"/>
              </w:numPr>
            </w:pPr>
            <w:r w:rsidRPr="00237EFA">
              <w:t>impegni per l’acquisto di immobili, impianti e macchinari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A0F36" w:rsidTr="00F235B5">
        <w:trPr>
          <w:cantSplit/>
          <w:trHeight w:val="283"/>
        </w:trPr>
        <w:tc>
          <w:tcPr>
            <w:tcW w:w="567" w:type="dxa"/>
            <w:tcMar>
              <w:left w:w="108" w:type="dxa"/>
              <w:right w:w="0" w:type="dxa"/>
            </w:tcMar>
          </w:tcPr>
          <w:p w:rsidR="00A75E60" w:rsidRPr="008A0F36" w:rsidRDefault="00A75E60" w:rsidP="00A75E60">
            <w:pPr>
              <w:rPr>
                <w:lang w:val="it-IT"/>
              </w:rPr>
            </w:pPr>
          </w:p>
        </w:tc>
        <w:tc>
          <w:tcPr>
            <w:tcW w:w="851" w:type="dxa"/>
            <w:tcMar>
              <w:left w:w="108" w:type="dxa"/>
              <w:right w:w="0" w:type="dxa"/>
            </w:tcMar>
          </w:tcPr>
          <w:p w:rsidR="00A75E60" w:rsidRPr="00237EFA" w:rsidRDefault="00A75E60" w:rsidP="00A75E60">
            <w:pPr>
              <w:rPr>
                <w:lang w:val="it-IT"/>
              </w:rPr>
            </w:pPr>
          </w:p>
        </w:tc>
        <w:tc>
          <w:tcPr>
            <w:tcW w:w="7079" w:type="dxa"/>
            <w:tcMar>
              <w:left w:w="108" w:type="dxa"/>
            </w:tcMar>
          </w:tcPr>
          <w:p w:rsidR="00A75E60" w:rsidRPr="00237EFA" w:rsidRDefault="00A75E60" w:rsidP="00150B74">
            <w:pPr>
              <w:pStyle w:val="Rientroa"/>
              <w:numPr>
                <w:ilvl w:val="0"/>
                <w:numId w:val="72"/>
              </w:numPr>
            </w:pPr>
            <w:r w:rsidRPr="00237EFA">
              <w:t>risoluzione di controversie legali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283"/>
        </w:trPr>
        <w:tc>
          <w:tcPr>
            <w:tcW w:w="567" w:type="dxa"/>
            <w:tcMar>
              <w:left w:w="108" w:type="dxa"/>
              <w:right w:w="0" w:type="dxa"/>
            </w:tcMar>
          </w:tcPr>
          <w:p w:rsidR="00A75E60" w:rsidRPr="008A0F36" w:rsidRDefault="00A75E60" w:rsidP="00A75E60">
            <w:pPr>
              <w:rPr>
                <w:lang w:val="it-IT"/>
              </w:rPr>
            </w:pPr>
          </w:p>
        </w:tc>
        <w:tc>
          <w:tcPr>
            <w:tcW w:w="851" w:type="dxa"/>
            <w:tcMar>
              <w:left w:w="108" w:type="dxa"/>
              <w:right w:w="0" w:type="dxa"/>
            </w:tcMar>
          </w:tcPr>
          <w:p w:rsidR="00A75E60" w:rsidRPr="00237EFA" w:rsidRDefault="00A75E60" w:rsidP="00A75E60">
            <w:pPr>
              <w:rPr>
                <w:lang w:val="it-IT"/>
              </w:rPr>
            </w:pPr>
          </w:p>
        </w:tc>
        <w:tc>
          <w:tcPr>
            <w:tcW w:w="7079" w:type="dxa"/>
            <w:tcMar>
              <w:left w:w="108" w:type="dxa"/>
            </w:tcMar>
          </w:tcPr>
          <w:p w:rsidR="00A75E60" w:rsidRPr="00237EFA" w:rsidRDefault="00A75E60" w:rsidP="00150B74">
            <w:pPr>
              <w:pStyle w:val="Rientroa"/>
              <w:numPr>
                <w:ilvl w:val="0"/>
                <w:numId w:val="72"/>
              </w:numPr>
            </w:pPr>
            <w:r w:rsidRPr="00237EFA">
              <w:t>correzioni di errori in periodi precedenti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283"/>
        </w:trPr>
        <w:tc>
          <w:tcPr>
            <w:tcW w:w="567" w:type="dxa"/>
            <w:tcMar>
              <w:left w:w="108" w:type="dxa"/>
              <w:right w:w="0" w:type="dxa"/>
            </w:tcMar>
          </w:tcPr>
          <w:p w:rsidR="00A75E60" w:rsidRPr="008A0F36" w:rsidRDefault="00A75E60" w:rsidP="00A75E60">
            <w:pPr>
              <w:rPr>
                <w:lang w:val="it-IT"/>
              </w:rPr>
            </w:pPr>
          </w:p>
        </w:tc>
        <w:tc>
          <w:tcPr>
            <w:tcW w:w="851" w:type="dxa"/>
            <w:tcMar>
              <w:left w:w="108" w:type="dxa"/>
              <w:right w:w="0" w:type="dxa"/>
            </w:tcMar>
          </w:tcPr>
          <w:p w:rsidR="00A75E60" w:rsidRPr="00237EFA" w:rsidRDefault="00A75E60" w:rsidP="00A75E60">
            <w:pPr>
              <w:rPr>
                <w:lang w:val="it-IT"/>
              </w:rPr>
            </w:pPr>
          </w:p>
        </w:tc>
        <w:tc>
          <w:tcPr>
            <w:tcW w:w="7079" w:type="dxa"/>
            <w:tcMar>
              <w:left w:w="108" w:type="dxa"/>
            </w:tcMar>
          </w:tcPr>
          <w:p w:rsidR="00A75E60" w:rsidRPr="00237EFA" w:rsidRDefault="00A75E60" w:rsidP="00150B74">
            <w:pPr>
              <w:pStyle w:val="Rientroa"/>
              <w:numPr>
                <w:ilvl w:val="0"/>
                <w:numId w:val="72"/>
              </w:numPr>
            </w:pPr>
            <w:r w:rsidRPr="00237EFA">
              <w:t xml:space="preserve">cambiamenti nella situazione economica che influenzano il </w:t>
            </w:r>
            <w:r w:rsidRPr="00237EFA">
              <w:rPr>
                <w:i/>
              </w:rPr>
              <w:t>fair value</w:t>
            </w:r>
            <w:r w:rsidRPr="00237EFA">
              <w:t xml:space="preserve"> delle attività e passività finanziarie dell’entità, sia nel caso in cui tali attività e passività sono rilevate al </w:t>
            </w:r>
            <w:r w:rsidRPr="00237EFA">
              <w:rPr>
                <w:i/>
              </w:rPr>
              <w:t>fair value</w:t>
            </w:r>
            <w:r w:rsidRPr="00237EFA">
              <w:t xml:space="preserve"> che nel caso in cui sono rilevate al costo ammortizzato</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283"/>
        </w:trPr>
        <w:tc>
          <w:tcPr>
            <w:tcW w:w="567" w:type="dxa"/>
            <w:tcMar>
              <w:left w:w="108" w:type="dxa"/>
              <w:right w:w="0" w:type="dxa"/>
            </w:tcMar>
          </w:tcPr>
          <w:p w:rsidR="00A75E60" w:rsidRPr="008A0F36" w:rsidRDefault="00A75E60" w:rsidP="00A75E60">
            <w:pPr>
              <w:rPr>
                <w:lang w:val="it-IT"/>
              </w:rPr>
            </w:pPr>
          </w:p>
        </w:tc>
        <w:tc>
          <w:tcPr>
            <w:tcW w:w="851" w:type="dxa"/>
            <w:tcMar>
              <w:left w:w="108" w:type="dxa"/>
              <w:right w:w="0" w:type="dxa"/>
            </w:tcMar>
          </w:tcPr>
          <w:p w:rsidR="00A75E60" w:rsidRPr="00237EFA" w:rsidRDefault="00A75E60" w:rsidP="00A75E60">
            <w:pPr>
              <w:rPr>
                <w:lang w:val="it-IT"/>
              </w:rPr>
            </w:pPr>
          </w:p>
        </w:tc>
        <w:tc>
          <w:tcPr>
            <w:tcW w:w="7079" w:type="dxa"/>
            <w:tcMar>
              <w:left w:w="108" w:type="dxa"/>
            </w:tcMar>
          </w:tcPr>
          <w:p w:rsidR="00A75E60" w:rsidRPr="00237EFA" w:rsidRDefault="00A75E60" w:rsidP="00150B74">
            <w:pPr>
              <w:pStyle w:val="Rientroa"/>
              <w:numPr>
                <w:ilvl w:val="0"/>
                <w:numId w:val="72"/>
              </w:numPr>
            </w:pPr>
            <w:r w:rsidRPr="00237EFA">
              <w:t>qualsiasi inadempienza o violazione di un contratto di finanziamento che non è stata sanata prima o alla data di chiusura del periodo di riferimento</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A0F36" w:rsidTr="00F235B5">
        <w:trPr>
          <w:cantSplit/>
          <w:trHeight w:val="283"/>
        </w:trPr>
        <w:tc>
          <w:tcPr>
            <w:tcW w:w="567" w:type="dxa"/>
            <w:tcMar>
              <w:left w:w="108" w:type="dxa"/>
              <w:right w:w="0" w:type="dxa"/>
            </w:tcMar>
          </w:tcPr>
          <w:p w:rsidR="00A75E60" w:rsidRPr="008A0F36" w:rsidRDefault="00A75E60" w:rsidP="00A75E60">
            <w:pPr>
              <w:rPr>
                <w:lang w:val="it-IT"/>
              </w:rPr>
            </w:pPr>
          </w:p>
        </w:tc>
        <w:tc>
          <w:tcPr>
            <w:tcW w:w="851" w:type="dxa"/>
            <w:tcMar>
              <w:left w:w="108" w:type="dxa"/>
              <w:right w:w="0" w:type="dxa"/>
            </w:tcMar>
          </w:tcPr>
          <w:p w:rsidR="00A75E60" w:rsidRPr="00237EFA" w:rsidRDefault="00A75E60" w:rsidP="00A75E60">
            <w:pPr>
              <w:rPr>
                <w:lang w:val="it-IT"/>
              </w:rPr>
            </w:pPr>
          </w:p>
        </w:tc>
        <w:tc>
          <w:tcPr>
            <w:tcW w:w="7079" w:type="dxa"/>
            <w:tcMar>
              <w:left w:w="108" w:type="dxa"/>
            </w:tcMar>
          </w:tcPr>
          <w:p w:rsidR="00A75E60" w:rsidRPr="00237EFA" w:rsidRDefault="00A75E60" w:rsidP="00150B74">
            <w:pPr>
              <w:pStyle w:val="Rientroa"/>
              <w:numPr>
                <w:ilvl w:val="0"/>
                <w:numId w:val="72"/>
              </w:numPr>
            </w:pPr>
            <w:r w:rsidRPr="00237EFA">
              <w:t>transazioni con parti correlate</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283"/>
        </w:trPr>
        <w:tc>
          <w:tcPr>
            <w:tcW w:w="567" w:type="dxa"/>
            <w:tcMar>
              <w:left w:w="108" w:type="dxa"/>
              <w:right w:w="0" w:type="dxa"/>
            </w:tcMar>
          </w:tcPr>
          <w:p w:rsidR="00A75E60" w:rsidRPr="008A0F36" w:rsidRDefault="00A75E60" w:rsidP="00A75E60">
            <w:pPr>
              <w:rPr>
                <w:lang w:val="it-IT"/>
              </w:rPr>
            </w:pPr>
          </w:p>
        </w:tc>
        <w:tc>
          <w:tcPr>
            <w:tcW w:w="851" w:type="dxa"/>
            <w:tcMar>
              <w:left w:w="108" w:type="dxa"/>
              <w:right w:w="0" w:type="dxa"/>
            </w:tcMar>
          </w:tcPr>
          <w:p w:rsidR="00A75E60" w:rsidRPr="00237EFA" w:rsidRDefault="00A75E60" w:rsidP="00A75E60">
            <w:pPr>
              <w:rPr>
                <w:lang w:val="it-IT"/>
              </w:rPr>
            </w:pPr>
          </w:p>
        </w:tc>
        <w:tc>
          <w:tcPr>
            <w:tcW w:w="7079" w:type="dxa"/>
            <w:tcMar>
              <w:left w:w="108" w:type="dxa"/>
            </w:tcMar>
          </w:tcPr>
          <w:p w:rsidR="00A75E60" w:rsidRPr="00237EFA" w:rsidRDefault="00A75E60" w:rsidP="00150B74">
            <w:pPr>
              <w:pStyle w:val="Rientroa"/>
              <w:numPr>
                <w:ilvl w:val="0"/>
                <w:numId w:val="72"/>
              </w:numPr>
              <w:ind w:left="391" w:hanging="357"/>
            </w:pPr>
            <w:r w:rsidRPr="00237EFA">
              <w:t xml:space="preserve">trasferimenti tra i diversi livelli di gerarchia utilizzati nella definizione del </w:t>
            </w:r>
            <w:r w:rsidRPr="00237EFA">
              <w:rPr>
                <w:i/>
              </w:rPr>
              <w:t>fair value</w:t>
            </w:r>
            <w:r w:rsidRPr="00237EFA">
              <w:t xml:space="preserve"> degli strumenti finanziari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283"/>
        </w:trPr>
        <w:tc>
          <w:tcPr>
            <w:tcW w:w="567" w:type="dxa"/>
            <w:tcMar>
              <w:left w:w="108" w:type="dxa"/>
              <w:right w:w="0" w:type="dxa"/>
            </w:tcMar>
          </w:tcPr>
          <w:p w:rsidR="00A75E60" w:rsidRPr="008A0F36" w:rsidRDefault="00A75E60" w:rsidP="00A75E60">
            <w:pPr>
              <w:rPr>
                <w:lang w:val="it-IT"/>
              </w:rPr>
            </w:pPr>
          </w:p>
        </w:tc>
        <w:tc>
          <w:tcPr>
            <w:tcW w:w="851" w:type="dxa"/>
            <w:tcMar>
              <w:left w:w="108" w:type="dxa"/>
              <w:right w:w="0" w:type="dxa"/>
            </w:tcMar>
          </w:tcPr>
          <w:p w:rsidR="00A75E60" w:rsidRPr="00237EFA" w:rsidRDefault="00A75E60" w:rsidP="00A75E60">
            <w:pPr>
              <w:rPr>
                <w:lang w:val="it-IT"/>
              </w:rPr>
            </w:pPr>
          </w:p>
        </w:tc>
        <w:tc>
          <w:tcPr>
            <w:tcW w:w="7079" w:type="dxa"/>
            <w:tcMar>
              <w:left w:w="108" w:type="dxa"/>
            </w:tcMar>
          </w:tcPr>
          <w:p w:rsidR="00A75E60" w:rsidRPr="00237EFA" w:rsidRDefault="00A75E60" w:rsidP="00150B74">
            <w:pPr>
              <w:pStyle w:val="Rientroa"/>
              <w:numPr>
                <w:ilvl w:val="0"/>
                <w:numId w:val="72"/>
              </w:numPr>
            </w:pPr>
            <w:r w:rsidRPr="00237EFA">
              <w:t>cambiamenti nella classificazione delle attività finanziarie conseguenti a cambiamenti nello scopo del loro utilizzo; e</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283"/>
        </w:trPr>
        <w:tc>
          <w:tcPr>
            <w:tcW w:w="567" w:type="dxa"/>
            <w:tcMar>
              <w:left w:w="108" w:type="dxa"/>
              <w:right w:w="0" w:type="dxa"/>
            </w:tcMar>
          </w:tcPr>
          <w:p w:rsidR="00A75E60" w:rsidRPr="008A0F36" w:rsidRDefault="00A75E60" w:rsidP="00A75E60">
            <w:pPr>
              <w:rPr>
                <w:lang w:val="it-IT"/>
              </w:rPr>
            </w:pPr>
          </w:p>
        </w:tc>
        <w:tc>
          <w:tcPr>
            <w:tcW w:w="851" w:type="dxa"/>
            <w:tcMar>
              <w:left w:w="108" w:type="dxa"/>
              <w:right w:w="0" w:type="dxa"/>
            </w:tcMar>
          </w:tcPr>
          <w:p w:rsidR="00A75E60" w:rsidRPr="00237EFA" w:rsidRDefault="00A75E60" w:rsidP="00A75E60">
            <w:pPr>
              <w:rPr>
                <w:lang w:val="it-IT"/>
              </w:rPr>
            </w:pPr>
          </w:p>
        </w:tc>
        <w:tc>
          <w:tcPr>
            <w:tcW w:w="7079" w:type="dxa"/>
            <w:tcMar>
              <w:left w:w="108" w:type="dxa"/>
            </w:tcMar>
          </w:tcPr>
          <w:p w:rsidR="00A75E60" w:rsidRPr="00237EFA" w:rsidRDefault="00A75E60" w:rsidP="00150B74">
            <w:pPr>
              <w:pStyle w:val="Rientroa"/>
              <w:numPr>
                <w:ilvl w:val="0"/>
                <w:numId w:val="72"/>
              </w:numPr>
            </w:pPr>
            <w:r w:rsidRPr="00237EFA">
              <w:t>variazioni nelle attività e passività potenziali.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A44ECD" w:rsidTr="00F235B5">
        <w:trPr>
          <w:cantSplit/>
          <w:trHeight w:val="283"/>
        </w:trPr>
        <w:tc>
          <w:tcPr>
            <w:tcW w:w="567" w:type="dxa"/>
            <w:tcMar>
              <w:left w:w="108" w:type="dxa"/>
            </w:tcMar>
          </w:tcPr>
          <w:p w:rsidR="00A75E60" w:rsidRPr="008A0F36" w:rsidRDefault="00A75E60" w:rsidP="00A75E60">
            <w:pPr>
              <w:pStyle w:val="Numeroelenco"/>
              <w:ind w:left="0" w:firstLine="57"/>
              <w:rPr>
                <w:lang w:val="it-IT"/>
              </w:rPr>
            </w:pPr>
          </w:p>
        </w:tc>
        <w:tc>
          <w:tcPr>
            <w:tcW w:w="851" w:type="dxa"/>
            <w:tcMar>
              <w:left w:w="108" w:type="dxa"/>
              <w:right w:w="0" w:type="dxa"/>
            </w:tcMar>
          </w:tcPr>
          <w:p w:rsidR="00A75E60" w:rsidRPr="00237EFA" w:rsidRDefault="00A75E60" w:rsidP="00A75E60">
            <w:pPr>
              <w:pStyle w:val="IAS"/>
              <w:rPr>
                <w:lang w:val="it-IT"/>
              </w:rPr>
            </w:pPr>
            <w:r w:rsidRPr="00237EFA">
              <w:rPr>
                <w:lang w:val="it-IT"/>
              </w:rPr>
              <w:t>IAS 34.16A</w:t>
            </w:r>
          </w:p>
        </w:tc>
        <w:tc>
          <w:tcPr>
            <w:tcW w:w="7079" w:type="dxa"/>
            <w:tcMar>
              <w:left w:w="108" w:type="dxa"/>
            </w:tcMar>
          </w:tcPr>
          <w:p w:rsidR="00A75E60" w:rsidRPr="00237EFA" w:rsidRDefault="00A75E60" w:rsidP="00150B74">
            <w:pPr>
              <w:rPr>
                <w:lang w:val="it-IT"/>
              </w:rPr>
            </w:pPr>
            <w:r w:rsidRPr="00237EFA">
              <w:rPr>
                <w:rFonts w:cs="EUAlbertina"/>
                <w:color w:val="19161B"/>
                <w:lang w:val="it-IT"/>
              </w:rPr>
              <w:t>Oltre a indicare operazioni e fatti significativi secondo quanto disposto dai paragrafi 15–15C (vedi punto precedente), un'entità deve includere le seguenti informazioni nelle note al bilancio intermedio</w:t>
            </w:r>
            <w:r>
              <w:rPr>
                <w:rFonts w:cs="EUAlbertina"/>
                <w:color w:val="19161B"/>
                <w:lang w:val="it-IT"/>
              </w:rPr>
              <w:t xml:space="preserve"> o</w:t>
            </w:r>
            <w:r w:rsidRPr="00237EFA">
              <w:rPr>
                <w:rFonts w:cs="EUAlbertina"/>
                <w:color w:val="19161B"/>
                <w:lang w:val="it-IT"/>
              </w:rPr>
              <w:t xml:space="preserve"> in altre sezioni del bilancio intermedio. </w:t>
            </w:r>
            <w:r w:rsidRPr="004300E2">
              <w:rPr>
                <w:rFonts w:cs="EUAlbertina"/>
                <w:color w:val="19161B"/>
                <w:lang w:val="it-IT"/>
              </w:rPr>
              <w:t xml:space="preserve">Le seguenti informazioni integrative devono essere fornite direttamente nel bilancio intermedio ovvero tramite rinvii inseriti nel bilancio intermedio ad altri documenti (come per esempio, relazione della direzione aziendale o relazioni sul rischio) ai quali gli utilizzatori del bilancio intermedio hanno accesso alle stesse condizioni e negli stessi tempi del bilancio intermedio. Se gli utilizzatori del bilancio non hanno accesso alle informazioni tramite rinvii inseriti nel bilancio intermedio alle stesse condizioni e negli stessi tempi, il bilancio intermedio è incompleto. </w:t>
            </w:r>
            <w:r w:rsidRPr="00237EFA">
              <w:rPr>
                <w:rFonts w:cs="EUAlbertina"/>
                <w:color w:val="19161B"/>
                <w:lang w:val="it-IT"/>
              </w:rPr>
              <w:t>L'informativa deve normalmente essere esposta con riferimento al periodo tra l'inizio dell'esercizio e la chiusura del periodo intermedio:</w:t>
            </w:r>
          </w:p>
        </w:tc>
        <w:tc>
          <w:tcPr>
            <w:tcW w:w="575" w:type="dxa"/>
            <w:tcMar>
              <w:left w:w="85" w:type="dxa"/>
              <w:right w:w="85" w:type="dxa"/>
            </w:tcMar>
            <w:vAlign w:val="center"/>
          </w:tcPr>
          <w:p w:rsidR="00A75E60" w:rsidRPr="00090BE7" w:rsidRDefault="00A75E60" w:rsidP="00A75E60">
            <w:pPr>
              <w:jc w:val="center"/>
              <w:rPr>
                <w:lang w:val="it-IT"/>
              </w:rPr>
            </w:pPr>
          </w:p>
        </w:tc>
        <w:tc>
          <w:tcPr>
            <w:tcW w:w="567" w:type="dxa"/>
            <w:tcMar>
              <w:left w:w="108" w:type="dxa"/>
            </w:tcMar>
            <w:vAlign w:val="center"/>
          </w:tcPr>
          <w:p w:rsidR="00A75E60" w:rsidRPr="00090BE7" w:rsidRDefault="00A75E60" w:rsidP="00A75E60">
            <w:pPr>
              <w:jc w:val="center"/>
              <w:rPr>
                <w:lang w:val="it-IT"/>
              </w:rPr>
            </w:pPr>
          </w:p>
        </w:tc>
        <w:tc>
          <w:tcPr>
            <w:tcW w:w="567" w:type="dxa"/>
            <w:tcMar>
              <w:left w:w="108" w:type="dxa"/>
            </w:tcMar>
            <w:vAlign w:val="center"/>
          </w:tcPr>
          <w:p w:rsidR="00A75E60" w:rsidRPr="00090BE7" w:rsidRDefault="00A75E60" w:rsidP="00A75E60">
            <w:pPr>
              <w:jc w:val="center"/>
              <w:rPr>
                <w:lang w:val="it-IT"/>
              </w:rPr>
            </w:pPr>
          </w:p>
        </w:tc>
      </w:tr>
      <w:tr w:rsidR="00A75E60" w:rsidRPr="008129DA" w:rsidTr="00F235B5">
        <w:trPr>
          <w:cantSplit/>
          <w:trHeight w:val="283"/>
        </w:trPr>
        <w:tc>
          <w:tcPr>
            <w:tcW w:w="567" w:type="dxa"/>
            <w:tcMar>
              <w:left w:w="108" w:type="dxa"/>
            </w:tcMar>
          </w:tcPr>
          <w:p w:rsidR="00A75E60" w:rsidRPr="008A0F36" w:rsidRDefault="00A75E60" w:rsidP="00A75E60">
            <w:pPr>
              <w:rPr>
                <w:lang w:val="it-IT"/>
              </w:rPr>
            </w:pPr>
          </w:p>
        </w:tc>
        <w:tc>
          <w:tcPr>
            <w:tcW w:w="851" w:type="dxa"/>
            <w:tcMar>
              <w:left w:w="108" w:type="dxa"/>
              <w:right w:w="0" w:type="dxa"/>
            </w:tcMar>
          </w:tcPr>
          <w:p w:rsidR="00A75E60" w:rsidRPr="00237EFA" w:rsidRDefault="00A75E60" w:rsidP="00A75E60">
            <w:pPr>
              <w:rPr>
                <w:lang w:val="it-IT"/>
              </w:rPr>
            </w:pPr>
          </w:p>
        </w:tc>
        <w:tc>
          <w:tcPr>
            <w:tcW w:w="7079" w:type="dxa"/>
            <w:tcMar>
              <w:left w:w="108" w:type="dxa"/>
            </w:tcMar>
          </w:tcPr>
          <w:p w:rsidR="00A75E60" w:rsidRPr="00237EFA" w:rsidRDefault="00A75E60" w:rsidP="00150B74">
            <w:pPr>
              <w:pStyle w:val="Rientroa"/>
              <w:numPr>
                <w:ilvl w:val="0"/>
                <w:numId w:val="195"/>
              </w:numPr>
              <w:rPr>
                <w:iCs/>
              </w:rPr>
            </w:pPr>
            <w:r w:rsidRPr="00237EFA">
              <w:t xml:space="preserve">l'indicazione che nel bilancio intermedio sono stati seguiti gli stessi principi contabili e metodi di calcolo utilizzati nell'ultimo bilancio annuale o, se questi principi o metodi sono stati modificati, una descrizione della natura e dell'effetto del cambiamento; </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283"/>
        </w:trPr>
        <w:tc>
          <w:tcPr>
            <w:tcW w:w="567" w:type="dxa"/>
            <w:tcMar>
              <w:left w:w="108" w:type="dxa"/>
            </w:tcMar>
          </w:tcPr>
          <w:p w:rsidR="00A75E60" w:rsidRPr="008A0F36" w:rsidRDefault="00A75E60" w:rsidP="00A75E60">
            <w:pPr>
              <w:rPr>
                <w:lang w:val="it-IT"/>
              </w:rPr>
            </w:pPr>
          </w:p>
        </w:tc>
        <w:tc>
          <w:tcPr>
            <w:tcW w:w="851" w:type="dxa"/>
            <w:tcMar>
              <w:left w:w="108" w:type="dxa"/>
              <w:right w:w="0" w:type="dxa"/>
            </w:tcMar>
          </w:tcPr>
          <w:p w:rsidR="00A75E60" w:rsidRPr="00237EFA" w:rsidRDefault="00A75E60" w:rsidP="00A75E60">
            <w:pPr>
              <w:rPr>
                <w:lang w:val="it-IT"/>
              </w:rPr>
            </w:pPr>
          </w:p>
        </w:tc>
        <w:tc>
          <w:tcPr>
            <w:tcW w:w="7079" w:type="dxa"/>
            <w:tcMar>
              <w:left w:w="108" w:type="dxa"/>
            </w:tcMar>
          </w:tcPr>
          <w:p w:rsidR="00A75E60" w:rsidRPr="00237EFA" w:rsidRDefault="00A75E60" w:rsidP="00150B74">
            <w:pPr>
              <w:pStyle w:val="Rientroa"/>
              <w:numPr>
                <w:ilvl w:val="0"/>
                <w:numId w:val="72"/>
              </w:numPr>
            </w:pPr>
            <w:r w:rsidRPr="00237EFA">
              <w:t>i commenti illustrativi della stagionalità o ciclicità delle operazioni del periodo intermedio;</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283"/>
        </w:trPr>
        <w:tc>
          <w:tcPr>
            <w:tcW w:w="567" w:type="dxa"/>
            <w:tcMar>
              <w:left w:w="108" w:type="dxa"/>
            </w:tcMar>
          </w:tcPr>
          <w:p w:rsidR="00A75E60" w:rsidRPr="008A0F36" w:rsidRDefault="00A75E60" w:rsidP="00A75E60">
            <w:pPr>
              <w:rPr>
                <w:lang w:val="it-IT"/>
              </w:rPr>
            </w:pPr>
          </w:p>
        </w:tc>
        <w:tc>
          <w:tcPr>
            <w:tcW w:w="851" w:type="dxa"/>
            <w:tcMar>
              <w:left w:w="108" w:type="dxa"/>
              <w:right w:w="0" w:type="dxa"/>
            </w:tcMar>
          </w:tcPr>
          <w:p w:rsidR="00A75E60" w:rsidRPr="00237EFA" w:rsidRDefault="00A75E60" w:rsidP="00A75E60">
            <w:pPr>
              <w:rPr>
                <w:lang w:val="it-IT"/>
              </w:rPr>
            </w:pPr>
          </w:p>
        </w:tc>
        <w:tc>
          <w:tcPr>
            <w:tcW w:w="7079" w:type="dxa"/>
            <w:tcMar>
              <w:left w:w="108" w:type="dxa"/>
            </w:tcMar>
          </w:tcPr>
          <w:p w:rsidR="00A75E60" w:rsidRPr="00237EFA" w:rsidRDefault="00A75E60" w:rsidP="00150B74">
            <w:pPr>
              <w:pStyle w:val="Rientroa"/>
              <w:numPr>
                <w:ilvl w:val="0"/>
                <w:numId w:val="72"/>
              </w:numPr>
              <w:ind w:left="389"/>
            </w:pPr>
            <w:r w:rsidRPr="00237EFA">
              <w:t xml:space="preserve">la natura e l'importo di elementi inusuali data la loro natura, grandezza, o effetto che incidono su attività, passività, patrimonio netto, utile netto o flussi finanziari; </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283"/>
        </w:trPr>
        <w:tc>
          <w:tcPr>
            <w:tcW w:w="567" w:type="dxa"/>
            <w:tcMar>
              <w:left w:w="108" w:type="dxa"/>
            </w:tcMar>
          </w:tcPr>
          <w:p w:rsidR="00A75E60" w:rsidRPr="008A0F36" w:rsidRDefault="00A75E60" w:rsidP="00A75E60">
            <w:pPr>
              <w:rPr>
                <w:lang w:val="it-IT"/>
              </w:rPr>
            </w:pPr>
          </w:p>
        </w:tc>
        <w:tc>
          <w:tcPr>
            <w:tcW w:w="851" w:type="dxa"/>
            <w:tcMar>
              <w:left w:w="108" w:type="dxa"/>
              <w:right w:w="0" w:type="dxa"/>
            </w:tcMar>
          </w:tcPr>
          <w:p w:rsidR="00A75E60" w:rsidRPr="00237EFA" w:rsidRDefault="00A75E60" w:rsidP="00A75E60">
            <w:pPr>
              <w:rPr>
                <w:lang w:val="it-IT"/>
              </w:rPr>
            </w:pPr>
          </w:p>
        </w:tc>
        <w:tc>
          <w:tcPr>
            <w:tcW w:w="7079" w:type="dxa"/>
            <w:tcMar>
              <w:left w:w="108" w:type="dxa"/>
            </w:tcMar>
          </w:tcPr>
          <w:p w:rsidR="00A75E60" w:rsidRPr="00237EFA" w:rsidRDefault="00A75E60" w:rsidP="00150B74">
            <w:pPr>
              <w:pStyle w:val="Rientroa"/>
              <w:numPr>
                <w:ilvl w:val="0"/>
                <w:numId w:val="72"/>
              </w:numPr>
            </w:pPr>
            <w:r w:rsidRPr="00237EFA">
              <w:t xml:space="preserve">la natura e l'importo delle variazioni nelle stime effettuate in precedenti periodi intermedi del corrente esercizio o nelle stime effettuate in esercizi precedenti; </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283"/>
        </w:trPr>
        <w:tc>
          <w:tcPr>
            <w:tcW w:w="567" w:type="dxa"/>
            <w:tcMar>
              <w:left w:w="108" w:type="dxa"/>
            </w:tcMar>
          </w:tcPr>
          <w:p w:rsidR="00A75E60" w:rsidRPr="008A0F36" w:rsidRDefault="00A75E60" w:rsidP="00A75E60">
            <w:pPr>
              <w:rPr>
                <w:lang w:val="it-IT"/>
              </w:rPr>
            </w:pPr>
          </w:p>
        </w:tc>
        <w:tc>
          <w:tcPr>
            <w:tcW w:w="851" w:type="dxa"/>
            <w:tcMar>
              <w:left w:w="108" w:type="dxa"/>
              <w:right w:w="0" w:type="dxa"/>
            </w:tcMar>
          </w:tcPr>
          <w:p w:rsidR="00A75E60" w:rsidRPr="00237EFA" w:rsidRDefault="00A75E60" w:rsidP="00A75E60">
            <w:pPr>
              <w:rPr>
                <w:lang w:val="it-IT"/>
              </w:rPr>
            </w:pPr>
          </w:p>
        </w:tc>
        <w:tc>
          <w:tcPr>
            <w:tcW w:w="7079" w:type="dxa"/>
            <w:tcMar>
              <w:left w:w="108" w:type="dxa"/>
            </w:tcMar>
          </w:tcPr>
          <w:p w:rsidR="00A75E60" w:rsidRPr="00237EFA" w:rsidRDefault="00A75E60" w:rsidP="00150B74">
            <w:pPr>
              <w:pStyle w:val="Rientroa"/>
              <w:numPr>
                <w:ilvl w:val="0"/>
                <w:numId w:val="72"/>
              </w:numPr>
            </w:pPr>
            <w:r w:rsidRPr="00237EFA">
              <w:t>le emissioni, i riacquisti e i rimborsi di titoli di debito e di titoli partecipativi;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283"/>
        </w:trPr>
        <w:tc>
          <w:tcPr>
            <w:tcW w:w="567" w:type="dxa"/>
            <w:tcMar>
              <w:left w:w="108" w:type="dxa"/>
            </w:tcMar>
          </w:tcPr>
          <w:p w:rsidR="00A75E60" w:rsidRPr="008A0F36" w:rsidRDefault="00A75E60" w:rsidP="00A75E60">
            <w:pPr>
              <w:rPr>
                <w:lang w:val="it-IT"/>
              </w:rPr>
            </w:pPr>
          </w:p>
        </w:tc>
        <w:tc>
          <w:tcPr>
            <w:tcW w:w="851" w:type="dxa"/>
            <w:tcMar>
              <w:left w:w="108" w:type="dxa"/>
              <w:right w:w="0" w:type="dxa"/>
            </w:tcMar>
          </w:tcPr>
          <w:p w:rsidR="00A75E60" w:rsidRPr="00237EFA" w:rsidRDefault="00A75E60" w:rsidP="00A75E60">
            <w:pPr>
              <w:rPr>
                <w:lang w:val="it-IT"/>
              </w:rPr>
            </w:pPr>
          </w:p>
        </w:tc>
        <w:tc>
          <w:tcPr>
            <w:tcW w:w="7079" w:type="dxa"/>
            <w:tcMar>
              <w:left w:w="108" w:type="dxa"/>
            </w:tcMar>
          </w:tcPr>
          <w:p w:rsidR="00A75E60" w:rsidRPr="00237EFA" w:rsidRDefault="00A75E60" w:rsidP="00150B74">
            <w:pPr>
              <w:pStyle w:val="Rientroa"/>
              <w:numPr>
                <w:ilvl w:val="0"/>
                <w:numId w:val="72"/>
              </w:numPr>
            </w:pPr>
            <w:r w:rsidRPr="00237EFA">
              <w:t xml:space="preserve">i dividendi pagati (in totale o per azione) alle azioni ordinarie e quelli pagati alle altre azioni; </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283"/>
        </w:trPr>
        <w:tc>
          <w:tcPr>
            <w:tcW w:w="567" w:type="dxa"/>
            <w:tcMar>
              <w:left w:w="108" w:type="dxa"/>
            </w:tcMar>
          </w:tcPr>
          <w:p w:rsidR="00A75E60" w:rsidRPr="008A0F36" w:rsidRDefault="00A75E60" w:rsidP="00A75E60">
            <w:pPr>
              <w:rPr>
                <w:lang w:val="it-IT"/>
              </w:rPr>
            </w:pPr>
          </w:p>
        </w:tc>
        <w:tc>
          <w:tcPr>
            <w:tcW w:w="851" w:type="dxa"/>
            <w:tcMar>
              <w:left w:w="108" w:type="dxa"/>
              <w:right w:w="0" w:type="dxa"/>
            </w:tcMar>
          </w:tcPr>
          <w:p w:rsidR="00A75E60" w:rsidRPr="00237EFA" w:rsidRDefault="00A75E60" w:rsidP="00A75E60">
            <w:pPr>
              <w:rPr>
                <w:lang w:val="it-IT"/>
              </w:rPr>
            </w:pPr>
          </w:p>
        </w:tc>
        <w:tc>
          <w:tcPr>
            <w:tcW w:w="7079" w:type="dxa"/>
            <w:tcMar>
              <w:left w:w="108" w:type="dxa"/>
            </w:tcMar>
          </w:tcPr>
          <w:p w:rsidR="00A75E60" w:rsidRPr="00237EFA" w:rsidRDefault="00A75E60" w:rsidP="00150B74">
            <w:pPr>
              <w:pStyle w:val="Rientroa"/>
              <w:numPr>
                <w:ilvl w:val="0"/>
                <w:numId w:val="72"/>
              </w:numPr>
            </w:pPr>
            <w:r w:rsidRPr="00237EFA">
              <w:t>eventi successivi alla data di riferimento del bilancio intermedio che non sono stati riflessi nel bilancio intermedio; e</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283"/>
        </w:trPr>
        <w:tc>
          <w:tcPr>
            <w:tcW w:w="567" w:type="dxa"/>
            <w:tcMar>
              <w:left w:w="108" w:type="dxa"/>
            </w:tcMar>
          </w:tcPr>
          <w:p w:rsidR="00A75E60" w:rsidRPr="008A0F36" w:rsidRDefault="00A75E60" w:rsidP="00A75E60">
            <w:pPr>
              <w:rPr>
                <w:lang w:val="it-IT"/>
              </w:rPr>
            </w:pPr>
          </w:p>
        </w:tc>
        <w:tc>
          <w:tcPr>
            <w:tcW w:w="851" w:type="dxa"/>
            <w:tcMar>
              <w:left w:w="108" w:type="dxa"/>
              <w:right w:w="0" w:type="dxa"/>
            </w:tcMar>
          </w:tcPr>
          <w:p w:rsidR="00A75E60" w:rsidRPr="00237EFA" w:rsidRDefault="00A75E60" w:rsidP="00A75E60">
            <w:pPr>
              <w:rPr>
                <w:lang w:val="it-IT"/>
              </w:rPr>
            </w:pPr>
          </w:p>
        </w:tc>
        <w:tc>
          <w:tcPr>
            <w:tcW w:w="7079" w:type="dxa"/>
            <w:tcMar>
              <w:left w:w="108" w:type="dxa"/>
            </w:tcMar>
          </w:tcPr>
          <w:p w:rsidR="00A75E60" w:rsidRPr="00237EFA" w:rsidRDefault="00A75E60" w:rsidP="00150B74">
            <w:pPr>
              <w:pStyle w:val="Rientroa"/>
              <w:numPr>
                <w:ilvl w:val="0"/>
                <w:numId w:val="72"/>
              </w:numPr>
              <w:ind w:left="391" w:hanging="357"/>
            </w:pPr>
            <w:r w:rsidRPr="00237EFA">
              <w:t xml:space="preserve">l’effetto di variazioni nella composizione dell’entità durante il periodo infrannuale, incluso aggregazioni aziendali, acquisizione o cessione di società controllate, investimenti a lungo termine, ristrutturazioni o cessioni. Nel caso di aggregazioni aziendali l’entità deve dare l’informativa richiesta dall’IFRS 3 (si vedano i punti </w:t>
            </w:r>
            <w:r w:rsidRPr="008E2AAE">
              <w:t>12</w:t>
            </w:r>
            <w:r>
              <w:t>2</w:t>
            </w:r>
            <w:r w:rsidRPr="008E2AAE">
              <w:t>-14</w:t>
            </w:r>
            <w:r>
              <w:t>3</w:t>
            </w:r>
            <w:r w:rsidRPr="00237EFA">
              <w:t>).</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283"/>
        </w:trPr>
        <w:tc>
          <w:tcPr>
            <w:tcW w:w="567" w:type="dxa"/>
            <w:tcMar>
              <w:left w:w="108" w:type="dxa"/>
            </w:tcMar>
          </w:tcPr>
          <w:p w:rsidR="00A75E60" w:rsidRPr="008A0F36" w:rsidRDefault="00A75E60" w:rsidP="00A75E60">
            <w:pPr>
              <w:rPr>
                <w:lang w:val="it-IT"/>
              </w:rPr>
            </w:pPr>
          </w:p>
        </w:tc>
        <w:tc>
          <w:tcPr>
            <w:tcW w:w="851" w:type="dxa"/>
            <w:tcMar>
              <w:left w:w="108" w:type="dxa"/>
              <w:right w:w="0" w:type="dxa"/>
            </w:tcMar>
          </w:tcPr>
          <w:p w:rsidR="00A75E60" w:rsidRPr="00237EFA" w:rsidRDefault="00A75E60" w:rsidP="00A75E60">
            <w:pPr>
              <w:rPr>
                <w:lang w:val="it-IT"/>
              </w:rPr>
            </w:pPr>
          </w:p>
        </w:tc>
        <w:tc>
          <w:tcPr>
            <w:tcW w:w="7079" w:type="dxa"/>
            <w:tcBorders>
              <w:bottom w:val="single" w:sz="2" w:space="0" w:color="auto"/>
            </w:tcBorders>
            <w:tcMar>
              <w:left w:w="108" w:type="dxa"/>
            </w:tcMar>
          </w:tcPr>
          <w:p w:rsidR="00A75E60" w:rsidRPr="00237EFA" w:rsidRDefault="00A75E60" w:rsidP="00150B74">
            <w:pPr>
              <w:pStyle w:val="Rientroa"/>
              <w:numPr>
                <w:ilvl w:val="0"/>
                <w:numId w:val="72"/>
              </w:numPr>
            </w:pPr>
            <w:r w:rsidRPr="00237EFA">
              <w:t xml:space="preserve">con riferimento agli strumenti finanziari, l’informativa relativa al </w:t>
            </w:r>
            <w:r w:rsidRPr="00237EFA">
              <w:rPr>
                <w:i/>
              </w:rPr>
              <w:t>fair value</w:t>
            </w:r>
            <w:r>
              <w:rPr>
                <w:i/>
              </w:rPr>
              <w:t xml:space="preserve"> </w:t>
            </w:r>
            <w:r w:rsidRPr="00237EFA">
              <w:t xml:space="preserve">richiesta dai paragrafi 91-93(h), 94-96, 98 e 99 dell’IFRS 13 Valutazione del </w:t>
            </w:r>
            <w:r w:rsidRPr="00237EFA">
              <w:rPr>
                <w:i/>
              </w:rPr>
              <w:t xml:space="preserve">fair value </w:t>
            </w:r>
            <w:r w:rsidRPr="00237EFA">
              <w:t xml:space="preserve">(vedi punti </w:t>
            </w:r>
            <w:r>
              <w:t>221-229</w:t>
            </w:r>
            <w:r w:rsidRPr="00237EFA">
              <w:t>)</w:t>
            </w:r>
            <w:r w:rsidRPr="00237EFA">
              <w:rPr>
                <w:i/>
              </w:rPr>
              <w:t xml:space="preserve">, </w:t>
            </w:r>
            <w:r w:rsidRPr="00237EFA">
              <w:t xml:space="preserve">e dai paragrafi 25, 26 e 28-30 dell’IFRS 7 Strumenti finanziari: informazioni integrative (vedi punti </w:t>
            </w:r>
            <w:r>
              <w:t>257-261</w:t>
            </w:r>
            <w:r w:rsidRPr="00237EFA">
              <w:t xml:space="preserve">). </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A44ECD" w:rsidTr="00FB4B6E">
        <w:trPr>
          <w:cantSplit/>
          <w:trHeight w:val="20"/>
        </w:trPr>
        <w:tc>
          <w:tcPr>
            <w:tcW w:w="567" w:type="dxa"/>
          </w:tcPr>
          <w:p w:rsidR="00A75E60" w:rsidRPr="008A0F36" w:rsidRDefault="00A75E60" w:rsidP="00A75E60">
            <w:pPr>
              <w:spacing w:line="224" w:lineRule="exact"/>
              <w:ind w:firstLine="57"/>
              <w:rPr>
                <w:lang w:val="it-IT"/>
              </w:rPr>
            </w:pPr>
          </w:p>
        </w:tc>
        <w:tc>
          <w:tcPr>
            <w:tcW w:w="851" w:type="dxa"/>
            <w:tcMar>
              <w:left w:w="108" w:type="dxa"/>
              <w:right w:w="0" w:type="dxa"/>
            </w:tcMar>
          </w:tcPr>
          <w:p w:rsidR="00A75E60" w:rsidRDefault="00A75E60" w:rsidP="00A75E60">
            <w:pPr>
              <w:pStyle w:val="IAS"/>
              <w:spacing w:before="20" w:line="224" w:lineRule="exact"/>
              <w:jc w:val="both"/>
              <w:rPr>
                <w:lang w:val="it-IT"/>
              </w:rPr>
            </w:pPr>
          </w:p>
        </w:tc>
        <w:tc>
          <w:tcPr>
            <w:tcW w:w="7079" w:type="dxa"/>
            <w:shd w:val="clear" w:color="auto" w:fill="FFFFFF" w:themeFill="background1"/>
            <w:tcMar>
              <w:left w:w="108" w:type="dxa"/>
            </w:tcMar>
          </w:tcPr>
          <w:p w:rsidR="00A75E60" w:rsidRDefault="00A75E60" w:rsidP="000E2839">
            <w:pPr>
              <w:pStyle w:val="Paragarfobordato"/>
            </w:pPr>
            <w:r>
              <w:rPr>
                <w:rStyle w:val="Enfasicorsivo"/>
                <w:i w:val="0"/>
              </w:rPr>
              <w:t xml:space="preserve">Se l’entità e acquisisce o perde la qualifica di “entità di investimento” (vedi punti 179-191) deve fornire le </w:t>
            </w:r>
            <w:r w:rsidRPr="002E546B">
              <w:rPr>
                <w:rStyle w:val="Enfasicorsivo"/>
                <w:i w:val="0"/>
              </w:rPr>
              <w:t xml:space="preserve">informazioni integrative </w:t>
            </w:r>
            <w:r>
              <w:rPr>
                <w:rStyle w:val="Enfasicorsivo"/>
                <w:i w:val="0"/>
              </w:rPr>
              <w:t xml:space="preserve">previste dal paragrafo 9B dell’IFRS 12 </w:t>
            </w:r>
            <w:r>
              <w:rPr>
                <w:rStyle w:val="Enfasicorsivo"/>
                <w:i w:val="0"/>
                <w:iCs/>
              </w:rPr>
              <w:t>(vedi punti 181-182).</w:t>
            </w:r>
          </w:p>
        </w:tc>
        <w:tc>
          <w:tcPr>
            <w:tcW w:w="575" w:type="dxa"/>
            <w:tcMar>
              <w:left w:w="85" w:type="dxa"/>
              <w:right w:w="85" w:type="dxa"/>
            </w:tcMar>
            <w:vAlign w:val="center"/>
          </w:tcPr>
          <w:p w:rsidR="00A75E60" w:rsidRPr="00A32A16" w:rsidRDefault="00A75E60" w:rsidP="00A75E60">
            <w:pPr>
              <w:spacing w:line="224" w:lineRule="exact"/>
              <w:jc w:val="center"/>
              <w:rPr>
                <w:lang w:val="it-IT"/>
              </w:rPr>
            </w:pPr>
          </w:p>
        </w:tc>
        <w:tc>
          <w:tcPr>
            <w:tcW w:w="567" w:type="dxa"/>
            <w:tcMar>
              <w:left w:w="108" w:type="dxa"/>
            </w:tcMar>
            <w:vAlign w:val="center"/>
          </w:tcPr>
          <w:p w:rsidR="00A75E60" w:rsidRPr="00A32A16" w:rsidRDefault="00A75E60" w:rsidP="00A75E60">
            <w:pPr>
              <w:spacing w:line="224" w:lineRule="exact"/>
              <w:jc w:val="center"/>
              <w:rPr>
                <w:lang w:val="it-IT"/>
              </w:rPr>
            </w:pPr>
          </w:p>
        </w:tc>
        <w:tc>
          <w:tcPr>
            <w:tcW w:w="567" w:type="dxa"/>
            <w:tcMar>
              <w:left w:w="108" w:type="dxa"/>
            </w:tcMar>
            <w:vAlign w:val="center"/>
          </w:tcPr>
          <w:p w:rsidR="00A75E60" w:rsidRPr="00A32A16" w:rsidRDefault="00A75E60" w:rsidP="00A75E60">
            <w:pPr>
              <w:spacing w:line="224" w:lineRule="exact"/>
              <w:jc w:val="center"/>
              <w:rPr>
                <w:lang w:val="it-IT"/>
              </w:rPr>
            </w:pPr>
          </w:p>
        </w:tc>
      </w:tr>
      <w:tr w:rsidR="007478BB" w:rsidRPr="00A44ECD" w:rsidTr="002B6200">
        <w:trPr>
          <w:cantSplit/>
          <w:trHeight w:val="20"/>
        </w:trPr>
        <w:tc>
          <w:tcPr>
            <w:tcW w:w="567" w:type="dxa"/>
          </w:tcPr>
          <w:p w:rsidR="007478BB" w:rsidRPr="008A0F36" w:rsidRDefault="007478BB" w:rsidP="00A75E60">
            <w:pPr>
              <w:spacing w:line="224" w:lineRule="exact"/>
              <w:ind w:firstLine="57"/>
              <w:rPr>
                <w:lang w:val="it-IT"/>
              </w:rPr>
            </w:pPr>
          </w:p>
        </w:tc>
        <w:tc>
          <w:tcPr>
            <w:tcW w:w="851" w:type="dxa"/>
            <w:tcMar>
              <w:left w:w="108" w:type="dxa"/>
              <w:right w:w="0" w:type="dxa"/>
            </w:tcMar>
          </w:tcPr>
          <w:p w:rsidR="007478BB" w:rsidRDefault="007478BB" w:rsidP="00A75E60">
            <w:pPr>
              <w:pStyle w:val="IAS"/>
              <w:spacing w:before="20" w:line="224" w:lineRule="exact"/>
              <w:jc w:val="both"/>
              <w:rPr>
                <w:lang w:val="it-IT"/>
              </w:rPr>
            </w:pPr>
          </w:p>
        </w:tc>
        <w:tc>
          <w:tcPr>
            <w:tcW w:w="7079" w:type="dxa"/>
            <w:shd w:val="clear" w:color="auto" w:fill="D9D9D9" w:themeFill="background1" w:themeFillShade="D9"/>
            <w:tcMar>
              <w:left w:w="108" w:type="dxa"/>
            </w:tcMar>
          </w:tcPr>
          <w:p w:rsidR="007478BB" w:rsidRDefault="007478BB" w:rsidP="000E2839">
            <w:pPr>
              <w:pStyle w:val="Paragarfobordato"/>
              <w:rPr>
                <w:rStyle w:val="Enfasicorsivo"/>
                <w:i w:val="0"/>
              </w:rPr>
            </w:pPr>
            <w:r>
              <w:rPr>
                <w:rStyle w:val="Enfasicorsivo"/>
                <w:i w:val="0"/>
              </w:rPr>
              <w:t>Se l’entità applica anticipatamente l’IFRS 15 si veda il punto 4</w:t>
            </w:r>
            <w:r w:rsidR="00A44ECD">
              <w:rPr>
                <w:rStyle w:val="Enfasicorsivo"/>
                <w:i w:val="0"/>
              </w:rPr>
              <w:t>81</w:t>
            </w:r>
            <w:r>
              <w:rPr>
                <w:rStyle w:val="Enfasicorsivo"/>
                <w:i w:val="0"/>
              </w:rPr>
              <w:t>.</w:t>
            </w:r>
          </w:p>
        </w:tc>
        <w:tc>
          <w:tcPr>
            <w:tcW w:w="575" w:type="dxa"/>
            <w:tcMar>
              <w:left w:w="85" w:type="dxa"/>
              <w:right w:w="85" w:type="dxa"/>
            </w:tcMar>
            <w:vAlign w:val="center"/>
          </w:tcPr>
          <w:p w:rsidR="007478BB" w:rsidRPr="00A32A16" w:rsidRDefault="007478BB" w:rsidP="00A75E60">
            <w:pPr>
              <w:spacing w:line="224" w:lineRule="exact"/>
              <w:jc w:val="center"/>
              <w:rPr>
                <w:lang w:val="it-IT"/>
              </w:rPr>
            </w:pPr>
          </w:p>
        </w:tc>
        <w:tc>
          <w:tcPr>
            <w:tcW w:w="567" w:type="dxa"/>
            <w:tcMar>
              <w:left w:w="108" w:type="dxa"/>
            </w:tcMar>
            <w:vAlign w:val="center"/>
          </w:tcPr>
          <w:p w:rsidR="007478BB" w:rsidRPr="00A32A16" w:rsidRDefault="007478BB" w:rsidP="00A75E60">
            <w:pPr>
              <w:spacing w:line="224" w:lineRule="exact"/>
              <w:jc w:val="center"/>
              <w:rPr>
                <w:lang w:val="it-IT"/>
              </w:rPr>
            </w:pPr>
          </w:p>
        </w:tc>
        <w:tc>
          <w:tcPr>
            <w:tcW w:w="567" w:type="dxa"/>
            <w:tcMar>
              <w:left w:w="108" w:type="dxa"/>
            </w:tcMar>
            <w:vAlign w:val="center"/>
          </w:tcPr>
          <w:p w:rsidR="007478BB" w:rsidRPr="00A32A16" w:rsidRDefault="007478BB" w:rsidP="00A75E60">
            <w:pPr>
              <w:spacing w:line="224" w:lineRule="exact"/>
              <w:jc w:val="center"/>
              <w:rPr>
                <w:lang w:val="it-IT"/>
              </w:rPr>
            </w:pPr>
          </w:p>
        </w:tc>
      </w:tr>
      <w:tr w:rsidR="00A75E60" w:rsidRPr="00A44ECD" w:rsidTr="00F235B5">
        <w:trPr>
          <w:cantSplit/>
          <w:trHeight w:val="283"/>
        </w:trPr>
        <w:tc>
          <w:tcPr>
            <w:tcW w:w="567" w:type="dxa"/>
            <w:tcMar>
              <w:left w:w="108" w:type="dxa"/>
              <w:right w:w="0" w:type="dxa"/>
            </w:tcMar>
          </w:tcPr>
          <w:p w:rsidR="00A75E60" w:rsidRPr="008A0F36" w:rsidRDefault="00A75E60" w:rsidP="00A75E60">
            <w:pPr>
              <w:pStyle w:val="Numeroelenco"/>
              <w:ind w:left="0" w:firstLine="57"/>
              <w:rPr>
                <w:lang w:val="it-IT"/>
              </w:rPr>
            </w:pPr>
          </w:p>
        </w:tc>
        <w:tc>
          <w:tcPr>
            <w:tcW w:w="851" w:type="dxa"/>
            <w:tcMar>
              <w:left w:w="108" w:type="dxa"/>
              <w:right w:w="0" w:type="dxa"/>
            </w:tcMar>
          </w:tcPr>
          <w:p w:rsidR="00A75E60" w:rsidRPr="00237EFA" w:rsidRDefault="00A75E60" w:rsidP="00A75E60">
            <w:pPr>
              <w:pStyle w:val="IAS"/>
              <w:rPr>
                <w:lang w:val="it-IT"/>
              </w:rPr>
            </w:pPr>
            <w:r w:rsidRPr="00237EFA">
              <w:rPr>
                <w:lang w:val="it-IT"/>
              </w:rPr>
              <w:t xml:space="preserve">IAS 34.16A (g) </w:t>
            </w:r>
          </w:p>
        </w:tc>
        <w:tc>
          <w:tcPr>
            <w:tcW w:w="7079" w:type="dxa"/>
            <w:tcMar>
              <w:left w:w="108" w:type="dxa"/>
            </w:tcMar>
          </w:tcPr>
          <w:p w:rsidR="00A75E60" w:rsidRPr="00237EFA" w:rsidRDefault="00A75E60" w:rsidP="00150B74">
            <w:pPr>
              <w:rPr>
                <w:lang w:val="it-IT"/>
              </w:rPr>
            </w:pPr>
            <w:r w:rsidRPr="00237EFA">
              <w:rPr>
                <w:lang w:val="it-IT"/>
              </w:rPr>
              <w:t>L’entità fornisce le seguenti informazioni di settore (nel bilancio intermedio di un’entità sono richieste informazioni sui dati di settore solo se l’IFRS 8 richiede all’entità di presentare informativa di settore nel suo bilancio annuale):</w:t>
            </w:r>
          </w:p>
        </w:tc>
        <w:tc>
          <w:tcPr>
            <w:tcW w:w="575" w:type="dxa"/>
            <w:tcMar>
              <w:left w:w="85" w:type="dxa"/>
              <w:right w:w="85" w:type="dxa"/>
            </w:tcMar>
            <w:vAlign w:val="center"/>
          </w:tcPr>
          <w:p w:rsidR="00A75E60" w:rsidRPr="00090BE7" w:rsidRDefault="00A75E60" w:rsidP="00A75E60">
            <w:pPr>
              <w:jc w:val="center"/>
              <w:rPr>
                <w:lang w:val="it-IT"/>
              </w:rPr>
            </w:pPr>
          </w:p>
        </w:tc>
        <w:tc>
          <w:tcPr>
            <w:tcW w:w="567" w:type="dxa"/>
            <w:tcMar>
              <w:left w:w="108" w:type="dxa"/>
            </w:tcMar>
            <w:vAlign w:val="center"/>
          </w:tcPr>
          <w:p w:rsidR="00A75E60" w:rsidRPr="00090BE7" w:rsidRDefault="00A75E60" w:rsidP="00A75E60">
            <w:pPr>
              <w:jc w:val="center"/>
              <w:rPr>
                <w:lang w:val="it-IT"/>
              </w:rPr>
            </w:pPr>
          </w:p>
        </w:tc>
        <w:tc>
          <w:tcPr>
            <w:tcW w:w="567" w:type="dxa"/>
            <w:tcMar>
              <w:left w:w="108" w:type="dxa"/>
            </w:tcMar>
            <w:vAlign w:val="center"/>
          </w:tcPr>
          <w:p w:rsidR="00A75E60" w:rsidRPr="00090BE7" w:rsidRDefault="00A75E60" w:rsidP="00A75E60">
            <w:pPr>
              <w:jc w:val="center"/>
              <w:rPr>
                <w:lang w:val="it-IT"/>
              </w:rPr>
            </w:pPr>
          </w:p>
        </w:tc>
      </w:tr>
      <w:tr w:rsidR="00A75E60" w:rsidRPr="008129DA" w:rsidTr="00F235B5">
        <w:trPr>
          <w:cantSplit/>
          <w:trHeight w:val="283"/>
        </w:trPr>
        <w:tc>
          <w:tcPr>
            <w:tcW w:w="567" w:type="dxa"/>
            <w:tcMar>
              <w:left w:w="108" w:type="dxa"/>
              <w:right w:w="0" w:type="dxa"/>
            </w:tcMar>
          </w:tcPr>
          <w:p w:rsidR="00A75E60" w:rsidRPr="008A0F36" w:rsidRDefault="00A75E60" w:rsidP="00A75E60">
            <w:pPr>
              <w:pStyle w:val="Numeroelenco"/>
              <w:numPr>
                <w:ilvl w:val="0"/>
                <w:numId w:val="0"/>
              </w:numPr>
              <w:ind w:left="57"/>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150B74">
            <w:pPr>
              <w:pStyle w:val="Rientroa"/>
              <w:numPr>
                <w:ilvl w:val="0"/>
                <w:numId w:val="188"/>
              </w:numPr>
              <w:rPr>
                <w:iCs/>
              </w:rPr>
            </w:pPr>
            <w:r w:rsidRPr="00237EFA">
              <w:t>ricavi da clienti terzi, se sono inclusi nella determinazione dell’utile o della perdita di settori esaminati dal più alto livello decisionale operativo o vengono forniti periodicamente al medesimo</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283"/>
        </w:trPr>
        <w:tc>
          <w:tcPr>
            <w:tcW w:w="567" w:type="dxa"/>
            <w:tcMar>
              <w:left w:w="108" w:type="dxa"/>
              <w:right w:w="0" w:type="dxa"/>
            </w:tcMar>
          </w:tcPr>
          <w:p w:rsidR="00A75E60" w:rsidRPr="008A0F36" w:rsidRDefault="00A75E60" w:rsidP="00A75E60">
            <w:pPr>
              <w:pStyle w:val="Numeroelenco"/>
              <w:numPr>
                <w:ilvl w:val="0"/>
                <w:numId w:val="0"/>
              </w:numPr>
              <w:ind w:left="57"/>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150B74">
            <w:pPr>
              <w:pStyle w:val="Rientroa"/>
              <w:numPr>
                <w:ilvl w:val="0"/>
                <w:numId w:val="188"/>
              </w:numPr>
              <w:ind w:left="391" w:hanging="357"/>
              <w:rPr>
                <w:iCs/>
              </w:rPr>
            </w:pPr>
            <w:r w:rsidRPr="00237EFA">
              <w:t>ricavi intersettoriali, se sono inclusi nella determinazione dell’utile o della perdita di settore esaminati dal più alto livello decisionale operativo o vengono forniti periodicamente al medesimo</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283"/>
        </w:trPr>
        <w:tc>
          <w:tcPr>
            <w:tcW w:w="567" w:type="dxa"/>
            <w:tcMar>
              <w:left w:w="108" w:type="dxa"/>
              <w:right w:w="0" w:type="dxa"/>
            </w:tcMar>
          </w:tcPr>
          <w:p w:rsidR="00A75E60" w:rsidRPr="008A0F36" w:rsidRDefault="00A75E60" w:rsidP="00A75E60">
            <w:pPr>
              <w:pStyle w:val="Numeroelenco"/>
              <w:numPr>
                <w:ilvl w:val="0"/>
                <w:numId w:val="0"/>
              </w:numPr>
              <w:ind w:left="57"/>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150B74">
            <w:pPr>
              <w:pStyle w:val="Rientroa"/>
              <w:numPr>
                <w:ilvl w:val="0"/>
                <w:numId w:val="72"/>
              </w:numPr>
            </w:pPr>
            <w:r w:rsidRPr="00237EFA">
              <w:t>una determinazione dell’utile o della perdita di settore</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283"/>
        </w:trPr>
        <w:tc>
          <w:tcPr>
            <w:tcW w:w="567" w:type="dxa"/>
            <w:tcMar>
              <w:left w:w="108" w:type="dxa"/>
              <w:right w:w="0" w:type="dxa"/>
            </w:tcMar>
          </w:tcPr>
          <w:p w:rsidR="00A75E60" w:rsidRPr="008A0F36" w:rsidRDefault="00A75E60" w:rsidP="00A75E60">
            <w:pPr>
              <w:pStyle w:val="Numeroelenco"/>
              <w:numPr>
                <w:ilvl w:val="0"/>
                <w:numId w:val="0"/>
              </w:numPr>
              <w:ind w:left="57"/>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150B74">
            <w:pPr>
              <w:pStyle w:val="Rientroa"/>
              <w:numPr>
                <w:ilvl w:val="0"/>
                <w:numId w:val="72"/>
              </w:numPr>
              <w:ind w:left="391" w:hanging="357"/>
            </w:pPr>
            <w:r w:rsidRPr="00237EFA">
              <w:t>un’indicazione delle attività e delle passività totali per un particolare settore oggetto di informativa, se tali importi sono forniti periodicamente al più alto livello decisionale operativo e se si siano verificate variazioni significative rispetto agli importi indicati nell’ultimo bilancio annuale.</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283"/>
        </w:trPr>
        <w:tc>
          <w:tcPr>
            <w:tcW w:w="567" w:type="dxa"/>
            <w:tcMar>
              <w:left w:w="108" w:type="dxa"/>
              <w:right w:w="0" w:type="dxa"/>
            </w:tcMar>
          </w:tcPr>
          <w:p w:rsidR="00A75E60" w:rsidRPr="008A0F36" w:rsidRDefault="00A75E60" w:rsidP="00A75E60">
            <w:pPr>
              <w:pStyle w:val="Numeroelenco"/>
              <w:numPr>
                <w:ilvl w:val="0"/>
                <w:numId w:val="0"/>
              </w:numPr>
              <w:ind w:left="57"/>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150B74">
            <w:pPr>
              <w:pStyle w:val="Rientroa"/>
              <w:numPr>
                <w:ilvl w:val="0"/>
                <w:numId w:val="72"/>
              </w:numPr>
              <w:ind w:left="391" w:hanging="357"/>
            </w:pPr>
            <w:r w:rsidRPr="00237EFA">
              <w:t>una descrizione delle differenze rispetto all’ultimo bilancio annuale per quanto riguarda la base della suddivisione settoriale o la base di determinazione dell’utile o della perdita di settore</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Height w:val="283"/>
        </w:trPr>
        <w:tc>
          <w:tcPr>
            <w:tcW w:w="567" w:type="dxa"/>
            <w:tcMar>
              <w:left w:w="108" w:type="dxa"/>
              <w:right w:w="0" w:type="dxa"/>
            </w:tcMar>
          </w:tcPr>
          <w:p w:rsidR="00A75E60" w:rsidRPr="008A0F36" w:rsidRDefault="00A75E60" w:rsidP="00A75E60">
            <w:pPr>
              <w:pStyle w:val="Numeroelenco"/>
              <w:numPr>
                <w:ilvl w:val="0"/>
                <w:numId w:val="0"/>
              </w:numPr>
              <w:ind w:left="57"/>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150B74">
            <w:pPr>
              <w:pStyle w:val="Rientroa"/>
              <w:numPr>
                <w:ilvl w:val="0"/>
                <w:numId w:val="72"/>
              </w:numPr>
              <w:ind w:left="391" w:hanging="357"/>
            </w:pPr>
            <w:r w:rsidRPr="00237EFA">
              <w:t>una riconciliazione del totale degli utili o perdite sei settori oggetto di informativa rispetto all’utile o alla perdita dell’entità ante oneri (proventi) fiscali e attività operative cessate. Tuttavia se un’entità alloca ai settori oggetto di informativa voci quali oneri/(proventi) fiscali, l’entità può riconciliare il totale degli utili o delle perdite dei settori oggetto di informativo al netto di tali voci.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A44ECD" w:rsidTr="00F235B5">
        <w:trPr>
          <w:cantSplit/>
          <w:trHeight w:val="283"/>
        </w:trPr>
        <w:tc>
          <w:tcPr>
            <w:tcW w:w="567" w:type="dxa"/>
            <w:tcMar>
              <w:left w:w="108" w:type="dxa"/>
              <w:right w:w="0" w:type="dxa"/>
            </w:tcMar>
          </w:tcPr>
          <w:p w:rsidR="00A75E60" w:rsidRPr="008A0F36" w:rsidRDefault="00A75E60" w:rsidP="00A75E60">
            <w:pPr>
              <w:pStyle w:val="IAS"/>
              <w:spacing w:before="60" w:after="60"/>
              <w:rPr>
                <w:lang w:val="it-IT"/>
              </w:rPr>
            </w:pPr>
          </w:p>
        </w:tc>
        <w:tc>
          <w:tcPr>
            <w:tcW w:w="851" w:type="dxa"/>
            <w:tcMar>
              <w:left w:w="108" w:type="dxa"/>
              <w:right w:w="0" w:type="dxa"/>
            </w:tcMar>
          </w:tcPr>
          <w:p w:rsidR="00A75E60" w:rsidRPr="00237EFA" w:rsidRDefault="00A75E60" w:rsidP="00A75E60">
            <w:pPr>
              <w:pStyle w:val="IAS"/>
              <w:spacing w:before="60" w:after="60"/>
              <w:rPr>
                <w:lang w:val="it-IT"/>
              </w:rPr>
            </w:pPr>
            <w:r w:rsidRPr="00237EFA">
              <w:rPr>
                <w:lang w:val="it-IT"/>
              </w:rPr>
              <w:t>IFRS 8.29</w:t>
            </w:r>
          </w:p>
          <w:p w:rsidR="00A75E60" w:rsidRPr="00237EFA" w:rsidRDefault="00A75E60" w:rsidP="00A75E60">
            <w:pPr>
              <w:pStyle w:val="IAS"/>
              <w:spacing w:before="60" w:after="60"/>
              <w:rPr>
                <w:lang w:val="it-IT"/>
              </w:rPr>
            </w:pPr>
            <w:r w:rsidRPr="00237EFA">
              <w:rPr>
                <w:lang w:val="it-IT"/>
              </w:rPr>
              <w:t>IFRS 8.30</w:t>
            </w:r>
          </w:p>
        </w:tc>
        <w:tc>
          <w:tcPr>
            <w:tcW w:w="7079" w:type="dxa"/>
            <w:tcMar>
              <w:left w:w="108" w:type="dxa"/>
            </w:tcMar>
          </w:tcPr>
          <w:p w:rsidR="00A75E60" w:rsidRPr="00237EFA" w:rsidRDefault="00A75E60" w:rsidP="000E2839">
            <w:pPr>
              <w:pStyle w:val="Paragarfobordato"/>
            </w:pPr>
            <w:r w:rsidRPr="00237EFA">
              <w:t xml:space="preserve">Se l’entità ha modificato la struttura organizzativa in modo da modificare la composizione dei suoi settori oggetto di informativa, la rideterminazione dell’informativa di settore fornita nei precedenti bilanci intermedi deve essere effettuata in base alle disposizioni dello IFRS 8.29 e IFRS 8.30 (punti </w:t>
            </w:r>
            <w:r>
              <w:t>357 e 358</w:t>
            </w:r>
            <w:r w:rsidRPr="00237EFA">
              <w:t xml:space="preserve">). </w:t>
            </w:r>
          </w:p>
        </w:tc>
        <w:tc>
          <w:tcPr>
            <w:tcW w:w="575" w:type="dxa"/>
            <w:tcMar>
              <w:left w:w="85" w:type="dxa"/>
              <w:right w:w="85" w:type="dxa"/>
            </w:tcMar>
            <w:vAlign w:val="center"/>
          </w:tcPr>
          <w:p w:rsidR="00A75E60" w:rsidRPr="00090BE7" w:rsidRDefault="00A75E60" w:rsidP="00A75E60">
            <w:pPr>
              <w:spacing w:before="60" w:after="60"/>
              <w:jc w:val="center"/>
              <w:rPr>
                <w:lang w:val="it-IT"/>
              </w:rPr>
            </w:pPr>
          </w:p>
        </w:tc>
        <w:tc>
          <w:tcPr>
            <w:tcW w:w="567" w:type="dxa"/>
            <w:tcMar>
              <w:left w:w="108" w:type="dxa"/>
            </w:tcMar>
            <w:vAlign w:val="center"/>
          </w:tcPr>
          <w:p w:rsidR="00A75E60" w:rsidRPr="00090BE7" w:rsidRDefault="00A75E60" w:rsidP="00A75E60">
            <w:pPr>
              <w:spacing w:before="60" w:after="60"/>
              <w:jc w:val="center"/>
              <w:rPr>
                <w:lang w:val="it-IT"/>
              </w:rPr>
            </w:pPr>
          </w:p>
        </w:tc>
        <w:tc>
          <w:tcPr>
            <w:tcW w:w="567" w:type="dxa"/>
            <w:tcMar>
              <w:left w:w="108" w:type="dxa"/>
            </w:tcMar>
            <w:vAlign w:val="center"/>
          </w:tcPr>
          <w:p w:rsidR="00A75E60" w:rsidRPr="00090BE7" w:rsidRDefault="00A75E60" w:rsidP="00A75E60">
            <w:pPr>
              <w:spacing w:before="60" w:after="60"/>
              <w:jc w:val="center"/>
              <w:rPr>
                <w:lang w:val="it-IT"/>
              </w:rPr>
            </w:pPr>
          </w:p>
        </w:tc>
      </w:tr>
      <w:tr w:rsidR="00A75E60" w:rsidRPr="00A44ECD" w:rsidTr="00F235B5">
        <w:trPr>
          <w:cantSplit/>
          <w:trHeight w:val="283"/>
        </w:trPr>
        <w:tc>
          <w:tcPr>
            <w:tcW w:w="567" w:type="dxa"/>
            <w:tcMar>
              <w:left w:w="108" w:type="dxa"/>
            </w:tcMar>
          </w:tcPr>
          <w:p w:rsidR="00A75E60" w:rsidRPr="008A0F36" w:rsidRDefault="00A75E60" w:rsidP="003A5BB7">
            <w:pPr>
              <w:pStyle w:val="IAS"/>
              <w:rPr>
                <w:lang w:val="it-IT"/>
              </w:rPr>
            </w:pPr>
          </w:p>
        </w:tc>
        <w:tc>
          <w:tcPr>
            <w:tcW w:w="851" w:type="dxa"/>
            <w:tcMar>
              <w:left w:w="108" w:type="dxa"/>
              <w:right w:w="0" w:type="dxa"/>
            </w:tcMar>
          </w:tcPr>
          <w:p w:rsidR="00A75E60" w:rsidRPr="00237EFA" w:rsidRDefault="00A75E60" w:rsidP="003A5BB7">
            <w:pPr>
              <w:pStyle w:val="IAS"/>
              <w:rPr>
                <w:lang w:val="it-IT"/>
              </w:rPr>
            </w:pPr>
          </w:p>
        </w:tc>
        <w:tc>
          <w:tcPr>
            <w:tcW w:w="7079" w:type="dxa"/>
            <w:tcMar>
              <w:left w:w="108" w:type="dxa"/>
            </w:tcMar>
          </w:tcPr>
          <w:p w:rsidR="00A75E60" w:rsidRPr="00237EFA" w:rsidRDefault="00A75E60" w:rsidP="003A5BB7">
            <w:pPr>
              <w:pStyle w:val="Titolo2"/>
              <w:keepNext w:val="0"/>
              <w:spacing w:before="40" w:after="40" w:line="226" w:lineRule="exact"/>
              <w:rPr>
                <w:lang w:val="it-IT"/>
              </w:rPr>
            </w:pPr>
            <w:r w:rsidRPr="00237EFA">
              <w:rPr>
                <w:lang w:val="it-IT"/>
              </w:rPr>
              <w:t>Bilanci intermedi e riduzioni di valore</w:t>
            </w:r>
          </w:p>
        </w:tc>
        <w:tc>
          <w:tcPr>
            <w:tcW w:w="575" w:type="dxa"/>
            <w:tcMar>
              <w:left w:w="85" w:type="dxa"/>
              <w:right w:w="85" w:type="dxa"/>
            </w:tcMar>
            <w:vAlign w:val="center"/>
          </w:tcPr>
          <w:p w:rsidR="00A75E60" w:rsidRPr="00090BE7" w:rsidRDefault="00A75E60" w:rsidP="003A5BB7">
            <w:pPr>
              <w:jc w:val="center"/>
              <w:rPr>
                <w:lang w:val="it-IT"/>
              </w:rPr>
            </w:pPr>
          </w:p>
        </w:tc>
        <w:tc>
          <w:tcPr>
            <w:tcW w:w="567" w:type="dxa"/>
            <w:tcMar>
              <w:left w:w="108" w:type="dxa"/>
            </w:tcMar>
            <w:vAlign w:val="center"/>
          </w:tcPr>
          <w:p w:rsidR="00A75E60" w:rsidRPr="00090BE7" w:rsidRDefault="00A75E60" w:rsidP="003A5BB7">
            <w:pPr>
              <w:jc w:val="center"/>
              <w:rPr>
                <w:lang w:val="it-IT"/>
              </w:rPr>
            </w:pPr>
          </w:p>
        </w:tc>
        <w:tc>
          <w:tcPr>
            <w:tcW w:w="567" w:type="dxa"/>
            <w:tcMar>
              <w:left w:w="108" w:type="dxa"/>
            </w:tcMar>
            <w:vAlign w:val="center"/>
          </w:tcPr>
          <w:p w:rsidR="00A75E60" w:rsidRPr="00090BE7" w:rsidRDefault="00A75E60" w:rsidP="003A5BB7">
            <w:pPr>
              <w:jc w:val="center"/>
              <w:rPr>
                <w:lang w:val="it-IT"/>
              </w:rPr>
            </w:pPr>
          </w:p>
        </w:tc>
      </w:tr>
      <w:tr w:rsidR="00A75E60" w:rsidRPr="008129DA" w:rsidTr="00F235B5">
        <w:trPr>
          <w:cantSplit/>
          <w:trHeight w:val="283"/>
        </w:trPr>
        <w:tc>
          <w:tcPr>
            <w:tcW w:w="567" w:type="dxa"/>
            <w:tcMar>
              <w:left w:w="108" w:type="dxa"/>
            </w:tcMar>
          </w:tcPr>
          <w:p w:rsidR="00A75E60" w:rsidRPr="008A0F36" w:rsidRDefault="00A75E60" w:rsidP="00A75E60">
            <w:pPr>
              <w:pStyle w:val="Numeroelenco"/>
              <w:ind w:left="0" w:firstLine="57"/>
              <w:rPr>
                <w:lang w:val="it-IT"/>
              </w:rPr>
            </w:pPr>
          </w:p>
        </w:tc>
        <w:tc>
          <w:tcPr>
            <w:tcW w:w="851" w:type="dxa"/>
            <w:tcMar>
              <w:left w:w="108" w:type="dxa"/>
              <w:right w:w="0" w:type="dxa"/>
            </w:tcMar>
          </w:tcPr>
          <w:p w:rsidR="00A75E60" w:rsidRPr="00237EFA" w:rsidRDefault="00A75E60" w:rsidP="00A75E60">
            <w:pPr>
              <w:pStyle w:val="IAS"/>
              <w:rPr>
                <w:lang w:val="it-IT"/>
              </w:rPr>
            </w:pPr>
            <w:r>
              <w:rPr>
                <w:lang w:val="it-IT"/>
              </w:rPr>
              <w:t>IFRIC 10</w:t>
            </w:r>
          </w:p>
        </w:tc>
        <w:tc>
          <w:tcPr>
            <w:tcW w:w="7079" w:type="dxa"/>
            <w:tcMar>
              <w:left w:w="108" w:type="dxa"/>
            </w:tcMar>
          </w:tcPr>
          <w:p w:rsidR="00A75E60" w:rsidRPr="00237EFA" w:rsidRDefault="00A75E60" w:rsidP="00A75E60">
            <w:pPr>
              <w:spacing w:line="200" w:lineRule="exact"/>
              <w:rPr>
                <w:lang w:val="it-IT"/>
              </w:rPr>
            </w:pPr>
            <w:r w:rsidRPr="00237EFA">
              <w:rPr>
                <w:lang w:val="it-IT"/>
              </w:rPr>
              <w:t>L’entità ha riportato il principio contabile applicato con riferimento alle svalutazioni contabilizzate nel periodo intermedio</w:t>
            </w:r>
            <w:r>
              <w:rPr>
                <w:lang w:val="it-IT"/>
              </w:rPr>
              <w:t>.</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A44ECD" w:rsidTr="00F235B5">
        <w:trPr>
          <w:cantSplit/>
          <w:trHeight w:val="283"/>
        </w:trPr>
        <w:tc>
          <w:tcPr>
            <w:tcW w:w="567" w:type="dxa"/>
            <w:tcMar>
              <w:left w:w="108" w:type="dxa"/>
            </w:tcMar>
          </w:tcPr>
          <w:p w:rsidR="00A75E60" w:rsidRPr="008A0F36" w:rsidRDefault="00A75E60" w:rsidP="00A75E60">
            <w:pPr>
              <w:pStyle w:val="IAS"/>
              <w:spacing w:before="60" w:after="60"/>
              <w:rPr>
                <w:lang w:val="it-IT"/>
              </w:rPr>
            </w:pPr>
          </w:p>
        </w:tc>
        <w:tc>
          <w:tcPr>
            <w:tcW w:w="851" w:type="dxa"/>
            <w:tcMar>
              <w:left w:w="108" w:type="dxa"/>
              <w:right w:w="0" w:type="dxa"/>
            </w:tcMar>
          </w:tcPr>
          <w:p w:rsidR="00A75E60" w:rsidRPr="00237EFA" w:rsidRDefault="00A75E60" w:rsidP="00A75E60">
            <w:pPr>
              <w:pStyle w:val="IAS"/>
              <w:spacing w:before="60" w:after="60"/>
              <w:rPr>
                <w:lang w:val="it-IT"/>
              </w:rPr>
            </w:pPr>
          </w:p>
        </w:tc>
        <w:tc>
          <w:tcPr>
            <w:tcW w:w="7079" w:type="dxa"/>
            <w:tcMar>
              <w:left w:w="108" w:type="dxa"/>
            </w:tcMar>
          </w:tcPr>
          <w:p w:rsidR="00A75E60" w:rsidRPr="00237EFA" w:rsidRDefault="00A75E60" w:rsidP="00A75E60">
            <w:pPr>
              <w:pStyle w:val="Titolo2"/>
              <w:spacing w:before="60" w:after="60" w:line="226" w:lineRule="exact"/>
              <w:rPr>
                <w:lang w:val="it-IT"/>
              </w:rPr>
            </w:pPr>
            <w:r w:rsidRPr="00237EFA">
              <w:rPr>
                <w:lang w:val="it-IT"/>
              </w:rPr>
              <w:t xml:space="preserve">IFRS 1 </w:t>
            </w:r>
            <w:r w:rsidRPr="009F7BFE">
              <w:rPr>
                <w:lang w:val="it-IT"/>
              </w:rPr>
              <w:t>Requisiti di prima adozione</w:t>
            </w:r>
          </w:p>
        </w:tc>
        <w:tc>
          <w:tcPr>
            <w:tcW w:w="575" w:type="dxa"/>
            <w:tcMar>
              <w:left w:w="85" w:type="dxa"/>
              <w:right w:w="85" w:type="dxa"/>
            </w:tcMar>
            <w:vAlign w:val="center"/>
          </w:tcPr>
          <w:p w:rsidR="00A75E60" w:rsidRPr="00090BE7" w:rsidRDefault="00A75E60" w:rsidP="00A75E60">
            <w:pPr>
              <w:spacing w:before="60" w:after="60"/>
              <w:jc w:val="center"/>
              <w:rPr>
                <w:lang w:val="it-IT"/>
              </w:rPr>
            </w:pPr>
          </w:p>
        </w:tc>
        <w:tc>
          <w:tcPr>
            <w:tcW w:w="567" w:type="dxa"/>
            <w:tcMar>
              <w:left w:w="108" w:type="dxa"/>
            </w:tcMar>
            <w:vAlign w:val="center"/>
          </w:tcPr>
          <w:p w:rsidR="00A75E60" w:rsidRPr="00090BE7" w:rsidRDefault="00A75E60" w:rsidP="00A75E60">
            <w:pPr>
              <w:spacing w:before="60" w:after="60"/>
              <w:jc w:val="center"/>
              <w:rPr>
                <w:lang w:val="it-IT"/>
              </w:rPr>
            </w:pPr>
          </w:p>
        </w:tc>
        <w:tc>
          <w:tcPr>
            <w:tcW w:w="567" w:type="dxa"/>
            <w:tcMar>
              <w:left w:w="108" w:type="dxa"/>
            </w:tcMar>
            <w:vAlign w:val="center"/>
          </w:tcPr>
          <w:p w:rsidR="00A75E60" w:rsidRPr="00090BE7" w:rsidRDefault="00A75E60" w:rsidP="00A75E60">
            <w:pPr>
              <w:spacing w:before="60" w:after="60"/>
              <w:jc w:val="center"/>
              <w:rPr>
                <w:lang w:val="it-IT"/>
              </w:rPr>
            </w:pPr>
          </w:p>
        </w:tc>
      </w:tr>
      <w:tr w:rsidR="00A75E60" w:rsidRPr="00A44ECD" w:rsidTr="00F235B5">
        <w:trPr>
          <w:cantSplit/>
        </w:trPr>
        <w:tc>
          <w:tcPr>
            <w:tcW w:w="567" w:type="dxa"/>
            <w:tcMar>
              <w:left w:w="108" w:type="dxa"/>
              <w:right w:w="0" w:type="dxa"/>
            </w:tcMar>
          </w:tcPr>
          <w:p w:rsidR="00A75E60" w:rsidRPr="008A0F36" w:rsidRDefault="00A75E60" w:rsidP="00A75E60">
            <w:pPr>
              <w:pStyle w:val="IAS"/>
              <w:spacing w:before="60" w:after="60"/>
              <w:rPr>
                <w:lang w:val="it-IT"/>
              </w:rPr>
            </w:pPr>
          </w:p>
        </w:tc>
        <w:tc>
          <w:tcPr>
            <w:tcW w:w="851" w:type="dxa"/>
            <w:tcMar>
              <w:left w:w="108" w:type="dxa"/>
              <w:right w:w="0" w:type="dxa"/>
            </w:tcMar>
          </w:tcPr>
          <w:p w:rsidR="00A75E60" w:rsidRPr="00237EFA" w:rsidRDefault="00A75E60" w:rsidP="00A75E60">
            <w:pPr>
              <w:pStyle w:val="IAS"/>
              <w:spacing w:before="60" w:after="60"/>
              <w:rPr>
                <w:lang w:val="it-IT"/>
              </w:rPr>
            </w:pPr>
            <w:r w:rsidRPr="00237EFA">
              <w:rPr>
                <w:lang w:val="it-IT"/>
              </w:rPr>
              <w:t>IFRS 1.IG63</w:t>
            </w:r>
          </w:p>
        </w:tc>
        <w:tc>
          <w:tcPr>
            <w:tcW w:w="7079" w:type="dxa"/>
            <w:tcMar>
              <w:left w:w="108" w:type="dxa"/>
            </w:tcMar>
          </w:tcPr>
          <w:p w:rsidR="00A75E60" w:rsidRPr="00237EFA" w:rsidRDefault="00A75E60" w:rsidP="000E2839">
            <w:pPr>
              <w:pStyle w:val="Paragarfobordato"/>
              <w:rPr>
                <w:b/>
                <w:bCs/>
              </w:rPr>
            </w:pPr>
            <w:r w:rsidRPr="00237EFA">
              <w:t>L’IFRS 1IG.63 fornisce un esempio del livello di dettaglio richiesto per le riconciliazioni tra i principi contabili precedenti e gli IFRS.</w:t>
            </w:r>
          </w:p>
        </w:tc>
        <w:tc>
          <w:tcPr>
            <w:tcW w:w="575" w:type="dxa"/>
            <w:tcMar>
              <w:left w:w="85" w:type="dxa"/>
              <w:right w:w="85" w:type="dxa"/>
            </w:tcMar>
            <w:vAlign w:val="center"/>
          </w:tcPr>
          <w:p w:rsidR="00A75E60" w:rsidRPr="00BC7990" w:rsidRDefault="00A75E60" w:rsidP="00A75E60">
            <w:pPr>
              <w:spacing w:before="60" w:after="60"/>
              <w:jc w:val="center"/>
              <w:rPr>
                <w:lang w:val="it-IT"/>
              </w:rPr>
            </w:pPr>
          </w:p>
        </w:tc>
        <w:tc>
          <w:tcPr>
            <w:tcW w:w="567" w:type="dxa"/>
            <w:tcMar>
              <w:left w:w="108" w:type="dxa"/>
            </w:tcMar>
            <w:vAlign w:val="center"/>
          </w:tcPr>
          <w:p w:rsidR="00A75E60" w:rsidRPr="00BC7990" w:rsidRDefault="00A75E60" w:rsidP="00A75E60">
            <w:pPr>
              <w:spacing w:before="60" w:after="60"/>
              <w:jc w:val="center"/>
              <w:rPr>
                <w:lang w:val="it-IT"/>
              </w:rPr>
            </w:pPr>
          </w:p>
        </w:tc>
        <w:tc>
          <w:tcPr>
            <w:tcW w:w="567" w:type="dxa"/>
            <w:tcMar>
              <w:left w:w="108" w:type="dxa"/>
            </w:tcMar>
            <w:vAlign w:val="center"/>
          </w:tcPr>
          <w:p w:rsidR="00A75E60" w:rsidRPr="00BC7990" w:rsidRDefault="00A75E60" w:rsidP="00A75E60">
            <w:pPr>
              <w:spacing w:before="60" w:after="60"/>
              <w:jc w:val="center"/>
              <w:rPr>
                <w:lang w:val="it-IT"/>
              </w:rPr>
            </w:pPr>
          </w:p>
        </w:tc>
      </w:tr>
      <w:tr w:rsidR="00A75E60" w:rsidRPr="00A44ECD" w:rsidTr="00F235B5">
        <w:trPr>
          <w:cantSplit/>
        </w:trPr>
        <w:tc>
          <w:tcPr>
            <w:tcW w:w="567" w:type="dxa"/>
            <w:tcMar>
              <w:left w:w="108" w:type="dxa"/>
              <w:right w:w="0" w:type="dxa"/>
            </w:tcMar>
          </w:tcPr>
          <w:p w:rsidR="00A75E60" w:rsidRPr="008A0F36" w:rsidRDefault="00A75E60" w:rsidP="00A75E60">
            <w:pPr>
              <w:pStyle w:val="Numeroelenco"/>
              <w:ind w:left="0" w:firstLine="57"/>
              <w:rPr>
                <w:lang w:val="it-IT"/>
              </w:rPr>
            </w:pPr>
          </w:p>
        </w:tc>
        <w:tc>
          <w:tcPr>
            <w:tcW w:w="851" w:type="dxa"/>
            <w:tcMar>
              <w:left w:w="108" w:type="dxa"/>
              <w:right w:w="0" w:type="dxa"/>
            </w:tcMar>
          </w:tcPr>
          <w:p w:rsidR="00A75E60" w:rsidRPr="00237EFA" w:rsidRDefault="00A75E60" w:rsidP="00A75E60">
            <w:pPr>
              <w:pStyle w:val="IAS"/>
              <w:rPr>
                <w:lang w:val="it-IT"/>
              </w:rPr>
            </w:pPr>
            <w:r w:rsidRPr="00237EFA">
              <w:rPr>
                <w:lang w:val="it-IT"/>
              </w:rPr>
              <w:t>IFRS 1.32</w:t>
            </w:r>
          </w:p>
        </w:tc>
        <w:tc>
          <w:tcPr>
            <w:tcW w:w="7079" w:type="dxa"/>
            <w:tcMar>
              <w:left w:w="108" w:type="dxa"/>
            </w:tcMar>
          </w:tcPr>
          <w:p w:rsidR="00A75E60" w:rsidRPr="00237EFA" w:rsidRDefault="00A75E60" w:rsidP="00150B74">
            <w:pPr>
              <w:spacing w:line="214" w:lineRule="exact"/>
              <w:rPr>
                <w:lang w:val="it-IT"/>
              </w:rPr>
            </w:pPr>
            <w:r w:rsidRPr="00237EFA">
              <w:rPr>
                <w:lang w:val="it-IT"/>
              </w:rPr>
              <w:t xml:space="preserve">Nel primo bilancio intermedio in base allo IAS 34, per la parte di esercizio coperto dal primo bilancio IFRS, l’entità indica le seguenti informazioni: </w:t>
            </w:r>
          </w:p>
        </w:tc>
        <w:tc>
          <w:tcPr>
            <w:tcW w:w="575" w:type="dxa"/>
            <w:tcMar>
              <w:left w:w="85" w:type="dxa"/>
              <w:right w:w="85" w:type="dxa"/>
            </w:tcMar>
            <w:vAlign w:val="center"/>
          </w:tcPr>
          <w:p w:rsidR="00A75E60" w:rsidRPr="00090BE7" w:rsidRDefault="00A75E60" w:rsidP="00A75E60">
            <w:pPr>
              <w:jc w:val="center"/>
              <w:rPr>
                <w:lang w:val="it-IT"/>
              </w:rPr>
            </w:pPr>
          </w:p>
        </w:tc>
        <w:tc>
          <w:tcPr>
            <w:tcW w:w="567" w:type="dxa"/>
            <w:tcMar>
              <w:left w:w="108" w:type="dxa"/>
            </w:tcMar>
            <w:vAlign w:val="center"/>
          </w:tcPr>
          <w:p w:rsidR="00A75E60" w:rsidRPr="00090BE7" w:rsidRDefault="00A75E60" w:rsidP="00A75E60">
            <w:pPr>
              <w:jc w:val="center"/>
              <w:rPr>
                <w:lang w:val="it-IT"/>
              </w:rPr>
            </w:pPr>
          </w:p>
        </w:tc>
        <w:tc>
          <w:tcPr>
            <w:tcW w:w="567" w:type="dxa"/>
            <w:tcMar>
              <w:left w:w="108" w:type="dxa"/>
            </w:tcMar>
            <w:vAlign w:val="center"/>
          </w:tcPr>
          <w:p w:rsidR="00A75E60" w:rsidRPr="00090BE7" w:rsidRDefault="00A75E60" w:rsidP="00A75E60">
            <w:pPr>
              <w:jc w:val="center"/>
              <w:rPr>
                <w:lang w:val="it-IT"/>
              </w:rPr>
            </w:pP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150B74">
            <w:pPr>
              <w:pStyle w:val="Rientroa"/>
              <w:numPr>
                <w:ilvl w:val="0"/>
                <w:numId w:val="196"/>
              </w:numPr>
              <w:spacing w:line="214" w:lineRule="exact"/>
              <w:ind w:left="391" w:hanging="357"/>
            </w:pPr>
            <w:r w:rsidRPr="00237EFA">
              <w:t>se l’entità ha presentato un bilancio intermedio per il corrispondente periodo dell’esercizio precedente, il bilancio intermedio deve contenere le riconciliazioni del:</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150B74">
            <w:pPr>
              <w:pStyle w:val="Rientroisottoa"/>
              <w:spacing w:line="214" w:lineRule="exact"/>
              <w:ind w:hanging="306"/>
            </w:pPr>
            <w:r w:rsidRPr="00237EFA">
              <w:t xml:space="preserve">i) </w:t>
            </w:r>
            <w:r w:rsidRPr="00237EFA">
              <w:tab/>
            </w:r>
            <w:r w:rsidRPr="00237EFA">
              <w:rPr>
                <w:rFonts w:cs="Arial"/>
              </w:rPr>
              <w:t>patrimonio netto determinato in base ai precedenti principi contabili ed il patrimonio netto in base agli IFRS alla fine di tale analogo periodo intermedio</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150B74">
            <w:pPr>
              <w:pStyle w:val="Rientroisottoa"/>
              <w:spacing w:line="214" w:lineRule="exact"/>
              <w:ind w:hanging="306"/>
            </w:pPr>
            <w:r w:rsidRPr="00237EFA">
              <w:t>ii)</w:t>
            </w:r>
            <w:r w:rsidRPr="00237EFA">
              <w:tab/>
              <w:t xml:space="preserve">totale </w:t>
            </w:r>
            <w:r w:rsidRPr="00237EFA">
              <w:rPr>
                <w:rFonts w:cs="Arial"/>
              </w:rPr>
              <w:t>conto economico complessivo [o se l’entità non presentava questo totale, l’utile/(perdita) d’esercizio] determinato in base ai precedenti principi contabili ed il totale conto economico complessivo determinato in base agli IFRS per il solo periodo intermedio comparativo.</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150B74">
            <w:pPr>
              <w:pStyle w:val="Rientroisottoa"/>
              <w:spacing w:line="210" w:lineRule="exact"/>
              <w:ind w:hanging="306"/>
            </w:pPr>
            <w:r w:rsidRPr="00237EFA">
              <w:t>iii)</w:t>
            </w:r>
            <w:r w:rsidRPr="00237EFA">
              <w:tab/>
              <w:t>totale conto economico complessivo [o se l’entità non presentava questo totale, l’utile/(perdita) d’esercizio] determinato in base ai precedenti principi contabili ed il totale conto economico complessivo determinato in base agli IFRS per l’intero periodo intermedio cumulativo alla data della riconciliazione.</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150B74">
            <w:pPr>
              <w:pStyle w:val="Rientroa"/>
              <w:numPr>
                <w:ilvl w:val="0"/>
                <w:numId w:val="72"/>
              </w:numPr>
              <w:spacing w:line="210" w:lineRule="exact"/>
              <w:ind w:left="391" w:hanging="357"/>
            </w:pPr>
            <w:r w:rsidRPr="00237EFA">
              <w:t>oltre alle riconciliazioni richieste al punto precedente, il primo bilancio intermedio redatto in base allo IAS 34 deve comprendere (o rimandare ad altro documento pubblicato che le contiene), per la parte di esercizio coperto dal primo bilancio IFRS, le seguenti riconciliazioni: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150B74">
            <w:pPr>
              <w:pStyle w:val="Rientroisottoa"/>
              <w:spacing w:line="214" w:lineRule="exact"/>
              <w:ind w:hanging="306"/>
            </w:pPr>
            <w:r w:rsidRPr="00237EFA">
              <w:t>i)</w:t>
            </w:r>
            <w:r w:rsidRPr="00237EFA">
              <w:tab/>
              <w:t>le riconciliazioni del patrimonio netto redatto secondo i precedenti principi contabili e del patrimonio netto redatto in conformità agli IFRS per:</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150B74">
            <w:pPr>
              <w:pStyle w:val="Rientrosottoi"/>
              <w:spacing w:line="214" w:lineRule="exact"/>
            </w:pPr>
            <w:r w:rsidRPr="00237EFA">
              <w:t xml:space="preserve">- </w:t>
            </w:r>
            <w:r w:rsidRPr="00237EFA">
              <w:tab/>
              <w:t>la data di passaggio agli IFRS; e</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150B74">
            <w:pPr>
              <w:pStyle w:val="Rientrosottoi"/>
              <w:spacing w:line="214" w:lineRule="exact"/>
            </w:pPr>
            <w:r w:rsidRPr="00237EFA">
              <w:t xml:space="preserve">- </w:t>
            </w:r>
            <w:r w:rsidRPr="00237EFA">
              <w:tab/>
              <w:t>la data di chiusura dell’ultimo esercizio per il quale l’entità ha redatto il bilancio in conformità ai precedenti principi contabili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150B74">
            <w:pPr>
              <w:pStyle w:val="Rientroisottoa"/>
              <w:spacing w:line="214" w:lineRule="exact"/>
              <w:ind w:hanging="306"/>
            </w:pPr>
            <w:r w:rsidRPr="00237EFA">
              <w:t>ii)</w:t>
            </w:r>
            <w:r w:rsidRPr="00237EFA">
              <w:tab/>
              <w:t>una riconciliazione del conto economico complessivo riportato nell’ultimo bilancio dell’entità redatto secondo i precedenti principi contabili e del conto economico complessivo redatto in conformità agli IFRS per il medesimo esercizio. Il punto di partenza per questa riconciliazione deve essere il conto economico complessivo di quel periodo determinato in base ai precedenti principi contabili oppure, se non disponibile, l’utile/(perdita) d’esercizio determinato secondo i precedenti principi contabili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IAS"/>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150B74">
            <w:pPr>
              <w:pStyle w:val="Rientroa"/>
              <w:numPr>
                <w:ilvl w:val="0"/>
                <w:numId w:val="72"/>
              </w:numPr>
              <w:spacing w:line="214" w:lineRule="exact"/>
              <w:ind w:left="391" w:hanging="357"/>
            </w:pPr>
            <w:r>
              <w:t>s</w:t>
            </w:r>
            <w:r w:rsidRPr="00237EFA">
              <w:t>e un’entità cambia i propri principi contabili o l’uso delle esenzioni contenute nell’IFRS 1, spiega i cambiamenti in ciascun bilancio intermedio conformemente al paragrafo IFRS 1.23 (vedi punto 8) e aggiorna le riconciliazioni di cui ai punti a) e b) sopra indicati.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8129DA" w:rsidTr="00F235B5">
        <w:trPr>
          <w:cantSplit/>
        </w:trPr>
        <w:tc>
          <w:tcPr>
            <w:tcW w:w="567" w:type="dxa"/>
            <w:tcMar>
              <w:left w:w="108" w:type="dxa"/>
              <w:right w:w="0" w:type="dxa"/>
            </w:tcMar>
          </w:tcPr>
          <w:p w:rsidR="00A75E60" w:rsidRPr="008A0F36" w:rsidRDefault="00A75E60" w:rsidP="00A75E60">
            <w:pPr>
              <w:pStyle w:val="Numeroelenco"/>
              <w:ind w:left="0" w:firstLine="57"/>
              <w:rPr>
                <w:lang w:val="it-IT"/>
              </w:rPr>
            </w:pPr>
          </w:p>
        </w:tc>
        <w:tc>
          <w:tcPr>
            <w:tcW w:w="851" w:type="dxa"/>
            <w:tcMar>
              <w:left w:w="108" w:type="dxa"/>
              <w:right w:w="0" w:type="dxa"/>
            </w:tcMar>
          </w:tcPr>
          <w:p w:rsidR="00A75E60" w:rsidRPr="00237EFA" w:rsidRDefault="00A75E60" w:rsidP="00A75E60">
            <w:pPr>
              <w:pStyle w:val="IAS"/>
              <w:rPr>
                <w:lang w:val="it-IT"/>
              </w:rPr>
            </w:pPr>
            <w:r w:rsidRPr="00237EFA">
              <w:rPr>
                <w:lang w:val="it-IT"/>
              </w:rPr>
              <w:t>IFRS 1.33</w:t>
            </w:r>
          </w:p>
        </w:tc>
        <w:tc>
          <w:tcPr>
            <w:tcW w:w="7079" w:type="dxa"/>
            <w:tcMar>
              <w:left w:w="108" w:type="dxa"/>
            </w:tcMar>
          </w:tcPr>
          <w:p w:rsidR="00A75E60" w:rsidRPr="00237EFA" w:rsidRDefault="00A75E60" w:rsidP="00150B74">
            <w:pPr>
              <w:spacing w:line="214" w:lineRule="exact"/>
              <w:rPr>
                <w:lang w:val="it-IT"/>
              </w:rPr>
            </w:pPr>
            <w:r w:rsidRPr="00237EFA">
              <w:rPr>
                <w:lang w:val="it-IT"/>
              </w:rPr>
              <w:t>Se l’entità non ha, nel più recente bilancio redatto secondo i precedenti principi contabili, fornito informazioni significative al fine di comprendere il periodo intermedio corrente, fornisce nel bilancio intermedio tale informazione o include un riferimento ad altri documenti pubblicati che includono tali informazioni.</w:t>
            </w:r>
          </w:p>
        </w:tc>
        <w:tc>
          <w:tcPr>
            <w:tcW w:w="575" w:type="dxa"/>
            <w:tcMar>
              <w:left w:w="85" w:type="dxa"/>
              <w:right w:w="85"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A32A16"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75E60" w:rsidRPr="00A44ECD" w:rsidTr="00F235B5">
        <w:trPr>
          <w:cantSplit/>
        </w:trPr>
        <w:tc>
          <w:tcPr>
            <w:tcW w:w="567" w:type="dxa"/>
            <w:tcMar>
              <w:left w:w="108" w:type="dxa"/>
              <w:right w:w="0" w:type="dxa"/>
            </w:tcMar>
          </w:tcPr>
          <w:p w:rsidR="00A75E60" w:rsidRPr="008A0F36" w:rsidRDefault="00A75E60" w:rsidP="002B6200">
            <w:pPr>
              <w:pStyle w:val="IAS"/>
              <w:spacing w:before="60" w:after="60"/>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37EFA" w:rsidRDefault="00A75E60" w:rsidP="00A75E60">
            <w:pPr>
              <w:rPr>
                <w:lang w:val="it-IT"/>
              </w:rPr>
            </w:pPr>
            <w:r w:rsidRPr="00DC5A4D">
              <w:rPr>
                <w:b/>
                <w:lang w:val="it-IT"/>
              </w:rPr>
              <w:t>I</w:t>
            </w:r>
            <w:r>
              <w:rPr>
                <w:b/>
                <w:lang w:val="it-IT"/>
              </w:rPr>
              <w:t>NFORMATIVA RICHIESTA NEL CASO DI APPLICAZIONE ANTICIPATA</w:t>
            </w:r>
          </w:p>
        </w:tc>
        <w:tc>
          <w:tcPr>
            <w:tcW w:w="575" w:type="dxa"/>
            <w:tcMar>
              <w:left w:w="85" w:type="dxa"/>
              <w:right w:w="85" w:type="dxa"/>
            </w:tcMar>
            <w:vAlign w:val="center"/>
          </w:tcPr>
          <w:p w:rsidR="00A75E60" w:rsidRPr="002B6200" w:rsidRDefault="00A75E60" w:rsidP="00A75E60">
            <w:pPr>
              <w:jc w:val="center"/>
              <w:rPr>
                <w:lang w:val="it-IT"/>
              </w:rPr>
            </w:pPr>
          </w:p>
        </w:tc>
        <w:tc>
          <w:tcPr>
            <w:tcW w:w="567" w:type="dxa"/>
            <w:tcMar>
              <w:left w:w="108" w:type="dxa"/>
            </w:tcMar>
            <w:vAlign w:val="center"/>
          </w:tcPr>
          <w:p w:rsidR="00A75E60" w:rsidRPr="002B6200" w:rsidRDefault="00A75E60" w:rsidP="00A75E60">
            <w:pPr>
              <w:jc w:val="center"/>
              <w:rPr>
                <w:lang w:val="it-IT"/>
              </w:rPr>
            </w:pPr>
          </w:p>
        </w:tc>
        <w:tc>
          <w:tcPr>
            <w:tcW w:w="567" w:type="dxa"/>
            <w:tcMar>
              <w:left w:w="108" w:type="dxa"/>
            </w:tcMar>
            <w:vAlign w:val="center"/>
          </w:tcPr>
          <w:p w:rsidR="00A75E60" w:rsidRPr="002B6200" w:rsidRDefault="00A75E60" w:rsidP="00A75E60">
            <w:pPr>
              <w:jc w:val="center"/>
              <w:rPr>
                <w:lang w:val="it-IT"/>
              </w:rPr>
            </w:pPr>
          </w:p>
        </w:tc>
      </w:tr>
      <w:tr w:rsidR="00A75E60" w:rsidRPr="00A44ECD" w:rsidTr="00F235B5">
        <w:trPr>
          <w:cantSplit/>
        </w:trPr>
        <w:tc>
          <w:tcPr>
            <w:tcW w:w="567" w:type="dxa"/>
            <w:tcMar>
              <w:left w:w="108" w:type="dxa"/>
              <w:right w:w="0" w:type="dxa"/>
            </w:tcMar>
          </w:tcPr>
          <w:p w:rsidR="00A75E60" w:rsidRPr="008A0F36" w:rsidRDefault="00A75E60" w:rsidP="00A75E60">
            <w:pPr>
              <w:pStyle w:val="IAS"/>
              <w:spacing w:before="60" w:after="60"/>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DC5A4D" w:rsidRDefault="00A75E60" w:rsidP="002B6200">
            <w:pPr>
              <w:pStyle w:val="Titolo2"/>
              <w:spacing w:before="60" w:after="60" w:line="226" w:lineRule="exact"/>
              <w:rPr>
                <w:lang w:val="it-IT"/>
              </w:rPr>
            </w:pPr>
            <w:r w:rsidRPr="006C2B1A">
              <w:rPr>
                <w:lang w:val="it-IT"/>
              </w:rPr>
              <w:t>IFRS 15 –</w:t>
            </w:r>
            <w:r w:rsidRPr="00D6374F">
              <w:rPr>
                <w:lang w:val="it-IT"/>
              </w:rPr>
              <w:t xml:space="preserve"> Ricavi provenienti da contratti con i clienti</w:t>
            </w:r>
          </w:p>
        </w:tc>
        <w:tc>
          <w:tcPr>
            <w:tcW w:w="575" w:type="dxa"/>
            <w:tcMar>
              <w:left w:w="85" w:type="dxa"/>
              <w:right w:w="85" w:type="dxa"/>
            </w:tcMar>
            <w:vAlign w:val="center"/>
          </w:tcPr>
          <w:p w:rsidR="00A75E60" w:rsidRPr="006C2B1A" w:rsidRDefault="00A75E60" w:rsidP="00A75E60">
            <w:pPr>
              <w:jc w:val="center"/>
              <w:rPr>
                <w:lang w:val="it-IT"/>
              </w:rPr>
            </w:pPr>
          </w:p>
        </w:tc>
        <w:tc>
          <w:tcPr>
            <w:tcW w:w="567" w:type="dxa"/>
            <w:tcMar>
              <w:left w:w="108" w:type="dxa"/>
            </w:tcMar>
            <w:vAlign w:val="center"/>
          </w:tcPr>
          <w:p w:rsidR="00A75E60" w:rsidRPr="006C2B1A" w:rsidRDefault="00A75E60" w:rsidP="00A75E60">
            <w:pPr>
              <w:jc w:val="center"/>
              <w:rPr>
                <w:lang w:val="it-IT"/>
              </w:rPr>
            </w:pPr>
          </w:p>
        </w:tc>
        <w:tc>
          <w:tcPr>
            <w:tcW w:w="567" w:type="dxa"/>
            <w:tcMar>
              <w:left w:w="108" w:type="dxa"/>
            </w:tcMar>
            <w:vAlign w:val="center"/>
          </w:tcPr>
          <w:p w:rsidR="00A75E60" w:rsidRPr="00D6374F" w:rsidRDefault="00A75E60" w:rsidP="00A75E60">
            <w:pPr>
              <w:jc w:val="center"/>
              <w:rPr>
                <w:lang w:val="it-IT"/>
              </w:rPr>
            </w:pPr>
          </w:p>
        </w:tc>
      </w:tr>
      <w:tr w:rsidR="00A75E60" w:rsidRPr="00944E23" w:rsidTr="00F235B5">
        <w:trPr>
          <w:cantSplit/>
        </w:trPr>
        <w:tc>
          <w:tcPr>
            <w:tcW w:w="567" w:type="dxa"/>
            <w:tcMar>
              <w:left w:w="108" w:type="dxa"/>
              <w:right w:w="0" w:type="dxa"/>
            </w:tcMar>
          </w:tcPr>
          <w:p w:rsidR="00A75E60" w:rsidRDefault="00A75E60" w:rsidP="00A75E60">
            <w:pPr>
              <w:pStyle w:val="IAS"/>
              <w:spacing w:before="60" w:after="60"/>
              <w:rPr>
                <w:lang w:val="it-IT"/>
              </w:rPr>
            </w:pPr>
          </w:p>
          <w:p w:rsidR="00A75E60" w:rsidRPr="008A0F36" w:rsidRDefault="00A75E60" w:rsidP="00A75E60">
            <w:pPr>
              <w:pStyle w:val="IAS"/>
              <w:spacing w:before="60" w:after="60"/>
              <w:rPr>
                <w:lang w:val="it-IT"/>
              </w:rPr>
            </w:pPr>
          </w:p>
        </w:tc>
        <w:tc>
          <w:tcPr>
            <w:tcW w:w="851" w:type="dxa"/>
            <w:tcMar>
              <w:left w:w="108" w:type="dxa"/>
              <w:right w:w="0" w:type="dxa"/>
            </w:tcMar>
          </w:tcPr>
          <w:p w:rsidR="00A75E60" w:rsidRPr="00237EFA" w:rsidRDefault="00A75E60" w:rsidP="00A75E60">
            <w:pPr>
              <w:pStyle w:val="IAS"/>
              <w:rPr>
                <w:lang w:val="it-IT"/>
              </w:rPr>
            </w:pPr>
          </w:p>
        </w:tc>
        <w:tc>
          <w:tcPr>
            <w:tcW w:w="7079" w:type="dxa"/>
            <w:tcMar>
              <w:left w:w="108" w:type="dxa"/>
            </w:tcMar>
          </w:tcPr>
          <w:p w:rsidR="00A75E60" w:rsidRPr="002B6200" w:rsidRDefault="00A75E60" w:rsidP="00150B74">
            <w:pPr>
              <w:spacing w:line="210" w:lineRule="exact"/>
              <w:rPr>
                <w:b/>
                <w:i/>
                <w:lang w:val="it-IT"/>
              </w:rPr>
            </w:pPr>
            <w:r w:rsidRPr="002B6200">
              <w:rPr>
                <w:lang w:val="it-IT"/>
              </w:rPr>
              <w:t xml:space="preserve">Il regolamento (UE) 2016/1905 del 22 settembre 2016 adotta l’IFRS 15 </w:t>
            </w:r>
            <w:r w:rsidRPr="002B6200">
              <w:rPr>
                <w:i/>
                <w:lang w:val="it-IT"/>
              </w:rPr>
              <w:t>Ricavi provenienti da contratti con i clienti</w:t>
            </w:r>
            <w:r w:rsidRPr="002B6200">
              <w:rPr>
                <w:lang w:val="it-IT"/>
              </w:rPr>
              <w:t xml:space="preserve">. L'entità deve applicare l’IFRS 15 a partire dai bilanci degli esercizi che hanno inizio dal 1 gennaio 2018 o da data successiva. È consentita l'applicazione anticipata. </w:t>
            </w:r>
          </w:p>
        </w:tc>
        <w:tc>
          <w:tcPr>
            <w:tcW w:w="575" w:type="dxa"/>
            <w:tcMar>
              <w:left w:w="85" w:type="dxa"/>
              <w:right w:w="85" w:type="dxa"/>
            </w:tcMar>
            <w:vAlign w:val="center"/>
          </w:tcPr>
          <w:p w:rsidR="00A75E60" w:rsidRPr="006C2B1A" w:rsidRDefault="00A75E60" w:rsidP="00A75E60">
            <w:pPr>
              <w:jc w:val="center"/>
              <w:rPr>
                <w:lang w:val="it-IT"/>
              </w:rPr>
            </w:pPr>
          </w:p>
        </w:tc>
        <w:tc>
          <w:tcPr>
            <w:tcW w:w="567" w:type="dxa"/>
            <w:tcMar>
              <w:left w:w="108" w:type="dxa"/>
            </w:tcMar>
            <w:vAlign w:val="center"/>
          </w:tcPr>
          <w:p w:rsidR="00A75E60" w:rsidRPr="006C2B1A" w:rsidRDefault="00A75E60" w:rsidP="00A75E60">
            <w:pPr>
              <w:jc w:val="center"/>
              <w:rPr>
                <w:lang w:val="it-IT"/>
              </w:rPr>
            </w:pPr>
          </w:p>
        </w:tc>
        <w:tc>
          <w:tcPr>
            <w:tcW w:w="567" w:type="dxa"/>
            <w:tcMar>
              <w:left w:w="108" w:type="dxa"/>
            </w:tcMar>
            <w:vAlign w:val="center"/>
          </w:tcPr>
          <w:p w:rsidR="00A75E60" w:rsidRPr="006C2B1A" w:rsidRDefault="00A75E60" w:rsidP="00A75E60">
            <w:pPr>
              <w:jc w:val="center"/>
              <w:rPr>
                <w:lang w:val="it-IT"/>
              </w:rPr>
            </w:pPr>
          </w:p>
        </w:tc>
      </w:tr>
      <w:tr w:rsidR="00A75E60" w:rsidRPr="00A44ECD" w:rsidTr="00F235B5">
        <w:trPr>
          <w:cantSplit/>
        </w:trPr>
        <w:tc>
          <w:tcPr>
            <w:tcW w:w="567" w:type="dxa"/>
            <w:tcMar>
              <w:left w:w="108" w:type="dxa"/>
              <w:right w:w="0" w:type="dxa"/>
            </w:tcMar>
          </w:tcPr>
          <w:p w:rsidR="00A75E60" w:rsidRDefault="00A75E60" w:rsidP="00A75E60">
            <w:pPr>
              <w:pStyle w:val="IAS"/>
              <w:spacing w:before="60" w:after="60"/>
              <w:rPr>
                <w:lang w:val="it-IT"/>
              </w:rPr>
            </w:pPr>
          </w:p>
          <w:p w:rsidR="00A75E60" w:rsidRDefault="00A75E60" w:rsidP="00A75E60">
            <w:pPr>
              <w:pStyle w:val="IAS"/>
              <w:spacing w:before="60" w:after="60"/>
              <w:rPr>
                <w:lang w:val="it-IT"/>
              </w:rPr>
            </w:pPr>
          </w:p>
        </w:tc>
        <w:tc>
          <w:tcPr>
            <w:tcW w:w="851" w:type="dxa"/>
            <w:tcMar>
              <w:left w:w="108" w:type="dxa"/>
              <w:right w:w="0" w:type="dxa"/>
            </w:tcMar>
          </w:tcPr>
          <w:p w:rsidR="00A75E60" w:rsidRDefault="00A75E60" w:rsidP="00A75E60">
            <w:pPr>
              <w:pStyle w:val="IAS"/>
              <w:rPr>
                <w:lang w:val="it-IT"/>
              </w:rPr>
            </w:pPr>
            <w:r>
              <w:rPr>
                <w:lang w:val="it-IT"/>
              </w:rPr>
              <w:t>IFRS 15.C10</w:t>
            </w:r>
          </w:p>
          <w:p w:rsidR="00A75E60" w:rsidRPr="00237EFA" w:rsidRDefault="00A75E60" w:rsidP="00A75E60">
            <w:pPr>
              <w:pStyle w:val="IAS"/>
              <w:rPr>
                <w:lang w:val="it-IT"/>
              </w:rPr>
            </w:pPr>
          </w:p>
        </w:tc>
        <w:tc>
          <w:tcPr>
            <w:tcW w:w="7079" w:type="dxa"/>
            <w:tcMar>
              <w:left w:w="108" w:type="dxa"/>
            </w:tcMar>
          </w:tcPr>
          <w:p w:rsidR="00A75E60" w:rsidRDefault="00A75E60" w:rsidP="000E2839">
            <w:pPr>
              <w:pStyle w:val="Paragarfobordato"/>
            </w:pPr>
            <w:r w:rsidRPr="00437D7F">
              <w:t>L</w:t>
            </w:r>
            <w:r w:rsidRPr="002B6200">
              <w:t xml:space="preserve">'IFRS 15 sostituisce i seguenti Principi: </w:t>
            </w:r>
          </w:p>
          <w:p w:rsidR="00A75E60" w:rsidRDefault="00A75E60" w:rsidP="000E2839">
            <w:pPr>
              <w:pStyle w:val="Paragarfobordato"/>
              <w:ind w:left="205" w:hanging="205"/>
            </w:pPr>
            <w:r w:rsidRPr="002B6200">
              <w:t xml:space="preserve">a) </w:t>
            </w:r>
            <w:r w:rsidR="000E2839">
              <w:tab/>
            </w:r>
            <w:r w:rsidRPr="002B6200">
              <w:t xml:space="preserve">IAS 11 </w:t>
            </w:r>
            <w:r w:rsidRPr="002B6200">
              <w:rPr>
                <w:i/>
              </w:rPr>
              <w:t>Lavori su ordinazione</w:t>
            </w:r>
            <w:r w:rsidRPr="002B6200">
              <w:t xml:space="preserve">; </w:t>
            </w:r>
          </w:p>
          <w:p w:rsidR="00A75E60" w:rsidRDefault="00A75E60" w:rsidP="000E2839">
            <w:pPr>
              <w:pStyle w:val="Paragarfobordato"/>
              <w:ind w:left="205" w:hanging="205"/>
            </w:pPr>
            <w:r w:rsidRPr="002B6200">
              <w:t xml:space="preserve">b) </w:t>
            </w:r>
            <w:r w:rsidR="000E2839">
              <w:tab/>
            </w:r>
            <w:r w:rsidRPr="002B6200">
              <w:t xml:space="preserve">IAS 18 </w:t>
            </w:r>
            <w:r w:rsidRPr="002B6200">
              <w:rPr>
                <w:i/>
              </w:rPr>
              <w:t>Ricavi</w:t>
            </w:r>
            <w:r w:rsidRPr="002B6200">
              <w:t xml:space="preserve">; </w:t>
            </w:r>
          </w:p>
          <w:p w:rsidR="00A75E60" w:rsidRDefault="00A75E60" w:rsidP="000E2839">
            <w:pPr>
              <w:pStyle w:val="Paragarfobordato"/>
              <w:ind w:left="205" w:hanging="205"/>
            </w:pPr>
            <w:r w:rsidRPr="002B6200">
              <w:t xml:space="preserve">c) </w:t>
            </w:r>
            <w:r w:rsidR="000E2839">
              <w:tab/>
            </w:r>
            <w:r w:rsidRPr="002B6200">
              <w:t xml:space="preserve">IFRIC 13 </w:t>
            </w:r>
            <w:r w:rsidRPr="002B6200">
              <w:rPr>
                <w:i/>
              </w:rPr>
              <w:t>Programmi di fidelizzazione della clientela</w:t>
            </w:r>
            <w:r w:rsidRPr="002B6200">
              <w:t xml:space="preserve">; </w:t>
            </w:r>
          </w:p>
          <w:p w:rsidR="00A75E60" w:rsidRDefault="00A75E60" w:rsidP="000E2839">
            <w:pPr>
              <w:pStyle w:val="Paragarfobordato"/>
              <w:ind w:left="205" w:hanging="205"/>
            </w:pPr>
            <w:r w:rsidRPr="002B6200">
              <w:t>d)</w:t>
            </w:r>
            <w:r w:rsidR="000E2839">
              <w:tab/>
            </w:r>
            <w:r w:rsidRPr="002B6200">
              <w:t xml:space="preserve"> IFRIC 15 </w:t>
            </w:r>
            <w:r w:rsidRPr="002B6200">
              <w:rPr>
                <w:i/>
              </w:rPr>
              <w:t>Accordi per la costruzione di immobili</w:t>
            </w:r>
            <w:r w:rsidRPr="002B6200">
              <w:t xml:space="preserve">; </w:t>
            </w:r>
          </w:p>
          <w:p w:rsidR="00A75E60" w:rsidRDefault="00A75E60" w:rsidP="000E2839">
            <w:pPr>
              <w:pStyle w:val="Paragarfobordato"/>
              <w:ind w:left="205" w:hanging="205"/>
            </w:pPr>
            <w:r w:rsidRPr="002B6200">
              <w:t>e)</w:t>
            </w:r>
            <w:r w:rsidR="000E2839">
              <w:tab/>
            </w:r>
            <w:r w:rsidRPr="002B6200">
              <w:t xml:space="preserve"> IFRIC 18 </w:t>
            </w:r>
            <w:r w:rsidRPr="002B6200">
              <w:rPr>
                <w:i/>
              </w:rPr>
              <w:t>Cessioni di attività da parte della clientela</w:t>
            </w:r>
            <w:r w:rsidRPr="002B6200">
              <w:t xml:space="preserve"> e</w:t>
            </w:r>
          </w:p>
          <w:p w:rsidR="00A75E60" w:rsidRPr="00437D7F" w:rsidRDefault="00A75E60" w:rsidP="000E2839">
            <w:pPr>
              <w:pStyle w:val="Paragarfobordato"/>
              <w:ind w:left="205" w:hanging="205"/>
            </w:pPr>
            <w:r w:rsidRPr="002B6200">
              <w:t xml:space="preserve"> f)</w:t>
            </w:r>
            <w:r w:rsidR="000E2839">
              <w:tab/>
            </w:r>
            <w:r w:rsidRPr="002B6200">
              <w:t xml:space="preserve"> SIC-31 </w:t>
            </w:r>
            <w:r w:rsidRPr="002B6200">
              <w:rPr>
                <w:i/>
              </w:rPr>
              <w:t>Ricavi — Operazioni di baratto comprendenti servizi pubblicitari</w:t>
            </w:r>
            <w:r w:rsidRPr="002B6200">
              <w:t>.</w:t>
            </w:r>
          </w:p>
        </w:tc>
        <w:tc>
          <w:tcPr>
            <w:tcW w:w="575" w:type="dxa"/>
            <w:tcMar>
              <w:left w:w="85" w:type="dxa"/>
              <w:right w:w="85" w:type="dxa"/>
            </w:tcMar>
            <w:vAlign w:val="center"/>
          </w:tcPr>
          <w:p w:rsidR="00A75E60" w:rsidRPr="006C2B1A" w:rsidRDefault="00A75E60" w:rsidP="00A75E60">
            <w:pPr>
              <w:jc w:val="center"/>
              <w:rPr>
                <w:lang w:val="it-IT"/>
              </w:rPr>
            </w:pPr>
          </w:p>
        </w:tc>
        <w:tc>
          <w:tcPr>
            <w:tcW w:w="567" w:type="dxa"/>
            <w:tcMar>
              <w:left w:w="108" w:type="dxa"/>
            </w:tcMar>
            <w:vAlign w:val="center"/>
          </w:tcPr>
          <w:p w:rsidR="00A75E60" w:rsidRPr="006C2B1A" w:rsidRDefault="00A75E60" w:rsidP="00A75E60">
            <w:pPr>
              <w:jc w:val="center"/>
              <w:rPr>
                <w:lang w:val="it-IT"/>
              </w:rPr>
            </w:pPr>
          </w:p>
        </w:tc>
        <w:tc>
          <w:tcPr>
            <w:tcW w:w="567" w:type="dxa"/>
            <w:tcMar>
              <w:left w:w="108" w:type="dxa"/>
            </w:tcMar>
            <w:vAlign w:val="center"/>
          </w:tcPr>
          <w:p w:rsidR="00A75E60" w:rsidRPr="006C2B1A" w:rsidRDefault="00A75E60" w:rsidP="00A75E60">
            <w:pPr>
              <w:jc w:val="center"/>
              <w:rPr>
                <w:lang w:val="it-IT"/>
              </w:rPr>
            </w:pPr>
          </w:p>
        </w:tc>
      </w:tr>
      <w:tr w:rsidR="00A75E60" w:rsidRPr="00A44ECD" w:rsidTr="00F235B5">
        <w:trPr>
          <w:cantSplit/>
        </w:trPr>
        <w:tc>
          <w:tcPr>
            <w:tcW w:w="567" w:type="dxa"/>
            <w:tcMar>
              <w:left w:w="108" w:type="dxa"/>
              <w:right w:w="0" w:type="dxa"/>
            </w:tcMar>
          </w:tcPr>
          <w:p w:rsidR="00A75E60" w:rsidRDefault="00A75E60" w:rsidP="00A75E60">
            <w:pPr>
              <w:pStyle w:val="IAS"/>
              <w:spacing w:before="60" w:after="60"/>
              <w:rPr>
                <w:lang w:val="it-IT"/>
              </w:rPr>
            </w:pPr>
          </w:p>
        </w:tc>
        <w:tc>
          <w:tcPr>
            <w:tcW w:w="851" w:type="dxa"/>
            <w:tcMar>
              <w:left w:w="108" w:type="dxa"/>
              <w:right w:w="0" w:type="dxa"/>
            </w:tcMar>
          </w:tcPr>
          <w:p w:rsidR="00A75E60" w:rsidRDefault="00A75E60" w:rsidP="002B6200">
            <w:pPr>
              <w:pStyle w:val="IAS"/>
              <w:jc w:val="both"/>
              <w:rPr>
                <w:lang w:val="it-IT"/>
              </w:rPr>
            </w:pPr>
          </w:p>
          <w:p w:rsidR="00A75E60" w:rsidRPr="00237EFA" w:rsidRDefault="00A75E60" w:rsidP="00A75E60">
            <w:pPr>
              <w:pStyle w:val="IAS"/>
              <w:rPr>
                <w:lang w:val="it-IT"/>
              </w:rPr>
            </w:pPr>
          </w:p>
        </w:tc>
        <w:tc>
          <w:tcPr>
            <w:tcW w:w="7079" w:type="dxa"/>
            <w:tcMar>
              <w:left w:w="108" w:type="dxa"/>
            </w:tcMar>
          </w:tcPr>
          <w:p w:rsidR="00A75E60" w:rsidRPr="002B6200" w:rsidRDefault="00A75E60" w:rsidP="000E2839">
            <w:pPr>
              <w:pStyle w:val="Paragarfobordato"/>
            </w:pPr>
            <w:r w:rsidRPr="002B6200">
              <w:t>L'adozione dell'IFRS 15 comporta modifiche agli IFRS 1, 3 e 4, agli IAS 1, 2, 12, 16, 32, 34, 36, 37, 38, 39 e 40, all'</w:t>
            </w:r>
            <w:r w:rsidR="00944E23">
              <w:t xml:space="preserve">IFRIC </w:t>
            </w:r>
            <w:r w:rsidRPr="002B6200">
              <w:t xml:space="preserve">12 e </w:t>
            </w:r>
            <w:r w:rsidR="00944E23">
              <w:t xml:space="preserve">ai SIC </w:t>
            </w:r>
            <w:r w:rsidRPr="002B6200">
              <w:t>27 e 32, al fine di garantire la coerenza fra i Principi contabili internazionali.</w:t>
            </w:r>
          </w:p>
        </w:tc>
        <w:tc>
          <w:tcPr>
            <w:tcW w:w="575" w:type="dxa"/>
            <w:tcMar>
              <w:left w:w="85" w:type="dxa"/>
              <w:right w:w="85" w:type="dxa"/>
            </w:tcMar>
            <w:vAlign w:val="center"/>
          </w:tcPr>
          <w:p w:rsidR="00A75E60" w:rsidRPr="006C2B1A" w:rsidRDefault="00A75E60" w:rsidP="00A75E60">
            <w:pPr>
              <w:jc w:val="center"/>
              <w:rPr>
                <w:lang w:val="it-IT"/>
              </w:rPr>
            </w:pPr>
          </w:p>
        </w:tc>
        <w:tc>
          <w:tcPr>
            <w:tcW w:w="567" w:type="dxa"/>
            <w:tcMar>
              <w:left w:w="108" w:type="dxa"/>
            </w:tcMar>
            <w:vAlign w:val="center"/>
          </w:tcPr>
          <w:p w:rsidR="00A75E60" w:rsidRPr="006C2B1A" w:rsidRDefault="00A75E60" w:rsidP="00A75E60">
            <w:pPr>
              <w:jc w:val="center"/>
              <w:rPr>
                <w:lang w:val="it-IT"/>
              </w:rPr>
            </w:pPr>
          </w:p>
        </w:tc>
        <w:tc>
          <w:tcPr>
            <w:tcW w:w="567" w:type="dxa"/>
            <w:tcMar>
              <w:left w:w="108" w:type="dxa"/>
            </w:tcMar>
            <w:vAlign w:val="center"/>
          </w:tcPr>
          <w:p w:rsidR="00A75E60" w:rsidRPr="006C2B1A" w:rsidRDefault="00A75E60" w:rsidP="00A75E60">
            <w:pPr>
              <w:jc w:val="center"/>
              <w:rPr>
                <w:lang w:val="it-IT"/>
              </w:rPr>
            </w:pPr>
          </w:p>
        </w:tc>
      </w:tr>
      <w:tr w:rsidR="009332B9" w:rsidRPr="00A44ECD" w:rsidTr="009332B9">
        <w:trPr>
          <w:cantSplit/>
        </w:trPr>
        <w:tc>
          <w:tcPr>
            <w:tcW w:w="567" w:type="dxa"/>
            <w:tcMar>
              <w:left w:w="108" w:type="dxa"/>
              <w:right w:w="0" w:type="dxa"/>
            </w:tcMar>
          </w:tcPr>
          <w:p w:rsidR="009332B9" w:rsidRDefault="009332B9" w:rsidP="009332B9">
            <w:pPr>
              <w:pStyle w:val="Numeroelenco"/>
              <w:numPr>
                <w:ilvl w:val="0"/>
                <w:numId w:val="0"/>
              </w:numPr>
              <w:ind w:left="57"/>
              <w:rPr>
                <w:lang w:val="it-IT"/>
              </w:rPr>
            </w:pPr>
          </w:p>
        </w:tc>
        <w:tc>
          <w:tcPr>
            <w:tcW w:w="851" w:type="dxa"/>
            <w:tcMar>
              <w:left w:w="108" w:type="dxa"/>
              <w:right w:w="0" w:type="dxa"/>
            </w:tcMar>
          </w:tcPr>
          <w:p w:rsidR="009332B9" w:rsidRDefault="009332B9" w:rsidP="009332B9">
            <w:pPr>
              <w:pStyle w:val="IAS"/>
              <w:rPr>
                <w:lang w:val="it-IT"/>
              </w:rPr>
            </w:pPr>
            <w:r>
              <w:rPr>
                <w:lang w:val="it-IT"/>
              </w:rPr>
              <w:t>IFRS 15.C9</w:t>
            </w:r>
          </w:p>
          <w:p w:rsidR="009332B9" w:rsidRDefault="009332B9" w:rsidP="009332B9">
            <w:pPr>
              <w:pStyle w:val="IAS"/>
              <w:rPr>
                <w:lang w:val="it-IT"/>
              </w:rPr>
            </w:pPr>
          </w:p>
        </w:tc>
        <w:tc>
          <w:tcPr>
            <w:tcW w:w="7079" w:type="dxa"/>
            <w:tcMar>
              <w:left w:w="108" w:type="dxa"/>
            </w:tcMar>
          </w:tcPr>
          <w:p w:rsidR="009332B9" w:rsidRPr="00905C59" w:rsidRDefault="009332B9" w:rsidP="000E2839">
            <w:pPr>
              <w:pStyle w:val="Paragarfobordato"/>
            </w:pPr>
            <w:r w:rsidRPr="00606DF7">
              <w:t xml:space="preserve">Qualora l'entità applichi l’IFRS 15 ma non applichi ancora l'IFRS 9 </w:t>
            </w:r>
            <w:r w:rsidRPr="00606DF7">
              <w:rPr>
                <w:i/>
              </w:rPr>
              <w:t>Strumenti finanziari</w:t>
            </w:r>
            <w:r w:rsidRPr="00606DF7">
              <w:t xml:space="preserve">, qualsiasi riferimento all'IFRS 9 </w:t>
            </w:r>
            <w:r>
              <w:t xml:space="preserve">nei punti successivi </w:t>
            </w:r>
            <w:r w:rsidRPr="00606DF7">
              <w:t xml:space="preserve">deve essere letto come riferito allo IAS 39 </w:t>
            </w:r>
            <w:r w:rsidRPr="00606DF7">
              <w:rPr>
                <w:i/>
              </w:rPr>
              <w:t>Strumenti finanziari</w:t>
            </w:r>
            <w:r w:rsidRPr="00606DF7">
              <w:t xml:space="preserve">: </w:t>
            </w:r>
            <w:r w:rsidRPr="00606DF7">
              <w:rPr>
                <w:i/>
              </w:rPr>
              <w:t>rilevazione e valutazione.</w:t>
            </w:r>
          </w:p>
        </w:tc>
        <w:tc>
          <w:tcPr>
            <w:tcW w:w="575" w:type="dxa"/>
            <w:tcMar>
              <w:left w:w="85" w:type="dxa"/>
              <w:right w:w="85" w:type="dxa"/>
            </w:tcMar>
            <w:vAlign w:val="center"/>
          </w:tcPr>
          <w:p w:rsidR="009332B9" w:rsidRPr="006A18CC" w:rsidRDefault="009332B9" w:rsidP="009332B9">
            <w:pPr>
              <w:jc w:val="center"/>
              <w:rPr>
                <w:lang w:val="it-IT"/>
              </w:rPr>
            </w:pPr>
          </w:p>
        </w:tc>
        <w:tc>
          <w:tcPr>
            <w:tcW w:w="567" w:type="dxa"/>
            <w:tcMar>
              <w:left w:w="108" w:type="dxa"/>
            </w:tcMar>
            <w:vAlign w:val="center"/>
          </w:tcPr>
          <w:p w:rsidR="009332B9" w:rsidRPr="006A18CC" w:rsidRDefault="009332B9" w:rsidP="009332B9">
            <w:pPr>
              <w:jc w:val="center"/>
              <w:rPr>
                <w:lang w:val="it-IT"/>
              </w:rPr>
            </w:pPr>
          </w:p>
        </w:tc>
        <w:tc>
          <w:tcPr>
            <w:tcW w:w="567" w:type="dxa"/>
            <w:tcMar>
              <w:left w:w="108" w:type="dxa"/>
            </w:tcMar>
            <w:vAlign w:val="center"/>
          </w:tcPr>
          <w:p w:rsidR="009332B9" w:rsidRPr="006A18CC" w:rsidRDefault="009332B9" w:rsidP="009332B9">
            <w:pPr>
              <w:jc w:val="center"/>
              <w:rPr>
                <w:lang w:val="it-IT"/>
              </w:rPr>
            </w:pPr>
          </w:p>
        </w:tc>
      </w:tr>
      <w:tr w:rsidR="00A75E60" w:rsidRPr="006C2B1A" w:rsidTr="00F235B5">
        <w:trPr>
          <w:cantSplit/>
        </w:trPr>
        <w:tc>
          <w:tcPr>
            <w:tcW w:w="567" w:type="dxa"/>
            <w:tcMar>
              <w:left w:w="108" w:type="dxa"/>
              <w:right w:w="0" w:type="dxa"/>
            </w:tcMar>
          </w:tcPr>
          <w:p w:rsidR="00A75E60" w:rsidRDefault="00A75E60" w:rsidP="002B6200">
            <w:pPr>
              <w:pStyle w:val="Numeroelenco"/>
              <w:ind w:left="0" w:firstLine="57"/>
              <w:rPr>
                <w:lang w:val="it-IT"/>
              </w:rPr>
            </w:pPr>
          </w:p>
        </w:tc>
        <w:tc>
          <w:tcPr>
            <w:tcW w:w="851" w:type="dxa"/>
            <w:tcMar>
              <w:left w:w="108" w:type="dxa"/>
              <w:right w:w="0" w:type="dxa"/>
            </w:tcMar>
          </w:tcPr>
          <w:p w:rsidR="00A75E60" w:rsidRDefault="00A75E60" w:rsidP="00150B74">
            <w:pPr>
              <w:pStyle w:val="IAS"/>
              <w:rPr>
                <w:lang w:val="it-IT"/>
              </w:rPr>
            </w:pPr>
            <w:r>
              <w:rPr>
                <w:lang w:val="it-IT"/>
              </w:rPr>
              <w:t>IFRS 15.C1</w:t>
            </w:r>
          </w:p>
        </w:tc>
        <w:tc>
          <w:tcPr>
            <w:tcW w:w="7079" w:type="dxa"/>
            <w:tcMar>
              <w:left w:w="108" w:type="dxa"/>
            </w:tcMar>
          </w:tcPr>
          <w:p w:rsidR="00A75E60" w:rsidRPr="00C60958" w:rsidRDefault="00A75E60" w:rsidP="00080517">
            <w:pPr>
              <w:rPr>
                <w:lang w:val="it-IT"/>
              </w:rPr>
            </w:pPr>
            <w:r w:rsidRPr="00F6252F">
              <w:rPr>
                <w:lang w:val="it-IT"/>
              </w:rPr>
              <w:t>Se l’en</w:t>
            </w:r>
            <w:r w:rsidRPr="00C60958">
              <w:rPr>
                <w:lang w:val="it-IT"/>
              </w:rPr>
              <w:t>tità applica anticipatamente l’IFRS 15, tale fatto deve essere indicato.</w:t>
            </w:r>
          </w:p>
        </w:tc>
        <w:tc>
          <w:tcPr>
            <w:tcW w:w="575" w:type="dxa"/>
            <w:tcMar>
              <w:left w:w="85" w:type="dxa"/>
              <w:right w:w="85" w:type="dxa"/>
            </w:tcMar>
            <w:vAlign w:val="center"/>
          </w:tcPr>
          <w:p w:rsidR="00A75E60" w:rsidRPr="006C2B1A"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6C2B1A"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75E60" w:rsidRPr="006C2B1A" w:rsidRDefault="00A75E60" w:rsidP="00A75E60">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D55A70" w:rsidRPr="006C2B1A" w:rsidTr="00F235B5">
        <w:trPr>
          <w:cantSplit/>
        </w:trPr>
        <w:tc>
          <w:tcPr>
            <w:tcW w:w="567" w:type="dxa"/>
            <w:tcMar>
              <w:left w:w="108" w:type="dxa"/>
              <w:right w:w="0" w:type="dxa"/>
            </w:tcMar>
          </w:tcPr>
          <w:p w:rsidR="00D55A70" w:rsidRDefault="00D55A70" w:rsidP="00D55A70">
            <w:pPr>
              <w:pStyle w:val="IAS"/>
              <w:spacing w:before="60" w:after="60"/>
              <w:rPr>
                <w:lang w:val="it-IT"/>
              </w:rPr>
            </w:pPr>
          </w:p>
        </w:tc>
        <w:tc>
          <w:tcPr>
            <w:tcW w:w="851" w:type="dxa"/>
            <w:tcMar>
              <w:left w:w="108" w:type="dxa"/>
              <w:right w:w="0" w:type="dxa"/>
            </w:tcMar>
          </w:tcPr>
          <w:p w:rsidR="00D55A70" w:rsidRDefault="00D55A70" w:rsidP="00D55A70">
            <w:pPr>
              <w:pStyle w:val="IAS"/>
              <w:rPr>
                <w:lang w:val="it-IT"/>
              </w:rPr>
            </w:pPr>
          </w:p>
        </w:tc>
        <w:tc>
          <w:tcPr>
            <w:tcW w:w="7079" w:type="dxa"/>
            <w:tcMar>
              <w:left w:w="108" w:type="dxa"/>
            </w:tcMar>
          </w:tcPr>
          <w:p w:rsidR="00D55A70" w:rsidRPr="002B6200" w:rsidRDefault="00D55A70" w:rsidP="00D55A70">
            <w:pPr>
              <w:rPr>
                <w:b/>
              </w:rPr>
            </w:pPr>
            <w:r>
              <w:rPr>
                <w:b/>
              </w:rPr>
              <w:t>ESPOSIZIONE IN BILANCIO</w:t>
            </w:r>
          </w:p>
        </w:tc>
        <w:tc>
          <w:tcPr>
            <w:tcW w:w="575" w:type="dxa"/>
            <w:tcMar>
              <w:left w:w="85" w:type="dxa"/>
              <w:right w:w="85" w:type="dxa"/>
            </w:tcMar>
            <w:vAlign w:val="center"/>
          </w:tcPr>
          <w:p w:rsidR="00D55A70" w:rsidRPr="006C2B1A" w:rsidRDefault="00D55A70" w:rsidP="00D55A70">
            <w:pPr>
              <w:jc w:val="center"/>
              <w:rPr>
                <w:lang w:val="it-IT"/>
              </w:rPr>
            </w:pPr>
          </w:p>
        </w:tc>
        <w:tc>
          <w:tcPr>
            <w:tcW w:w="567" w:type="dxa"/>
            <w:tcMar>
              <w:left w:w="108" w:type="dxa"/>
            </w:tcMar>
            <w:vAlign w:val="center"/>
          </w:tcPr>
          <w:p w:rsidR="00D55A70" w:rsidRPr="006C2B1A" w:rsidRDefault="00D55A70" w:rsidP="00D55A70">
            <w:pPr>
              <w:jc w:val="center"/>
              <w:rPr>
                <w:lang w:val="it-IT"/>
              </w:rPr>
            </w:pPr>
          </w:p>
        </w:tc>
        <w:tc>
          <w:tcPr>
            <w:tcW w:w="567" w:type="dxa"/>
            <w:tcMar>
              <w:left w:w="108" w:type="dxa"/>
            </w:tcMar>
            <w:vAlign w:val="center"/>
          </w:tcPr>
          <w:p w:rsidR="00D55A70" w:rsidRPr="006C2B1A" w:rsidRDefault="00D55A70" w:rsidP="00D55A70">
            <w:pPr>
              <w:jc w:val="center"/>
              <w:rPr>
                <w:lang w:val="it-IT"/>
              </w:rPr>
            </w:pPr>
          </w:p>
        </w:tc>
      </w:tr>
      <w:tr w:rsidR="00032290" w:rsidRPr="00032290" w:rsidTr="00A44ECD">
        <w:trPr>
          <w:cantSplit/>
        </w:trPr>
        <w:tc>
          <w:tcPr>
            <w:tcW w:w="567" w:type="dxa"/>
            <w:tcMar>
              <w:left w:w="108" w:type="dxa"/>
              <w:right w:w="0" w:type="dxa"/>
            </w:tcMar>
          </w:tcPr>
          <w:p w:rsidR="00032290" w:rsidRDefault="00032290" w:rsidP="00A44ECD">
            <w:pPr>
              <w:pStyle w:val="Numeroelenco"/>
              <w:ind w:left="0" w:firstLine="57"/>
              <w:rPr>
                <w:lang w:val="it-IT"/>
              </w:rPr>
            </w:pPr>
          </w:p>
        </w:tc>
        <w:tc>
          <w:tcPr>
            <w:tcW w:w="851" w:type="dxa"/>
            <w:tcMar>
              <w:left w:w="108" w:type="dxa"/>
              <w:right w:w="0" w:type="dxa"/>
            </w:tcMar>
          </w:tcPr>
          <w:p w:rsidR="00032290" w:rsidRDefault="00032290" w:rsidP="00032290">
            <w:pPr>
              <w:pStyle w:val="IAS"/>
              <w:rPr>
                <w:lang w:val="it-IT"/>
              </w:rPr>
            </w:pPr>
            <w:r>
              <w:rPr>
                <w:lang w:val="it-IT"/>
              </w:rPr>
              <w:t>IFRS 15. 105</w:t>
            </w:r>
          </w:p>
        </w:tc>
        <w:tc>
          <w:tcPr>
            <w:tcW w:w="7079" w:type="dxa"/>
            <w:tcMar>
              <w:left w:w="108" w:type="dxa"/>
            </w:tcMar>
          </w:tcPr>
          <w:p w:rsidR="00032290" w:rsidRPr="00A44ECD" w:rsidRDefault="00032290" w:rsidP="00150B74">
            <w:pPr>
              <w:spacing w:line="210" w:lineRule="exact"/>
              <w:rPr>
                <w:lang w:val="it-IT"/>
              </w:rPr>
            </w:pPr>
            <w:r w:rsidRPr="00A44ECD">
              <w:rPr>
                <w:sz w:val="19"/>
                <w:szCs w:val="19"/>
                <w:lang w:val="it-IT"/>
              </w:rPr>
              <w:t>Se l'una o l'altra parte del contratto ha adempiuto le sue obbligazioni, l'entità ha presentato il contratto nel prospetto della situazione patrimoniale-finanziaria come attività derivante da contratto o passività derivante da contratto, in funzione del rapporto tra la prestazione dell'entità e il pagamento del cliente</w:t>
            </w:r>
            <w:r w:rsidR="00A44ECD" w:rsidRPr="00A44ECD">
              <w:rPr>
                <w:sz w:val="19"/>
                <w:szCs w:val="19"/>
                <w:lang w:val="it-IT"/>
              </w:rPr>
              <w:t>?</w:t>
            </w:r>
            <w:r w:rsidRPr="00A44ECD">
              <w:rPr>
                <w:sz w:val="19"/>
                <w:szCs w:val="19"/>
                <w:lang w:val="it-IT"/>
              </w:rPr>
              <w:t xml:space="preserve"> </w:t>
            </w:r>
          </w:p>
        </w:tc>
        <w:tc>
          <w:tcPr>
            <w:tcW w:w="575" w:type="dxa"/>
            <w:tcMar>
              <w:left w:w="85" w:type="dxa"/>
              <w:right w:w="85" w:type="dxa"/>
            </w:tcMar>
            <w:vAlign w:val="center"/>
          </w:tcPr>
          <w:p w:rsidR="00032290" w:rsidRPr="006C2B1A" w:rsidRDefault="00032290" w:rsidP="00A44ECD">
            <w:pPr>
              <w:pStyle w:val="Numeroelenco"/>
              <w:numPr>
                <w:ilvl w:val="0"/>
                <w:numId w:val="0"/>
              </w:numPr>
              <w:ind w:left="57"/>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032290" w:rsidRPr="006C2B1A" w:rsidRDefault="00032290" w:rsidP="00A44ECD">
            <w:pPr>
              <w:pStyle w:val="Numeroelenco"/>
              <w:numPr>
                <w:ilvl w:val="0"/>
                <w:numId w:val="0"/>
              </w:numPr>
              <w:ind w:left="142"/>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032290" w:rsidRPr="006C2B1A" w:rsidRDefault="00032290" w:rsidP="00A44ECD">
            <w:pPr>
              <w:pStyle w:val="Numeroelenco"/>
              <w:numPr>
                <w:ilvl w:val="0"/>
                <w:numId w:val="0"/>
              </w:numPr>
              <w:ind w:left="142"/>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44ECD" w:rsidRPr="00A44ECD" w:rsidTr="00032290">
        <w:trPr>
          <w:cantSplit/>
        </w:trPr>
        <w:tc>
          <w:tcPr>
            <w:tcW w:w="567" w:type="dxa"/>
            <w:tcMar>
              <w:left w:w="108" w:type="dxa"/>
              <w:right w:w="0" w:type="dxa"/>
            </w:tcMar>
          </w:tcPr>
          <w:p w:rsidR="00A44ECD" w:rsidRDefault="00A44ECD" w:rsidP="00A44ECD">
            <w:pPr>
              <w:pStyle w:val="Numeroelenco"/>
              <w:numPr>
                <w:ilvl w:val="0"/>
                <w:numId w:val="0"/>
              </w:numPr>
              <w:ind w:left="57"/>
              <w:rPr>
                <w:lang w:val="it-IT"/>
              </w:rPr>
            </w:pPr>
          </w:p>
        </w:tc>
        <w:tc>
          <w:tcPr>
            <w:tcW w:w="851" w:type="dxa"/>
            <w:tcMar>
              <w:left w:w="108" w:type="dxa"/>
              <w:right w:w="0" w:type="dxa"/>
            </w:tcMar>
          </w:tcPr>
          <w:p w:rsidR="00A44ECD" w:rsidRDefault="00A44ECD" w:rsidP="00A44ECD">
            <w:pPr>
              <w:pStyle w:val="IAS"/>
              <w:rPr>
                <w:lang w:val="it-IT"/>
              </w:rPr>
            </w:pPr>
          </w:p>
        </w:tc>
        <w:tc>
          <w:tcPr>
            <w:tcW w:w="7079" w:type="dxa"/>
            <w:tcMar>
              <w:left w:w="108" w:type="dxa"/>
            </w:tcMar>
          </w:tcPr>
          <w:p w:rsidR="00A44ECD" w:rsidRPr="00A44ECD" w:rsidRDefault="00A44ECD" w:rsidP="00A44ECD">
            <w:pPr>
              <w:spacing w:line="226" w:lineRule="exact"/>
              <w:rPr>
                <w:sz w:val="19"/>
                <w:szCs w:val="19"/>
                <w:lang w:val="it-IT"/>
              </w:rPr>
            </w:pPr>
            <w:r w:rsidRPr="00A44ECD">
              <w:rPr>
                <w:sz w:val="19"/>
                <w:szCs w:val="19"/>
                <w:lang w:val="it-IT"/>
              </w:rPr>
              <w:t>L'entità ha presentato separatamente come credito i diritti incondizionati al corrispettivo?</w:t>
            </w:r>
          </w:p>
        </w:tc>
        <w:tc>
          <w:tcPr>
            <w:tcW w:w="575" w:type="dxa"/>
            <w:tcMar>
              <w:left w:w="85" w:type="dxa"/>
              <w:right w:w="85" w:type="dxa"/>
            </w:tcMar>
            <w:vAlign w:val="center"/>
          </w:tcPr>
          <w:p w:rsidR="00A44ECD" w:rsidRPr="00A44ECD" w:rsidRDefault="00A44ECD" w:rsidP="00A44ECD">
            <w:pPr>
              <w:pStyle w:val="Numeroelenco"/>
              <w:numPr>
                <w:ilvl w:val="0"/>
                <w:numId w:val="0"/>
              </w:numPr>
              <w:ind w:left="57"/>
              <w:rPr>
                <w:b/>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A44ECD" w:rsidRDefault="00A44ECD" w:rsidP="00A44ECD">
            <w:pPr>
              <w:pStyle w:val="Numeroelenco"/>
              <w:numPr>
                <w:ilvl w:val="0"/>
                <w:numId w:val="0"/>
              </w:numPr>
              <w:ind w:left="142"/>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A44ECD" w:rsidRDefault="00A44ECD" w:rsidP="00A44ECD">
            <w:pPr>
              <w:pStyle w:val="Numeroelenco"/>
              <w:numPr>
                <w:ilvl w:val="0"/>
                <w:numId w:val="0"/>
              </w:numPr>
              <w:ind w:left="142"/>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44ECD" w:rsidRPr="006C2B1A" w:rsidTr="00F235B5">
        <w:trPr>
          <w:cantSplit/>
        </w:trPr>
        <w:tc>
          <w:tcPr>
            <w:tcW w:w="567" w:type="dxa"/>
            <w:tcMar>
              <w:left w:w="108" w:type="dxa"/>
              <w:right w:w="0" w:type="dxa"/>
            </w:tcMar>
          </w:tcPr>
          <w:p w:rsidR="00A44ECD" w:rsidRDefault="00A44ECD" w:rsidP="00A44ECD">
            <w:pPr>
              <w:pStyle w:val="IAS"/>
              <w:spacing w:before="60" w:after="60"/>
              <w:rPr>
                <w:lang w:val="it-IT"/>
              </w:rPr>
            </w:pPr>
          </w:p>
        </w:tc>
        <w:tc>
          <w:tcPr>
            <w:tcW w:w="851" w:type="dxa"/>
            <w:tcMar>
              <w:left w:w="108" w:type="dxa"/>
              <w:right w:w="0" w:type="dxa"/>
            </w:tcMar>
          </w:tcPr>
          <w:p w:rsidR="00A44ECD" w:rsidRDefault="00A44ECD" w:rsidP="00A44ECD">
            <w:pPr>
              <w:pStyle w:val="IAS"/>
              <w:rPr>
                <w:lang w:val="it-IT"/>
              </w:rPr>
            </w:pPr>
          </w:p>
        </w:tc>
        <w:tc>
          <w:tcPr>
            <w:tcW w:w="7079" w:type="dxa"/>
            <w:tcMar>
              <w:left w:w="108" w:type="dxa"/>
            </w:tcMar>
          </w:tcPr>
          <w:p w:rsidR="00A44ECD" w:rsidRPr="002B6200" w:rsidRDefault="00A44ECD" w:rsidP="00A44ECD">
            <w:pPr>
              <w:rPr>
                <w:b/>
              </w:rPr>
            </w:pPr>
            <w:r w:rsidRPr="002B6200">
              <w:rPr>
                <w:b/>
              </w:rPr>
              <w:t>INFORMATIVA</w:t>
            </w:r>
          </w:p>
        </w:tc>
        <w:tc>
          <w:tcPr>
            <w:tcW w:w="575" w:type="dxa"/>
            <w:tcMar>
              <w:left w:w="85" w:type="dxa"/>
              <w:right w:w="85" w:type="dxa"/>
            </w:tcMar>
            <w:vAlign w:val="center"/>
          </w:tcPr>
          <w:p w:rsidR="00A44ECD" w:rsidRPr="006C2B1A" w:rsidRDefault="00A44ECD" w:rsidP="00A44ECD">
            <w:pPr>
              <w:jc w:val="center"/>
              <w:rPr>
                <w:lang w:val="it-IT"/>
              </w:rPr>
            </w:pPr>
          </w:p>
        </w:tc>
        <w:tc>
          <w:tcPr>
            <w:tcW w:w="567" w:type="dxa"/>
            <w:tcMar>
              <w:left w:w="108" w:type="dxa"/>
            </w:tcMar>
            <w:vAlign w:val="center"/>
          </w:tcPr>
          <w:p w:rsidR="00A44ECD" w:rsidRPr="006C2B1A" w:rsidRDefault="00A44ECD" w:rsidP="00A44ECD">
            <w:pPr>
              <w:jc w:val="center"/>
              <w:rPr>
                <w:lang w:val="it-IT"/>
              </w:rPr>
            </w:pPr>
          </w:p>
        </w:tc>
        <w:tc>
          <w:tcPr>
            <w:tcW w:w="567" w:type="dxa"/>
            <w:tcMar>
              <w:left w:w="108" w:type="dxa"/>
            </w:tcMar>
            <w:vAlign w:val="center"/>
          </w:tcPr>
          <w:p w:rsidR="00A44ECD" w:rsidRPr="006C2B1A" w:rsidRDefault="00A44ECD" w:rsidP="00A44ECD">
            <w:pPr>
              <w:jc w:val="center"/>
              <w:rPr>
                <w:lang w:val="it-IT"/>
              </w:rPr>
            </w:pPr>
          </w:p>
        </w:tc>
      </w:tr>
      <w:tr w:rsidR="00A44ECD" w:rsidRPr="00A44ECD" w:rsidTr="00F235B5">
        <w:trPr>
          <w:cantSplit/>
        </w:trPr>
        <w:tc>
          <w:tcPr>
            <w:tcW w:w="567" w:type="dxa"/>
            <w:tcMar>
              <w:left w:w="108" w:type="dxa"/>
              <w:right w:w="0" w:type="dxa"/>
            </w:tcMar>
          </w:tcPr>
          <w:p w:rsidR="00A44ECD" w:rsidRDefault="00A44ECD" w:rsidP="00A44ECD">
            <w:pPr>
              <w:pStyle w:val="Numeroelenco"/>
              <w:numPr>
                <w:ilvl w:val="0"/>
                <w:numId w:val="0"/>
              </w:numPr>
              <w:ind w:left="142"/>
              <w:rPr>
                <w:lang w:val="it-IT"/>
              </w:rPr>
            </w:pPr>
          </w:p>
        </w:tc>
        <w:tc>
          <w:tcPr>
            <w:tcW w:w="851" w:type="dxa"/>
            <w:tcMar>
              <w:left w:w="108" w:type="dxa"/>
              <w:right w:w="0" w:type="dxa"/>
            </w:tcMar>
          </w:tcPr>
          <w:p w:rsidR="00A44ECD" w:rsidRDefault="00A44ECD" w:rsidP="00A44ECD">
            <w:pPr>
              <w:pStyle w:val="IAS"/>
              <w:rPr>
                <w:lang w:val="it-IT"/>
              </w:rPr>
            </w:pPr>
            <w:r>
              <w:rPr>
                <w:lang w:val="it-IT"/>
              </w:rPr>
              <w:t>IFRS 15.110</w:t>
            </w:r>
          </w:p>
        </w:tc>
        <w:tc>
          <w:tcPr>
            <w:tcW w:w="7079" w:type="dxa"/>
            <w:tcMar>
              <w:left w:w="108" w:type="dxa"/>
            </w:tcMar>
          </w:tcPr>
          <w:p w:rsidR="00A44ECD" w:rsidRPr="00C62FD7" w:rsidRDefault="00A44ECD" w:rsidP="000E2839">
            <w:pPr>
              <w:pStyle w:val="Paragarfobordato"/>
            </w:pPr>
            <w:r w:rsidRPr="002B6200">
              <w:t>L'obiettivo delle disposizioni in materia di informativa è che l'entità fornisca informazioni sufficienti per consentire agli utilizzatori del bilancio di comprendere la natura, l'importo, la tempistica e il grado di incertezza dei ricavi e dei flussi finanziari provenienti dai contratti con i clienti. Per conseguire questo obiettivo, l'entità deve fornire informazioni quantitative e qualitative su tutti i seguenti elementi:</w:t>
            </w:r>
          </w:p>
          <w:p w:rsidR="00A44ECD" w:rsidRPr="002B6200" w:rsidRDefault="00A44ECD" w:rsidP="000E2839">
            <w:pPr>
              <w:pStyle w:val="Paragarfobordato"/>
              <w:ind w:left="205" w:hanging="205"/>
            </w:pPr>
            <w:r w:rsidRPr="002B6200">
              <w:t xml:space="preserve">a) i contratti da essa conclusi con i clienti (cfr. i paragrafi 113-122); </w:t>
            </w:r>
          </w:p>
          <w:p w:rsidR="00A44ECD" w:rsidRPr="002B6200" w:rsidRDefault="00A44ECD" w:rsidP="000E2839">
            <w:pPr>
              <w:pStyle w:val="Paragarfobordato"/>
              <w:ind w:left="205" w:hanging="205"/>
            </w:pPr>
            <w:r w:rsidRPr="002B6200">
              <w:t xml:space="preserve">b) i giudizi significativi, e gli eventuali cambiamenti di giudizio, formulati ai fini dell'applicazione dell’IFRS 15 a detti contratti (cfr. paragrafi 123-126) e </w:t>
            </w:r>
          </w:p>
          <w:p w:rsidR="00A44ECD" w:rsidRPr="00F6252F" w:rsidRDefault="00A44ECD" w:rsidP="000E2839">
            <w:pPr>
              <w:pStyle w:val="Paragarfobordato"/>
              <w:ind w:left="205" w:hanging="205"/>
            </w:pPr>
            <w:r w:rsidRPr="002B6200">
              <w:t>c) le attività rilevate a titolo dei costi sostenuti per ottenere o eseguire i contratti con i clienti conformemente al paragrafo 91 o 95 (cfr. paragrafi 127-128).</w:t>
            </w:r>
          </w:p>
        </w:tc>
        <w:tc>
          <w:tcPr>
            <w:tcW w:w="575" w:type="dxa"/>
            <w:tcMar>
              <w:left w:w="85" w:type="dxa"/>
              <w:right w:w="85" w:type="dxa"/>
            </w:tcMar>
            <w:vAlign w:val="center"/>
          </w:tcPr>
          <w:p w:rsidR="00A44ECD" w:rsidRPr="006C2B1A" w:rsidRDefault="00A44ECD" w:rsidP="00A44ECD">
            <w:pPr>
              <w:jc w:val="center"/>
              <w:rPr>
                <w:lang w:val="it-IT"/>
              </w:rPr>
            </w:pPr>
          </w:p>
        </w:tc>
        <w:tc>
          <w:tcPr>
            <w:tcW w:w="567" w:type="dxa"/>
            <w:tcMar>
              <w:left w:w="108" w:type="dxa"/>
            </w:tcMar>
            <w:vAlign w:val="center"/>
          </w:tcPr>
          <w:p w:rsidR="00A44ECD" w:rsidRPr="006C2B1A" w:rsidRDefault="00A44ECD" w:rsidP="00A44ECD">
            <w:pPr>
              <w:jc w:val="center"/>
              <w:rPr>
                <w:lang w:val="it-IT"/>
              </w:rPr>
            </w:pPr>
          </w:p>
        </w:tc>
        <w:tc>
          <w:tcPr>
            <w:tcW w:w="567" w:type="dxa"/>
            <w:tcMar>
              <w:left w:w="108" w:type="dxa"/>
            </w:tcMar>
            <w:vAlign w:val="center"/>
          </w:tcPr>
          <w:p w:rsidR="00A44ECD" w:rsidRPr="006C2B1A" w:rsidRDefault="00A44ECD" w:rsidP="00A44ECD">
            <w:pPr>
              <w:jc w:val="center"/>
              <w:rPr>
                <w:lang w:val="it-IT"/>
              </w:rPr>
            </w:pPr>
          </w:p>
        </w:tc>
      </w:tr>
      <w:tr w:rsidR="00A44ECD" w:rsidRPr="00A44ECD" w:rsidTr="00F235B5">
        <w:trPr>
          <w:cantSplit/>
        </w:trPr>
        <w:tc>
          <w:tcPr>
            <w:tcW w:w="567" w:type="dxa"/>
            <w:tcMar>
              <w:left w:w="108" w:type="dxa"/>
              <w:right w:w="0" w:type="dxa"/>
            </w:tcMar>
          </w:tcPr>
          <w:p w:rsidR="00A44ECD" w:rsidRDefault="00A44ECD" w:rsidP="00A44ECD">
            <w:pPr>
              <w:pStyle w:val="Numeroelenco"/>
              <w:numPr>
                <w:ilvl w:val="0"/>
                <w:numId w:val="0"/>
              </w:numPr>
              <w:ind w:left="142"/>
              <w:rPr>
                <w:lang w:val="it-IT"/>
              </w:rPr>
            </w:pPr>
          </w:p>
        </w:tc>
        <w:tc>
          <w:tcPr>
            <w:tcW w:w="851" w:type="dxa"/>
            <w:tcMar>
              <w:left w:w="108" w:type="dxa"/>
              <w:right w:w="0" w:type="dxa"/>
            </w:tcMar>
          </w:tcPr>
          <w:p w:rsidR="00A44ECD" w:rsidRDefault="00A44ECD" w:rsidP="00A44ECD">
            <w:pPr>
              <w:pStyle w:val="IAS"/>
              <w:rPr>
                <w:lang w:val="it-IT"/>
              </w:rPr>
            </w:pPr>
            <w:r>
              <w:rPr>
                <w:lang w:val="it-IT"/>
              </w:rPr>
              <w:t>IFRS 15.111</w:t>
            </w:r>
          </w:p>
        </w:tc>
        <w:tc>
          <w:tcPr>
            <w:tcW w:w="7079" w:type="dxa"/>
            <w:tcMar>
              <w:left w:w="108" w:type="dxa"/>
            </w:tcMar>
          </w:tcPr>
          <w:p w:rsidR="00A44ECD" w:rsidRPr="002B6200" w:rsidRDefault="00A44ECD" w:rsidP="00150B74">
            <w:pPr>
              <w:pStyle w:val="Paragarfobordato"/>
              <w:rPr>
                <w:b/>
                <w:bCs/>
              </w:rPr>
            </w:pPr>
            <w:r w:rsidRPr="002B6200">
              <w:t>L'entità deve considerare il livello di dettaglio necessario per soddisfare l'obiettivo informativo e l'enfasi da porre su ciascuno degli obblighi informativi. Deve aggregare o disaggregare le informazioni, evitando di includere un numero elevato di dettagli irrilevanti o di aggregare elementi con caratteristiche sostanzialmente diverse.</w:t>
            </w:r>
          </w:p>
        </w:tc>
        <w:tc>
          <w:tcPr>
            <w:tcW w:w="575" w:type="dxa"/>
            <w:tcMar>
              <w:left w:w="85" w:type="dxa"/>
              <w:right w:w="85" w:type="dxa"/>
            </w:tcMar>
            <w:vAlign w:val="center"/>
          </w:tcPr>
          <w:p w:rsidR="00A44ECD" w:rsidRPr="006C2B1A" w:rsidRDefault="00A44ECD" w:rsidP="00A44ECD">
            <w:pPr>
              <w:jc w:val="center"/>
              <w:rPr>
                <w:lang w:val="it-IT"/>
              </w:rPr>
            </w:pPr>
          </w:p>
        </w:tc>
        <w:tc>
          <w:tcPr>
            <w:tcW w:w="567" w:type="dxa"/>
            <w:tcMar>
              <w:left w:w="108" w:type="dxa"/>
            </w:tcMar>
            <w:vAlign w:val="center"/>
          </w:tcPr>
          <w:p w:rsidR="00A44ECD" w:rsidRPr="006C2B1A" w:rsidRDefault="00A44ECD" w:rsidP="00A44ECD">
            <w:pPr>
              <w:jc w:val="center"/>
              <w:rPr>
                <w:lang w:val="it-IT"/>
              </w:rPr>
            </w:pPr>
          </w:p>
        </w:tc>
        <w:tc>
          <w:tcPr>
            <w:tcW w:w="567" w:type="dxa"/>
            <w:tcMar>
              <w:left w:w="108" w:type="dxa"/>
            </w:tcMar>
            <w:vAlign w:val="center"/>
          </w:tcPr>
          <w:p w:rsidR="00A44ECD" w:rsidRPr="006C2B1A" w:rsidRDefault="00A44ECD" w:rsidP="00A44ECD">
            <w:pPr>
              <w:jc w:val="center"/>
              <w:rPr>
                <w:lang w:val="it-IT"/>
              </w:rPr>
            </w:pPr>
          </w:p>
        </w:tc>
      </w:tr>
      <w:tr w:rsidR="00A44ECD" w:rsidRPr="00A44ECD" w:rsidTr="00F235B5">
        <w:trPr>
          <w:cantSplit/>
        </w:trPr>
        <w:tc>
          <w:tcPr>
            <w:tcW w:w="567" w:type="dxa"/>
            <w:tcMar>
              <w:left w:w="108" w:type="dxa"/>
              <w:right w:w="0" w:type="dxa"/>
            </w:tcMar>
          </w:tcPr>
          <w:p w:rsidR="00A44ECD" w:rsidRDefault="00A44ECD" w:rsidP="00A44ECD">
            <w:pPr>
              <w:pStyle w:val="Numeroelenco"/>
              <w:numPr>
                <w:ilvl w:val="0"/>
                <w:numId w:val="0"/>
              </w:numPr>
              <w:rPr>
                <w:lang w:val="it-IT"/>
              </w:rPr>
            </w:pPr>
          </w:p>
        </w:tc>
        <w:tc>
          <w:tcPr>
            <w:tcW w:w="851" w:type="dxa"/>
            <w:tcMar>
              <w:left w:w="108" w:type="dxa"/>
              <w:right w:w="0" w:type="dxa"/>
            </w:tcMar>
          </w:tcPr>
          <w:p w:rsidR="00A44ECD" w:rsidRDefault="00A44ECD" w:rsidP="00A44ECD">
            <w:pPr>
              <w:pStyle w:val="IAS"/>
              <w:rPr>
                <w:lang w:val="it-IT"/>
              </w:rPr>
            </w:pPr>
            <w:r>
              <w:rPr>
                <w:lang w:val="it-IT"/>
              </w:rPr>
              <w:t>IFRS 15.112</w:t>
            </w:r>
          </w:p>
        </w:tc>
        <w:tc>
          <w:tcPr>
            <w:tcW w:w="7079" w:type="dxa"/>
            <w:tcMar>
              <w:left w:w="108" w:type="dxa"/>
            </w:tcMar>
          </w:tcPr>
          <w:p w:rsidR="00A44ECD" w:rsidRPr="002B6200" w:rsidRDefault="00A44ECD" w:rsidP="00150B74">
            <w:pPr>
              <w:pStyle w:val="Paragarfobordato"/>
            </w:pPr>
            <w:r w:rsidRPr="002B6200">
              <w:t>L'entità non è tenuta a fornire informazioni secondo l’IFRS 15 se le ha fornite in conformità ad un altro Principio.</w:t>
            </w:r>
          </w:p>
        </w:tc>
        <w:tc>
          <w:tcPr>
            <w:tcW w:w="575" w:type="dxa"/>
            <w:tcMar>
              <w:left w:w="85" w:type="dxa"/>
              <w:right w:w="85" w:type="dxa"/>
            </w:tcMar>
            <w:vAlign w:val="center"/>
          </w:tcPr>
          <w:p w:rsidR="00A44ECD" w:rsidRPr="006C2B1A" w:rsidRDefault="00A44ECD" w:rsidP="00A44ECD">
            <w:pPr>
              <w:jc w:val="center"/>
              <w:rPr>
                <w:lang w:val="it-IT"/>
              </w:rPr>
            </w:pPr>
          </w:p>
        </w:tc>
        <w:tc>
          <w:tcPr>
            <w:tcW w:w="567" w:type="dxa"/>
            <w:tcMar>
              <w:left w:w="108" w:type="dxa"/>
            </w:tcMar>
            <w:vAlign w:val="center"/>
          </w:tcPr>
          <w:p w:rsidR="00A44ECD" w:rsidRPr="006C2B1A" w:rsidRDefault="00A44ECD" w:rsidP="00A44ECD">
            <w:pPr>
              <w:jc w:val="center"/>
              <w:rPr>
                <w:lang w:val="it-IT"/>
              </w:rPr>
            </w:pPr>
          </w:p>
        </w:tc>
        <w:tc>
          <w:tcPr>
            <w:tcW w:w="567" w:type="dxa"/>
            <w:tcMar>
              <w:left w:w="108" w:type="dxa"/>
            </w:tcMar>
            <w:vAlign w:val="center"/>
          </w:tcPr>
          <w:p w:rsidR="00A44ECD" w:rsidRPr="006C2B1A" w:rsidRDefault="00A44ECD" w:rsidP="00A44ECD">
            <w:pPr>
              <w:jc w:val="center"/>
              <w:rPr>
                <w:lang w:val="it-IT"/>
              </w:rPr>
            </w:pPr>
          </w:p>
        </w:tc>
      </w:tr>
      <w:tr w:rsidR="00A44ECD" w:rsidRPr="006C2B1A" w:rsidTr="00150B74">
        <w:trPr>
          <w:cantSplit/>
          <w:trHeight w:val="238"/>
        </w:trPr>
        <w:tc>
          <w:tcPr>
            <w:tcW w:w="567" w:type="dxa"/>
            <w:tcMar>
              <w:left w:w="108" w:type="dxa"/>
              <w:right w:w="0" w:type="dxa"/>
            </w:tcMar>
          </w:tcPr>
          <w:p w:rsidR="00A44ECD" w:rsidRDefault="00A44ECD" w:rsidP="00A44ECD">
            <w:pPr>
              <w:pStyle w:val="Numeroelenco"/>
              <w:numPr>
                <w:ilvl w:val="0"/>
                <w:numId w:val="0"/>
              </w:numPr>
              <w:rPr>
                <w:lang w:val="it-IT"/>
              </w:rPr>
            </w:pPr>
          </w:p>
        </w:tc>
        <w:tc>
          <w:tcPr>
            <w:tcW w:w="851" w:type="dxa"/>
            <w:tcMar>
              <w:left w:w="108" w:type="dxa"/>
              <w:right w:w="0" w:type="dxa"/>
            </w:tcMar>
          </w:tcPr>
          <w:p w:rsidR="00A44ECD" w:rsidRDefault="00A44ECD" w:rsidP="00150B74">
            <w:pPr>
              <w:pStyle w:val="IAS"/>
              <w:jc w:val="both"/>
              <w:rPr>
                <w:lang w:val="it-IT"/>
              </w:rPr>
            </w:pPr>
          </w:p>
        </w:tc>
        <w:tc>
          <w:tcPr>
            <w:tcW w:w="7079" w:type="dxa"/>
            <w:tcMar>
              <w:left w:w="108" w:type="dxa"/>
            </w:tcMar>
          </w:tcPr>
          <w:p w:rsidR="00A44ECD" w:rsidRPr="002B6200" w:rsidRDefault="00150B74" w:rsidP="00A44ECD">
            <w:pPr>
              <w:spacing w:line="226" w:lineRule="exact"/>
              <w:rPr>
                <w:b/>
                <w:bCs/>
                <w:sz w:val="19"/>
                <w:szCs w:val="19"/>
                <w:lang w:val="it-IT"/>
              </w:rPr>
            </w:pPr>
            <w:r>
              <w:rPr>
                <w:b/>
                <w:bCs/>
                <w:sz w:val="19"/>
                <w:szCs w:val="19"/>
                <w:lang w:val="it-IT"/>
              </w:rPr>
              <w:t>Contratti con i clienti</w:t>
            </w:r>
          </w:p>
        </w:tc>
        <w:tc>
          <w:tcPr>
            <w:tcW w:w="575" w:type="dxa"/>
            <w:tcMar>
              <w:left w:w="85" w:type="dxa"/>
              <w:right w:w="85" w:type="dxa"/>
            </w:tcMar>
            <w:vAlign w:val="center"/>
          </w:tcPr>
          <w:p w:rsidR="00A44ECD" w:rsidRPr="006C2B1A" w:rsidRDefault="00A44ECD" w:rsidP="00A44ECD">
            <w:pPr>
              <w:jc w:val="center"/>
              <w:rPr>
                <w:lang w:val="it-IT"/>
              </w:rPr>
            </w:pPr>
          </w:p>
        </w:tc>
        <w:tc>
          <w:tcPr>
            <w:tcW w:w="567" w:type="dxa"/>
            <w:tcMar>
              <w:left w:w="108" w:type="dxa"/>
            </w:tcMar>
            <w:vAlign w:val="center"/>
          </w:tcPr>
          <w:p w:rsidR="00A44ECD" w:rsidRPr="006C2B1A" w:rsidRDefault="00A44ECD" w:rsidP="00A44ECD">
            <w:pPr>
              <w:jc w:val="center"/>
              <w:rPr>
                <w:lang w:val="it-IT"/>
              </w:rPr>
            </w:pPr>
          </w:p>
        </w:tc>
        <w:tc>
          <w:tcPr>
            <w:tcW w:w="567" w:type="dxa"/>
            <w:tcMar>
              <w:left w:w="108" w:type="dxa"/>
            </w:tcMar>
            <w:vAlign w:val="center"/>
          </w:tcPr>
          <w:p w:rsidR="00A44ECD" w:rsidRPr="006C2B1A" w:rsidRDefault="00A44ECD" w:rsidP="00A44ECD">
            <w:pPr>
              <w:jc w:val="center"/>
              <w:rPr>
                <w:lang w:val="it-IT"/>
              </w:rPr>
            </w:pPr>
          </w:p>
        </w:tc>
      </w:tr>
      <w:tr w:rsidR="00A44ECD" w:rsidRPr="00A44ECD" w:rsidTr="00F235B5">
        <w:trPr>
          <w:cantSplit/>
        </w:trPr>
        <w:tc>
          <w:tcPr>
            <w:tcW w:w="567" w:type="dxa"/>
            <w:tcMar>
              <w:left w:w="108" w:type="dxa"/>
              <w:right w:w="0" w:type="dxa"/>
            </w:tcMar>
          </w:tcPr>
          <w:p w:rsidR="00A44ECD" w:rsidRDefault="00A44ECD" w:rsidP="00A44ECD">
            <w:pPr>
              <w:pStyle w:val="Numeroelenco"/>
              <w:ind w:left="0" w:firstLine="57"/>
              <w:rPr>
                <w:lang w:val="it-IT"/>
              </w:rPr>
            </w:pPr>
          </w:p>
        </w:tc>
        <w:tc>
          <w:tcPr>
            <w:tcW w:w="851" w:type="dxa"/>
            <w:tcMar>
              <w:left w:w="108" w:type="dxa"/>
              <w:right w:w="0" w:type="dxa"/>
            </w:tcMar>
          </w:tcPr>
          <w:p w:rsidR="00A44ECD" w:rsidRDefault="00A44ECD" w:rsidP="00A44ECD">
            <w:pPr>
              <w:pStyle w:val="IAS"/>
              <w:rPr>
                <w:lang w:val="it-IT"/>
              </w:rPr>
            </w:pPr>
            <w:r>
              <w:rPr>
                <w:lang w:val="it-IT"/>
              </w:rPr>
              <w:t>IFRS 15.113</w:t>
            </w:r>
          </w:p>
        </w:tc>
        <w:tc>
          <w:tcPr>
            <w:tcW w:w="7079" w:type="dxa"/>
            <w:tcMar>
              <w:left w:w="108" w:type="dxa"/>
            </w:tcMar>
          </w:tcPr>
          <w:p w:rsidR="00A44ECD" w:rsidRPr="006A18CC" w:rsidRDefault="00A44ECD" w:rsidP="00A44ECD">
            <w:pPr>
              <w:spacing w:line="226" w:lineRule="exact"/>
              <w:rPr>
                <w:lang w:val="it-IT"/>
              </w:rPr>
            </w:pPr>
            <w:r w:rsidRPr="002B6200">
              <w:rPr>
                <w:sz w:val="19"/>
                <w:szCs w:val="19"/>
                <w:lang w:val="it-IT"/>
              </w:rPr>
              <w:t>L'entità deve fornire tutti i seguenti importi relativi all'esercizio, a meno che detti importi siano esposti separatamente nel prospetto di conto economico complessivo conformemente ad altri Principi:</w:t>
            </w:r>
          </w:p>
        </w:tc>
        <w:tc>
          <w:tcPr>
            <w:tcW w:w="575" w:type="dxa"/>
            <w:tcMar>
              <w:left w:w="85" w:type="dxa"/>
              <w:right w:w="85" w:type="dxa"/>
            </w:tcMar>
            <w:vAlign w:val="center"/>
          </w:tcPr>
          <w:p w:rsidR="00A44ECD" w:rsidRPr="006C2B1A" w:rsidRDefault="00A44ECD" w:rsidP="00A44ECD">
            <w:pPr>
              <w:jc w:val="center"/>
              <w:rPr>
                <w:lang w:val="it-IT"/>
              </w:rPr>
            </w:pPr>
          </w:p>
        </w:tc>
        <w:tc>
          <w:tcPr>
            <w:tcW w:w="567" w:type="dxa"/>
            <w:tcMar>
              <w:left w:w="108" w:type="dxa"/>
            </w:tcMar>
            <w:vAlign w:val="center"/>
          </w:tcPr>
          <w:p w:rsidR="00A44ECD" w:rsidRPr="006C2B1A" w:rsidRDefault="00A44ECD" w:rsidP="00A44ECD">
            <w:pPr>
              <w:jc w:val="center"/>
              <w:rPr>
                <w:lang w:val="it-IT"/>
              </w:rPr>
            </w:pPr>
          </w:p>
        </w:tc>
        <w:tc>
          <w:tcPr>
            <w:tcW w:w="567" w:type="dxa"/>
            <w:tcMar>
              <w:left w:w="108" w:type="dxa"/>
            </w:tcMar>
            <w:vAlign w:val="center"/>
          </w:tcPr>
          <w:p w:rsidR="00A44ECD" w:rsidRPr="006C2B1A" w:rsidRDefault="00A44ECD" w:rsidP="00A44ECD">
            <w:pPr>
              <w:jc w:val="center"/>
              <w:rPr>
                <w:lang w:val="it-IT"/>
              </w:rPr>
            </w:pPr>
          </w:p>
        </w:tc>
      </w:tr>
      <w:tr w:rsidR="00A44ECD" w:rsidRPr="006C2B1A" w:rsidTr="00F235B5">
        <w:trPr>
          <w:cantSplit/>
        </w:trPr>
        <w:tc>
          <w:tcPr>
            <w:tcW w:w="567" w:type="dxa"/>
            <w:tcMar>
              <w:left w:w="108" w:type="dxa"/>
              <w:right w:w="0" w:type="dxa"/>
            </w:tcMar>
          </w:tcPr>
          <w:p w:rsidR="00A44ECD" w:rsidRDefault="00A44ECD" w:rsidP="00A44ECD">
            <w:pPr>
              <w:pStyle w:val="Numeroelenco"/>
              <w:numPr>
                <w:ilvl w:val="0"/>
                <w:numId w:val="0"/>
              </w:numPr>
              <w:ind w:left="57"/>
              <w:rPr>
                <w:lang w:val="it-IT"/>
              </w:rPr>
            </w:pPr>
          </w:p>
        </w:tc>
        <w:tc>
          <w:tcPr>
            <w:tcW w:w="851" w:type="dxa"/>
            <w:tcMar>
              <w:left w:w="108" w:type="dxa"/>
              <w:right w:w="0" w:type="dxa"/>
            </w:tcMar>
          </w:tcPr>
          <w:p w:rsidR="00A44ECD" w:rsidRDefault="00A44ECD" w:rsidP="00A44ECD">
            <w:pPr>
              <w:pStyle w:val="IAS"/>
              <w:rPr>
                <w:lang w:val="it-IT"/>
              </w:rPr>
            </w:pPr>
          </w:p>
        </w:tc>
        <w:tc>
          <w:tcPr>
            <w:tcW w:w="7079" w:type="dxa"/>
            <w:tcMar>
              <w:left w:w="108" w:type="dxa"/>
            </w:tcMar>
          </w:tcPr>
          <w:p w:rsidR="00A44ECD" w:rsidRPr="006A18CC" w:rsidRDefault="00A44ECD" w:rsidP="00A44ECD">
            <w:pPr>
              <w:pStyle w:val="Rientroa"/>
              <w:numPr>
                <w:ilvl w:val="0"/>
                <w:numId w:val="0"/>
              </w:numPr>
              <w:spacing w:line="210" w:lineRule="exact"/>
              <w:ind w:left="392" w:hanging="360"/>
              <w:rPr>
                <w:sz w:val="19"/>
                <w:szCs w:val="19"/>
              </w:rPr>
            </w:pPr>
            <w:r w:rsidRPr="002B6200">
              <w:t xml:space="preserve">a) </w:t>
            </w:r>
            <w:r>
              <w:t xml:space="preserve">    </w:t>
            </w:r>
            <w:r w:rsidRPr="002B6200">
              <w:t>i ricavi rilevati a titolo dei contratti con i clienti, che l'entità deve fornire separatamente dalle altre fonti di ricavi e</w:t>
            </w:r>
          </w:p>
        </w:tc>
        <w:tc>
          <w:tcPr>
            <w:tcW w:w="575" w:type="dxa"/>
            <w:tcMar>
              <w:left w:w="85" w:type="dxa"/>
              <w:right w:w="85" w:type="dxa"/>
            </w:tcMar>
            <w:vAlign w:val="center"/>
          </w:tcPr>
          <w:p w:rsidR="00A44ECD" w:rsidRPr="006C2B1A"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C2B1A"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C2B1A"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44ECD" w:rsidRPr="006C2B1A" w:rsidTr="00F235B5">
        <w:trPr>
          <w:cantSplit/>
        </w:trPr>
        <w:tc>
          <w:tcPr>
            <w:tcW w:w="567" w:type="dxa"/>
            <w:tcMar>
              <w:left w:w="108" w:type="dxa"/>
              <w:right w:w="0" w:type="dxa"/>
            </w:tcMar>
          </w:tcPr>
          <w:p w:rsidR="00A44ECD" w:rsidRDefault="00A44ECD" w:rsidP="00A44ECD">
            <w:pPr>
              <w:pStyle w:val="Numeroelenco"/>
              <w:numPr>
                <w:ilvl w:val="0"/>
                <w:numId w:val="0"/>
              </w:numPr>
              <w:ind w:left="57"/>
              <w:rPr>
                <w:lang w:val="it-IT"/>
              </w:rPr>
            </w:pPr>
          </w:p>
        </w:tc>
        <w:tc>
          <w:tcPr>
            <w:tcW w:w="851" w:type="dxa"/>
            <w:tcMar>
              <w:left w:w="108" w:type="dxa"/>
              <w:right w:w="0" w:type="dxa"/>
            </w:tcMar>
          </w:tcPr>
          <w:p w:rsidR="00A44ECD" w:rsidRDefault="00A44ECD" w:rsidP="00A44ECD">
            <w:pPr>
              <w:pStyle w:val="IAS"/>
              <w:rPr>
                <w:lang w:val="it-IT"/>
              </w:rPr>
            </w:pPr>
          </w:p>
        </w:tc>
        <w:tc>
          <w:tcPr>
            <w:tcW w:w="7079" w:type="dxa"/>
            <w:tcMar>
              <w:left w:w="108" w:type="dxa"/>
            </w:tcMar>
          </w:tcPr>
          <w:p w:rsidR="00A44ECD" w:rsidRPr="006A18CC" w:rsidRDefault="00A44ECD" w:rsidP="00A44ECD">
            <w:pPr>
              <w:pStyle w:val="Rientroa"/>
              <w:numPr>
                <w:ilvl w:val="0"/>
                <w:numId w:val="0"/>
              </w:numPr>
              <w:spacing w:line="210" w:lineRule="exact"/>
              <w:ind w:left="392" w:hanging="360"/>
              <w:rPr>
                <w:sz w:val="19"/>
                <w:szCs w:val="19"/>
              </w:rPr>
            </w:pPr>
            <w:r w:rsidRPr="00C62FD7">
              <w:rPr>
                <w:sz w:val="19"/>
                <w:szCs w:val="19"/>
              </w:rPr>
              <w:t xml:space="preserve">b) </w:t>
            </w:r>
            <w:r>
              <w:rPr>
                <w:sz w:val="19"/>
                <w:szCs w:val="19"/>
              </w:rPr>
              <w:t xml:space="preserve">   </w:t>
            </w:r>
            <w:r w:rsidRPr="00C62FD7">
              <w:rPr>
                <w:sz w:val="19"/>
                <w:szCs w:val="19"/>
              </w:rPr>
              <w:t>eventuali perdite per riduzione</w:t>
            </w:r>
            <w:r w:rsidRPr="002B6200">
              <w:rPr>
                <w:sz w:val="19"/>
                <w:szCs w:val="19"/>
              </w:rPr>
              <w:t xml:space="preserve"> di valore rilevate (in conformità all'IFRS 9) su crediti o attività derivanti da contratto provenienti dai contratti conclusi dall'entità con i clienti, che l'entità deve comunicare separatamente rispetto alle perdite per riduzione di valore derivanti da altri contratti.</w:t>
            </w:r>
          </w:p>
        </w:tc>
        <w:tc>
          <w:tcPr>
            <w:tcW w:w="575" w:type="dxa"/>
            <w:tcMar>
              <w:left w:w="85" w:type="dxa"/>
              <w:right w:w="85" w:type="dxa"/>
            </w:tcMar>
            <w:vAlign w:val="center"/>
          </w:tcPr>
          <w:p w:rsidR="00A44ECD" w:rsidRPr="006C2B1A"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C2B1A"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C2B1A"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44ECD" w:rsidRPr="006C2B1A" w:rsidTr="00F235B5">
        <w:trPr>
          <w:cantSplit/>
        </w:trPr>
        <w:tc>
          <w:tcPr>
            <w:tcW w:w="567" w:type="dxa"/>
            <w:tcMar>
              <w:left w:w="108" w:type="dxa"/>
              <w:right w:w="0" w:type="dxa"/>
            </w:tcMar>
          </w:tcPr>
          <w:p w:rsidR="00A44ECD" w:rsidRDefault="00A44ECD" w:rsidP="00A44ECD">
            <w:pPr>
              <w:pStyle w:val="Numeroelenco"/>
              <w:numPr>
                <w:ilvl w:val="0"/>
                <w:numId w:val="0"/>
              </w:numPr>
              <w:ind w:left="57"/>
              <w:rPr>
                <w:lang w:val="it-IT"/>
              </w:rPr>
            </w:pPr>
          </w:p>
        </w:tc>
        <w:tc>
          <w:tcPr>
            <w:tcW w:w="851" w:type="dxa"/>
            <w:tcMar>
              <w:left w:w="108" w:type="dxa"/>
              <w:right w:w="0" w:type="dxa"/>
            </w:tcMar>
          </w:tcPr>
          <w:p w:rsidR="00A44ECD" w:rsidRDefault="00A44ECD" w:rsidP="00A44ECD">
            <w:pPr>
              <w:pStyle w:val="IAS"/>
              <w:rPr>
                <w:lang w:val="it-IT"/>
              </w:rPr>
            </w:pPr>
          </w:p>
        </w:tc>
        <w:tc>
          <w:tcPr>
            <w:tcW w:w="7079" w:type="dxa"/>
            <w:tcMar>
              <w:left w:w="108" w:type="dxa"/>
            </w:tcMar>
          </w:tcPr>
          <w:p w:rsidR="00A44ECD" w:rsidRPr="002B6200" w:rsidRDefault="00A44ECD" w:rsidP="00A44ECD">
            <w:pPr>
              <w:spacing w:line="226" w:lineRule="exact"/>
              <w:rPr>
                <w:i/>
                <w:sz w:val="19"/>
                <w:szCs w:val="19"/>
                <w:lang w:val="it-IT"/>
              </w:rPr>
            </w:pPr>
            <w:r w:rsidRPr="006A18CC">
              <w:rPr>
                <w:i/>
                <w:iCs/>
                <w:sz w:val="19"/>
                <w:szCs w:val="19"/>
              </w:rPr>
              <w:t>Disaggregazione dei ricavi</w:t>
            </w:r>
          </w:p>
        </w:tc>
        <w:tc>
          <w:tcPr>
            <w:tcW w:w="575" w:type="dxa"/>
            <w:tcMar>
              <w:left w:w="85" w:type="dxa"/>
              <w:right w:w="85" w:type="dxa"/>
            </w:tcMar>
            <w:vAlign w:val="center"/>
          </w:tcPr>
          <w:p w:rsidR="00A44ECD" w:rsidRDefault="00A44ECD" w:rsidP="00A44ECD">
            <w:pPr>
              <w:jc w:val="center"/>
            </w:pPr>
          </w:p>
        </w:tc>
        <w:tc>
          <w:tcPr>
            <w:tcW w:w="567" w:type="dxa"/>
            <w:tcMar>
              <w:left w:w="108" w:type="dxa"/>
            </w:tcMar>
            <w:vAlign w:val="center"/>
          </w:tcPr>
          <w:p w:rsidR="00A44ECD" w:rsidRDefault="00A44ECD" w:rsidP="00A44ECD">
            <w:pPr>
              <w:jc w:val="center"/>
            </w:pPr>
          </w:p>
        </w:tc>
        <w:tc>
          <w:tcPr>
            <w:tcW w:w="567" w:type="dxa"/>
            <w:tcMar>
              <w:left w:w="108" w:type="dxa"/>
            </w:tcMar>
            <w:vAlign w:val="center"/>
          </w:tcPr>
          <w:p w:rsidR="00A44ECD" w:rsidRDefault="00A44ECD" w:rsidP="00A44ECD">
            <w:pPr>
              <w:jc w:val="center"/>
            </w:pPr>
          </w:p>
        </w:tc>
      </w:tr>
      <w:tr w:rsidR="00A44ECD" w:rsidRPr="006C2B1A" w:rsidTr="00F235B5">
        <w:trPr>
          <w:cantSplit/>
        </w:trPr>
        <w:tc>
          <w:tcPr>
            <w:tcW w:w="567" w:type="dxa"/>
            <w:tcMar>
              <w:left w:w="108" w:type="dxa"/>
              <w:right w:w="0" w:type="dxa"/>
            </w:tcMar>
          </w:tcPr>
          <w:p w:rsidR="00A44ECD" w:rsidRDefault="00A44ECD" w:rsidP="00A44ECD">
            <w:pPr>
              <w:pStyle w:val="Numeroelenco"/>
              <w:ind w:left="0" w:firstLine="57"/>
              <w:rPr>
                <w:lang w:val="it-IT"/>
              </w:rPr>
            </w:pPr>
          </w:p>
        </w:tc>
        <w:tc>
          <w:tcPr>
            <w:tcW w:w="851" w:type="dxa"/>
            <w:tcMar>
              <w:left w:w="108" w:type="dxa"/>
              <w:right w:w="0" w:type="dxa"/>
            </w:tcMar>
          </w:tcPr>
          <w:p w:rsidR="00A44ECD" w:rsidRDefault="00A44ECD" w:rsidP="00A44ECD">
            <w:pPr>
              <w:pStyle w:val="IAS"/>
              <w:rPr>
                <w:lang w:val="it-IT"/>
              </w:rPr>
            </w:pPr>
            <w:r>
              <w:rPr>
                <w:lang w:val="it-IT"/>
              </w:rPr>
              <w:t>IFRS 15.114</w:t>
            </w:r>
          </w:p>
        </w:tc>
        <w:tc>
          <w:tcPr>
            <w:tcW w:w="7079" w:type="dxa"/>
            <w:tcMar>
              <w:left w:w="108" w:type="dxa"/>
            </w:tcMar>
          </w:tcPr>
          <w:p w:rsidR="00A44ECD" w:rsidRPr="006A18CC" w:rsidRDefault="00A44ECD" w:rsidP="00A44ECD">
            <w:pPr>
              <w:spacing w:line="226" w:lineRule="exact"/>
              <w:rPr>
                <w:sz w:val="19"/>
                <w:szCs w:val="19"/>
                <w:lang w:val="it-IT"/>
              </w:rPr>
            </w:pPr>
            <w:r w:rsidRPr="002B6200">
              <w:rPr>
                <w:sz w:val="19"/>
                <w:szCs w:val="19"/>
                <w:lang w:val="it-IT"/>
              </w:rPr>
              <w:t>L'entità deve disaggregare i ricavi rilevati derivanti dai contratti con i clienti in categorie che illustrino in che modo i fattori economici incidano sulla natura, l'importo, la tempistica e il grado di incertezza dei ricavi e dei flussi finanziari. L'entità deve applicare le indicazioni fornite ai paragrafi B87-B89 quando seleziona le categorie da utilizzare per la disaggregazione dei ricavi.</w:t>
            </w:r>
          </w:p>
        </w:tc>
        <w:tc>
          <w:tcPr>
            <w:tcW w:w="575" w:type="dxa"/>
            <w:tcMar>
              <w:left w:w="85" w:type="dxa"/>
              <w:right w:w="85" w:type="dxa"/>
            </w:tcMar>
            <w:vAlign w:val="center"/>
          </w:tcPr>
          <w:p w:rsidR="00A44ECD" w:rsidRPr="002B6200"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2B6200"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2B6200"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44ECD" w:rsidRPr="006C2B1A" w:rsidTr="00F235B5">
        <w:trPr>
          <w:cantSplit/>
        </w:trPr>
        <w:tc>
          <w:tcPr>
            <w:tcW w:w="567" w:type="dxa"/>
            <w:tcMar>
              <w:left w:w="108" w:type="dxa"/>
              <w:right w:w="0" w:type="dxa"/>
            </w:tcMar>
          </w:tcPr>
          <w:p w:rsidR="00A44ECD" w:rsidRDefault="00A44ECD" w:rsidP="00A44ECD">
            <w:pPr>
              <w:pStyle w:val="Numeroelenco"/>
              <w:ind w:left="0" w:firstLine="57"/>
              <w:rPr>
                <w:lang w:val="it-IT"/>
              </w:rPr>
            </w:pPr>
          </w:p>
        </w:tc>
        <w:tc>
          <w:tcPr>
            <w:tcW w:w="851" w:type="dxa"/>
            <w:tcMar>
              <w:left w:w="108" w:type="dxa"/>
              <w:right w:w="0" w:type="dxa"/>
            </w:tcMar>
          </w:tcPr>
          <w:p w:rsidR="00A44ECD" w:rsidRDefault="00A44ECD" w:rsidP="00A44ECD">
            <w:pPr>
              <w:pStyle w:val="IAS"/>
              <w:rPr>
                <w:lang w:val="it-IT"/>
              </w:rPr>
            </w:pPr>
            <w:r>
              <w:rPr>
                <w:lang w:val="it-IT"/>
              </w:rPr>
              <w:t>IFRS 15.115</w:t>
            </w:r>
          </w:p>
        </w:tc>
        <w:tc>
          <w:tcPr>
            <w:tcW w:w="7079" w:type="dxa"/>
            <w:tcMar>
              <w:left w:w="108" w:type="dxa"/>
            </w:tcMar>
          </w:tcPr>
          <w:p w:rsidR="00A44ECD" w:rsidRPr="006A18CC" w:rsidRDefault="00A44ECD" w:rsidP="00A44ECD">
            <w:pPr>
              <w:spacing w:line="226" w:lineRule="exact"/>
              <w:rPr>
                <w:sz w:val="19"/>
                <w:szCs w:val="19"/>
                <w:lang w:val="it-IT"/>
              </w:rPr>
            </w:pPr>
            <w:r w:rsidRPr="002B6200">
              <w:rPr>
                <w:sz w:val="19"/>
                <w:szCs w:val="19"/>
                <w:lang w:val="it-IT"/>
              </w:rPr>
              <w:t xml:space="preserve">Inoltre, l'entità deve fornire informazioni sufficienti per permettere agli utilizzatori del bilancio di comprendere la relazione tra le informazioni fornite sui ricavi disaggregati (conformemente al paragrafo 114) e le informazioni sui ricavi fornite per ciascun settore oggetto di informativa, se l'entità applica l'IFRS 8 </w:t>
            </w:r>
            <w:r w:rsidRPr="002B6200">
              <w:rPr>
                <w:i/>
                <w:iCs/>
                <w:sz w:val="19"/>
                <w:szCs w:val="19"/>
                <w:lang w:val="it-IT"/>
              </w:rPr>
              <w:t>Settori operativi</w:t>
            </w:r>
            <w:r w:rsidRPr="002B6200">
              <w:rPr>
                <w:sz w:val="19"/>
                <w:szCs w:val="19"/>
                <w:lang w:val="it-IT"/>
              </w:rPr>
              <w:t>.</w:t>
            </w:r>
          </w:p>
        </w:tc>
        <w:tc>
          <w:tcPr>
            <w:tcW w:w="575" w:type="dxa"/>
            <w:tcMar>
              <w:left w:w="85" w:type="dxa"/>
              <w:right w:w="85"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44ECD" w:rsidRPr="00A44ECD" w:rsidTr="00F235B5">
        <w:trPr>
          <w:cantSplit/>
        </w:trPr>
        <w:tc>
          <w:tcPr>
            <w:tcW w:w="567" w:type="dxa"/>
            <w:tcMar>
              <w:left w:w="108" w:type="dxa"/>
              <w:right w:w="0" w:type="dxa"/>
            </w:tcMar>
          </w:tcPr>
          <w:p w:rsidR="00A44ECD" w:rsidRDefault="00A44ECD" w:rsidP="00A44ECD">
            <w:pPr>
              <w:pStyle w:val="Numeroelenco"/>
              <w:numPr>
                <w:ilvl w:val="0"/>
                <w:numId w:val="0"/>
              </w:numPr>
              <w:ind w:left="57"/>
              <w:rPr>
                <w:lang w:val="it-IT"/>
              </w:rPr>
            </w:pPr>
          </w:p>
        </w:tc>
        <w:tc>
          <w:tcPr>
            <w:tcW w:w="851" w:type="dxa"/>
            <w:tcMar>
              <w:left w:w="108" w:type="dxa"/>
              <w:right w:w="0" w:type="dxa"/>
            </w:tcMar>
          </w:tcPr>
          <w:p w:rsidR="00A44ECD" w:rsidRDefault="00A44ECD" w:rsidP="00A44ECD">
            <w:pPr>
              <w:pStyle w:val="IAS"/>
              <w:rPr>
                <w:lang w:val="it-IT"/>
              </w:rPr>
            </w:pPr>
            <w:r>
              <w:rPr>
                <w:lang w:val="it-IT"/>
              </w:rPr>
              <w:t>IFRS 15.B87</w:t>
            </w:r>
          </w:p>
        </w:tc>
        <w:tc>
          <w:tcPr>
            <w:tcW w:w="7079" w:type="dxa"/>
            <w:tcMar>
              <w:left w:w="108" w:type="dxa"/>
            </w:tcMar>
          </w:tcPr>
          <w:p w:rsidR="00A44ECD" w:rsidRPr="002B6200" w:rsidRDefault="00A44ECD" w:rsidP="00150B74">
            <w:pPr>
              <w:pStyle w:val="Paragarfobordato"/>
            </w:pPr>
            <w:r w:rsidRPr="002B6200">
              <w:t>Il paragrafo 114 impone all'entità di disaggregare i ricavi provenienti dai contratti con i clienti in categorie che illustrano in che modo i fattori economici incidono sulla natura, l'importo, la tempistica e il grado di incertezza dei ricavi e dei flussi finanziari. Di conseguenza la misura della disaggregazione dei ricavi dell'entità ai fini del presente obbligo di informazione dipende dai fatti e dalle circostanze relativi ai contratti che l'entità ha concluso con i clienti. È possibile che alcune entità debbano utilizzare più di un tipo di categoria per soddisfare l'obiettivo della disaggregazione dei ricavi di cui al paragrafo 114. Altre entità possono soddisfare l'obiettivo utilizzando un solo tipo di categoria per disaggregare i ricavi.</w:t>
            </w:r>
          </w:p>
        </w:tc>
        <w:tc>
          <w:tcPr>
            <w:tcW w:w="575" w:type="dxa"/>
            <w:tcMar>
              <w:left w:w="85" w:type="dxa"/>
              <w:right w:w="85" w:type="dxa"/>
            </w:tcMar>
            <w:vAlign w:val="center"/>
          </w:tcPr>
          <w:p w:rsidR="00A44ECD" w:rsidRPr="002B6200" w:rsidRDefault="00A44ECD" w:rsidP="00A44ECD">
            <w:pPr>
              <w:jc w:val="center"/>
              <w:rPr>
                <w:lang w:val="it-IT"/>
              </w:rPr>
            </w:pPr>
          </w:p>
        </w:tc>
        <w:tc>
          <w:tcPr>
            <w:tcW w:w="567" w:type="dxa"/>
            <w:tcMar>
              <w:left w:w="108" w:type="dxa"/>
            </w:tcMar>
            <w:vAlign w:val="center"/>
          </w:tcPr>
          <w:p w:rsidR="00A44ECD" w:rsidRPr="002B6200" w:rsidRDefault="00A44ECD" w:rsidP="00A44ECD">
            <w:pPr>
              <w:jc w:val="center"/>
              <w:rPr>
                <w:lang w:val="it-IT"/>
              </w:rPr>
            </w:pPr>
          </w:p>
        </w:tc>
        <w:tc>
          <w:tcPr>
            <w:tcW w:w="567" w:type="dxa"/>
            <w:tcMar>
              <w:left w:w="108" w:type="dxa"/>
            </w:tcMar>
            <w:vAlign w:val="center"/>
          </w:tcPr>
          <w:p w:rsidR="00A44ECD" w:rsidRPr="002B6200" w:rsidRDefault="00A44ECD" w:rsidP="00A44ECD">
            <w:pPr>
              <w:jc w:val="center"/>
              <w:rPr>
                <w:lang w:val="it-IT"/>
              </w:rPr>
            </w:pPr>
          </w:p>
        </w:tc>
      </w:tr>
      <w:tr w:rsidR="00A44ECD" w:rsidRPr="00A44ECD" w:rsidTr="00F235B5">
        <w:trPr>
          <w:cantSplit/>
        </w:trPr>
        <w:tc>
          <w:tcPr>
            <w:tcW w:w="567" w:type="dxa"/>
            <w:tcMar>
              <w:left w:w="108" w:type="dxa"/>
              <w:right w:w="0" w:type="dxa"/>
            </w:tcMar>
          </w:tcPr>
          <w:p w:rsidR="00A44ECD" w:rsidRDefault="00A44ECD" w:rsidP="00A44ECD">
            <w:pPr>
              <w:pStyle w:val="Numeroelenco"/>
              <w:numPr>
                <w:ilvl w:val="0"/>
                <w:numId w:val="0"/>
              </w:numPr>
              <w:ind w:left="57"/>
              <w:rPr>
                <w:lang w:val="it-IT"/>
              </w:rPr>
            </w:pPr>
          </w:p>
        </w:tc>
        <w:tc>
          <w:tcPr>
            <w:tcW w:w="851" w:type="dxa"/>
            <w:tcMar>
              <w:left w:w="108" w:type="dxa"/>
              <w:right w:w="0" w:type="dxa"/>
            </w:tcMar>
          </w:tcPr>
          <w:p w:rsidR="00A44ECD" w:rsidRDefault="00A44ECD" w:rsidP="00A44ECD">
            <w:pPr>
              <w:pStyle w:val="IAS"/>
              <w:rPr>
                <w:lang w:val="it-IT"/>
              </w:rPr>
            </w:pPr>
            <w:r>
              <w:rPr>
                <w:lang w:val="it-IT"/>
              </w:rPr>
              <w:t>IFRS 15.B88</w:t>
            </w:r>
          </w:p>
        </w:tc>
        <w:tc>
          <w:tcPr>
            <w:tcW w:w="7079" w:type="dxa"/>
            <w:tcMar>
              <w:left w:w="108" w:type="dxa"/>
            </w:tcMar>
          </w:tcPr>
          <w:p w:rsidR="00A44ECD" w:rsidRDefault="00A44ECD" w:rsidP="00150B74">
            <w:pPr>
              <w:pStyle w:val="Paragarfobordato"/>
            </w:pPr>
            <w:r w:rsidRPr="002B6200">
              <w:t>Quando sceglie il tipo di categoria (o i tipi di categorie) da utilizzare per disaggregare i ricavi, l'entità deve tener conto del modo in cui le informazioni sui ricavi dell'entità sono state presentate ad altri fini, in particolare per quanto riguarda:</w:t>
            </w:r>
          </w:p>
          <w:p w:rsidR="00A44ECD" w:rsidRDefault="00A44ECD" w:rsidP="00150B74">
            <w:pPr>
              <w:pStyle w:val="Paragarfobordato"/>
              <w:ind w:left="205" w:hanging="205"/>
            </w:pPr>
            <w:r w:rsidRPr="002B6200">
              <w:t>a)</w:t>
            </w:r>
            <w:r>
              <w:t xml:space="preserve"> </w:t>
            </w:r>
            <w:r w:rsidRPr="002B6200">
              <w:t xml:space="preserve"> </w:t>
            </w:r>
            <w:r>
              <w:tab/>
            </w:r>
            <w:r w:rsidRPr="002B6200">
              <w:t xml:space="preserve">le informazioni fornite al di fuori del bilancio (per esempio nei comunicati stampa sugli utili, nelle relazioni annuali o nelle presentazioni destinate agli investitori); </w:t>
            </w:r>
          </w:p>
          <w:p w:rsidR="00A44ECD" w:rsidRDefault="00A44ECD" w:rsidP="00150B74">
            <w:pPr>
              <w:pStyle w:val="Paragarfobordato"/>
              <w:ind w:left="205" w:hanging="205"/>
            </w:pPr>
            <w:r w:rsidRPr="002B6200">
              <w:t xml:space="preserve">b) </w:t>
            </w:r>
            <w:r>
              <w:tab/>
            </w:r>
            <w:r w:rsidRPr="002B6200">
              <w:t>le informazioni soggette periodicamente al riesame del più alto livello decisionale operativo ai fini della valutazione della performance finanziaria di segmenti operativi e</w:t>
            </w:r>
          </w:p>
          <w:p w:rsidR="00A44ECD" w:rsidRPr="00D0509F" w:rsidRDefault="00A44ECD" w:rsidP="00150B74">
            <w:pPr>
              <w:pStyle w:val="Paragarfobordato"/>
              <w:ind w:left="205" w:hanging="205"/>
            </w:pPr>
            <w:r w:rsidRPr="002B6200">
              <w:t xml:space="preserve">c) </w:t>
            </w:r>
            <w:r>
              <w:tab/>
            </w:r>
            <w:r w:rsidRPr="002B6200">
              <w:t>altre informazioni analoghe ai tipi di informazioni di cui alle precedenti lettere a) e b), e che sono utilizzate dall'entità o dagli utilizzatori del bilancio dell'entità per valutare la performance finanziaria dell'entità o per prendere decisioni in materia di assegnazione delle risorse.</w:t>
            </w:r>
          </w:p>
        </w:tc>
        <w:tc>
          <w:tcPr>
            <w:tcW w:w="575" w:type="dxa"/>
            <w:tcMar>
              <w:left w:w="85" w:type="dxa"/>
              <w:right w:w="85" w:type="dxa"/>
            </w:tcMar>
            <w:vAlign w:val="center"/>
          </w:tcPr>
          <w:p w:rsidR="00A44ECD" w:rsidRPr="00D0509F" w:rsidRDefault="00A44ECD" w:rsidP="00A44ECD">
            <w:pPr>
              <w:jc w:val="center"/>
              <w:rPr>
                <w:lang w:val="it-IT"/>
              </w:rPr>
            </w:pPr>
          </w:p>
        </w:tc>
        <w:tc>
          <w:tcPr>
            <w:tcW w:w="567" w:type="dxa"/>
            <w:tcMar>
              <w:left w:w="108" w:type="dxa"/>
            </w:tcMar>
            <w:vAlign w:val="center"/>
          </w:tcPr>
          <w:p w:rsidR="00A44ECD" w:rsidRPr="00D0509F" w:rsidRDefault="00A44ECD" w:rsidP="00A44ECD">
            <w:pPr>
              <w:jc w:val="center"/>
              <w:rPr>
                <w:lang w:val="it-IT"/>
              </w:rPr>
            </w:pPr>
          </w:p>
        </w:tc>
        <w:tc>
          <w:tcPr>
            <w:tcW w:w="567" w:type="dxa"/>
            <w:tcMar>
              <w:left w:w="108" w:type="dxa"/>
            </w:tcMar>
            <w:vAlign w:val="center"/>
          </w:tcPr>
          <w:p w:rsidR="00A44ECD" w:rsidRPr="00D0509F" w:rsidRDefault="00A44ECD" w:rsidP="00A44ECD">
            <w:pPr>
              <w:jc w:val="center"/>
              <w:rPr>
                <w:lang w:val="it-IT"/>
              </w:rPr>
            </w:pPr>
          </w:p>
        </w:tc>
      </w:tr>
      <w:tr w:rsidR="00A44ECD" w:rsidRPr="00A44ECD" w:rsidTr="00F235B5">
        <w:trPr>
          <w:cantSplit/>
        </w:trPr>
        <w:tc>
          <w:tcPr>
            <w:tcW w:w="567" w:type="dxa"/>
            <w:tcMar>
              <w:left w:w="108" w:type="dxa"/>
              <w:right w:w="0" w:type="dxa"/>
            </w:tcMar>
          </w:tcPr>
          <w:p w:rsidR="00A44ECD" w:rsidRDefault="00A44ECD" w:rsidP="00A44ECD">
            <w:pPr>
              <w:pStyle w:val="Numeroelenco"/>
              <w:numPr>
                <w:ilvl w:val="0"/>
                <w:numId w:val="0"/>
              </w:numPr>
              <w:ind w:left="57"/>
              <w:rPr>
                <w:lang w:val="it-IT"/>
              </w:rPr>
            </w:pPr>
          </w:p>
        </w:tc>
        <w:tc>
          <w:tcPr>
            <w:tcW w:w="851" w:type="dxa"/>
            <w:tcMar>
              <w:left w:w="108" w:type="dxa"/>
              <w:right w:w="0" w:type="dxa"/>
            </w:tcMar>
          </w:tcPr>
          <w:p w:rsidR="00A44ECD" w:rsidRDefault="00A44ECD" w:rsidP="00A44ECD">
            <w:pPr>
              <w:pStyle w:val="IAS"/>
              <w:rPr>
                <w:lang w:val="it-IT"/>
              </w:rPr>
            </w:pPr>
            <w:r>
              <w:rPr>
                <w:lang w:val="it-IT"/>
              </w:rPr>
              <w:t>IFRS 15.B89</w:t>
            </w:r>
          </w:p>
        </w:tc>
        <w:tc>
          <w:tcPr>
            <w:tcW w:w="7079" w:type="dxa"/>
            <w:tcMar>
              <w:left w:w="108" w:type="dxa"/>
            </w:tcMar>
          </w:tcPr>
          <w:p w:rsidR="00A44ECD" w:rsidRDefault="00A44ECD" w:rsidP="00150B74">
            <w:pPr>
              <w:pStyle w:val="Paragarfobordato"/>
            </w:pPr>
            <w:r w:rsidRPr="002B6200">
              <w:t xml:space="preserve">Tra gli esempi di categorie che potrebbero essere appropriate potrebbero rientrare, tra l'altro, tutte le seguenti: </w:t>
            </w:r>
          </w:p>
          <w:p w:rsidR="00A44ECD" w:rsidRDefault="00A44ECD" w:rsidP="00150B74">
            <w:pPr>
              <w:pStyle w:val="Paragarfobordato"/>
              <w:ind w:left="205" w:hanging="205"/>
            </w:pPr>
            <w:r w:rsidRPr="002B6200">
              <w:t xml:space="preserve">a) </w:t>
            </w:r>
            <w:r w:rsidR="00150B74">
              <w:tab/>
            </w:r>
            <w:r w:rsidRPr="002B6200">
              <w:t xml:space="preserve">tipo di bene o servizio (per esempio, principali linee di prodotti); </w:t>
            </w:r>
          </w:p>
          <w:p w:rsidR="00A44ECD" w:rsidRDefault="00A44ECD" w:rsidP="00150B74">
            <w:pPr>
              <w:pStyle w:val="Paragarfobordato"/>
              <w:ind w:left="205" w:hanging="205"/>
            </w:pPr>
            <w:r w:rsidRPr="002B6200">
              <w:t>b)</w:t>
            </w:r>
            <w:r w:rsidR="00150B74">
              <w:tab/>
            </w:r>
            <w:r w:rsidRPr="002B6200">
              <w:t xml:space="preserve"> regione geografica (per esempio, paesi o regioni); </w:t>
            </w:r>
          </w:p>
          <w:p w:rsidR="00A44ECD" w:rsidRDefault="00A44ECD" w:rsidP="00150B74">
            <w:pPr>
              <w:pStyle w:val="Paragarfobordato"/>
              <w:ind w:left="205" w:hanging="205"/>
            </w:pPr>
            <w:r w:rsidRPr="002B6200">
              <w:t>c)</w:t>
            </w:r>
            <w:r w:rsidR="00150B74">
              <w:tab/>
            </w:r>
            <w:r w:rsidRPr="002B6200">
              <w:t xml:space="preserve"> mercato o tipo di cliente (per esempio, clienti del settore pubblico e clienti del settore privato); </w:t>
            </w:r>
          </w:p>
          <w:p w:rsidR="00A44ECD" w:rsidRDefault="00A44ECD" w:rsidP="00150B74">
            <w:pPr>
              <w:pStyle w:val="Paragarfobordato"/>
              <w:ind w:left="205" w:hanging="205"/>
            </w:pPr>
            <w:r w:rsidRPr="002B6200">
              <w:t xml:space="preserve">d) </w:t>
            </w:r>
            <w:r w:rsidR="00150B74">
              <w:tab/>
            </w:r>
            <w:r w:rsidRPr="002B6200">
              <w:t xml:space="preserve">tipo di contratto (per esempio, contratti a prezzo fisso e contratti time &amp; materials); </w:t>
            </w:r>
          </w:p>
          <w:p w:rsidR="00A44ECD" w:rsidRDefault="00A44ECD" w:rsidP="00150B74">
            <w:pPr>
              <w:pStyle w:val="Paragarfobordato"/>
              <w:ind w:left="205" w:hanging="205"/>
            </w:pPr>
            <w:r w:rsidRPr="002B6200">
              <w:t xml:space="preserve">e) </w:t>
            </w:r>
            <w:r w:rsidR="00150B74">
              <w:tab/>
            </w:r>
            <w:r w:rsidRPr="002B6200">
              <w:t xml:space="preserve">durata del contratto (per esempio, contratti a breve termine e contratti a lungo termine); </w:t>
            </w:r>
          </w:p>
          <w:p w:rsidR="00A44ECD" w:rsidRDefault="00A44ECD" w:rsidP="00150B74">
            <w:pPr>
              <w:pStyle w:val="Paragarfobordato"/>
              <w:ind w:left="205" w:hanging="205"/>
            </w:pPr>
            <w:r w:rsidRPr="002B6200">
              <w:t xml:space="preserve">f) </w:t>
            </w:r>
            <w:r w:rsidR="00150B74">
              <w:tab/>
            </w:r>
            <w:r w:rsidRPr="002B6200">
              <w:t xml:space="preserve">termini di trasferimento dei beni o servizi (per esempio, ricavi derivanti da beni o servizi trasferiti al cliente in un determinato momento o ricavi derivanti da beni o servizi trasferiti nel corso del tempo) e </w:t>
            </w:r>
          </w:p>
          <w:p w:rsidR="00A44ECD" w:rsidRPr="00D0509F" w:rsidRDefault="00A44ECD" w:rsidP="00150B74">
            <w:pPr>
              <w:pStyle w:val="Paragarfobordato"/>
              <w:ind w:left="205" w:hanging="205"/>
            </w:pPr>
            <w:r w:rsidRPr="002B6200">
              <w:t xml:space="preserve">g) </w:t>
            </w:r>
            <w:r w:rsidR="00150B74">
              <w:tab/>
            </w:r>
            <w:r w:rsidRPr="002B6200">
              <w:t>canali di vendita (per esempio, beni venduti direttamente ai clienti e beni venduti tramite intermediari).</w:t>
            </w:r>
          </w:p>
        </w:tc>
        <w:tc>
          <w:tcPr>
            <w:tcW w:w="575" w:type="dxa"/>
            <w:tcMar>
              <w:left w:w="85" w:type="dxa"/>
              <w:right w:w="85" w:type="dxa"/>
            </w:tcMar>
            <w:vAlign w:val="center"/>
          </w:tcPr>
          <w:p w:rsidR="00A44ECD" w:rsidRPr="00D0509F" w:rsidRDefault="00A44ECD" w:rsidP="00A44ECD">
            <w:pPr>
              <w:jc w:val="center"/>
              <w:rPr>
                <w:lang w:val="it-IT"/>
              </w:rPr>
            </w:pPr>
          </w:p>
        </w:tc>
        <w:tc>
          <w:tcPr>
            <w:tcW w:w="567" w:type="dxa"/>
            <w:tcMar>
              <w:left w:w="108" w:type="dxa"/>
            </w:tcMar>
            <w:vAlign w:val="center"/>
          </w:tcPr>
          <w:p w:rsidR="00A44ECD" w:rsidRPr="00D0509F" w:rsidRDefault="00A44ECD" w:rsidP="00A44ECD">
            <w:pPr>
              <w:jc w:val="center"/>
              <w:rPr>
                <w:lang w:val="it-IT"/>
              </w:rPr>
            </w:pPr>
          </w:p>
        </w:tc>
        <w:tc>
          <w:tcPr>
            <w:tcW w:w="567" w:type="dxa"/>
            <w:tcMar>
              <w:left w:w="108" w:type="dxa"/>
            </w:tcMar>
            <w:vAlign w:val="center"/>
          </w:tcPr>
          <w:p w:rsidR="00A44ECD" w:rsidRPr="00D0509F" w:rsidRDefault="00A44ECD" w:rsidP="00A44ECD">
            <w:pPr>
              <w:jc w:val="center"/>
              <w:rPr>
                <w:lang w:val="it-IT"/>
              </w:rPr>
            </w:pPr>
          </w:p>
        </w:tc>
      </w:tr>
      <w:tr w:rsidR="00A44ECD" w:rsidRPr="006C2B1A" w:rsidTr="00F235B5">
        <w:trPr>
          <w:cantSplit/>
        </w:trPr>
        <w:tc>
          <w:tcPr>
            <w:tcW w:w="567" w:type="dxa"/>
            <w:tcMar>
              <w:left w:w="108" w:type="dxa"/>
              <w:right w:w="0" w:type="dxa"/>
            </w:tcMar>
          </w:tcPr>
          <w:p w:rsidR="00A44ECD" w:rsidRDefault="00A44ECD" w:rsidP="00A44ECD">
            <w:pPr>
              <w:pStyle w:val="Numeroelenco"/>
              <w:numPr>
                <w:ilvl w:val="0"/>
                <w:numId w:val="0"/>
              </w:numPr>
              <w:ind w:left="57"/>
              <w:rPr>
                <w:lang w:val="it-IT"/>
              </w:rPr>
            </w:pPr>
          </w:p>
        </w:tc>
        <w:tc>
          <w:tcPr>
            <w:tcW w:w="851" w:type="dxa"/>
            <w:tcMar>
              <w:left w:w="108" w:type="dxa"/>
              <w:right w:w="0" w:type="dxa"/>
            </w:tcMar>
          </w:tcPr>
          <w:p w:rsidR="00A44ECD" w:rsidRDefault="00A44ECD" w:rsidP="00A44ECD">
            <w:pPr>
              <w:pStyle w:val="IAS"/>
              <w:rPr>
                <w:lang w:val="it-IT"/>
              </w:rPr>
            </w:pPr>
          </w:p>
        </w:tc>
        <w:tc>
          <w:tcPr>
            <w:tcW w:w="7079" w:type="dxa"/>
            <w:tcMar>
              <w:left w:w="108" w:type="dxa"/>
            </w:tcMar>
          </w:tcPr>
          <w:p w:rsidR="00A44ECD" w:rsidRPr="006A18CC" w:rsidRDefault="00A44ECD" w:rsidP="00A44ECD">
            <w:pPr>
              <w:spacing w:line="226" w:lineRule="exact"/>
              <w:rPr>
                <w:sz w:val="19"/>
                <w:szCs w:val="19"/>
                <w:lang w:val="it-IT"/>
              </w:rPr>
            </w:pPr>
            <w:r>
              <w:rPr>
                <w:i/>
                <w:iCs/>
                <w:sz w:val="19"/>
                <w:szCs w:val="19"/>
              </w:rPr>
              <w:t>Saldi del contratto</w:t>
            </w:r>
          </w:p>
        </w:tc>
        <w:tc>
          <w:tcPr>
            <w:tcW w:w="575" w:type="dxa"/>
            <w:tcMar>
              <w:left w:w="85" w:type="dxa"/>
              <w:right w:w="85" w:type="dxa"/>
            </w:tcMar>
            <w:vAlign w:val="center"/>
          </w:tcPr>
          <w:p w:rsidR="00A44ECD" w:rsidRDefault="00A44ECD" w:rsidP="00A44ECD">
            <w:pPr>
              <w:jc w:val="center"/>
            </w:pPr>
          </w:p>
        </w:tc>
        <w:tc>
          <w:tcPr>
            <w:tcW w:w="567" w:type="dxa"/>
            <w:tcMar>
              <w:left w:w="108" w:type="dxa"/>
            </w:tcMar>
            <w:vAlign w:val="center"/>
          </w:tcPr>
          <w:p w:rsidR="00A44ECD" w:rsidRDefault="00A44ECD" w:rsidP="00A44ECD">
            <w:pPr>
              <w:jc w:val="center"/>
            </w:pPr>
          </w:p>
        </w:tc>
        <w:tc>
          <w:tcPr>
            <w:tcW w:w="567" w:type="dxa"/>
            <w:tcMar>
              <w:left w:w="108" w:type="dxa"/>
            </w:tcMar>
            <w:vAlign w:val="center"/>
          </w:tcPr>
          <w:p w:rsidR="00A44ECD" w:rsidRDefault="00A44ECD" w:rsidP="00A44ECD">
            <w:pPr>
              <w:jc w:val="center"/>
            </w:pPr>
          </w:p>
        </w:tc>
      </w:tr>
      <w:tr w:rsidR="00A44ECD" w:rsidRPr="00A44ECD" w:rsidTr="00F235B5">
        <w:trPr>
          <w:cantSplit/>
        </w:trPr>
        <w:tc>
          <w:tcPr>
            <w:tcW w:w="567" w:type="dxa"/>
            <w:tcMar>
              <w:left w:w="108" w:type="dxa"/>
              <w:right w:w="0" w:type="dxa"/>
            </w:tcMar>
          </w:tcPr>
          <w:p w:rsidR="00A44ECD" w:rsidRDefault="00A44ECD" w:rsidP="00A44ECD">
            <w:pPr>
              <w:pStyle w:val="Numeroelenco"/>
              <w:ind w:left="0" w:firstLine="57"/>
              <w:rPr>
                <w:lang w:val="it-IT"/>
              </w:rPr>
            </w:pPr>
          </w:p>
        </w:tc>
        <w:tc>
          <w:tcPr>
            <w:tcW w:w="851" w:type="dxa"/>
            <w:tcMar>
              <w:left w:w="108" w:type="dxa"/>
              <w:right w:w="0" w:type="dxa"/>
            </w:tcMar>
          </w:tcPr>
          <w:p w:rsidR="00A44ECD" w:rsidRDefault="00A44ECD" w:rsidP="00A44ECD">
            <w:pPr>
              <w:pStyle w:val="IAS"/>
              <w:rPr>
                <w:lang w:val="it-IT"/>
              </w:rPr>
            </w:pPr>
            <w:r>
              <w:rPr>
                <w:lang w:val="it-IT"/>
              </w:rPr>
              <w:t>IFRS 15.116</w:t>
            </w:r>
          </w:p>
        </w:tc>
        <w:tc>
          <w:tcPr>
            <w:tcW w:w="7079" w:type="dxa"/>
            <w:tcMar>
              <w:left w:w="108" w:type="dxa"/>
            </w:tcMar>
          </w:tcPr>
          <w:p w:rsidR="00A44ECD" w:rsidRPr="006A18CC" w:rsidRDefault="00A44ECD" w:rsidP="00A44ECD">
            <w:pPr>
              <w:spacing w:line="226" w:lineRule="exact"/>
              <w:rPr>
                <w:sz w:val="19"/>
                <w:szCs w:val="19"/>
                <w:lang w:val="it-IT"/>
              </w:rPr>
            </w:pPr>
            <w:r w:rsidRPr="002B6200">
              <w:rPr>
                <w:sz w:val="19"/>
                <w:szCs w:val="19"/>
                <w:lang w:val="it-IT"/>
              </w:rPr>
              <w:t>L'entità deve fornire tutte le seguenti informazioni:</w:t>
            </w:r>
          </w:p>
        </w:tc>
        <w:tc>
          <w:tcPr>
            <w:tcW w:w="575" w:type="dxa"/>
            <w:tcMar>
              <w:left w:w="85" w:type="dxa"/>
              <w:right w:w="85" w:type="dxa"/>
            </w:tcMar>
            <w:vAlign w:val="center"/>
          </w:tcPr>
          <w:p w:rsidR="00A44ECD" w:rsidRPr="002B6200" w:rsidRDefault="00A44ECD" w:rsidP="00A44ECD">
            <w:pPr>
              <w:jc w:val="center"/>
              <w:rPr>
                <w:lang w:val="it-IT"/>
              </w:rPr>
            </w:pPr>
          </w:p>
        </w:tc>
        <w:tc>
          <w:tcPr>
            <w:tcW w:w="567" w:type="dxa"/>
            <w:tcMar>
              <w:left w:w="108" w:type="dxa"/>
            </w:tcMar>
            <w:vAlign w:val="center"/>
          </w:tcPr>
          <w:p w:rsidR="00A44ECD" w:rsidRPr="002B6200" w:rsidRDefault="00A44ECD" w:rsidP="00A44ECD">
            <w:pPr>
              <w:jc w:val="center"/>
              <w:rPr>
                <w:lang w:val="it-IT"/>
              </w:rPr>
            </w:pPr>
          </w:p>
        </w:tc>
        <w:tc>
          <w:tcPr>
            <w:tcW w:w="567" w:type="dxa"/>
            <w:tcMar>
              <w:left w:w="108" w:type="dxa"/>
            </w:tcMar>
            <w:vAlign w:val="center"/>
          </w:tcPr>
          <w:p w:rsidR="00A44ECD" w:rsidRPr="002B6200" w:rsidRDefault="00A44ECD" w:rsidP="00A44ECD">
            <w:pPr>
              <w:jc w:val="center"/>
              <w:rPr>
                <w:lang w:val="it-IT"/>
              </w:rPr>
            </w:pPr>
          </w:p>
        </w:tc>
      </w:tr>
      <w:tr w:rsidR="00A44ECD" w:rsidRPr="006C2B1A" w:rsidTr="00F235B5">
        <w:trPr>
          <w:cantSplit/>
        </w:trPr>
        <w:tc>
          <w:tcPr>
            <w:tcW w:w="567" w:type="dxa"/>
            <w:tcMar>
              <w:left w:w="108" w:type="dxa"/>
              <w:right w:w="0" w:type="dxa"/>
            </w:tcMar>
          </w:tcPr>
          <w:p w:rsidR="00A44ECD" w:rsidRDefault="00A44ECD" w:rsidP="00A44ECD">
            <w:pPr>
              <w:pStyle w:val="Numeroelenco"/>
              <w:numPr>
                <w:ilvl w:val="0"/>
                <w:numId w:val="0"/>
              </w:numPr>
              <w:ind w:left="142"/>
              <w:rPr>
                <w:lang w:val="it-IT"/>
              </w:rPr>
            </w:pPr>
          </w:p>
        </w:tc>
        <w:tc>
          <w:tcPr>
            <w:tcW w:w="851" w:type="dxa"/>
            <w:tcMar>
              <w:left w:w="108" w:type="dxa"/>
              <w:right w:w="0" w:type="dxa"/>
            </w:tcMar>
          </w:tcPr>
          <w:p w:rsidR="00A44ECD" w:rsidRDefault="00A44ECD" w:rsidP="00A44ECD">
            <w:pPr>
              <w:pStyle w:val="IAS"/>
              <w:rPr>
                <w:lang w:val="it-IT"/>
              </w:rPr>
            </w:pPr>
          </w:p>
        </w:tc>
        <w:tc>
          <w:tcPr>
            <w:tcW w:w="7079" w:type="dxa"/>
            <w:tcMar>
              <w:left w:w="108" w:type="dxa"/>
            </w:tcMar>
          </w:tcPr>
          <w:p w:rsidR="00A44ECD" w:rsidRPr="002B6200" w:rsidRDefault="00A44ECD" w:rsidP="00A44ECD">
            <w:pPr>
              <w:pStyle w:val="Rientroa"/>
              <w:numPr>
                <w:ilvl w:val="0"/>
                <w:numId w:val="288"/>
              </w:numPr>
              <w:spacing w:line="210" w:lineRule="exact"/>
            </w:pPr>
            <w:r w:rsidRPr="002B6200">
              <w:t>i saldi di apertura e di chiusura dei crediti, delle attività derivanti da contratti e delle passività derivanti da contratti provenienti da contratti con i clienti, se non altrimenti presentati o forniti separatamente;</w:t>
            </w:r>
          </w:p>
        </w:tc>
        <w:tc>
          <w:tcPr>
            <w:tcW w:w="575" w:type="dxa"/>
            <w:tcMar>
              <w:left w:w="85" w:type="dxa"/>
              <w:right w:w="85"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44ECD" w:rsidRPr="006C2B1A" w:rsidTr="00F235B5">
        <w:trPr>
          <w:cantSplit/>
        </w:trPr>
        <w:tc>
          <w:tcPr>
            <w:tcW w:w="567" w:type="dxa"/>
            <w:tcMar>
              <w:left w:w="108" w:type="dxa"/>
              <w:right w:w="0" w:type="dxa"/>
            </w:tcMar>
          </w:tcPr>
          <w:p w:rsidR="00A44ECD" w:rsidRDefault="00A44ECD" w:rsidP="00A44ECD">
            <w:pPr>
              <w:pStyle w:val="Numeroelenco"/>
              <w:numPr>
                <w:ilvl w:val="0"/>
                <w:numId w:val="0"/>
              </w:numPr>
              <w:ind w:left="142"/>
              <w:rPr>
                <w:lang w:val="it-IT"/>
              </w:rPr>
            </w:pPr>
          </w:p>
        </w:tc>
        <w:tc>
          <w:tcPr>
            <w:tcW w:w="851" w:type="dxa"/>
            <w:tcMar>
              <w:left w:w="108" w:type="dxa"/>
              <w:right w:w="0" w:type="dxa"/>
            </w:tcMar>
          </w:tcPr>
          <w:p w:rsidR="00A44ECD" w:rsidRDefault="00A44ECD" w:rsidP="00A44ECD">
            <w:pPr>
              <w:pStyle w:val="IAS"/>
              <w:rPr>
                <w:lang w:val="it-IT"/>
              </w:rPr>
            </w:pPr>
          </w:p>
        </w:tc>
        <w:tc>
          <w:tcPr>
            <w:tcW w:w="7079" w:type="dxa"/>
            <w:tcMar>
              <w:left w:w="108" w:type="dxa"/>
            </w:tcMar>
          </w:tcPr>
          <w:p w:rsidR="00A44ECD" w:rsidRPr="002B6200" w:rsidRDefault="00A44ECD" w:rsidP="00A44ECD">
            <w:pPr>
              <w:pStyle w:val="Rientroa"/>
              <w:numPr>
                <w:ilvl w:val="0"/>
                <w:numId w:val="288"/>
              </w:numPr>
              <w:spacing w:line="210" w:lineRule="exact"/>
            </w:pPr>
            <w:r w:rsidRPr="002B6200">
              <w:t>i ricavi rilevati nel corso dell'esercizio inclusi nel saldo di apertura delle passività derivanti da contratti all'inizio dell'esercizio e</w:t>
            </w:r>
          </w:p>
        </w:tc>
        <w:tc>
          <w:tcPr>
            <w:tcW w:w="575" w:type="dxa"/>
            <w:tcMar>
              <w:left w:w="85" w:type="dxa"/>
              <w:right w:w="85"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44ECD" w:rsidRPr="006C2B1A" w:rsidTr="00F235B5">
        <w:trPr>
          <w:cantSplit/>
        </w:trPr>
        <w:tc>
          <w:tcPr>
            <w:tcW w:w="567" w:type="dxa"/>
            <w:tcMar>
              <w:left w:w="108" w:type="dxa"/>
              <w:right w:w="0" w:type="dxa"/>
            </w:tcMar>
          </w:tcPr>
          <w:p w:rsidR="00A44ECD" w:rsidRDefault="00A44ECD" w:rsidP="00A44ECD">
            <w:pPr>
              <w:pStyle w:val="Numeroelenco"/>
              <w:numPr>
                <w:ilvl w:val="0"/>
                <w:numId w:val="0"/>
              </w:numPr>
              <w:ind w:left="142"/>
              <w:rPr>
                <w:lang w:val="it-IT"/>
              </w:rPr>
            </w:pPr>
          </w:p>
        </w:tc>
        <w:tc>
          <w:tcPr>
            <w:tcW w:w="851" w:type="dxa"/>
            <w:tcMar>
              <w:left w:w="108" w:type="dxa"/>
              <w:right w:w="0" w:type="dxa"/>
            </w:tcMar>
          </w:tcPr>
          <w:p w:rsidR="00A44ECD" w:rsidRDefault="00A44ECD" w:rsidP="00A44ECD">
            <w:pPr>
              <w:pStyle w:val="IAS"/>
              <w:rPr>
                <w:lang w:val="it-IT"/>
              </w:rPr>
            </w:pPr>
          </w:p>
        </w:tc>
        <w:tc>
          <w:tcPr>
            <w:tcW w:w="7079" w:type="dxa"/>
            <w:tcMar>
              <w:left w:w="108" w:type="dxa"/>
            </w:tcMar>
          </w:tcPr>
          <w:p w:rsidR="00A44ECD" w:rsidRPr="002B6200" w:rsidRDefault="00A44ECD" w:rsidP="00A44ECD">
            <w:pPr>
              <w:pStyle w:val="Rientroa"/>
              <w:numPr>
                <w:ilvl w:val="0"/>
                <w:numId w:val="288"/>
              </w:numPr>
              <w:spacing w:line="210" w:lineRule="exact"/>
            </w:pPr>
            <w:r w:rsidRPr="002B6200">
              <w:t>i ricavi rilevati nel corso dell'esercizio derivanti da obbligazioni di fare adempiute (o parzialmente adempiute) in esercizi precedenti (per esempio, modifiche del prezzo dell'operazione).</w:t>
            </w:r>
          </w:p>
        </w:tc>
        <w:tc>
          <w:tcPr>
            <w:tcW w:w="575" w:type="dxa"/>
            <w:tcMar>
              <w:left w:w="85" w:type="dxa"/>
              <w:right w:w="85"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44ECD" w:rsidRPr="006C2B1A" w:rsidTr="00F235B5">
        <w:trPr>
          <w:cantSplit/>
        </w:trPr>
        <w:tc>
          <w:tcPr>
            <w:tcW w:w="567" w:type="dxa"/>
            <w:tcMar>
              <w:left w:w="108" w:type="dxa"/>
              <w:right w:w="0" w:type="dxa"/>
            </w:tcMar>
          </w:tcPr>
          <w:p w:rsidR="00A44ECD" w:rsidRDefault="00A44ECD" w:rsidP="00A44ECD">
            <w:pPr>
              <w:pStyle w:val="Numeroelenco"/>
              <w:ind w:left="0" w:firstLine="57"/>
              <w:rPr>
                <w:lang w:val="it-IT"/>
              </w:rPr>
            </w:pPr>
          </w:p>
        </w:tc>
        <w:tc>
          <w:tcPr>
            <w:tcW w:w="851" w:type="dxa"/>
            <w:tcMar>
              <w:left w:w="108" w:type="dxa"/>
              <w:right w:w="0" w:type="dxa"/>
            </w:tcMar>
          </w:tcPr>
          <w:p w:rsidR="00A44ECD" w:rsidRDefault="00A44ECD" w:rsidP="00A44ECD">
            <w:pPr>
              <w:pStyle w:val="IAS"/>
              <w:rPr>
                <w:lang w:val="it-IT"/>
              </w:rPr>
            </w:pPr>
            <w:r>
              <w:rPr>
                <w:lang w:val="it-IT"/>
              </w:rPr>
              <w:t>IFRS 15.117</w:t>
            </w:r>
          </w:p>
        </w:tc>
        <w:tc>
          <w:tcPr>
            <w:tcW w:w="7079" w:type="dxa"/>
            <w:tcMar>
              <w:left w:w="108" w:type="dxa"/>
            </w:tcMar>
          </w:tcPr>
          <w:p w:rsidR="00A44ECD" w:rsidRPr="006A18CC" w:rsidRDefault="00A44ECD" w:rsidP="00A44ECD">
            <w:pPr>
              <w:spacing w:line="226" w:lineRule="exact"/>
              <w:rPr>
                <w:sz w:val="19"/>
                <w:szCs w:val="19"/>
                <w:lang w:val="it-IT"/>
              </w:rPr>
            </w:pPr>
            <w:r w:rsidRPr="002B6200">
              <w:rPr>
                <w:sz w:val="19"/>
                <w:szCs w:val="19"/>
                <w:lang w:val="it-IT"/>
              </w:rPr>
              <w:t xml:space="preserve">L'entità deve spiegare il rapporto tra il momento in cui essa adempie le sue obbligazioni di fare </w:t>
            </w:r>
            <w:r>
              <w:rPr>
                <w:sz w:val="19"/>
                <w:szCs w:val="19"/>
                <w:lang w:val="it-IT"/>
              </w:rPr>
              <w:t>[</w:t>
            </w:r>
            <w:r w:rsidRPr="002B6200">
              <w:rPr>
                <w:sz w:val="19"/>
                <w:szCs w:val="19"/>
                <w:lang w:val="it-IT"/>
              </w:rPr>
              <w:t xml:space="preserve">cfr. paragrafo 119, lettera a)] e i termini abituali del pagamento </w:t>
            </w:r>
            <w:r>
              <w:rPr>
                <w:sz w:val="19"/>
                <w:szCs w:val="19"/>
                <w:lang w:val="it-IT"/>
              </w:rPr>
              <w:t>[</w:t>
            </w:r>
            <w:r w:rsidRPr="002B6200">
              <w:rPr>
                <w:sz w:val="19"/>
                <w:szCs w:val="19"/>
                <w:lang w:val="it-IT"/>
              </w:rPr>
              <w:t xml:space="preserve">cfr. paragrafo 119, lettera b)], e gli effetti che ne derivano sui saldi delle attività e delle passività derivanti da contratti. </w:t>
            </w:r>
            <w:r w:rsidRPr="00A44ECD">
              <w:rPr>
                <w:sz w:val="19"/>
                <w:szCs w:val="19"/>
                <w:lang w:val="it-IT"/>
              </w:rPr>
              <w:t>A sostegno della spiegazione possono essere utilizzate informazioni qualitative.</w:t>
            </w:r>
          </w:p>
        </w:tc>
        <w:tc>
          <w:tcPr>
            <w:tcW w:w="575" w:type="dxa"/>
            <w:tcMar>
              <w:left w:w="85" w:type="dxa"/>
              <w:right w:w="85"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44ECD" w:rsidRPr="00A44ECD" w:rsidTr="00F235B5">
        <w:trPr>
          <w:cantSplit/>
        </w:trPr>
        <w:tc>
          <w:tcPr>
            <w:tcW w:w="567" w:type="dxa"/>
            <w:tcMar>
              <w:left w:w="108" w:type="dxa"/>
              <w:right w:w="0" w:type="dxa"/>
            </w:tcMar>
          </w:tcPr>
          <w:p w:rsidR="00A44ECD" w:rsidRDefault="00A44ECD" w:rsidP="00A44ECD">
            <w:pPr>
              <w:pStyle w:val="Numeroelenco"/>
              <w:ind w:left="0" w:firstLine="57"/>
              <w:rPr>
                <w:lang w:val="it-IT"/>
              </w:rPr>
            </w:pPr>
          </w:p>
        </w:tc>
        <w:tc>
          <w:tcPr>
            <w:tcW w:w="851" w:type="dxa"/>
            <w:tcMar>
              <w:left w:w="108" w:type="dxa"/>
              <w:right w:w="0" w:type="dxa"/>
            </w:tcMar>
          </w:tcPr>
          <w:p w:rsidR="00A44ECD" w:rsidRDefault="00A44ECD" w:rsidP="00A44ECD">
            <w:pPr>
              <w:pStyle w:val="IAS"/>
              <w:rPr>
                <w:lang w:val="it-IT"/>
              </w:rPr>
            </w:pPr>
            <w:r>
              <w:rPr>
                <w:lang w:val="it-IT"/>
              </w:rPr>
              <w:t>IFRS 15.118</w:t>
            </w:r>
          </w:p>
        </w:tc>
        <w:tc>
          <w:tcPr>
            <w:tcW w:w="7079" w:type="dxa"/>
            <w:tcMar>
              <w:left w:w="108" w:type="dxa"/>
            </w:tcMar>
          </w:tcPr>
          <w:p w:rsidR="00A44ECD" w:rsidRPr="006A18CC" w:rsidRDefault="00A44ECD" w:rsidP="00A44ECD">
            <w:pPr>
              <w:spacing w:line="226" w:lineRule="exact"/>
              <w:rPr>
                <w:sz w:val="19"/>
                <w:szCs w:val="19"/>
                <w:lang w:val="it-IT"/>
              </w:rPr>
            </w:pPr>
            <w:r w:rsidRPr="002B6200">
              <w:rPr>
                <w:sz w:val="19"/>
                <w:szCs w:val="19"/>
                <w:lang w:val="it-IT"/>
              </w:rPr>
              <w:t>L'entità deve spiegare le variazioni significative dei saldi delle attività e delle passività derivanti da contratti nel corso dell'esercizio. A sostegno della spiegazione possono essere utilizzate informazioni qualitative e quantitative. Come esempi dei cambiamenti che interessano i saldi delle attività e passività derivanti da contratti dell'entità si possono citare i seguenti:</w:t>
            </w:r>
          </w:p>
        </w:tc>
        <w:tc>
          <w:tcPr>
            <w:tcW w:w="575" w:type="dxa"/>
            <w:tcMar>
              <w:left w:w="85" w:type="dxa"/>
              <w:right w:w="85" w:type="dxa"/>
            </w:tcMar>
            <w:vAlign w:val="center"/>
          </w:tcPr>
          <w:p w:rsidR="00A44ECD" w:rsidRPr="002B6200" w:rsidRDefault="00A44ECD" w:rsidP="00A44ECD">
            <w:pPr>
              <w:jc w:val="center"/>
              <w:rPr>
                <w:lang w:val="it-IT"/>
              </w:rPr>
            </w:pPr>
          </w:p>
        </w:tc>
        <w:tc>
          <w:tcPr>
            <w:tcW w:w="567" w:type="dxa"/>
            <w:tcMar>
              <w:left w:w="108" w:type="dxa"/>
            </w:tcMar>
            <w:vAlign w:val="center"/>
          </w:tcPr>
          <w:p w:rsidR="00A44ECD" w:rsidRPr="002B6200" w:rsidRDefault="00A44ECD" w:rsidP="00A44ECD">
            <w:pPr>
              <w:jc w:val="center"/>
              <w:rPr>
                <w:lang w:val="it-IT"/>
              </w:rPr>
            </w:pPr>
          </w:p>
        </w:tc>
        <w:tc>
          <w:tcPr>
            <w:tcW w:w="567" w:type="dxa"/>
            <w:tcMar>
              <w:left w:w="108" w:type="dxa"/>
            </w:tcMar>
            <w:vAlign w:val="center"/>
          </w:tcPr>
          <w:p w:rsidR="00A44ECD" w:rsidRPr="002B6200" w:rsidRDefault="00A44ECD" w:rsidP="00A44ECD">
            <w:pPr>
              <w:jc w:val="center"/>
              <w:rPr>
                <w:lang w:val="it-IT"/>
              </w:rPr>
            </w:pPr>
          </w:p>
        </w:tc>
      </w:tr>
      <w:tr w:rsidR="00A44ECD" w:rsidRPr="006C2B1A" w:rsidTr="00F235B5">
        <w:trPr>
          <w:cantSplit/>
        </w:trPr>
        <w:tc>
          <w:tcPr>
            <w:tcW w:w="567" w:type="dxa"/>
            <w:tcMar>
              <w:left w:w="108" w:type="dxa"/>
              <w:right w:w="0" w:type="dxa"/>
            </w:tcMar>
          </w:tcPr>
          <w:p w:rsidR="00A44ECD" w:rsidRDefault="00A44ECD" w:rsidP="00A44ECD">
            <w:pPr>
              <w:pStyle w:val="Numeroelenco"/>
              <w:numPr>
                <w:ilvl w:val="0"/>
                <w:numId w:val="0"/>
              </w:numPr>
              <w:ind w:left="142"/>
              <w:rPr>
                <w:lang w:val="it-IT"/>
              </w:rPr>
            </w:pPr>
          </w:p>
        </w:tc>
        <w:tc>
          <w:tcPr>
            <w:tcW w:w="851" w:type="dxa"/>
            <w:tcMar>
              <w:left w:w="108" w:type="dxa"/>
              <w:right w:w="0" w:type="dxa"/>
            </w:tcMar>
          </w:tcPr>
          <w:p w:rsidR="00A44ECD" w:rsidRDefault="00A44ECD" w:rsidP="00A44ECD">
            <w:pPr>
              <w:pStyle w:val="IAS"/>
              <w:rPr>
                <w:lang w:val="it-IT"/>
              </w:rPr>
            </w:pPr>
          </w:p>
        </w:tc>
        <w:tc>
          <w:tcPr>
            <w:tcW w:w="7079" w:type="dxa"/>
            <w:tcMar>
              <w:left w:w="108" w:type="dxa"/>
            </w:tcMar>
          </w:tcPr>
          <w:p w:rsidR="00A44ECD" w:rsidRPr="002B6200" w:rsidRDefault="00A44ECD" w:rsidP="00A44ECD">
            <w:pPr>
              <w:pStyle w:val="Rientroa"/>
              <w:numPr>
                <w:ilvl w:val="0"/>
                <w:numId w:val="289"/>
              </w:numPr>
              <w:spacing w:line="210" w:lineRule="exact"/>
            </w:pPr>
            <w:r w:rsidRPr="002B6200">
              <w:t>i cambiamenti dovuti alle aggregazioni aziendali;</w:t>
            </w:r>
          </w:p>
        </w:tc>
        <w:tc>
          <w:tcPr>
            <w:tcW w:w="575" w:type="dxa"/>
            <w:tcMar>
              <w:left w:w="85" w:type="dxa"/>
              <w:right w:w="85"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44ECD" w:rsidRPr="006C2B1A" w:rsidTr="00F235B5">
        <w:trPr>
          <w:cantSplit/>
        </w:trPr>
        <w:tc>
          <w:tcPr>
            <w:tcW w:w="567" w:type="dxa"/>
            <w:tcMar>
              <w:left w:w="108" w:type="dxa"/>
              <w:right w:w="0" w:type="dxa"/>
            </w:tcMar>
          </w:tcPr>
          <w:p w:rsidR="00A44ECD" w:rsidRDefault="00A44ECD" w:rsidP="00A44ECD">
            <w:pPr>
              <w:pStyle w:val="Numeroelenco"/>
              <w:numPr>
                <w:ilvl w:val="0"/>
                <w:numId w:val="0"/>
              </w:numPr>
              <w:ind w:left="142"/>
              <w:rPr>
                <w:lang w:val="it-IT"/>
              </w:rPr>
            </w:pPr>
          </w:p>
        </w:tc>
        <w:tc>
          <w:tcPr>
            <w:tcW w:w="851" w:type="dxa"/>
            <w:tcMar>
              <w:left w:w="108" w:type="dxa"/>
              <w:right w:w="0" w:type="dxa"/>
            </w:tcMar>
          </w:tcPr>
          <w:p w:rsidR="00A44ECD" w:rsidRDefault="00A44ECD" w:rsidP="00A44ECD">
            <w:pPr>
              <w:pStyle w:val="IAS"/>
              <w:rPr>
                <w:lang w:val="it-IT"/>
              </w:rPr>
            </w:pPr>
          </w:p>
        </w:tc>
        <w:tc>
          <w:tcPr>
            <w:tcW w:w="7079" w:type="dxa"/>
            <w:tcMar>
              <w:left w:w="108" w:type="dxa"/>
            </w:tcMar>
          </w:tcPr>
          <w:p w:rsidR="00A44ECD" w:rsidRPr="002B6200" w:rsidRDefault="00A44ECD" w:rsidP="00A44ECD">
            <w:pPr>
              <w:pStyle w:val="Rientroa"/>
              <w:numPr>
                <w:ilvl w:val="0"/>
                <w:numId w:val="289"/>
              </w:numPr>
              <w:spacing w:line="210" w:lineRule="exact"/>
            </w:pPr>
            <w:r w:rsidRPr="002B6200">
              <w:t>gli adeguamenti dei ricavi su base cumulativa che incidono sulle corrispondenti attività derivanti da contratto o passività derivanti da contratto, in particolare gli adeguamenti dovuti a una modifica della valutazione dei progressi, a una modifica della stima del prezzo dell'operazione (inclusa l'eventuale modifica della valutazione riguardante la limitazione della stima del corrispettivo variabile) o a una modifica del contratto;</w:t>
            </w:r>
          </w:p>
        </w:tc>
        <w:tc>
          <w:tcPr>
            <w:tcW w:w="575" w:type="dxa"/>
            <w:tcMar>
              <w:left w:w="85" w:type="dxa"/>
              <w:right w:w="85"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44ECD" w:rsidRPr="006C2B1A" w:rsidTr="00F235B5">
        <w:trPr>
          <w:cantSplit/>
        </w:trPr>
        <w:tc>
          <w:tcPr>
            <w:tcW w:w="567" w:type="dxa"/>
            <w:tcMar>
              <w:left w:w="108" w:type="dxa"/>
              <w:right w:w="0" w:type="dxa"/>
            </w:tcMar>
          </w:tcPr>
          <w:p w:rsidR="00A44ECD" w:rsidRDefault="00A44ECD" w:rsidP="00A44ECD">
            <w:pPr>
              <w:pStyle w:val="Numeroelenco"/>
              <w:numPr>
                <w:ilvl w:val="0"/>
                <w:numId w:val="0"/>
              </w:numPr>
              <w:ind w:left="142"/>
              <w:rPr>
                <w:lang w:val="it-IT"/>
              </w:rPr>
            </w:pPr>
          </w:p>
        </w:tc>
        <w:tc>
          <w:tcPr>
            <w:tcW w:w="851" w:type="dxa"/>
            <w:tcMar>
              <w:left w:w="108" w:type="dxa"/>
              <w:right w:w="0" w:type="dxa"/>
            </w:tcMar>
          </w:tcPr>
          <w:p w:rsidR="00A44ECD" w:rsidRDefault="00A44ECD" w:rsidP="00A44ECD">
            <w:pPr>
              <w:pStyle w:val="IAS"/>
              <w:rPr>
                <w:lang w:val="it-IT"/>
              </w:rPr>
            </w:pPr>
          </w:p>
        </w:tc>
        <w:tc>
          <w:tcPr>
            <w:tcW w:w="7079" w:type="dxa"/>
            <w:tcMar>
              <w:left w:w="108" w:type="dxa"/>
            </w:tcMar>
          </w:tcPr>
          <w:p w:rsidR="00A44ECD" w:rsidRPr="002B6200" w:rsidRDefault="00A44ECD" w:rsidP="00A44ECD">
            <w:pPr>
              <w:pStyle w:val="Rientroa"/>
              <w:numPr>
                <w:ilvl w:val="0"/>
                <w:numId w:val="289"/>
              </w:numPr>
              <w:spacing w:line="210" w:lineRule="exact"/>
            </w:pPr>
            <w:r w:rsidRPr="002B6200">
              <w:t>la riduzione di valore dell'attività derivante da contratto;</w:t>
            </w:r>
          </w:p>
        </w:tc>
        <w:tc>
          <w:tcPr>
            <w:tcW w:w="575" w:type="dxa"/>
            <w:tcMar>
              <w:left w:w="85" w:type="dxa"/>
              <w:right w:w="85"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44ECD" w:rsidRPr="006C2B1A" w:rsidTr="00F235B5">
        <w:trPr>
          <w:cantSplit/>
        </w:trPr>
        <w:tc>
          <w:tcPr>
            <w:tcW w:w="567" w:type="dxa"/>
            <w:tcMar>
              <w:left w:w="108" w:type="dxa"/>
              <w:right w:w="0" w:type="dxa"/>
            </w:tcMar>
          </w:tcPr>
          <w:p w:rsidR="00A44ECD" w:rsidRDefault="00A44ECD" w:rsidP="00A44ECD">
            <w:pPr>
              <w:pStyle w:val="Numeroelenco"/>
              <w:numPr>
                <w:ilvl w:val="0"/>
                <w:numId w:val="0"/>
              </w:numPr>
              <w:ind w:left="142"/>
              <w:rPr>
                <w:lang w:val="it-IT"/>
              </w:rPr>
            </w:pPr>
          </w:p>
        </w:tc>
        <w:tc>
          <w:tcPr>
            <w:tcW w:w="851" w:type="dxa"/>
            <w:tcMar>
              <w:left w:w="108" w:type="dxa"/>
              <w:right w:w="0" w:type="dxa"/>
            </w:tcMar>
          </w:tcPr>
          <w:p w:rsidR="00A44ECD" w:rsidRDefault="00A44ECD" w:rsidP="00A44ECD">
            <w:pPr>
              <w:pStyle w:val="IAS"/>
              <w:rPr>
                <w:lang w:val="it-IT"/>
              </w:rPr>
            </w:pPr>
          </w:p>
        </w:tc>
        <w:tc>
          <w:tcPr>
            <w:tcW w:w="7079" w:type="dxa"/>
            <w:tcMar>
              <w:left w:w="108" w:type="dxa"/>
            </w:tcMar>
          </w:tcPr>
          <w:p w:rsidR="00A44ECD" w:rsidRPr="002B6200" w:rsidRDefault="00A44ECD" w:rsidP="00A44ECD">
            <w:pPr>
              <w:pStyle w:val="Rientroa"/>
              <w:numPr>
                <w:ilvl w:val="0"/>
                <w:numId w:val="289"/>
              </w:numPr>
              <w:spacing w:line="210" w:lineRule="exact"/>
            </w:pPr>
            <w:r w:rsidRPr="002B6200">
              <w:t>la modifica dei tempi necessari perché il diritto al corrispettivo diventi incondizionato (vale a dire, perché l'attività derivante da contratto sia riclassificata come credito) e</w:t>
            </w:r>
          </w:p>
        </w:tc>
        <w:tc>
          <w:tcPr>
            <w:tcW w:w="575" w:type="dxa"/>
            <w:tcMar>
              <w:left w:w="85" w:type="dxa"/>
              <w:right w:w="85"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44ECD" w:rsidRPr="006C2B1A" w:rsidTr="00F235B5">
        <w:trPr>
          <w:cantSplit/>
        </w:trPr>
        <w:tc>
          <w:tcPr>
            <w:tcW w:w="567" w:type="dxa"/>
            <w:tcMar>
              <w:left w:w="108" w:type="dxa"/>
              <w:right w:w="0" w:type="dxa"/>
            </w:tcMar>
          </w:tcPr>
          <w:p w:rsidR="00A44ECD" w:rsidRDefault="00A44ECD" w:rsidP="00A44ECD">
            <w:pPr>
              <w:pStyle w:val="Numeroelenco"/>
              <w:numPr>
                <w:ilvl w:val="0"/>
                <w:numId w:val="0"/>
              </w:numPr>
              <w:ind w:left="142"/>
              <w:rPr>
                <w:lang w:val="it-IT"/>
              </w:rPr>
            </w:pPr>
          </w:p>
        </w:tc>
        <w:tc>
          <w:tcPr>
            <w:tcW w:w="851" w:type="dxa"/>
            <w:tcMar>
              <w:left w:w="108" w:type="dxa"/>
              <w:right w:w="0" w:type="dxa"/>
            </w:tcMar>
          </w:tcPr>
          <w:p w:rsidR="00A44ECD" w:rsidRDefault="00A44ECD" w:rsidP="00A44ECD">
            <w:pPr>
              <w:pStyle w:val="IAS"/>
              <w:rPr>
                <w:lang w:val="it-IT"/>
              </w:rPr>
            </w:pPr>
          </w:p>
        </w:tc>
        <w:tc>
          <w:tcPr>
            <w:tcW w:w="7079" w:type="dxa"/>
            <w:tcMar>
              <w:left w:w="108" w:type="dxa"/>
            </w:tcMar>
          </w:tcPr>
          <w:p w:rsidR="00A44ECD" w:rsidRPr="002B6200" w:rsidRDefault="00A44ECD" w:rsidP="00A44ECD">
            <w:pPr>
              <w:pStyle w:val="Rientroa"/>
              <w:numPr>
                <w:ilvl w:val="0"/>
                <w:numId w:val="289"/>
              </w:numPr>
              <w:spacing w:line="210" w:lineRule="exact"/>
            </w:pPr>
            <w:r w:rsidRPr="002B6200">
              <w:t>la modifica dei tempi necessari perché l'obbligazione di fare sia adempiuta (ossia per la rilevazione dei ricavi provenienti da una passività derivante da contratto).</w:t>
            </w:r>
          </w:p>
        </w:tc>
        <w:tc>
          <w:tcPr>
            <w:tcW w:w="575" w:type="dxa"/>
            <w:tcMar>
              <w:left w:w="85" w:type="dxa"/>
              <w:right w:w="85"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44ECD" w:rsidRPr="006C2B1A" w:rsidTr="00F235B5">
        <w:trPr>
          <w:cantSplit/>
        </w:trPr>
        <w:tc>
          <w:tcPr>
            <w:tcW w:w="567" w:type="dxa"/>
            <w:tcMar>
              <w:left w:w="108" w:type="dxa"/>
              <w:right w:w="0" w:type="dxa"/>
            </w:tcMar>
          </w:tcPr>
          <w:p w:rsidR="00A44ECD" w:rsidRDefault="00A44ECD" w:rsidP="00A44ECD">
            <w:pPr>
              <w:pStyle w:val="Numeroelenco"/>
              <w:numPr>
                <w:ilvl w:val="0"/>
                <w:numId w:val="0"/>
              </w:numPr>
              <w:ind w:left="142"/>
              <w:rPr>
                <w:lang w:val="it-IT"/>
              </w:rPr>
            </w:pPr>
          </w:p>
        </w:tc>
        <w:tc>
          <w:tcPr>
            <w:tcW w:w="851" w:type="dxa"/>
            <w:tcMar>
              <w:left w:w="108" w:type="dxa"/>
              <w:right w:w="0" w:type="dxa"/>
            </w:tcMar>
          </w:tcPr>
          <w:p w:rsidR="00A44ECD" w:rsidRDefault="00A44ECD" w:rsidP="00A44ECD">
            <w:pPr>
              <w:pStyle w:val="IAS"/>
              <w:rPr>
                <w:lang w:val="it-IT"/>
              </w:rPr>
            </w:pPr>
          </w:p>
        </w:tc>
        <w:tc>
          <w:tcPr>
            <w:tcW w:w="7079" w:type="dxa"/>
            <w:tcMar>
              <w:left w:w="108" w:type="dxa"/>
            </w:tcMar>
          </w:tcPr>
          <w:p w:rsidR="00A44ECD" w:rsidRPr="006A18CC" w:rsidRDefault="00080517" w:rsidP="00A44ECD">
            <w:pPr>
              <w:spacing w:line="226" w:lineRule="exact"/>
              <w:rPr>
                <w:sz w:val="19"/>
                <w:szCs w:val="19"/>
                <w:lang w:val="it-IT"/>
              </w:rPr>
            </w:pPr>
            <w:r>
              <w:rPr>
                <w:i/>
                <w:iCs/>
                <w:sz w:val="19"/>
                <w:szCs w:val="19"/>
              </w:rPr>
              <w:t xml:space="preserve">Obbligazione </w:t>
            </w:r>
            <w:r w:rsidR="00A44ECD">
              <w:rPr>
                <w:i/>
                <w:iCs/>
                <w:sz w:val="19"/>
                <w:szCs w:val="19"/>
              </w:rPr>
              <w:t>di fare</w:t>
            </w:r>
          </w:p>
        </w:tc>
        <w:tc>
          <w:tcPr>
            <w:tcW w:w="575" w:type="dxa"/>
            <w:tcMar>
              <w:left w:w="85" w:type="dxa"/>
              <w:right w:w="85" w:type="dxa"/>
            </w:tcMar>
            <w:vAlign w:val="center"/>
          </w:tcPr>
          <w:p w:rsidR="00A44ECD" w:rsidRPr="006A18CC" w:rsidRDefault="00A44ECD" w:rsidP="00A44ECD">
            <w:pPr>
              <w:jc w:val="center"/>
              <w:rPr>
                <w:lang w:val="it-IT"/>
              </w:rPr>
            </w:pPr>
          </w:p>
        </w:tc>
        <w:tc>
          <w:tcPr>
            <w:tcW w:w="567" w:type="dxa"/>
            <w:tcMar>
              <w:left w:w="108" w:type="dxa"/>
            </w:tcMar>
            <w:vAlign w:val="center"/>
          </w:tcPr>
          <w:p w:rsidR="00A44ECD" w:rsidRPr="006A18CC" w:rsidRDefault="00A44ECD" w:rsidP="00A44ECD">
            <w:pPr>
              <w:jc w:val="center"/>
              <w:rPr>
                <w:lang w:val="it-IT"/>
              </w:rPr>
            </w:pPr>
          </w:p>
        </w:tc>
        <w:tc>
          <w:tcPr>
            <w:tcW w:w="567" w:type="dxa"/>
            <w:tcMar>
              <w:left w:w="108" w:type="dxa"/>
            </w:tcMar>
            <w:vAlign w:val="center"/>
          </w:tcPr>
          <w:p w:rsidR="00A44ECD" w:rsidRPr="006A18CC" w:rsidRDefault="00A44ECD" w:rsidP="00A44ECD">
            <w:pPr>
              <w:jc w:val="center"/>
              <w:rPr>
                <w:lang w:val="it-IT"/>
              </w:rPr>
            </w:pPr>
          </w:p>
        </w:tc>
      </w:tr>
      <w:tr w:rsidR="00A44ECD" w:rsidRPr="00A44ECD" w:rsidTr="00F235B5">
        <w:trPr>
          <w:cantSplit/>
        </w:trPr>
        <w:tc>
          <w:tcPr>
            <w:tcW w:w="567" w:type="dxa"/>
            <w:tcMar>
              <w:left w:w="108" w:type="dxa"/>
              <w:right w:w="0" w:type="dxa"/>
            </w:tcMar>
          </w:tcPr>
          <w:p w:rsidR="00A44ECD" w:rsidRDefault="00A44ECD" w:rsidP="00A44ECD">
            <w:pPr>
              <w:pStyle w:val="Numeroelenco"/>
              <w:ind w:left="0" w:firstLine="57"/>
              <w:rPr>
                <w:lang w:val="it-IT"/>
              </w:rPr>
            </w:pPr>
          </w:p>
        </w:tc>
        <w:tc>
          <w:tcPr>
            <w:tcW w:w="851" w:type="dxa"/>
            <w:tcMar>
              <w:left w:w="108" w:type="dxa"/>
              <w:right w:w="0" w:type="dxa"/>
            </w:tcMar>
          </w:tcPr>
          <w:p w:rsidR="00A44ECD" w:rsidRDefault="00A44ECD" w:rsidP="00A44ECD">
            <w:pPr>
              <w:pStyle w:val="IAS"/>
              <w:rPr>
                <w:lang w:val="it-IT"/>
              </w:rPr>
            </w:pPr>
            <w:r>
              <w:rPr>
                <w:lang w:val="it-IT"/>
              </w:rPr>
              <w:t>IFRS 15.119</w:t>
            </w:r>
          </w:p>
        </w:tc>
        <w:tc>
          <w:tcPr>
            <w:tcW w:w="7079" w:type="dxa"/>
            <w:tcMar>
              <w:left w:w="108" w:type="dxa"/>
            </w:tcMar>
          </w:tcPr>
          <w:p w:rsidR="00A44ECD" w:rsidRPr="006A18CC" w:rsidRDefault="00A44ECD" w:rsidP="00A44ECD">
            <w:pPr>
              <w:spacing w:line="226" w:lineRule="exact"/>
              <w:rPr>
                <w:sz w:val="19"/>
                <w:szCs w:val="19"/>
                <w:lang w:val="it-IT"/>
              </w:rPr>
            </w:pPr>
            <w:r w:rsidRPr="002B6200">
              <w:rPr>
                <w:sz w:val="19"/>
                <w:szCs w:val="19"/>
                <w:lang w:val="it-IT"/>
              </w:rPr>
              <w:t>L'entità deve fornire informazioni in merito alle sue obbligazioni di fare nei contratti con i clienti, compresa la descrizione di tutti gli elementi seguenti:</w:t>
            </w:r>
          </w:p>
        </w:tc>
        <w:tc>
          <w:tcPr>
            <w:tcW w:w="575" w:type="dxa"/>
            <w:tcMar>
              <w:left w:w="85" w:type="dxa"/>
              <w:right w:w="85" w:type="dxa"/>
            </w:tcMar>
            <w:vAlign w:val="center"/>
          </w:tcPr>
          <w:p w:rsidR="00A44ECD" w:rsidRPr="006A18CC" w:rsidRDefault="00A44ECD" w:rsidP="00A44ECD">
            <w:pPr>
              <w:jc w:val="center"/>
              <w:rPr>
                <w:lang w:val="it-IT"/>
              </w:rPr>
            </w:pPr>
          </w:p>
        </w:tc>
        <w:tc>
          <w:tcPr>
            <w:tcW w:w="567" w:type="dxa"/>
            <w:tcMar>
              <w:left w:w="108" w:type="dxa"/>
            </w:tcMar>
            <w:vAlign w:val="center"/>
          </w:tcPr>
          <w:p w:rsidR="00A44ECD" w:rsidRPr="006A18CC" w:rsidRDefault="00A44ECD" w:rsidP="00A44ECD">
            <w:pPr>
              <w:jc w:val="center"/>
              <w:rPr>
                <w:lang w:val="it-IT"/>
              </w:rPr>
            </w:pPr>
          </w:p>
        </w:tc>
        <w:tc>
          <w:tcPr>
            <w:tcW w:w="567" w:type="dxa"/>
            <w:tcMar>
              <w:left w:w="108" w:type="dxa"/>
            </w:tcMar>
            <w:vAlign w:val="center"/>
          </w:tcPr>
          <w:p w:rsidR="00A44ECD" w:rsidRPr="006A18CC" w:rsidRDefault="00A44ECD" w:rsidP="00A44ECD">
            <w:pPr>
              <w:jc w:val="center"/>
              <w:rPr>
                <w:lang w:val="it-IT"/>
              </w:rPr>
            </w:pPr>
          </w:p>
        </w:tc>
      </w:tr>
      <w:tr w:rsidR="00A44ECD" w:rsidRPr="006C2B1A" w:rsidTr="00F235B5">
        <w:trPr>
          <w:cantSplit/>
        </w:trPr>
        <w:tc>
          <w:tcPr>
            <w:tcW w:w="567" w:type="dxa"/>
            <w:tcMar>
              <w:left w:w="108" w:type="dxa"/>
              <w:right w:w="0" w:type="dxa"/>
            </w:tcMar>
          </w:tcPr>
          <w:p w:rsidR="00A44ECD" w:rsidRDefault="00A44ECD" w:rsidP="00A44ECD">
            <w:pPr>
              <w:pStyle w:val="Numeroelenco"/>
              <w:numPr>
                <w:ilvl w:val="0"/>
                <w:numId w:val="0"/>
              </w:numPr>
              <w:ind w:left="57"/>
              <w:rPr>
                <w:lang w:val="it-IT"/>
              </w:rPr>
            </w:pPr>
          </w:p>
        </w:tc>
        <w:tc>
          <w:tcPr>
            <w:tcW w:w="851" w:type="dxa"/>
            <w:tcMar>
              <w:left w:w="108" w:type="dxa"/>
              <w:right w:w="0" w:type="dxa"/>
            </w:tcMar>
          </w:tcPr>
          <w:p w:rsidR="00A44ECD" w:rsidRDefault="00A44ECD" w:rsidP="00A44ECD">
            <w:pPr>
              <w:pStyle w:val="IAS"/>
              <w:rPr>
                <w:lang w:val="it-IT"/>
              </w:rPr>
            </w:pPr>
          </w:p>
        </w:tc>
        <w:tc>
          <w:tcPr>
            <w:tcW w:w="7079" w:type="dxa"/>
            <w:tcMar>
              <w:left w:w="108" w:type="dxa"/>
            </w:tcMar>
          </w:tcPr>
          <w:p w:rsidR="00A44ECD" w:rsidRPr="002B6200" w:rsidRDefault="00A44ECD" w:rsidP="00A44ECD">
            <w:pPr>
              <w:pStyle w:val="Rientroa"/>
              <w:numPr>
                <w:ilvl w:val="0"/>
                <w:numId w:val="290"/>
              </w:numPr>
              <w:spacing w:line="210" w:lineRule="exact"/>
            </w:pPr>
            <w:r w:rsidRPr="002B6200">
              <w:t>il momento in cui di norma l'entità adempie le obbligazioni di fare (per esempio alla spedizione, alla consegna, man mano che i servizi vengono prestati o al completamento del servizio), ivi compreso nel quadro di accordi di vendita con consegna differita;</w:t>
            </w:r>
          </w:p>
        </w:tc>
        <w:tc>
          <w:tcPr>
            <w:tcW w:w="575" w:type="dxa"/>
            <w:tcMar>
              <w:left w:w="85" w:type="dxa"/>
              <w:right w:w="85"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44ECD" w:rsidRPr="006C2B1A" w:rsidTr="00F235B5">
        <w:trPr>
          <w:cantSplit/>
        </w:trPr>
        <w:tc>
          <w:tcPr>
            <w:tcW w:w="567" w:type="dxa"/>
            <w:tcMar>
              <w:left w:w="108" w:type="dxa"/>
              <w:right w:w="0" w:type="dxa"/>
            </w:tcMar>
          </w:tcPr>
          <w:p w:rsidR="00A44ECD" w:rsidRDefault="00A44ECD" w:rsidP="00A44ECD">
            <w:pPr>
              <w:pStyle w:val="Numeroelenco"/>
              <w:numPr>
                <w:ilvl w:val="0"/>
                <w:numId w:val="0"/>
              </w:numPr>
              <w:ind w:left="57"/>
              <w:rPr>
                <w:lang w:val="it-IT"/>
              </w:rPr>
            </w:pPr>
          </w:p>
        </w:tc>
        <w:tc>
          <w:tcPr>
            <w:tcW w:w="851" w:type="dxa"/>
            <w:tcMar>
              <w:left w:w="108" w:type="dxa"/>
              <w:right w:w="0" w:type="dxa"/>
            </w:tcMar>
          </w:tcPr>
          <w:p w:rsidR="00A44ECD" w:rsidRDefault="00A44ECD" w:rsidP="00A44ECD">
            <w:pPr>
              <w:pStyle w:val="IAS"/>
              <w:rPr>
                <w:lang w:val="it-IT"/>
              </w:rPr>
            </w:pPr>
          </w:p>
        </w:tc>
        <w:tc>
          <w:tcPr>
            <w:tcW w:w="7079" w:type="dxa"/>
            <w:tcMar>
              <w:left w:w="108" w:type="dxa"/>
            </w:tcMar>
          </w:tcPr>
          <w:p w:rsidR="00A44ECD" w:rsidRPr="002B6200" w:rsidRDefault="00A44ECD" w:rsidP="00A44ECD">
            <w:pPr>
              <w:pStyle w:val="Rientroa"/>
              <w:numPr>
                <w:ilvl w:val="0"/>
                <w:numId w:val="290"/>
              </w:numPr>
              <w:spacing w:line="210" w:lineRule="exact"/>
            </w:pPr>
            <w:r w:rsidRPr="002B6200">
              <w:t>le condizioni di pagamento significative (per esempio, in che momento il pagamento è di norma dovuto, se il contratto comprende una componente di finanziamento significativa, se l'importo del corrispettivo è variabile e se la stima del corrispettivo variabile è di norma soggetta a limitazione conformemente ai paragrafi 56-58);</w:t>
            </w:r>
          </w:p>
        </w:tc>
        <w:tc>
          <w:tcPr>
            <w:tcW w:w="575" w:type="dxa"/>
            <w:tcMar>
              <w:left w:w="85" w:type="dxa"/>
              <w:right w:w="85"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44ECD" w:rsidRPr="006C2B1A" w:rsidTr="00F235B5">
        <w:trPr>
          <w:cantSplit/>
        </w:trPr>
        <w:tc>
          <w:tcPr>
            <w:tcW w:w="567" w:type="dxa"/>
            <w:tcMar>
              <w:left w:w="108" w:type="dxa"/>
              <w:right w:w="0" w:type="dxa"/>
            </w:tcMar>
          </w:tcPr>
          <w:p w:rsidR="00A44ECD" w:rsidRDefault="00A44ECD" w:rsidP="00A44ECD">
            <w:pPr>
              <w:pStyle w:val="Numeroelenco"/>
              <w:numPr>
                <w:ilvl w:val="0"/>
                <w:numId w:val="0"/>
              </w:numPr>
              <w:ind w:left="57"/>
              <w:rPr>
                <w:lang w:val="it-IT"/>
              </w:rPr>
            </w:pPr>
          </w:p>
        </w:tc>
        <w:tc>
          <w:tcPr>
            <w:tcW w:w="851" w:type="dxa"/>
            <w:tcMar>
              <w:left w:w="108" w:type="dxa"/>
              <w:right w:w="0" w:type="dxa"/>
            </w:tcMar>
          </w:tcPr>
          <w:p w:rsidR="00A44ECD" w:rsidRDefault="00A44ECD" w:rsidP="00A44ECD">
            <w:pPr>
              <w:pStyle w:val="IAS"/>
              <w:rPr>
                <w:lang w:val="it-IT"/>
              </w:rPr>
            </w:pPr>
          </w:p>
        </w:tc>
        <w:tc>
          <w:tcPr>
            <w:tcW w:w="7079" w:type="dxa"/>
            <w:tcMar>
              <w:left w:w="108" w:type="dxa"/>
            </w:tcMar>
          </w:tcPr>
          <w:p w:rsidR="00A44ECD" w:rsidRPr="002B6200" w:rsidRDefault="00A44ECD" w:rsidP="00A44ECD">
            <w:pPr>
              <w:pStyle w:val="Rientroa"/>
              <w:numPr>
                <w:ilvl w:val="0"/>
                <w:numId w:val="290"/>
              </w:numPr>
              <w:spacing w:line="210" w:lineRule="exact"/>
            </w:pPr>
            <w:r w:rsidRPr="002B6200">
              <w:t>la natura dei beni o servizi che l'entità ha promesso di trasferire, indicando se le obbligazioni di fare consistono nel provvedere affinché sia una terza parte a trasferire beni o servizi (ossia quando l'entità agisce in qualità di rappresentante);</w:t>
            </w:r>
          </w:p>
        </w:tc>
        <w:tc>
          <w:tcPr>
            <w:tcW w:w="575" w:type="dxa"/>
            <w:tcMar>
              <w:left w:w="85" w:type="dxa"/>
              <w:right w:w="85"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44ECD" w:rsidRPr="006C2B1A" w:rsidTr="00F235B5">
        <w:trPr>
          <w:cantSplit/>
        </w:trPr>
        <w:tc>
          <w:tcPr>
            <w:tcW w:w="567" w:type="dxa"/>
            <w:tcMar>
              <w:left w:w="108" w:type="dxa"/>
              <w:right w:w="0" w:type="dxa"/>
            </w:tcMar>
          </w:tcPr>
          <w:p w:rsidR="00A44ECD" w:rsidRDefault="00A44ECD" w:rsidP="00A44ECD">
            <w:pPr>
              <w:pStyle w:val="Numeroelenco"/>
              <w:numPr>
                <w:ilvl w:val="0"/>
                <w:numId w:val="0"/>
              </w:numPr>
              <w:ind w:left="57"/>
              <w:rPr>
                <w:lang w:val="it-IT"/>
              </w:rPr>
            </w:pPr>
          </w:p>
        </w:tc>
        <w:tc>
          <w:tcPr>
            <w:tcW w:w="851" w:type="dxa"/>
            <w:tcMar>
              <w:left w:w="108" w:type="dxa"/>
              <w:right w:w="0" w:type="dxa"/>
            </w:tcMar>
          </w:tcPr>
          <w:p w:rsidR="00A44ECD" w:rsidRDefault="00A44ECD" w:rsidP="00A44ECD">
            <w:pPr>
              <w:pStyle w:val="IAS"/>
              <w:rPr>
                <w:lang w:val="it-IT"/>
              </w:rPr>
            </w:pPr>
          </w:p>
        </w:tc>
        <w:tc>
          <w:tcPr>
            <w:tcW w:w="7079" w:type="dxa"/>
            <w:tcMar>
              <w:left w:w="108" w:type="dxa"/>
            </w:tcMar>
          </w:tcPr>
          <w:p w:rsidR="00A44ECD" w:rsidRPr="002B6200" w:rsidRDefault="00A44ECD" w:rsidP="00A44ECD">
            <w:pPr>
              <w:pStyle w:val="Rientroa"/>
              <w:numPr>
                <w:ilvl w:val="0"/>
                <w:numId w:val="290"/>
              </w:numPr>
              <w:spacing w:line="210" w:lineRule="exact"/>
            </w:pPr>
            <w:r w:rsidRPr="002B6200">
              <w:t>le obbligazioni in materia di rese e di rimborsi e altre obbligazioni analoghe e</w:t>
            </w:r>
          </w:p>
        </w:tc>
        <w:tc>
          <w:tcPr>
            <w:tcW w:w="575" w:type="dxa"/>
            <w:tcMar>
              <w:left w:w="85" w:type="dxa"/>
              <w:right w:w="85"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44ECD" w:rsidRPr="006C2B1A" w:rsidTr="00F235B5">
        <w:trPr>
          <w:cantSplit/>
        </w:trPr>
        <w:tc>
          <w:tcPr>
            <w:tcW w:w="567" w:type="dxa"/>
            <w:tcMar>
              <w:left w:w="108" w:type="dxa"/>
              <w:right w:w="0" w:type="dxa"/>
            </w:tcMar>
          </w:tcPr>
          <w:p w:rsidR="00A44ECD" w:rsidRDefault="00A44ECD" w:rsidP="00A44ECD">
            <w:pPr>
              <w:pStyle w:val="Numeroelenco"/>
              <w:numPr>
                <w:ilvl w:val="0"/>
                <w:numId w:val="0"/>
              </w:numPr>
              <w:ind w:left="57"/>
              <w:rPr>
                <w:lang w:val="it-IT"/>
              </w:rPr>
            </w:pPr>
          </w:p>
        </w:tc>
        <w:tc>
          <w:tcPr>
            <w:tcW w:w="851" w:type="dxa"/>
            <w:tcMar>
              <w:left w:w="108" w:type="dxa"/>
              <w:right w:w="0" w:type="dxa"/>
            </w:tcMar>
          </w:tcPr>
          <w:p w:rsidR="00A44ECD" w:rsidRDefault="00A44ECD" w:rsidP="00A44ECD">
            <w:pPr>
              <w:pStyle w:val="IAS"/>
              <w:rPr>
                <w:lang w:val="it-IT"/>
              </w:rPr>
            </w:pPr>
          </w:p>
        </w:tc>
        <w:tc>
          <w:tcPr>
            <w:tcW w:w="7079" w:type="dxa"/>
            <w:tcMar>
              <w:left w:w="108" w:type="dxa"/>
            </w:tcMar>
          </w:tcPr>
          <w:p w:rsidR="00A44ECD" w:rsidRPr="002B6200" w:rsidRDefault="00A44ECD" w:rsidP="00A44ECD">
            <w:pPr>
              <w:pStyle w:val="Rientroa"/>
              <w:numPr>
                <w:ilvl w:val="0"/>
                <w:numId w:val="290"/>
              </w:numPr>
              <w:spacing w:line="210" w:lineRule="exact"/>
            </w:pPr>
            <w:r w:rsidRPr="002B6200">
              <w:t>i tipi di garanzie e le relative obbligazioni.</w:t>
            </w:r>
          </w:p>
        </w:tc>
        <w:tc>
          <w:tcPr>
            <w:tcW w:w="575" w:type="dxa"/>
            <w:tcMar>
              <w:left w:w="85" w:type="dxa"/>
              <w:right w:w="85"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44ECD" w:rsidRPr="00A44ECD" w:rsidTr="00F235B5">
        <w:trPr>
          <w:cantSplit/>
        </w:trPr>
        <w:tc>
          <w:tcPr>
            <w:tcW w:w="567" w:type="dxa"/>
            <w:tcMar>
              <w:left w:w="108" w:type="dxa"/>
              <w:right w:w="0" w:type="dxa"/>
            </w:tcMar>
          </w:tcPr>
          <w:p w:rsidR="00A44ECD" w:rsidRDefault="00A44ECD" w:rsidP="00A44ECD">
            <w:pPr>
              <w:pStyle w:val="Numeroelenco"/>
              <w:numPr>
                <w:ilvl w:val="0"/>
                <w:numId w:val="0"/>
              </w:numPr>
              <w:ind w:left="57"/>
              <w:rPr>
                <w:lang w:val="it-IT"/>
              </w:rPr>
            </w:pPr>
          </w:p>
        </w:tc>
        <w:tc>
          <w:tcPr>
            <w:tcW w:w="851" w:type="dxa"/>
            <w:tcMar>
              <w:left w:w="108" w:type="dxa"/>
              <w:right w:w="0" w:type="dxa"/>
            </w:tcMar>
          </w:tcPr>
          <w:p w:rsidR="00A44ECD" w:rsidRDefault="00A44ECD" w:rsidP="00A44ECD">
            <w:pPr>
              <w:pStyle w:val="IAS"/>
              <w:rPr>
                <w:lang w:val="it-IT"/>
              </w:rPr>
            </w:pPr>
          </w:p>
        </w:tc>
        <w:tc>
          <w:tcPr>
            <w:tcW w:w="7079" w:type="dxa"/>
            <w:tcMar>
              <w:left w:w="108" w:type="dxa"/>
            </w:tcMar>
          </w:tcPr>
          <w:p w:rsidR="00A44ECD" w:rsidRPr="000015C6" w:rsidRDefault="00A44ECD" w:rsidP="00080517">
            <w:pPr>
              <w:rPr>
                <w:sz w:val="19"/>
                <w:szCs w:val="19"/>
                <w:lang w:val="it-IT"/>
              </w:rPr>
            </w:pPr>
            <w:r w:rsidRPr="002B6200">
              <w:rPr>
                <w:i/>
                <w:iCs/>
                <w:sz w:val="19"/>
                <w:szCs w:val="19"/>
                <w:lang w:val="it-IT"/>
              </w:rPr>
              <w:t>Prezzo dell'operazione assegnato alle rimanenti obbligazioni di fare</w:t>
            </w:r>
          </w:p>
        </w:tc>
        <w:tc>
          <w:tcPr>
            <w:tcW w:w="575" w:type="dxa"/>
            <w:tcMar>
              <w:left w:w="85" w:type="dxa"/>
              <w:right w:w="85" w:type="dxa"/>
            </w:tcMar>
            <w:vAlign w:val="center"/>
          </w:tcPr>
          <w:p w:rsidR="00A44ECD" w:rsidRPr="006A18CC" w:rsidRDefault="00A44ECD" w:rsidP="00A44ECD">
            <w:pPr>
              <w:jc w:val="center"/>
              <w:rPr>
                <w:lang w:val="it-IT"/>
              </w:rPr>
            </w:pPr>
          </w:p>
        </w:tc>
        <w:tc>
          <w:tcPr>
            <w:tcW w:w="567" w:type="dxa"/>
            <w:tcMar>
              <w:left w:w="108" w:type="dxa"/>
            </w:tcMar>
            <w:vAlign w:val="center"/>
          </w:tcPr>
          <w:p w:rsidR="00A44ECD" w:rsidRPr="006A18CC" w:rsidRDefault="00A44ECD" w:rsidP="00A44ECD">
            <w:pPr>
              <w:jc w:val="center"/>
              <w:rPr>
                <w:lang w:val="it-IT"/>
              </w:rPr>
            </w:pPr>
          </w:p>
        </w:tc>
        <w:tc>
          <w:tcPr>
            <w:tcW w:w="567" w:type="dxa"/>
            <w:tcMar>
              <w:left w:w="108" w:type="dxa"/>
            </w:tcMar>
            <w:vAlign w:val="center"/>
          </w:tcPr>
          <w:p w:rsidR="00A44ECD" w:rsidRPr="006A18CC" w:rsidRDefault="00A44ECD" w:rsidP="00A44ECD">
            <w:pPr>
              <w:jc w:val="center"/>
              <w:rPr>
                <w:lang w:val="it-IT"/>
              </w:rPr>
            </w:pPr>
          </w:p>
        </w:tc>
      </w:tr>
      <w:tr w:rsidR="00A44ECD" w:rsidRPr="00A44ECD" w:rsidTr="00F235B5">
        <w:trPr>
          <w:cantSplit/>
        </w:trPr>
        <w:tc>
          <w:tcPr>
            <w:tcW w:w="567" w:type="dxa"/>
            <w:tcMar>
              <w:left w:w="108" w:type="dxa"/>
              <w:right w:w="0" w:type="dxa"/>
            </w:tcMar>
          </w:tcPr>
          <w:p w:rsidR="00A44ECD" w:rsidRDefault="00A44ECD" w:rsidP="00A44ECD">
            <w:pPr>
              <w:pStyle w:val="Numeroelenco"/>
              <w:ind w:left="0" w:firstLine="57"/>
              <w:rPr>
                <w:lang w:val="it-IT"/>
              </w:rPr>
            </w:pPr>
          </w:p>
        </w:tc>
        <w:tc>
          <w:tcPr>
            <w:tcW w:w="851" w:type="dxa"/>
            <w:tcMar>
              <w:left w:w="108" w:type="dxa"/>
              <w:right w:w="0" w:type="dxa"/>
            </w:tcMar>
          </w:tcPr>
          <w:p w:rsidR="00A44ECD" w:rsidRDefault="00A44ECD" w:rsidP="00A44ECD">
            <w:pPr>
              <w:pStyle w:val="IAS"/>
              <w:rPr>
                <w:lang w:val="it-IT"/>
              </w:rPr>
            </w:pPr>
            <w:r>
              <w:rPr>
                <w:lang w:val="it-IT"/>
              </w:rPr>
              <w:t>IFRS 15.120</w:t>
            </w:r>
          </w:p>
        </w:tc>
        <w:tc>
          <w:tcPr>
            <w:tcW w:w="7079" w:type="dxa"/>
            <w:tcMar>
              <w:left w:w="108" w:type="dxa"/>
            </w:tcMar>
          </w:tcPr>
          <w:p w:rsidR="00A44ECD" w:rsidRPr="006A18CC" w:rsidRDefault="00A44ECD" w:rsidP="00080517">
            <w:pPr>
              <w:rPr>
                <w:sz w:val="19"/>
                <w:szCs w:val="19"/>
                <w:lang w:val="it-IT"/>
              </w:rPr>
            </w:pPr>
            <w:r w:rsidRPr="002B6200">
              <w:rPr>
                <w:sz w:val="19"/>
                <w:szCs w:val="19"/>
                <w:lang w:val="it-IT"/>
              </w:rPr>
              <w:t>L'entità deve comunicare le seguenti informazioni relative alle sue rimanenti obbligazioni di fare:</w:t>
            </w:r>
          </w:p>
        </w:tc>
        <w:tc>
          <w:tcPr>
            <w:tcW w:w="575" w:type="dxa"/>
            <w:tcMar>
              <w:left w:w="85" w:type="dxa"/>
              <w:right w:w="85" w:type="dxa"/>
            </w:tcMar>
            <w:vAlign w:val="center"/>
          </w:tcPr>
          <w:p w:rsidR="00A44ECD" w:rsidRPr="006A18CC" w:rsidRDefault="00A44ECD" w:rsidP="00A44ECD">
            <w:pPr>
              <w:jc w:val="center"/>
              <w:rPr>
                <w:lang w:val="it-IT"/>
              </w:rPr>
            </w:pPr>
          </w:p>
        </w:tc>
        <w:tc>
          <w:tcPr>
            <w:tcW w:w="567" w:type="dxa"/>
            <w:tcMar>
              <w:left w:w="108" w:type="dxa"/>
            </w:tcMar>
            <w:vAlign w:val="center"/>
          </w:tcPr>
          <w:p w:rsidR="00A44ECD" w:rsidRPr="006A18CC" w:rsidRDefault="00A44ECD" w:rsidP="00A44ECD">
            <w:pPr>
              <w:jc w:val="center"/>
              <w:rPr>
                <w:lang w:val="it-IT"/>
              </w:rPr>
            </w:pPr>
          </w:p>
        </w:tc>
        <w:tc>
          <w:tcPr>
            <w:tcW w:w="567" w:type="dxa"/>
            <w:tcMar>
              <w:left w:w="108" w:type="dxa"/>
            </w:tcMar>
            <w:vAlign w:val="center"/>
          </w:tcPr>
          <w:p w:rsidR="00A44ECD" w:rsidRPr="006A18CC" w:rsidRDefault="00A44ECD" w:rsidP="00A44ECD">
            <w:pPr>
              <w:jc w:val="center"/>
              <w:rPr>
                <w:lang w:val="it-IT"/>
              </w:rPr>
            </w:pPr>
          </w:p>
        </w:tc>
      </w:tr>
      <w:tr w:rsidR="00A44ECD" w:rsidRPr="00A9281C" w:rsidTr="00F235B5">
        <w:trPr>
          <w:cantSplit/>
        </w:trPr>
        <w:tc>
          <w:tcPr>
            <w:tcW w:w="567" w:type="dxa"/>
            <w:tcMar>
              <w:left w:w="108" w:type="dxa"/>
              <w:right w:w="0" w:type="dxa"/>
            </w:tcMar>
          </w:tcPr>
          <w:p w:rsidR="00A44ECD" w:rsidRDefault="00A44ECD" w:rsidP="00A44ECD">
            <w:pPr>
              <w:pStyle w:val="Numeroelenco"/>
              <w:numPr>
                <w:ilvl w:val="0"/>
                <w:numId w:val="0"/>
              </w:numPr>
              <w:ind w:left="57"/>
              <w:rPr>
                <w:lang w:val="it-IT"/>
              </w:rPr>
            </w:pPr>
          </w:p>
        </w:tc>
        <w:tc>
          <w:tcPr>
            <w:tcW w:w="851" w:type="dxa"/>
            <w:tcMar>
              <w:left w:w="108" w:type="dxa"/>
              <w:right w:w="0" w:type="dxa"/>
            </w:tcMar>
          </w:tcPr>
          <w:p w:rsidR="00A44ECD" w:rsidRDefault="00A44ECD" w:rsidP="00A44ECD">
            <w:pPr>
              <w:pStyle w:val="IAS"/>
              <w:rPr>
                <w:lang w:val="it-IT"/>
              </w:rPr>
            </w:pPr>
          </w:p>
        </w:tc>
        <w:tc>
          <w:tcPr>
            <w:tcW w:w="7079" w:type="dxa"/>
            <w:tcMar>
              <w:left w:w="108" w:type="dxa"/>
            </w:tcMar>
          </w:tcPr>
          <w:p w:rsidR="00A44ECD" w:rsidRPr="002B6200" w:rsidRDefault="00A44ECD" w:rsidP="00080517">
            <w:pPr>
              <w:pStyle w:val="Rientroa"/>
              <w:numPr>
                <w:ilvl w:val="0"/>
                <w:numId w:val="291"/>
              </w:numPr>
            </w:pPr>
            <w:r w:rsidRPr="002B6200">
              <w:t>l'importo aggregato del prezzo dell'operazione assegnato alle obbligazioni di fare non adempiute (o parzialmente adempiute) alla fine dell'esercizio e</w:t>
            </w:r>
          </w:p>
        </w:tc>
        <w:tc>
          <w:tcPr>
            <w:tcW w:w="575" w:type="dxa"/>
            <w:tcMar>
              <w:left w:w="85" w:type="dxa"/>
              <w:right w:w="85"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44ECD" w:rsidRPr="00A9281C" w:rsidTr="00F235B5">
        <w:trPr>
          <w:cantSplit/>
        </w:trPr>
        <w:tc>
          <w:tcPr>
            <w:tcW w:w="567" w:type="dxa"/>
            <w:tcMar>
              <w:left w:w="108" w:type="dxa"/>
              <w:right w:w="0" w:type="dxa"/>
            </w:tcMar>
          </w:tcPr>
          <w:p w:rsidR="00A44ECD" w:rsidRDefault="00A44ECD" w:rsidP="00A44ECD">
            <w:pPr>
              <w:pStyle w:val="Numeroelenco"/>
              <w:numPr>
                <w:ilvl w:val="0"/>
                <w:numId w:val="0"/>
              </w:numPr>
              <w:ind w:left="57"/>
              <w:rPr>
                <w:lang w:val="it-IT"/>
              </w:rPr>
            </w:pPr>
          </w:p>
        </w:tc>
        <w:tc>
          <w:tcPr>
            <w:tcW w:w="851" w:type="dxa"/>
            <w:tcMar>
              <w:left w:w="108" w:type="dxa"/>
              <w:right w:w="0" w:type="dxa"/>
            </w:tcMar>
          </w:tcPr>
          <w:p w:rsidR="00A44ECD" w:rsidRDefault="00A44ECD" w:rsidP="00A44ECD">
            <w:pPr>
              <w:pStyle w:val="IAS"/>
              <w:rPr>
                <w:lang w:val="it-IT"/>
              </w:rPr>
            </w:pPr>
          </w:p>
        </w:tc>
        <w:tc>
          <w:tcPr>
            <w:tcW w:w="7079" w:type="dxa"/>
            <w:tcMar>
              <w:left w:w="108" w:type="dxa"/>
            </w:tcMar>
          </w:tcPr>
          <w:p w:rsidR="00A44ECD" w:rsidRPr="002B6200" w:rsidRDefault="00A44ECD" w:rsidP="00080517">
            <w:pPr>
              <w:pStyle w:val="Rientroa"/>
              <w:numPr>
                <w:ilvl w:val="0"/>
                <w:numId w:val="291"/>
              </w:numPr>
            </w:pPr>
            <w:r w:rsidRPr="002B6200">
              <w:t>una spiegazione in cui l'entità precisa quando prevede di rilevare come ricavo l'importo comunicato conformemente al paragrafo 120, lettera a), che l'entità deve comunicare secondo una delle seguenti modalità:</w:t>
            </w:r>
          </w:p>
        </w:tc>
        <w:tc>
          <w:tcPr>
            <w:tcW w:w="575" w:type="dxa"/>
            <w:tcMar>
              <w:left w:w="85" w:type="dxa"/>
              <w:right w:w="85"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44ECD" w:rsidRPr="00A9281C" w:rsidTr="00F235B5">
        <w:trPr>
          <w:cantSplit/>
        </w:trPr>
        <w:tc>
          <w:tcPr>
            <w:tcW w:w="567" w:type="dxa"/>
            <w:tcMar>
              <w:left w:w="108" w:type="dxa"/>
              <w:right w:w="0" w:type="dxa"/>
            </w:tcMar>
          </w:tcPr>
          <w:p w:rsidR="00A44ECD" w:rsidRDefault="00A44ECD" w:rsidP="00A44ECD">
            <w:pPr>
              <w:pStyle w:val="Numeroelenco"/>
              <w:numPr>
                <w:ilvl w:val="0"/>
                <w:numId w:val="0"/>
              </w:numPr>
              <w:ind w:left="57"/>
              <w:rPr>
                <w:lang w:val="it-IT"/>
              </w:rPr>
            </w:pPr>
          </w:p>
        </w:tc>
        <w:tc>
          <w:tcPr>
            <w:tcW w:w="851" w:type="dxa"/>
            <w:tcMar>
              <w:left w:w="108" w:type="dxa"/>
              <w:right w:w="0" w:type="dxa"/>
            </w:tcMar>
          </w:tcPr>
          <w:p w:rsidR="00A44ECD" w:rsidRDefault="00A44ECD" w:rsidP="00A44ECD">
            <w:pPr>
              <w:pStyle w:val="IAS"/>
              <w:rPr>
                <w:lang w:val="it-IT"/>
              </w:rPr>
            </w:pPr>
          </w:p>
        </w:tc>
        <w:tc>
          <w:tcPr>
            <w:tcW w:w="7079" w:type="dxa"/>
            <w:tcMar>
              <w:left w:w="108" w:type="dxa"/>
            </w:tcMar>
          </w:tcPr>
          <w:p w:rsidR="00A44ECD" w:rsidRPr="002B6200" w:rsidRDefault="00A44ECD" w:rsidP="00080517">
            <w:pPr>
              <w:pStyle w:val="Rientroisottoa"/>
              <w:ind w:hanging="306"/>
            </w:pPr>
            <w:r w:rsidRPr="002B6200">
              <w:t>i)</w:t>
            </w:r>
            <w:r>
              <w:t xml:space="preserve">  </w:t>
            </w:r>
            <w:r w:rsidRPr="002B6200">
              <w:t xml:space="preserve"> </w:t>
            </w:r>
            <w:r>
              <w:tab/>
            </w:r>
            <w:r w:rsidRPr="002B6200">
              <w:t>su base quantitativa, utilizzando gli intervalli temporali più adeguati alla durata delle rimanenti obbligazioni di fare; o</w:t>
            </w:r>
          </w:p>
        </w:tc>
        <w:tc>
          <w:tcPr>
            <w:tcW w:w="575" w:type="dxa"/>
            <w:tcMar>
              <w:left w:w="85" w:type="dxa"/>
              <w:right w:w="85"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44ECD" w:rsidRPr="006C2B1A" w:rsidTr="00F235B5">
        <w:trPr>
          <w:cantSplit/>
        </w:trPr>
        <w:tc>
          <w:tcPr>
            <w:tcW w:w="567" w:type="dxa"/>
            <w:tcMar>
              <w:left w:w="108" w:type="dxa"/>
              <w:right w:w="0" w:type="dxa"/>
            </w:tcMar>
          </w:tcPr>
          <w:p w:rsidR="00A44ECD" w:rsidRDefault="00A44ECD" w:rsidP="00A44ECD">
            <w:pPr>
              <w:pStyle w:val="Numeroelenco"/>
              <w:numPr>
                <w:ilvl w:val="0"/>
                <w:numId w:val="0"/>
              </w:numPr>
              <w:ind w:left="57"/>
              <w:rPr>
                <w:lang w:val="it-IT"/>
              </w:rPr>
            </w:pPr>
          </w:p>
        </w:tc>
        <w:tc>
          <w:tcPr>
            <w:tcW w:w="851" w:type="dxa"/>
            <w:tcMar>
              <w:left w:w="108" w:type="dxa"/>
              <w:right w:w="0" w:type="dxa"/>
            </w:tcMar>
          </w:tcPr>
          <w:p w:rsidR="00A44ECD" w:rsidRDefault="00A44ECD" w:rsidP="00A44ECD">
            <w:pPr>
              <w:pStyle w:val="IAS"/>
              <w:rPr>
                <w:lang w:val="it-IT"/>
              </w:rPr>
            </w:pPr>
          </w:p>
        </w:tc>
        <w:tc>
          <w:tcPr>
            <w:tcW w:w="7079" w:type="dxa"/>
            <w:tcMar>
              <w:left w:w="108" w:type="dxa"/>
            </w:tcMar>
          </w:tcPr>
          <w:p w:rsidR="00A44ECD" w:rsidRPr="002B6200" w:rsidRDefault="00A44ECD" w:rsidP="00080517">
            <w:pPr>
              <w:pStyle w:val="Rientroisottoa"/>
              <w:ind w:hanging="306"/>
            </w:pPr>
            <w:r w:rsidRPr="002B6200">
              <w:t xml:space="preserve">ii) </w:t>
            </w:r>
            <w:r>
              <w:tab/>
            </w:r>
            <w:r w:rsidRPr="002B6200">
              <w:t>utilizzando informazioni qualitative.</w:t>
            </w:r>
          </w:p>
        </w:tc>
        <w:tc>
          <w:tcPr>
            <w:tcW w:w="575" w:type="dxa"/>
            <w:tcMar>
              <w:left w:w="85" w:type="dxa"/>
              <w:right w:w="85"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44ECD" w:rsidRPr="00A44ECD" w:rsidTr="00F235B5">
        <w:trPr>
          <w:cantSplit/>
        </w:trPr>
        <w:tc>
          <w:tcPr>
            <w:tcW w:w="567" w:type="dxa"/>
            <w:tcMar>
              <w:left w:w="108" w:type="dxa"/>
              <w:right w:w="0" w:type="dxa"/>
            </w:tcMar>
          </w:tcPr>
          <w:p w:rsidR="00A44ECD" w:rsidRDefault="00A44ECD" w:rsidP="00A44ECD">
            <w:pPr>
              <w:pStyle w:val="Numeroelenco"/>
              <w:ind w:left="0" w:firstLine="57"/>
              <w:rPr>
                <w:lang w:val="it-IT"/>
              </w:rPr>
            </w:pPr>
          </w:p>
        </w:tc>
        <w:tc>
          <w:tcPr>
            <w:tcW w:w="851" w:type="dxa"/>
            <w:tcMar>
              <w:left w:w="108" w:type="dxa"/>
              <w:right w:w="0" w:type="dxa"/>
            </w:tcMar>
          </w:tcPr>
          <w:p w:rsidR="00A44ECD" w:rsidRDefault="00A44ECD" w:rsidP="00A44ECD">
            <w:pPr>
              <w:pStyle w:val="IAS"/>
              <w:rPr>
                <w:lang w:val="it-IT"/>
              </w:rPr>
            </w:pPr>
            <w:r>
              <w:rPr>
                <w:lang w:val="it-IT"/>
              </w:rPr>
              <w:t>IFRS 15.121</w:t>
            </w:r>
          </w:p>
        </w:tc>
        <w:tc>
          <w:tcPr>
            <w:tcW w:w="7079" w:type="dxa"/>
            <w:tcMar>
              <w:left w:w="108" w:type="dxa"/>
            </w:tcMar>
          </w:tcPr>
          <w:p w:rsidR="00A44ECD" w:rsidRPr="002B6200" w:rsidRDefault="00A44ECD" w:rsidP="00080517">
            <w:pPr>
              <w:rPr>
                <w:sz w:val="19"/>
                <w:szCs w:val="19"/>
                <w:lang w:val="it-IT"/>
              </w:rPr>
            </w:pPr>
            <w:r w:rsidRPr="002B6200">
              <w:rPr>
                <w:sz w:val="19"/>
                <w:szCs w:val="19"/>
                <w:lang w:val="it-IT"/>
              </w:rPr>
              <w:t>Come espediente pratico, l'entità non è tenuta a fornire le informazioni di cui al paragrafo 120 per l'obbligazione di fare, se è soddisfatta l'una o l'altra delle seguenti condizioni:</w:t>
            </w:r>
          </w:p>
        </w:tc>
        <w:tc>
          <w:tcPr>
            <w:tcW w:w="575" w:type="dxa"/>
            <w:tcMar>
              <w:left w:w="85" w:type="dxa"/>
              <w:right w:w="85" w:type="dxa"/>
            </w:tcMar>
            <w:vAlign w:val="center"/>
          </w:tcPr>
          <w:p w:rsidR="00A44ECD" w:rsidRPr="006A18CC" w:rsidRDefault="00A44ECD" w:rsidP="00A44ECD">
            <w:pPr>
              <w:jc w:val="center"/>
              <w:rPr>
                <w:lang w:val="it-IT"/>
              </w:rPr>
            </w:pPr>
          </w:p>
        </w:tc>
        <w:tc>
          <w:tcPr>
            <w:tcW w:w="567" w:type="dxa"/>
            <w:tcMar>
              <w:left w:w="108" w:type="dxa"/>
            </w:tcMar>
            <w:vAlign w:val="center"/>
          </w:tcPr>
          <w:p w:rsidR="00A44ECD" w:rsidRPr="006A18CC" w:rsidRDefault="00A44ECD" w:rsidP="00A44ECD">
            <w:pPr>
              <w:jc w:val="center"/>
              <w:rPr>
                <w:lang w:val="it-IT"/>
              </w:rPr>
            </w:pPr>
          </w:p>
        </w:tc>
        <w:tc>
          <w:tcPr>
            <w:tcW w:w="567" w:type="dxa"/>
            <w:tcMar>
              <w:left w:w="108" w:type="dxa"/>
            </w:tcMar>
            <w:vAlign w:val="center"/>
          </w:tcPr>
          <w:p w:rsidR="00A44ECD" w:rsidRPr="006A18CC" w:rsidRDefault="00A44ECD" w:rsidP="00A44ECD">
            <w:pPr>
              <w:jc w:val="center"/>
              <w:rPr>
                <w:lang w:val="it-IT"/>
              </w:rPr>
            </w:pPr>
          </w:p>
        </w:tc>
      </w:tr>
      <w:tr w:rsidR="00A44ECD" w:rsidRPr="00380FEF" w:rsidTr="00F235B5">
        <w:trPr>
          <w:cantSplit/>
        </w:trPr>
        <w:tc>
          <w:tcPr>
            <w:tcW w:w="567" w:type="dxa"/>
            <w:tcMar>
              <w:left w:w="108" w:type="dxa"/>
              <w:right w:w="0" w:type="dxa"/>
            </w:tcMar>
          </w:tcPr>
          <w:p w:rsidR="00A44ECD" w:rsidRDefault="00A44ECD" w:rsidP="00A44ECD">
            <w:pPr>
              <w:pStyle w:val="Numeroelenco"/>
              <w:numPr>
                <w:ilvl w:val="0"/>
                <w:numId w:val="0"/>
              </w:numPr>
              <w:ind w:left="142"/>
              <w:rPr>
                <w:lang w:val="it-IT"/>
              </w:rPr>
            </w:pPr>
          </w:p>
        </w:tc>
        <w:tc>
          <w:tcPr>
            <w:tcW w:w="851" w:type="dxa"/>
            <w:tcMar>
              <w:left w:w="108" w:type="dxa"/>
              <w:right w:w="0" w:type="dxa"/>
            </w:tcMar>
          </w:tcPr>
          <w:p w:rsidR="00A44ECD" w:rsidRDefault="00A44ECD" w:rsidP="00A44ECD">
            <w:pPr>
              <w:pStyle w:val="IAS"/>
              <w:rPr>
                <w:lang w:val="it-IT"/>
              </w:rPr>
            </w:pPr>
          </w:p>
        </w:tc>
        <w:tc>
          <w:tcPr>
            <w:tcW w:w="7079" w:type="dxa"/>
            <w:tcMar>
              <w:left w:w="108" w:type="dxa"/>
            </w:tcMar>
          </w:tcPr>
          <w:p w:rsidR="00A44ECD" w:rsidRPr="002B6200" w:rsidRDefault="00A44ECD" w:rsidP="00080517">
            <w:pPr>
              <w:pStyle w:val="Rientroa"/>
              <w:numPr>
                <w:ilvl w:val="0"/>
                <w:numId w:val="292"/>
              </w:numPr>
            </w:pPr>
            <w:r w:rsidRPr="002B6200">
              <w:t>l'obbligazione di fare rientra in un contratto la cui durata iniziale prevista non è superiore a un anno o</w:t>
            </w:r>
          </w:p>
        </w:tc>
        <w:tc>
          <w:tcPr>
            <w:tcW w:w="575" w:type="dxa"/>
            <w:tcMar>
              <w:left w:w="85" w:type="dxa"/>
              <w:right w:w="85"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44ECD" w:rsidRPr="00380FEF" w:rsidTr="00F235B5">
        <w:trPr>
          <w:cantSplit/>
        </w:trPr>
        <w:tc>
          <w:tcPr>
            <w:tcW w:w="567" w:type="dxa"/>
            <w:tcMar>
              <w:left w:w="108" w:type="dxa"/>
              <w:right w:w="0" w:type="dxa"/>
            </w:tcMar>
          </w:tcPr>
          <w:p w:rsidR="00A44ECD" w:rsidRDefault="00A44ECD" w:rsidP="00A44ECD">
            <w:pPr>
              <w:pStyle w:val="Numeroelenco"/>
              <w:numPr>
                <w:ilvl w:val="0"/>
                <w:numId w:val="0"/>
              </w:numPr>
              <w:ind w:left="142"/>
              <w:rPr>
                <w:lang w:val="it-IT"/>
              </w:rPr>
            </w:pPr>
          </w:p>
        </w:tc>
        <w:tc>
          <w:tcPr>
            <w:tcW w:w="851" w:type="dxa"/>
            <w:tcMar>
              <w:left w:w="108" w:type="dxa"/>
              <w:right w:w="0" w:type="dxa"/>
            </w:tcMar>
          </w:tcPr>
          <w:p w:rsidR="00A44ECD" w:rsidRDefault="00A44ECD" w:rsidP="00A44ECD">
            <w:pPr>
              <w:pStyle w:val="IAS"/>
              <w:rPr>
                <w:lang w:val="it-IT"/>
              </w:rPr>
            </w:pPr>
          </w:p>
        </w:tc>
        <w:tc>
          <w:tcPr>
            <w:tcW w:w="7079" w:type="dxa"/>
            <w:tcMar>
              <w:left w:w="108" w:type="dxa"/>
            </w:tcMar>
          </w:tcPr>
          <w:p w:rsidR="00A44ECD" w:rsidRPr="002B6200" w:rsidRDefault="00A44ECD" w:rsidP="00080517">
            <w:pPr>
              <w:pStyle w:val="Rientroa"/>
              <w:numPr>
                <w:ilvl w:val="0"/>
                <w:numId w:val="292"/>
              </w:numPr>
            </w:pPr>
            <w:r w:rsidRPr="002B6200">
              <w:t>l'entità rileva i ricavi generati dall'adempimento dell'obbligazione di fare in conformità al paragrafo B16.</w:t>
            </w:r>
          </w:p>
        </w:tc>
        <w:tc>
          <w:tcPr>
            <w:tcW w:w="575" w:type="dxa"/>
            <w:tcMar>
              <w:left w:w="85" w:type="dxa"/>
              <w:right w:w="85"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44ECD" w:rsidRPr="00380FEF" w:rsidTr="00F235B5">
        <w:trPr>
          <w:cantSplit/>
        </w:trPr>
        <w:tc>
          <w:tcPr>
            <w:tcW w:w="567" w:type="dxa"/>
            <w:tcMar>
              <w:left w:w="108" w:type="dxa"/>
              <w:right w:w="0" w:type="dxa"/>
            </w:tcMar>
          </w:tcPr>
          <w:p w:rsidR="00A44ECD" w:rsidRDefault="00A44ECD" w:rsidP="00A44ECD">
            <w:pPr>
              <w:pStyle w:val="Numeroelenco"/>
              <w:ind w:left="0" w:firstLine="57"/>
              <w:rPr>
                <w:lang w:val="it-IT"/>
              </w:rPr>
            </w:pPr>
          </w:p>
        </w:tc>
        <w:tc>
          <w:tcPr>
            <w:tcW w:w="851" w:type="dxa"/>
            <w:tcMar>
              <w:left w:w="108" w:type="dxa"/>
              <w:right w:w="0" w:type="dxa"/>
            </w:tcMar>
          </w:tcPr>
          <w:p w:rsidR="00A44ECD" w:rsidRDefault="00A44ECD" w:rsidP="00A44ECD">
            <w:pPr>
              <w:pStyle w:val="IAS"/>
              <w:rPr>
                <w:lang w:val="it-IT"/>
              </w:rPr>
            </w:pPr>
            <w:r>
              <w:rPr>
                <w:lang w:val="it-IT"/>
              </w:rPr>
              <w:t>IFRS 15.122</w:t>
            </w:r>
          </w:p>
        </w:tc>
        <w:tc>
          <w:tcPr>
            <w:tcW w:w="7079" w:type="dxa"/>
            <w:tcMar>
              <w:left w:w="108" w:type="dxa"/>
            </w:tcMar>
          </w:tcPr>
          <w:p w:rsidR="00A44ECD" w:rsidRPr="003F6A45" w:rsidRDefault="00A44ECD" w:rsidP="00080517">
            <w:pPr>
              <w:rPr>
                <w:sz w:val="19"/>
                <w:szCs w:val="19"/>
                <w:lang w:val="it-IT"/>
              </w:rPr>
            </w:pPr>
            <w:r w:rsidRPr="002B6200">
              <w:rPr>
                <w:sz w:val="19"/>
                <w:szCs w:val="19"/>
                <w:lang w:val="it-IT"/>
              </w:rPr>
              <w:t>L'entità deve fornire una spiegazione qualitativa in cui precisa se applica l'espediente pratico di cui al paragrafo 121 e se eventuali corrispettivi provenienti da contratti con i clienti non sono inclusi nel prezzo dell'operazione e, quindi, non sono inclusi nelle informazioni fornite conformemente al paragrafo 120. Per esempio la stima del prezzo dell'operazione non dovrebbe includere la stima dell'importo del corrispettivo variabile soggetta a limitazione (cfr. paragrafi 56-58).</w:t>
            </w:r>
          </w:p>
        </w:tc>
        <w:tc>
          <w:tcPr>
            <w:tcW w:w="575" w:type="dxa"/>
            <w:tcMar>
              <w:left w:w="85" w:type="dxa"/>
              <w:right w:w="85"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44ECD" w:rsidRPr="00A44ECD" w:rsidTr="00F235B5">
        <w:trPr>
          <w:cantSplit/>
        </w:trPr>
        <w:tc>
          <w:tcPr>
            <w:tcW w:w="567" w:type="dxa"/>
            <w:tcMar>
              <w:left w:w="108" w:type="dxa"/>
              <w:right w:w="0" w:type="dxa"/>
            </w:tcMar>
          </w:tcPr>
          <w:p w:rsidR="00A44ECD" w:rsidRDefault="00A44ECD" w:rsidP="00A44ECD">
            <w:pPr>
              <w:pStyle w:val="Numeroelenco"/>
              <w:numPr>
                <w:ilvl w:val="0"/>
                <w:numId w:val="0"/>
              </w:numPr>
              <w:ind w:left="142"/>
              <w:rPr>
                <w:lang w:val="it-IT"/>
              </w:rPr>
            </w:pPr>
          </w:p>
        </w:tc>
        <w:tc>
          <w:tcPr>
            <w:tcW w:w="851" w:type="dxa"/>
            <w:tcMar>
              <w:left w:w="108" w:type="dxa"/>
              <w:right w:w="0" w:type="dxa"/>
            </w:tcMar>
          </w:tcPr>
          <w:p w:rsidR="00A44ECD" w:rsidRDefault="00A44ECD" w:rsidP="00A44ECD">
            <w:pPr>
              <w:pStyle w:val="IAS"/>
              <w:rPr>
                <w:lang w:val="it-IT"/>
              </w:rPr>
            </w:pPr>
          </w:p>
        </w:tc>
        <w:tc>
          <w:tcPr>
            <w:tcW w:w="7079" w:type="dxa"/>
            <w:tcMar>
              <w:left w:w="108" w:type="dxa"/>
            </w:tcMar>
          </w:tcPr>
          <w:p w:rsidR="00A44ECD" w:rsidRPr="003F6A45" w:rsidRDefault="00A44ECD" w:rsidP="00A44ECD">
            <w:pPr>
              <w:spacing w:line="226" w:lineRule="exact"/>
              <w:rPr>
                <w:sz w:val="19"/>
                <w:szCs w:val="19"/>
                <w:lang w:val="it-IT"/>
              </w:rPr>
            </w:pPr>
            <w:r w:rsidRPr="002B6200">
              <w:rPr>
                <w:b/>
                <w:bCs/>
                <w:sz w:val="19"/>
                <w:szCs w:val="19"/>
                <w:lang w:val="it-IT"/>
              </w:rPr>
              <w:t xml:space="preserve">Giudizi importanti formulati ai fini dell'applicazione </w:t>
            </w:r>
            <w:r>
              <w:rPr>
                <w:b/>
                <w:bCs/>
                <w:sz w:val="19"/>
                <w:szCs w:val="19"/>
                <w:lang w:val="it-IT"/>
              </w:rPr>
              <w:t>dell’IFRS 15</w:t>
            </w:r>
          </w:p>
        </w:tc>
        <w:tc>
          <w:tcPr>
            <w:tcW w:w="575" w:type="dxa"/>
            <w:tcMar>
              <w:left w:w="85" w:type="dxa"/>
              <w:right w:w="85" w:type="dxa"/>
            </w:tcMar>
            <w:vAlign w:val="center"/>
          </w:tcPr>
          <w:p w:rsidR="00A44ECD" w:rsidRPr="002B6200" w:rsidRDefault="00A44ECD" w:rsidP="00A44ECD">
            <w:pPr>
              <w:jc w:val="center"/>
              <w:rPr>
                <w:lang w:val="it-IT"/>
              </w:rPr>
            </w:pPr>
          </w:p>
        </w:tc>
        <w:tc>
          <w:tcPr>
            <w:tcW w:w="567" w:type="dxa"/>
            <w:tcMar>
              <w:left w:w="108" w:type="dxa"/>
            </w:tcMar>
            <w:vAlign w:val="center"/>
          </w:tcPr>
          <w:p w:rsidR="00A44ECD" w:rsidRPr="002B6200" w:rsidRDefault="00A44ECD" w:rsidP="00A44ECD">
            <w:pPr>
              <w:jc w:val="center"/>
              <w:rPr>
                <w:lang w:val="it-IT"/>
              </w:rPr>
            </w:pPr>
          </w:p>
        </w:tc>
        <w:tc>
          <w:tcPr>
            <w:tcW w:w="567" w:type="dxa"/>
            <w:tcMar>
              <w:left w:w="108" w:type="dxa"/>
            </w:tcMar>
            <w:vAlign w:val="center"/>
          </w:tcPr>
          <w:p w:rsidR="00A44ECD" w:rsidRPr="002B6200" w:rsidRDefault="00A44ECD" w:rsidP="00A44ECD">
            <w:pPr>
              <w:jc w:val="center"/>
              <w:rPr>
                <w:lang w:val="it-IT"/>
              </w:rPr>
            </w:pPr>
          </w:p>
        </w:tc>
      </w:tr>
      <w:tr w:rsidR="00A44ECD" w:rsidRPr="00A44ECD" w:rsidTr="00F235B5">
        <w:trPr>
          <w:cantSplit/>
        </w:trPr>
        <w:tc>
          <w:tcPr>
            <w:tcW w:w="567" w:type="dxa"/>
            <w:tcMar>
              <w:left w:w="108" w:type="dxa"/>
              <w:right w:w="0" w:type="dxa"/>
            </w:tcMar>
          </w:tcPr>
          <w:p w:rsidR="00A44ECD" w:rsidRDefault="00A44ECD" w:rsidP="00A44ECD">
            <w:pPr>
              <w:pStyle w:val="Numeroelenco"/>
              <w:ind w:left="0" w:firstLine="57"/>
              <w:rPr>
                <w:lang w:val="it-IT"/>
              </w:rPr>
            </w:pPr>
          </w:p>
        </w:tc>
        <w:tc>
          <w:tcPr>
            <w:tcW w:w="851" w:type="dxa"/>
            <w:tcMar>
              <w:left w:w="108" w:type="dxa"/>
              <w:right w:w="0" w:type="dxa"/>
            </w:tcMar>
          </w:tcPr>
          <w:p w:rsidR="00A44ECD" w:rsidRDefault="00A44ECD" w:rsidP="00A44ECD">
            <w:pPr>
              <w:pStyle w:val="IAS"/>
              <w:rPr>
                <w:lang w:val="it-IT"/>
              </w:rPr>
            </w:pPr>
            <w:r>
              <w:rPr>
                <w:lang w:val="it-IT"/>
              </w:rPr>
              <w:t>IFRS 15.123</w:t>
            </w:r>
          </w:p>
        </w:tc>
        <w:tc>
          <w:tcPr>
            <w:tcW w:w="7079" w:type="dxa"/>
            <w:tcMar>
              <w:left w:w="108" w:type="dxa"/>
            </w:tcMar>
          </w:tcPr>
          <w:p w:rsidR="00A44ECD" w:rsidRPr="003F6A45" w:rsidRDefault="00A44ECD" w:rsidP="00080517">
            <w:pPr>
              <w:rPr>
                <w:sz w:val="19"/>
                <w:szCs w:val="19"/>
                <w:lang w:val="it-IT"/>
              </w:rPr>
            </w:pPr>
            <w:r w:rsidRPr="002B6200">
              <w:rPr>
                <w:sz w:val="19"/>
                <w:szCs w:val="19"/>
                <w:lang w:val="it-IT"/>
              </w:rPr>
              <w:t xml:space="preserve">L'entità deve indicare i giudizi, e le modifiche apportate agli stessi, formulati ai fini dell'applicazione </w:t>
            </w:r>
            <w:r>
              <w:rPr>
                <w:sz w:val="19"/>
                <w:szCs w:val="19"/>
                <w:lang w:val="it-IT"/>
              </w:rPr>
              <w:t xml:space="preserve">dell’IFRS 15 </w:t>
            </w:r>
            <w:r w:rsidRPr="002B6200">
              <w:rPr>
                <w:sz w:val="19"/>
                <w:szCs w:val="19"/>
                <w:lang w:val="it-IT"/>
              </w:rPr>
              <w:t>che hanno un impatto significativo sulla determinazione dell'importo e della tempistica dei ricavi provenienti da contratti con i clienti. In particolare, l'entità deve illustrare i giudizi, e le modifiche apportate agli stessi, formulati per determinare i due elementi seguenti:</w:t>
            </w:r>
          </w:p>
        </w:tc>
        <w:tc>
          <w:tcPr>
            <w:tcW w:w="575" w:type="dxa"/>
            <w:tcMar>
              <w:left w:w="85" w:type="dxa"/>
              <w:right w:w="85" w:type="dxa"/>
            </w:tcMar>
            <w:vAlign w:val="center"/>
          </w:tcPr>
          <w:p w:rsidR="00A44ECD" w:rsidRPr="006A18CC" w:rsidRDefault="00A44ECD" w:rsidP="00A44ECD">
            <w:pPr>
              <w:jc w:val="center"/>
              <w:rPr>
                <w:lang w:val="it-IT"/>
              </w:rPr>
            </w:pPr>
          </w:p>
        </w:tc>
        <w:tc>
          <w:tcPr>
            <w:tcW w:w="567" w:type="dxa"/>
            <w:tcMar>
              <w:left w:w="108" w:type="dxa"/>
            </w:tcMar>
            <w:vAlign w:val="center"/>
          </w:tcPr>
          <w:p w:rsidR="00A44ECD" w:rsidRPr="006A18CC" w:rsidRDefault="00A44ECD" w:rsidP="00A44ECD">
            <w:pPr>
              <w:jc w:val="center"/>
              <w:rPr>
                <w:lang w:val="it-IT"/>
              </w:rPr>
            </w:pPr>
          </w:p>
        </w:tc>
        <w:tc>
          <w:tcPr>
            <w:tcW w:w="567" w:type="dxa"/>
            <w:tcMar>
              <w:left w:w="108" w:type="dxa"/>
            </w:tcMar>
            <w:vAlign w:val="center"/>
          </w:tcPr>
          <w:p w:rsidR="00A44ECD" w:rsidRPr="006A18CC" w:rsidRDefault="00A44ECD" w:rsidP="00A44ECD">
            <w:pPr>
              <w:jc w:val="center"/>
              <w:rPr>
                <w:lang w:val="it-IT"/>
              </w:rPr>
            </w:pPr>
          </w:p>
        </w:tc>
      </w:tr>
      <w:tr w:rsidR="00A44ECD" w:rsidRPr="00380FEF" w:rsidTr="00F235B5">
        <w:trPr>
          <w:cantSplit/>
        </w:trPr>
        <w:tc>
          <w:tcPr>
            <w:tcW w:w="567" w:type="dxa"/>
            <w:tcMar>
              <w:left w:w="108" w:type="dxa"/>
              <w:right w:w="0" w:type="dxa"/>
            </w:tcMar>
          </w:tcPr>
          <w:p w:rsidR="00A44ECD" w:rsidRDefault="00A44ECD" w:rsidP="00A44ECD">
            <w:pPr>
              <w:pStyle w:val="Numeroelenco"/>
              <w:numPr>
                <w:ilvl w:val="0"/>
                <w:numId w:val="0"/>
              </w:numPr>
              <w:rPr>
                <w:lang w:val="it-IT"/>
              </w:rPr>
            </w:pPr>
          </w:p>
        </w:tc>
        <w:tc>
          <w:tcPr>
            <w:tcW w:w="851" w:type="dxa"/>
            <w:tcMar>
              <w:left w:w="108" w:type="dxa"/>
              <w:right w:w="0" w:type="dxa"/>
            </w:tcMar>
          </w:tcPr>
          <w:p w:rsidR="00A44ECD" w:rsidRDefault="00A44ECD" w:rsidP="00A44ECD">
            <w:pPr>
              <w:pStyle w:val="IAS"/>
              <w:rPr>
                <w:lang w:val="it-IT"/>
              </w:rPr>
            </w:pPr>
          </w:p>
        </w:tc>
        <w:tc>
          <w:tcPr>
            <w:tcW w:w="7079" w:type="dxa"/>
            <w:tcMar>
              <w:left w:w="108" w:type="dxa"/>
            </w:tcMar>
          </w:tcPr>
          <w:p w:rsidR="00A44ECD" w:rsidRPr="002B6200" w:rsidRDefault="00A44ECD" w:rsidP="00080517">
            <w:pPr>
              <w:pStyle w:val="Rientroa"/>
              <w:numPr>
                <w:ilvl w:val="0"/>
                <w:numId w:val="293"/>
              </w:numPr>
            </w:pPr>
            <w:r w:rsidRPr="002B6200">
              <w:t>i termini per l'adempimento delle obbligazioni di fare (cfr. paragrafi 124-125) e</w:t>
            </w:r>
          </w:p>
        </w:tc>
        <w:tc>
          <w:tcPr>
            <w:tcW w:w="575" w:type="dxa"/>
            <w:tcMar>
              <w:left w:w="85" w:type="dxa"/>
              <w:right w:w="85"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44ECD" w:rsidRPr="00380FEF" w:rsidTr="00F235B5">
        <w:trPr>
          <w:cantSplit/>
        </w:trPr>
        <w:tc>
          <w:tcPr>
            <w:tcW w:w="567" w:type="dxa"/>
            <w:tcMar>
              <w:left w:w="108" w:type="dxa"/>
              <w:right w:w="0" w:type="dxa"/>
            </w:tcMar>
          </w:tcPr>
          <w:p w:rsidR="00A44ECD" w:rsidRDefault="00A44ECD" w:rsidP="00A44ECD">
            <w:pPr>
              <w:pStyle w:val="Numeroelenco"/>
              <w:numPr>
                <w:ilvl w:val="0"/>
                <w:numId w:val="0"/>
              </w:numPr>
              <w:rPr>
                <w:lang w:val="it-IT"/>
              </w:rPr>
            </w:pPr>
          </w:p>
        </w:tc>
        <w:tc>
          <w:tcPr>
            <w:tcW w:w="851" w:type="dxa"/>
            <w:tcMar>
              <w:left w:w="108" w:type="dxa"/>
              <w:right w:w="0" w:type="dxa"/>
            </w:tcMar>
          </w:tcPr>
          <w:p w:rsidR="00A44ECD" w:rsidRDefault="00A44ECD" w:rsidP="00A44ECD">
            <w:pPr>
              <w:pStyle w:val="IAS"/>
              <w:rPr>
                <w:lang w:val="it-IT"/>
              </w:rPr>
            </w:pPr>
          </w:p>
        </w:tc>
        <w:tc>
          <w:tcPr>
            <w:tcW w:w="7079" w:type="dxa"/>
            <w:tcMar>
              <w:left w:w="108" w:type="dxa"/>
            </w:tcMar>
          </w:tcPr>
          <w:p w:rsidR="00A44ECD" w:rsidRPr="002B6200" w:rsidRDefault="00A44ECD" w:rsidP="00080517">
            <w:pPr>
              <w:pStyle w:val="Rientroa"/>
              <w:numPr>
                <w:ilvl w:val="0"/>
                <w:numId w:val="293"/>
              </w:numPr>
            </w:pPr>
            <w:r w:rsidRPr="002B6200">
              <w:t>il prezzo dell'operazione e gli importi assegnati alle obbligazioni di fare (cfr. paragrafo 126).</w:t>
            </w:r>
          </w:p>
        </w:tc>
        <w:tc>
          <w:tcPr>
            <w:tcW w:w="575" w:type="dxa"/>
            <w:tcMar>
              <w:left w:w="85" w:type="dxa"/>
              <w:right w:w="85"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44ECD" w:rsidRPr="00A44ECD" w:rsidTr="00F235B5">
        <w:trPr>
          <w:cantSplit/>
        </w:trPr>
        <w:tc>
          <w:tcPr>
            <w:tcW w:w="567" w:type="dxa"/>
            <w:tcMar>
              <w:left w:w="108" w:type="dxa"/>
              <w:right w:w="0" w:type="dxa"/>
            </w:tcMar>
          </w:tcPr>
          <w:p w:rsidR="00A44ECD" w:rsidRDefault="00A44ECD" w:rsidP="00A44ECD">
            <w:pPr>
              <w:pStyle w:val="Numeroelenco"/>
              <w:numPr>
                <w:ilvl w:val="0"/>
                <w:numId w:val="0"/>
              </w:numPr>
              <w:rPr>
                <w:lang w:val="it-IT"/>
              </w:rPr>
            </w:pPr>
          </w:p>
        </w:tc>
        <w:tc>
          <w:tcPr>
            <w:tcW w:w="851" w:type="dxa"/>
            <w:tcMar>
              <w:left w:w="108" w:type="dxa"/>
              <w:right w:w="0" w:type="dxa"/>
            </w:tcMar>
          </w:tcPr>
          <w:p w:rsidR="00A44ECD" w:rsidRDefault="00A44ECD" w:rsidP="00A44ECD">
            <w:pPr>
              <w:pStyle w:val="IAS"/>
              <w:rPr>
                <w:lang w:val="it-IT"/>
              </w:rPr>
            </w:pPr>
          </w:p>
        </w:tc>
        <w:tc>
          <w:tcPr>
            <w:tcW w:w="7079" w:type="dxa"/>
            <w:tcMar>
              <w:left w:w="108" w:type="dxa"/>
            </w:tcMar>
          </w:tcPr>
          <w:p w:rsidR="00A44ECD" w:rsidRPr="003F6A45" w:rsidRDefault="00A44ECD" w:rsidP="00080517">
            <w:pPr>
              <w:rPr>
                <w:sz w:val="19"/>
                <w:szCs w:val="19"/>
                <w:lang w:val="it-IT"/>
              </w:rPr>
            </w:pPr>
            <w:r w:rsidRPr="002B6200">
              <w:rPr>
                <w:i/>
                <w:iCs/>
                <w:sz w:val="19"/>
                <w:szCs w:val="19"/>
                <w:lang w:val="it-IT"/>
              </w:rPr>
              <w:t>Determinazione dei termini per l'adempimento delle obbligazioni di fare</w:t>
            </w:r>
          </w:p>
        </w:tc>
        <w:tc>
          <w:tcPr>
            <w:tcW w:w="575" w:type="dxa"/>
            <w:tcMar>
              <w:left w:w="85" w:type="dxa"/>
              <w:right w:w="85" w:type="dxa"/>
            </w:tcMar>
            <w:vAlign w:val="center"/>
          </w:tcPr>
          <w:p w:rsidR="00A44ECD" w:rsidRPr="006A18CC" w:rsidRDefault="00A44ECD" w:rsidP="00A44ECD">
            <w:pPr>
              <w:jc w:val="center"/>
              <w:rPr>
                <w:lang w:val="it-IT"/>
              </w:rPr>
            </w:pPr>
          </w:p>
        </w:tc>
        <w:tc>
          <w:tcPr>
            <w:tcW w:w="567" w:type="dxa"/>
            <w:tcMar>
              <w:left w:w="108" w:type="dxa"/>
            </w:tcMar>
            <w:vAlign w:val="center"/>
          </w:tcPr>
          <w:p w:rsidR="00A44ECD" w:rsidRPr="006A18CC" w:rsidRDefault="00A44ECD" w:rsidP="00A44ECD">
            <w:pPr>
              <w:jc w:val="center"/>
              <w:rPr>
                <w:lang w:val="it-IT"/>
              </w:rPr>
            </w:pPr>
          </w:p>
        </w:tc>
        <w:tc>
          <w:tcPr>
            <w:tcW w:w="567" w:type="dxa"/>
            <w:tcMar>
              <w:left w:w="108" w:type="dxa"/>
            </w:tcMar>
            <w:vAlign w:val="center"/>
          </w:tcPr>
          <w:p w:rsidR="00A44ECD" w:rsidRPr="006A18CC" w:rsidRDefault="00A44ECD" w:rsidP="00A44ECD">
            <w:pPr>
              <w:jc w:val="center"/>
              <w:rPr>
                <w:lang w:val="it-IT"/>
              </w:rPr>
            </w:pPr>
          </w:p>
        </w:tc>
      </w:tr>
      <w:tr w:rsidR="00A44ECD" w:rsidRPr="00A44ECD" w:rsidTr="00F235B5">
        <w:trPr>
          <w:cantSplit/>
        </w:trPr>
        <w:tc>
          <w:tcPr>
            <w:tcW w:w="567" w:type="dxa"/>
            <w:tcMar>
              <w:left w:w="108" w:type="dxa"/>
              <w:right w:w="0" w:type="dxa"/>
            </w:tcMar>
          </w:tcPr>
          <w:p w:rsidR="00A44ECD" w:rsidRDefault="00A44ECD" w:rsidP="00A44ECD">
            <w:pPr>
              <w:pStyle w:val="Numeroelenco"/>
              <w:ind w:left="0" w:firstLine="57"/>
              <w:rPr>
                <w:lang w:val="it-IT"/>
              </w:rPr>
            </w:pPr>
          </w:p>
        </w:tc>
        <w:tc>
          <w:tcPr>
            <w:tcW w:w="851" w:type="dxa"/>
            <w:tcMar>
              <w:left w:w="108" w:type="dxa"/>
              <w:right w:w="0" w:type="dxa"/>
            </w:tcMar>
          </w:tcPr>
          <w:p w:rsidR="00A44ECD" w:rsidRDefault="00A44ECD" w:rsidP="00A44ECD">
            <w:pPr>
              <w:pStyle w:val="IAS"/>
              <w:rPr>
                <w:lang w:val="it-IT"/>
              </w:rPr>
            </w:pPr>
            <w:r>
              <w:rPr>
                <w:lang w:val="it-IT"/>
              </w:rPr>
              <w:t>IFRS 15.124</w:t>
            </w:r>
          </w:p>
        </w:tc>
        <w:tc>
          <w:tcPr>
            <w:tcW w:w="7079" w:type="dxa"/>
            <w:tcMar>
              <w:left w:w="108" w:type="dxa"/>
            </w:tcMar>
          </w:tcPr>
          <w:p w:rsidR="00A44ECD" w:rsidRPr="003F6A45" w:rsidRDefault="00A44ECD" w:rsidP="00080517">
            <w:pPr>
              <w:rPr>
                <w:sz w:val="19"/>
                <w:szCs w:val="19"/>
                <w:lang w:val="it-IT"/>
              </w:rPr>
            </w:pPr>
            <w:r w:rsidRPr="002B6200">
              <w:rPr>
                <w:sz w:val="19"/>
                <w:szCs w:val="19"/>
                <w:lang w:val="it-IT"/>
              </w:rPr>
              <w:t>Per le obbligazioni di fare adempiute nel corso del tempo, l'entità deve fornire entrambi i seguenti elementi:</w:t>
            </w:r>
          </w:p>
        </w:tc>
        <w:tc>
          <w:tcPr>
            <w:tcW w:w="575" w:type="dxa"/>
            <w:tcMar>
              <w:left w:w="85" w:type="dxa"/>
              <w:right w:w="85" w:type="dxa"/>
            </w:tcMar>
            <w:vAlign w:val="center"/>
          </w:tcPr>
          <w:p w:rsidR="00A44ECD" w:rsidRPr="006A18CC" w:rsidRDefault="00A44ECD" w:rsidP="00A44ECD">
            <w:pPr>
              <w:jc w:val="center"/>
              <w:rPr>
                <w:lang w:val="it-IT"/>
              </w:rPr>
            </w:pPr>
          </w:p>
        </w:tc>
        <w:tc>
          <w:tcPr>
            <w:tcW w:w="567" w:type="dxa"/>
            <w:tcMar>
              <w:left w:w="108" w:type="dxa"/>
            </w:tcMar>
            <w:vAlign w:val="center"/>
          </w:tcPr>
          <w:p w:rsidR="00A44ECD" w:rsidRPr="006A18CC" w:rsidRDefault="00A44ECD" w:rsidP="00A44ECD">
            <w:pPr>
              <w:jc w:val="center"/>
              <w:rPr>
                <w:lang w:val="it-IT"/>
              </w:rPr>
            </w:pPr>
          </w:p>
        </w:tc>
        <w:tc>
          <w:tcPr>
            <w:tcW w:w="567" w:type="dxa"/>
            <w:tcMar>
              <w:left w:w="108" w:type="dxa"/>
            </w:tcMar>
            <w:vAlign w:val="center"/>
          </w:tcPr>
          <w:p w:rsidR="00A44ECD" w:rsidRPr="006A18CC" w:rsidRDefault="00A44ECD" w:rsidP="00A44ECD">
            <w:pPr>
              <w:jc w:val="center"/>
              <w:rPr>
                <w:lang w:val="it-IT"/>
              </w:rPr>
            </w:pPr>
          </w:p>
        </w:tc>
      </w:tr>
      <w:tr w:rsidR="00A44ECD" w:rsidRPr="00380FEF" w:rsidTr="00F235B5">
        <w:trPr>
          <w:cantSplit/>
        </w:trPr>
        <w:tc>
          <w:tcPr>
            <w:tcW w:w="567" w:type="dxa"/>
            <w:tcMar>
              <w:left w:w="108" w:type="dxa"/>
              <w:right w:w="0" w:type="dxa"/>
            </w:tcMar>
          </w:tcPr>
          <w:p w:rsidR="00A44ECD" w:rsidRDefault="00A44ECD" w:rsidP="00A44ECD">
            <w:pPr>
              <w:pStyle w:val="Numeroelenco"/>
              <w:numPr>
                <w:ilvl w:val="0"/>
                <w:numId w:val="0"/>
              </w:numPr>
              <w:rPr>
                <w:lang w:val="it-IT"/>
              </w:rPr>
            </w:pPr>
          </w:p>
        </w:tc>
        <w:tc>
          <w:tcPr>
            <w:tcW w:w="851" w:type="dxa"/>
            <w:tcMar>
              <w:left w:w="108" w:type="dxa"/>
              <w:right w:w="0" w:type="dxa"/>
            </w:tcMar>
          </w:tcPr>
          <w:p w:rsidR="00A44ECD" w:rsidRDefault="00A44ECD" w:rsidP="00A44ECD">
            <w:pPr>
              <w:pStyle w:val="IAS"/>
              <w:rPr>
                <w:lang w:val="it-IT"/>
              </w:rPr>
            </w:pPr>
          </w:p>
        </w:tc>
        <w:tc>
          <w:tcPr>
            <w:tcW w:w="7079" w:type="dxa"/>
            <w:tcMar>
              <w:left w:w="108" w:type="dxa"/>
            </w:tcMar>
          </w:tcPr>
          <w:p w:rsidR="00A44ECD" w:rsidRPr="002B6200" w:rsidRDefault="00A44ECD" w:rsidP="00080517">
            <w:pPr>
              <w:pStyle w:val="Rientroa"/>
              <w:numPr>
                <w:ilvl w:val="0"/>
                <w:numId w:val="286"/>
              </w:numPr>
            </w:pPr>
            <w:r w:rsidRPr="002B6200">
              <w:t>i metodi usati per rilevare i ricavi (per esempio la descrizione dei metodi basati sugli output o dei metodi basati sugli input utilizzati e del modo in cui sono applicati) e</w:t>
            </w:r>
          </w:p>
        </w:tc>
        <w:tc>
          <w:tcPr>
            <w:tcW w:w="575" w:type="dxa"/>
            <w:tcMar>
              <w:left w:w="85" w:type="dxa"/>
              <w:right w:w="85"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44ECD" w:rsidRPr="00380FEF" w:rsidTr="00F235B5">
        <w:trPr>
          <w:cantSplit/>
        </w:trPr>
        <w:tc>
          <w:tcPr>
            <w:tcW w:w="567" w:type="dxa"/>
            <w:tcMar>
              <w:left w:w="108" w:type="dxa"/>
              <w:right w:w="0" w:type="dxa"/>
            </w:tcMar>
          </w:tcPr>
          <w:p w:rsidR="00A44ECD" w:rsidRDefault="00A44ECD" w:rsidP="00A44ECD">
            <w:pPr>
              <w:pStyle w:val="Numeroelenco"/>
              <w:numPr>
                <w:ilvl w:val="0"/>
                <w:numId w:val="0"/>
              </w:numPr>
              <w:rPr>
                <w:lang w:val="it-IT"/>
              </w:rPr>
            </w:pPr>
          </w:p>
        </w:tc>
        <w:tc>
          <w:tcPr>
            <w:tcW w:w="851" w:type="dxa"/>
            <w:tcMar>
              <w:left w:w="108" w:type="dxa"/>
              <w:right w:w="0" w:type="dxa"/>
            </w:tcMar>
          </w:tcPr>
          <w:p w:rsidR="00A44ECD" w:rsidRDefault="00A44ECD" w:rsidP="00A44ECD">
            <w:pPr>
              <w:pStyle w:val="IAS"/>
              <w:rPr>
                <w:lang w:val="it-IT"/>
              </w:rPr>
            </w:pPr>
          </w:p>
        </w:tc>
        <w:tc>
          <w:tcPr>
            <w:tcW w:w="7079" w:type="dxa"/>
            <w:tcMar>
              <w:left w:w="108" w:type="dxa"/>
            </w:tcMar>
          </w:tcPr>
          <w:p w:rsidR="00A44ECD" w:rsidRPr="002B6200" w:rsidRDefault="00A44ECD" w:rsidP="00080517">
            <w:pPr>
              <w:pStyle w:val="Rientroa"/>
              <w:numPr>
                <w:ilvl w:val="0"/>
                <w:numId w:val="0"/>
              </w:numPr>
              <w:ind w:left="392" w:hanging="360"/>
            </w:pPr>
            <w:r w:rsidRPr="002B6200">
              <w:t xml:space="preserve">b) </w:t>
            </w:r>
            <w:r>
              <w:t xml:space="preserve"> </w:t>
            </w:r>
            <w:r w:rsidRPr="002B6200">
              <w:t>la spiegazione del perché i metodi utilizzati consentono di rispecchiare fedelmente il trasferimento dei beni o servizi.</w:t>
            </w:r>
          </w:p>
        </w:tc>
        <w:tc>
          <w:tcPr>
            <w:tcW w:w="575" w:type="dxa"/>
            <w:tcMar>
              <w:left w:w="85" w:type="dxa"/>
              <w:right w:w="85"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44ECD" w:rsidRPr="00380FEF" w:rsidTr="00F235B5">
        <w:trPr>
          <w:cantSplit/>
        </w:trPr>
        <w:tc>
          <w:tcPr>
            <w:tcW w:w="567" w:type="dxa"/>
            <w:tcMar>
              <w:left w:w="108" w:type="dxa"/>
              <w:right w:w="0" w:type="dxa"/>
            </w:tcMar>
          </w:tcPr>
          <w:p w:rsidR="00A44ECD" w:rsidRDefault="00A44ECD" w:rsidP="00A44ECD">
            <w:pPr>
              <w:pStyle w:val="Numeroelenco"/>
              <w:ind w:left="0" w:firstLine="57"/>
              <w:rPr>
                <w:lang w:val="it-IT"/>
              </w:rPr>
            </w:pPr>
          </w:p>
        </w:tc>
        <w:tc>
          <w:tcPr>
            <w:tcW w:w="851" w:type="dxa"/>
            <w:tcMar>
              <w:left w:w="108" w:type="dxa"/>
              <w:right w:w="0" w:type="dxa"/>
            </w:tcMar>
          </w:tcPr>
          <w:p w:rsidR="00A44ECD" w:rsidRDefault="00A44ECD" w:rsidP="00A44ECD">
            <w:pPr>
              <w:pStyle w:val="IAS"/>
              <w:rPr>
                <w:lang w:val="it-IT"/>
              </w:rPr>
            </w:pPr>
            <w:r>
              <w:rPr>
                <w:lang w:val="it-IT"/>
              </w:rPr>
              <w:t>IFRS 15.125</w:t>
            </w:r>
          </w:p>
        </w:tc>
        <w:tc>
          <w:tcPr>
            <w:tcW w:w="7079" w:type="dxa"/>
            <w:tcMar>
              <w:left w:w="108" w:type="dxa"/>
            </w:tcMar>
          </w:tcPr>
          <w:p w:rsidR="00A44ECD" w:rsidRPr="003F6A45" w:rsidRDefault="00A44ECD" w:rsidP="00080517">
            <w:pPr>
              <w:rPr>
                <w:sz w:val="19"/>
                <w:szCs w:val="19"/>
                <w:lang w:val="it-IT"/>
              </w:rPr>
            </w:pPr>
            <w:r w:rsidRPr="002B6200">
              <w:rPr>
                <w:sz w:val="19"/>
                <w:szCs w:val="19"/>
                <w:lang w:val="it-IT"/>
              </w:rPr>
              <w:t>Per le obbligazioni di fare adempiute in un determinato momento, l'entità deve indicare i giudizi significativi formulati per valutare il momento in cui il cliente acquisisce il controllo dei beni o servizi promessi.</w:t>
            </w:r>
          </w:p>
        </w:tc>
        <w:tc>
          <w:tcPr>
            <w:tcW w:w="575" w:type="dxa"/>
            <w:tcMar>
              <w:left w:w="85" w:type="dxa"/>
              <w:right w:w="85"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44ECD" w:rsidRPr="00A44ECD" w:rsidTr="00F235B5">
        <w:trPr>
          <w:cantSplit/>
        </w:trPr>
        <w:tc>
          <w:tcPr>
            <w:tcW w:w="567" w:type="dxa"/>
            <w:tcMar>
              <w:left w:w="108" w:type="dxa"/>
              <w:right w:w="0" w:type="dxa"/>
            </w:tcMar>
          </w:tcPr>
          <w:p w:rsidR="00A44ECD" w:rsidRDefault="00A44ECD" w:rsidP="00A44ECD">
            <w:pPr>
              <w:pStyle w:val="Numeroelenco"/>
              <w:numPr>
                <w:ilvl w:val="0"/>
                <w:numId w:val="0"/>
              </w:numPr>
              <w:rPr>
                <w:lang w:val="it-IT"/>
              </w:rPr>
            </w:pPr>
          </w:p>
        </w:tc>
        <w:tc>
          <w:tcPr>
            <w:tcW w:w="851" w:type="dxa"/>
            <w:tcMar>
              <w:left w:w="108" w:type="dxa"/>
              <w:right w:w="0" w:type="dxa"/>
            </w:tcMar>
          </w:tcPr>
          <w:p w:rsidR="00A44ECD" w:rsidRDefault="00A44ECD" w:rsidP="00A44ECD">
            <w:pPr>
              <w:pStyle w:val="IAS"/>
              <w:rPr>
                <w:lang w:val="it-IT"/>
              </w:rPr>
            </w:pPr>
          </w:p>
        </w:tc>
        <w:tc>
          <w:tcPr>
            <w:tcW w:w="7079" w:type="dxa"/>
            <w:tcMar>
              <w:left w:w="108" w:type="dxa"/>
            </w:tcMar>
          </w:tcPr>
          <w:p w:rsidR="00A44ECD" w:rsidRPr="003F6A45" w:rsidRDefault="00A44ECD" w:rsidP="00080517">
            <w:pPr>
              <w:rPr>
                <w:sz w:val="19"/>
                <w:szCs w:val="19"/>
                <w:lang w:val="it-IT"/>
              </w:rPr>
            </w:pPr>
            <w:r w:rsidRPr="002B6200">
              <w:rPr>
                <w:i/>
                <w:iCs/>
                <w:sz w:val="19"/>
                <w:szCs w:val="19"/>
                <w:lang w:val="it-IT"/>
              </w:rPr>
              <w:t>Determinazione del prezzo dell'operazione e degli importi assegnati alle obbligazioni di fare</w:t>
            </w:r>
          </w:p>
        </w:tc>
        <w:tc>
          <w:tcPr>
            <w:tcW w:w="575" w:type="dxa"/>
            <w:tcMar>
              <w:left w:w="85" w:type="dxa"/>
              <w:right w:w="85" w:type="dxa"/>
            </w:tcMar>
            <w:vAlign w:val="center"/>
          </w:tcPr>
          <w:p w:rsidR="00A44ECD" w:rsidRPr="006A18CC" w:rsidRDefault="00A44ECD" w:rsidP="00A44ECD">
            <w:pPr>
              <w:jc w:val="center"/>
              <w:rPr>
                <w:lang w:val="it-IT"/>
              </w:rPr>
            </w:pPr>
          </w:p>
        </w:tc>
        <w:tc>
          <w:tcPr>
            <w:tcW w:w="567" w:type="dxa"/>
            <w:tcMar>
              <w:left w:w="108" w:type="dxa"/>
            </w:tcMar>
            <w:vAlign w:val="center"/>
          </w:tcPr>
          <w:p w:rsidR="00A44ECD" w:rsidRPr="006A18CC" w:rsidRDefault="00A44ECD" w:rsidP="00A44ECD">
            <w:pPr>
              <w:jc w:val="center"/>
              <w:rPr>
                <w:lang w:val="it-IT"/>
              </w:rPr>
            </w:pPr>
          </w:p>
        </w:tc>
        <w:tc>
          <w:tcPr>
            <w:tcW w:w="567" w:type="dxa"/>
            <w:tcMar>
              <w:left w:w="108" w:type="dxa"/>
            </w:tcMar>
            <w:vAlign w:val="center"/>
          </w:tcPr>
          <w:p w:rsidR="00A44ECD" w:rsidRPr="006A18CC" w:rsidRDefault="00A44ECD" w:rsidP="00A44ECD">
            <w:pPr>
              <w:jc w:val="center"/>
              <w:rPr>
                <w:lang w:val="it-IT"/>
              </w:rPr>
            </w:pPr>
          </w:p>
        </w:tc>
      </w:tr>
      <w:tr w:rsidR="00A44ECD" w:rsidRPr="00A44ECD" w:rsidTr="00F235B5">
        <w:trPr>
          <w:cantSplit/>
        </w:trPr>
        <w:tc>
          <w:tcPr>
            <w:tcW w:w="567" w:type="dxa"/>
            <w:tcMar>
              <w:left w:w="108" w:type="dxa"/>
              <w:right w:w="0" w:type="dxa"/>
            </w:tcMar>
          </w:tcPr>
          <w:p w:rsidR="00A44ECD" w:rsidRDefault="00A44ECD" w:rsidP="00A44ECD">
            <w:pPr>
              <w:pStyle w:val="Numeroelenco"/>
              <w:ind w:left="0" w:firstLine="57"/>
              <w:rPr>
                <w:lang w:val="it-IT"/>
              </w:rPr>
            </w:pPr>
          </w:p>
        </w:tc>
        <w:tc>
          <w:tcPr>
            <w:tcW w:w="851" w:type="dxa"/>
            <w:tcMar>
              <w:left w:w="108" w:type="dxa"/>
              <w:right w:w="0" w:type="dxa"/>
            </w:tcMar>
          </w:tcPr>
          <w:p w:rsidR="00A44ECD" w:rsidRDefault="00A44ECD" w:rsidP="00A44ECD">
            <w:pPr>
              <w:pStyle w:val="IAS"/>
              <w:rPr>
                <w:lang w:val="it-IT"/>
              </w:rPr>
            </w:pPr>
            <w:r>
              <w:rPr>
                <w:lang w:val="it-IT"/>
              </w:rPr>
              <w:t>IFRS 15.126</w:t>
            </w:r>
          </w:p>
        </w:tc>
        <w:tc>
          <w:tcPr>
            <w:tcW w:w="7079" w:type="dxa"/>
            <w:tcMar>
              <w:left w:w="108" w:type="dxa"/>
            </w:tcMar>
          </w:tcPr>
          <w:p w:rsidR="00A44ECD" w:rsidRPr="003F6A45" w:rsidRDefault="00A44ECD" w:rsidP="00080517">
            <w:pPr>
              <w:rPr>
                <w:sz w:val="19"/>
                <w:szCs w:val="19"/>
                <w:lang w:val="it-IT"/>
              </w:rPr>
            </w:pPr>
            <w:r w:rsidRPr="002B6200">
              <w:rPr>
                <w:sz w:val="19"/>
                <w:szCs w:val="19"/>
                <w:lang w:val="it-IT"/>
              </w:rPr>
              <w:t>L'entità deve fornire informazioni sui metodi, gli input e le ipotesi utilizzati per tutti i seguenti elementi:</w:t>
            </w:r>
          </w:p>
        </w:tc>
        <w:tc>
          <w:tcPr>
            <w:tcW w:w="575" w:type="dxa"/>
            <w:tcMar>
              <w:left w:w="85" w:type="dxa"/>
              <w:right w:w="85" w:type="dxa"/>
            </w:tcMar>
            <w:vAlign w:val="center"/>
          </w:tcPr>
          <w:p w:rsidR="00A44ECD" w:rsidRPr="006A18CC" w:rsidRDefault="00A44ECD" w:rsidP="00A44ECD">
            <w:pPr>
              <w:jc w:val="center"/>
              <w:rPr>
                <w:lang w:val="it-IT"/>
              </w:rPr>
            </w:pPr>
          </w:p>
        </w:tc>
        <w:tc>
          <w:tcPr>
            <w:tcW w:w="567" w:type="dxa"/>
            <w:tcMar>
              <w:left w:w="108" w:type="dxa"/>
            </w:tcMar>
            <w:vAlign w:val="center"/>
          </w:tcPr>
          <w:p w:rsidR="00A44ECD" w:rsidRPr="006A18CC" w:rsidRDefault="00A44ECD" w:rsidP="00A44ECD">
            <w:pPr>
              <w:jc w:val="center"/>
              <w:rPr>
                <w:lang w:val="it-IT"/>
              </w:rPr>
            </w:pPr>
          </w:p>
        </w:tc>
        <w:tc>
          <w:tcPr>
            <w:tcW w:w="567" w:type="dxa"/>
            <w:tcMar>
              <w:left w:w="108" w:type="dxa"/>
            </w:tcMar>
            <w:vAlign w:val="center"/>
          </w:tcPr>
          <w:p w:rsidR="00A44ECD" w:rsidRPr="006A18CC" w:rsidRDefault="00A44ECD" w:rsidP="00A44ECD">
            <w:pPr>
              <w:jc w:val="center"/>
              <w:rPr>
                <w:lang w:val="it-IT"/>
              </w:rPr>
            </w:pPr>
          </w:p>
        </w:tc>
      </w:tr>
      <w:tr w:rsidR="00A44ECD" w:rsidRPr="00380FEF" w:rsidTr="00F235B5">
        <w:trPr>
          <w:cantSplit/>
        </w:trPr>
        <w:tc>
          <w:tcPr>
            <w:tcW w:w="567" w:type="dxa"/>
            <w:tcMar>
              <w:left w:w="108" w:type="dxa"/>
              <w:right w:w="0" w:type="dxa"/>
            </w:tcMar>
          </w:tcPr>
          <w:p w:rsidR="00A44ECD" w:rsidRDefault="00A44ECD" w:rsidP="00A44ECD">
            <w:pPr>
              <w:pStyle w:val="Numeroelenco"/>
              <w:numPr>
                <w:ilvl w:val="0"/>
                <w:numId w:val="0"/>
              </w:numPr>
              <w:rPr>
                <w:lang w:val="it-IT"/>
              </w:rPr>
            </w:pPr>
          </w:p>
        </w:tc>
        <w:tc>
          <w:tcPr>
            <w:tcW w:w="851" w:type="dxa"/>
            <w:tcMar>
              <w:left w:w="108" w:type="dxa"/>
              <w:right w:w="0" w:type="dxa"/>
            </w:tcMar>
          </w:tcPr>
          <w:p w:rsidR="00A44ECD" w:rsidRDefault="00A44ECD" w:rsidP="00A44ECD">
            <w:pPr>
              <w:pStyle w:val="IAS"/>
              <w:rPr>
                <w:lang w:val="it-IT"/>
              </w:rPr>
            </w:pPr>
          </w:p>
        </w:tc>
        <w:tc>
          <w:tcPr>
            <w:tcW w:w="7079" w:type="dxa"/>
            <w:tcMar>
              <w:left w:w="108" w:type="dxa"/>
            </w:tcMar>
          </w:tcPr>
          <w:p w:rsidR="00A44ECD" w:rsidRPr="003F6A45" w:rsidRDefault="00A44ECD" w:rsidP="00080517">
            <w:pPr>
              <w:pStyle w:val="Rientroa"/>
              <w:numPr>
                <w:ilvl w:val="0"/>
                <w:numId w:val="285"/>
              </w:numPr>
              <w:rPr>
                <w:sz w:val="19"/>
                <w:szCs w:val="19"/>
              </w:rPr>
            </w:pPr>
            <w:r w:rsidRPr="002B6200">
              <w:t>la determinazione del prezzo dell'operazione, il che comprende, tra l'altro, la stima del corrispettivo variabile, l'adeguamento del corrispettivo per tenere conto degli effetti del valore temporale del denaro e la valutazione del corrispettivo non monetario;</w:t>
            </w:r>
          </w:p>
        </w:tc>
        <w:tc>
          <w:tcPr>
            <w:tcW w:w="575" w:type="dxa"/>
            <w:tcMar>
              <w:left w:w="85" w:type="dxa"/>
              <w:right w:w="85"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44ECD" w:rsidRPr="00380FEF" w:rsidTr="00F235B5">
        <w:trPr>
          <w:cantSplit/>
        </w:trPr>
        <w:tc>
          <w:tcPr>
            <w:tcW w:w="567" w:type="dxa"/>
            <w:tcMar>
              <w:left w:w="108" w:type="dxa"/>
              <w:right w:w="0" w:type="dxa"/>
            </w:tcMar>
          </w:tcPr>
          <w:p w:rsidR="00A44ECD" w:rsidRDefault="00A44ECD" w:rsidP="00A44ECD">
            <w:pPr>
              <w:pStyle w:val="Numeroelenco"/>
              <w:numPr>
                <w:ilvl w:val="0"/>
                <w:numId w:val="0"/>
              </w:numPr>
              <w:rPr>
                <w:lang w:val="it-IT"/>
              </w:rPr>
            </w:pPr>
          </w:p>
        </w:tc>
        <w:tc>
          <w:tcPr>
            <w:tcW w:w="851" w:type="dxa"/>
            <w:tcMar>
              <w:left w:w="108" w:type="dxa"/>
              <w:right w:w="0" w:type="dxa"/>
            </w:tcMar>
          </w:tcPr>
          <w:p w:rsidR="00A44ECD" w:rsidRDefault="00A44ECD" w:rsidP="00A44ECD">
            <w:pPr>
              <w:pStyle w:val="IAS"/>
              <w:rPr>
                <w:lang w:val="it-IT"/>
              </w:rPr>
            </w:pPr>
          </w:p>
        </w:tc>
        <w:tc>
          <w:tcPr>
            <w:tcW w:w="7079" w:type="dxa"/>
            <w:tcMar>
              <w:left w:w="108" w:type="dxa"/>
            </w:tcMar>
          </w:tcPr>
          <w:p w:rsidR="00A44ECD" w:rsidRPr="002B6200" w:rsidRDefault="00A44ECD" w:rsidP="00080517">
            <w:pPr>
              <w:pStyle w:val="Rientroa"/>
              <w:numPr>
                <w:ilvl w:val="0"/>
                <w:numId w:val="285"/>
              </w:numPr>
            </w:pPr>
            <w:r>
              <w:t>l</w:t>
            </w:r>
            <w:r w:rsidRPr="002B6200">
              <w:t>a valutazione dell'esistenza di una limitazione della stima del corrispettivo variabile;</w:t>
            </w:r>
          </w:p>
        </w:tc>
        <w:tc>
          <w:tcPr>
            <w:tcW w:w="575" w:type="dxa"/>
            <w:tcMar>
              <w:left w:w="85" w:type="dxa"/>
              <w:right w:w="85"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44ECD" w:rsidRPr="00380FEF" w:rsidTr="00F235B5">
        <w:trPr>
          <w:cantSplit/>
        </w:trPr>
        <w:tc>
          <w:tcPr>
            <w:tcW w:w="567" w:type="dxa"/>
            <w:tcMar>
              <w:left w:w="108" w:type="dxa"/>
              <w:right w:w="0" w:type="dxa"/>
            </w:tcMar>
          </w:tcPr>
          <w:p w:rsidR="00A44ECD" w:rsidRDefault="00A44ECD" w:rsidP="00A44ECD">
            <w:pPr>
              <w:pStyle w:val="Numeroelenco"/>
              <w:numPr>
                <w:ilvl w:val="0"/>
                <w:numId w:val="0"/>
              </w:numPr>
              <w:rPr>
                <w:lang w:val="it-IT"/>
              </w:rPr>
            </w:pPr>
          </w:p>
        </w:tc>
        <w:tc>
          <w:tcPr>
            <w:tcW w:w="851" w:type="dxa"/>
            <w:tcMar>
              <w:left w:w="108" w:type="dxa"/>
              <w:right w:w="0" w:type="dxa"/>
            </w:tcMar>
          </w:tcPr>
          <w:p w:rsidR="00A44ECD" w:rsidRDefault="00A44ECD" w:rsidP="00A44ECD">
            <w:pPr>
              <w:pStyle w:val="IAS"/>
              <w:rPr>
                <w:lang w:val="it-IT"/>
              </w:rPr>
            </w:pPr>
          </w:p>
        </w:tc>
        <w:tc>
          <w:tcPr>
            <w:tcW w:w="7079" w:type="dxa"/>
            <w:tcMar>
              <w:left w:w="108" w:type="dxa"/>
            </w:tcMar>
          </w:tcPr>
          <w:p w:rsidR="00A44ECD" w:rsidRPr="002B6200" w:rsidRDefault="00A44ECD" w:rsidP="00080517">
            <w:pPr>
              <w:pStyle w:val="Rientroa"/>
              <w:numPr>
                <w:ilvl w:val="0"/>
                <w:numId w:val="285"/>
              </w:numPr>
            </w:pPr>
            <w:r w:rsidRPr="002B6200">
              <w:t>la ripartizione del prezzo dell'operazione, compresa la stima dei prezzi di vendita a sé stanti dei beni o servizi promessi e l'assegnazione degli sconti e del corrispettivo variabile ad una specifica parte del contratto (ove applicabile) e</w:t>
            </w:r>
          </w:p>
        </w:tc>
        <w:tc>
          <w:tcPr>
            <w:tcW w:w="575" w:type="dxa"/>
            <w:tcMar>
              <w:left w:w="85" w:type="dxa"/>
              <w:right w:w="85"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44ECD" w:rsidRPr="00380FEF" w:rsidTr="00F235B5">
        <w:trPr>
          <w:cantSplit/>
        </w:trPr>
        <w:tc>
          <w:tcPr>
            <w:tcW w:w="567" w:type="dxa"/>
            <w:tcMar>
              <w:left w:w="108" w:type="dxa"/>
              <w:right w:w="0" w:type="dxa"/>
            </w:tcMar>
          </w:tcPr>
          <w:p w:rsidR="00A44ECD" w:rsidRDefault="00A44ECD" w:rsidP="00A44ECD">
            <w:pPr>
              <w:pStyle w:val="Numeroelenco"/>
              <w:numPr>
                <w:ilvl w:val="0"/>
                <w:numId w:val="0"/>
              </w:numPr>
              <w:rPr>
                <w:lang w:val="it-IT"/>
              </w:rPr>
            </w:pPr>
          </w:p>
        </w:tc>
        <w:tc>
          <w:tcPr>
            <w:tcW w:w="851" w:type="dxa"/>
            <w:tcMar>
              <w:left w:w="108" w:type="dxa"/>
              <w:right w:w="0" w:type="dxa"/>
            </w:tcMar>
          </w:tcPr>
          <w:p w:rsidR="00A44ECD" w:rsidRDefault="00A44ECD" w:rsidP="00A44ECD">
            <w:pPr>
              <w:pStyle w:val="IAS"/>
              <w:rPr>
                <w:lang w:val="it-IT"/>
              </w:rPr>
            </w:pPr>
          </w:p>
        </w:tc>
        <w:tc>
          <w:tcPr>
            <w:tcW w:w="7079" w:type="dxa"/>
            <w:tcMar>
              <w:left w:w="108" w:type="dxa"/>
            </w:tcMar>
          </w:tcPr>
          <w:p w:rsidR="00A44ECD" w:rsidRPr="002B6200" w:rsidRDefault="00A44ECD" w:rsidP="00080517">
            <w:pPr>
              <w:pStyle w:val="Rientroa"/>
              <w:numPr>
                <w:ilvl w:val="0"/>
                <w:numId w:val="285"/>
              </w:numPr>
            </w:pPr>
            <w:r w:rsidRPr="002B6200">
              <w:t>la valutazione delle obbligazioni in materia di rese e di rimborsi e di altre obbligazioni analoghe.</w:t>
            </w:r>
          </w:p>
        </w:tc>
        <w:tc>
          <w:tcPr>
            <w:tcW w:w="575" w:type="dxa"/>
            <w:tcMar>
              <w:left w:w="85" w:type="dxa"/>
              <w:right w:w="85"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44ECD" w:rsidRPr="00A44ECD" w:rsidTr="00F235B5">
        <w:trPr>
          <w:cantSplit/>
        </w:trPr>
        <w:tc>
          <w:tcPr>
            <w:tcW w:w="567" w:type="dxa"/>
            <w:tcMar>
              <w:left w:w="108" w:type="dxa"/>
              <w:right w:w="0" w:type="dxa"/>
            </w:tcMar>
          </w:tcPr>
          <w:p w:rsidR="00A44ECD" w:rsidRDefault="00A44ECD" w:rsidP="00A44ECD">
            <w:pPr>
              <w:pStyle w:val="Numeroelenco"/>
              <w:numPr>
                <w:ilvl w:val="0"/>
                <w:numId w:val="0"/>
              </w:numPr>
              <w:rPr>
                <w:lang w:val="it-IT"/>
              </w:rPr>
            </w:pPr>
          </w:p>
        </w:tc>
        <w:tc>
          <w:tcPr>
            <w:tcW w:w="851" w:type="dxa"/>
            <w:tcMar>
              <w:left w:w="108" w:type="dxa"/>
              <w:right w:w="0" w:type="dxa"/>
            </w:tcMar>
          </w:tcPr>
          <w:p w:rsidR="00A44ECD" w:rsidRDefault="00A44ECD" w:rsidP="00A44ECD">
            <w:pPr>
              <w:pStyle w:val="IAS"/>
              <w:rPr>
                <w:lang w:val="it-IT"/>
              </w:rPr>
            </w:pPr>
          </w:p>
        </w:tc>
        <w:tc>
          <w:tcPr>
            <w:tcW w:w="7079" w:type="dxa"/>
            <w:tcMar>
              <w:left w:w="108" w:type="dxa"/>
            </w:tcMar>
          </w:tcPr>
          <w:p w:rsidR="00A44ECD" w:rsidRPr="00380FEF" w:rsidRDefault="00A44ECD" w:rsidP="00A44ECD">
            <w:pPr>
              <w:spacing w:line="226" w:lineRule="exact"/>
              <w:rPr>
                <w:sz w:val="19"/>
                <w:szCs w:val="19"/>
                <w:lang w:val="it-IT"/>
              </w:rPr>
            </w:pPr>
            <w:r w:rsidRPr="002B6200">
              <w:rPr>
                <w:b/>
                <w:bCs/>
                <w:sz w:val="19"/>
                <w:szCs w:val="19"/>
                <w:lang w:val="it-IT"/>
              </w:rPr>
              <w:t>Attività rilevate a titolo dei costi di ottenimento o dei costi di esecuzione del contratto con il cliente</w:t>
            </w:r>
          </w:p>
        </w:tc>
        <w:tc>
          <w:tcPr>
            <w:tcW w:w="575" w:type="dxa"/>
            <w:tcMar>
              <w:left w:w="85" w:type="dxa"/>
              <w:right w:w="85" w:type="dxa"/>
            </w:tcMar>
            <w:vAlign w:val="center"/>
          </w:tcPr>
          <w:p w:rsidR="00A44ECD" w:rsidRPr="006A18CC" w:rsidRDefault="00A44ECD" w:rsidP="00A44ECD">
            <w:pPr>
              <w:jc w:val="center"/>
              <w:rPr>
                <w:lang w:val="it-IT"/>
              </w:rPr>
            </w:pPr>
          </w:p>
        </w:tc>
        <w:tc>
          <w:tcPr>
            <w:tcW w:w="567" w:type="dxa"/>
            <w:tcMar>
              <w:left w:w="108" w:type="dxa"/>
            </w:tcMar>
            <w:vAlign w:val="center"/>
          </w:tcPr>
          <w:p w:rsidR="00A44ECD" w:rsidRPr="006A18CC" w:rsidRDefault="00A44ECD" w:rsidP="00A44ECD">
            <w:pPr>
              <w:jc w:val="center"/>
              <w:rPr>
                <w:lang w:val="it-IT"/>
              </w:rPr>
            </w:pPr>
          </w:p>
        </w:tc>
        <w:tc>
          <w:tcPr>
            <w:tcW w:w="567" w:type="dxa"/>
            <w:tcMar>
              <w:left w:w="108" w:type="dxa"/>
            </w:tcMar>
            <w:vAlign w:val="center"/>
          </w:tcPr>
          <w:p w:rsidR="00A44ECD" w:rsidRPr="006A18CC" w:rsidRDefault="00A44ECD" w:rsidP="00A44ECD">
            <w:pPr>
              <w:jc w:val="center"/>
              <w:rPr>
                <w:lang w:val="it-IT"/>
              </w:rPr>
            </w:pPr>
          </w:p>
        </w:tc>
      </w:tr>
      <w:tr w:rsidR="00A44ECD" w:rsidRPr="00A44ECD" w:rsidTr="00F235B5">
        <w:trPr>
          <w:cantSplit/>
        </w:trPr>
        <w:tc>
          <w:tcPr>
            <w:tcW w:w="567" w:type="dxa"/>
            <w:tcMar>
              <w:left w:w="108" w:type="dxa"/>
              <w:right w:w="0" w:type="dxa"/>
            </w:tcMar>
          </w:tcPr>
          <w:p w:rsidR="00A44ECD" w:rsidRDefault="00A44ECD" w:rsidP="00A44ECD">
            <w:pPr>
              <w:pStyle w:val="Numeroelenco"/>
              <w:ind w:left="0" w:firstLine="57"/>
              <w:rPr>
                <w:lang w:val="it-IT"/>
              </w:rPr>
            </w:pPr>
          </w:p>
        </w:tc>
        <w:tc>
          <w:tcPr>
            <w:tcW w:w="851" w:type="dxa"/>
            <w:tcMar>
              <w:left w:w="108" w:type="dxa"/>
              <w:right w:w="0" w:type="dxa"/>
            </w:tcMar>
          </w:tcPr>
          <w:p w:rsidR="00A44ECD" w:rsidRDefault="00A44ECD" w:rsidP="00A44ECD">
            <w:pPr>
              <w:pStyle w:val="IAS"/>
              <w:rPr>
                <w:lang w:val="it-IT"/>
              </w:rPr>
            </w:pPr>
            <w:r>
              <w:rPr>
                <w:lang w:val="it-IT"/>
              </w:rPr>
              <w:t>IFRS 15.127</w:t>
            </w:r>
          </w:p>
        </w:tc>
        <w:tc>
          <w:tcPr>
            <w:tcW w:w="7079" w:type="dxa"/>
            <w:tcMar>
              <w:left w:w="108" w:type="dxa"/>
            </w:tcMar>
          </w:tcPr>
          <w:p w:rsidR="00A44ECD" w:rsidRPr="00380FEF" w:rsidRDefault="00A44ECD" w:rsidP="00A44ECD">
            <w:pPr>
              <w:spacing w:line="226" w:lineRule="exact"/>
              <w:rPr>
                <w:sz w:val="19"/>
                <w:szCs w:val="19"/>
                <w:lang w:val="it-IT"/>
              </w:rPr>
            </w:pPr>
            <w:r w:rsidRPr="002B6200">
              <w:rPr>
                <w:sz w:val="19"/>
                <w:szCs w:val="19"/>
                <w:lang w:val="it-IT"/>
              </w:rPr>
              <w:t>L'entità deve descrivere entrambi i seguenti elementi:</w:t>
            </w:r>
          </w:p>
        </w:tc>
        <w:tc>
          <w:tcPr>
            <w:tcW w:w="575" w:type="dxa"/>
            <w:tcMar>
              <w:left w:w="85" w:type="dxa"/>
              <w:right w:w="85" w:type="dxa"/>
            </w:tcMar>
            <w:vAlign w:val="center"/>
          </w:tcPr>
          <w:p w:rsidR="00A44ECD" w:rsidRPr="006A18CC" w:rsidRDefault="00A44ECD" w:rsidP="00A44ECD">
            <w:pPr>
              <w:jc w:val="center"/>
              <w:rPr>
                <w:lang w:val="it-IT"/>
              </w:rPr>
            </w:pPr>
          </w:p>
        </w:tc>
        <w:tc>
          <w:tcPr>
            <w:tcW w:w="567" w:type="dxa"/>
            <w:tcMar>
              <w:left w:w="108" w:type="dxa"/>
            </w:tcMar>
            <w:vAlign w:val="center"/>
          </w:tcPr>
          <w:p w:rsidR="00A44ECD" w:rsidRPr="006A18CC" w:rsidRDefault="00A44ECD" w:rsidP="00A44ECD">
            <w:pPr>
              <w:jc w:val="center"/>
              <w:rPr>
                <w:lang w:val="it-IT"/>
              </w:rPr>
            </w:pPr>
          </w:p>
        </w:tc>
        <w:tc>
          <w:tcPr>
            <w:tcW w:w="567" w:type="dxa"/>
            <w:tcMar>
              <w:left w:w="108" w:type="dxa"/>
            </w:tcMar>
            <w:vAlign w:val="center"/>
          </w:tcPr>
          <w:p w:rsidR="00A44ECD" w:rsidRPr="006A18CC" w:rsidRDefault="00A44ECD" w:rsidP="00A44ECD">
            <w:pPr>
              <w:jc w:val="center"/>
              <w:rPr>
                <w:lang w:val="it-IT"/>
              </w:rPr>
            </w:pPr>
          </w:p>
        </w:tc>
      </w:tr>
      <w:tr w:rsidR="00A44ECD" w:rsidRPr="008B1B9D" w:rsidTr="00F235B5">
        <w:trPr>
          <w:cantSplit/>
        </w:trPr>
        <w:tc>
          <w:tcPr>
            <w:tcW w:w="567" w:type="dxa"/>
            <w:tcMar>
              <w:left w:w="108" w:type="dxa"/>
              <w:right w:w="0" w:type="dxa"/>
            </w:tcMar>
          </w:tcPr>
          <w:p w:rsidR="00A44ECD" w:rsidRDefault="00A44ECD" w:rsidP="00A44ECD">
            <w:pPr>
              <w:pStyle w:val="Numeroelenco"/>
              <w:numPr>
                <w:ilvl w:val="0"/>
                <w:numId w:val="0"/>
              </w:numPr>
              <w:ind w:left="142"/>
              <w:rPr>
                <w:lang w:val="it-IT"/>
              </w:rPr>
            </w:pPr>
          </w:p>
        </w:tc>
        <w:tc>
          <w:tcPr>
            <w:tcW w:w="851" w:type="dxa"/>
            <w:tcMar>
              <w:left w:w="108" w:type="dxa"/>
              <w:right w:w="0" w:type="dxa"/>
            </w:tcMar>
          </w:tcPr>
          <w:p w:rsidR="00A44ECD" w:rsidRDefault="00A44ECD" w:rsidP="00A44ECD">
            <w:pPr>
              <w:pStyle w:val="IAS"/>
              <w:rPr>
                <w:lang w:val="it-IT"/>
              </w:rPr>
            </w:pPr>
          </w:p>
        </w:tc>
        <w:tc>
          <w:tcPr>
            <w:tcW w:w="7079" w:type="dxa"/>
            <w:tcMar>
              <w:left w:w="108" w:type="dxa"/>
            </w:tcMar>
          </w:tcPr>
          <w:p w:rsidR="00A44ECD" w:rsidRPr="002B6200" w:rsidRDefault="00A44ECD" w:rsidP="00A44ECD">
            <w:pPr>
              <w:pStyle w:val="Rientroa"/>
              <w:numPr>
                <w:ilvl w:val="0"/>
                <w:numId w:val="297"/>
              </w:numPr>
              <w:spacing w:line="210" w:lineRule="exact"/>
            </w:pPr>
            <w:r w:rsidRPr="002B6200">
              <w:t>i giudizi formulati per determinare l'importo dei costi sostenuti per ottenere o eseguire il contratto con il cliente (conformemente al paragrafo 91 o 95) e</w:t>
            </w:r>
          </w:p>
        </w:tc>
        <w:tc>
          <w:tcPr>
            <w:tcW w:w="575" w:type="dxa"/>
            <w:tcMar>
              <w:left w:w="85" w:type="dxa"/>
              <w:right w:w="85"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44ECD" w:rsidRPr="008B1B9D" w:rsidTr="00F235B5">
        <w:trPr>
          <w:cantSplit/>
        </w:trPr>
        <w:tc>
          <w:tcPr>
            <w:tcW w:w="567" w:type="dxa"/>
            <w:tcMar>
              <w:left w:w="108" w:type="dxa"/>
              <w:right w:w="0" w:type="dxa"/>
            </w:tcMar>
          </w:tcPr>
          <w:p w:rsidR="00A44ECD" w:rsidRDefault="00A44ECD" w:rsidP="00A44ECD">
            <w:pPr>
              <w:pStyle w:val="Numeroelenco"/>
              <w:numPr>
                <w:ilvl w:val="0"/>
                <w:numId w:val="0"/>
              </w:numPr>
              <w:ind w:left="502" w:hanging="360"/>
              <w:rPr>
                <w:lang w:val="it-IT"/>
              </w:rPr>
            </w:pPr>
          </w:p>
        </w:tc>
        <w:tc>
          <w:tcPr>
            <w:tcW w:w="851" w:type="dxa"/>
            <w:tcMar>
              <w:left w:w="108" w:type="dxa"/>
              <w:right w:w="0" w:type="dxa"/>
            </w:tcMar>
          </w:tcPr>
          <w:p w:rsidR="00A44ECD" w:rsidRDefault="00A44ECD" w:rsidP="00A44ECD">
            <w:pPr>
              <w:pStyle w:val="IAS"/>
              <w:rPr>
                <w:lang w:val="it-IT"/>
              </w:rPr>
            </w:pPr>
          </w:p>
        </w:tc>
        <w:tc>
          <w:tcPr>
            <w:tcW w:w="7079" w:type="dxa"/>
            <w:tcMar>
              <w:left w:w="108" w:type="dxa"/>
            </w:tcMar>
          </w:tcPr>
          <w:p w:rsidR="00A44ECD" w:rsidRPr="002B6200" w:rsidRDefault="00A44ECD" w:rsidP="00A44ECD">
            <w:pPr>
              <w:pStyle w:val="Rientroa"/>
              <w:numPr>
                <w:ilvl w:val="0"/>
                <w:numId w:val="297"/>
              </w:numPr>
              <w:spacing w:line="210" w:lineRule="exact"/>
              <w:rPr>
                <w:sz w:val="19"/>
                <w:szCs w:val="19"/>
              </w:rPr>
            </w:pPr>
            <w:r w:rsidRPr="002B6200">
              <w:rPr>
                <w:sz w:val="19"/>
                <w:szCs w:val="19"/>
              </w:rPr>
              <w:t xml:space="preserve">il metodo utilizzato per il calcolo </w:t>
            </w:r>
            <w:r w:rsidRPr="002B6200">
              <w:t>dell'ammortamento</w:t>
            </w:r>
            <w:r w:rsidRPr="002B6200">
              <w:rPr>
                <w:sz w:val="19"/>
                <w:szCs w:val="19"/>
              </w:rPr>
              <w:t xml:space="preserve"> per ogni esercizio.</w:t>
            </w:r>
          </w:p>
        </w:tc>
        <w:tc>
          <w:tcPr>
            <w:tcW w:w="575" w:type="dxa"/>
            <w:tcMar>
              <w:left w:w="85" w:type="dxa"/>
              <w:right w:w="85"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44ECD" w:rsidRPr="00A44ECD" w:rsidTr="00F235B5">
        <w:trPr>
          <w:cantSplit/>
        </w:trPr>
        <w:tc>
          <w:tcPr>
            <w:tcW w:w="567" w:type="dxa"/>
            <w:tcMar>
              <w:left w:w="108" w:type="dxa"/>
              <w:right w:w="0" w:type="dxa"/>
            </w:tcMar>
          </w:tcPr>
          <w:p w:rsidR="00A44ECD" w:rsidRDefault="00A44ECD" w:rsidP="00150B74">
            <w:pPr>
              <w:pStyle w:val="Numeroelenco"/>
              <w:ind w:left="0" w:firstLine="57"/>
              <w:rPr>
                <w:lang w:val="it-IT"/>
              </w:rPr>
            </w:pPr>
          </w:p>
        </w:tc>
        <w:tc>
          <w:tcPr>
            <w:tcW w:w="851" w:type="dxa"/>
            <w:tcMar>
              <w:left w:w="108" w:type="dxa"/>
              <w:right w:w="0" w:type="dxa"/>
            </w:tcMar>
          </w:tcPr>
          <w:p w:rsidR="00A44ECD" w:rsidRDefault="00A44ECD" w:rsidP="00150B74">
            <w:pPr>
              <w:pStyle w:val="IAS"/>
              <w:rPr>
                <w:lang w:val="it-IT"/>
              </w:rPr>
            </w:pPr>
            <w:r>
              <w:rPr>
                <w:lang w:val="it-IT"/>
              </w:rPr>
              <w:t>IFRS 15.128</w:t>
            </w:r>
          </w:p>
        </w:tc>
        <w:tc>
          <w:tcPr>
            <w:tcW w:w="7079" w:type="dxa"/>
            <w:tcMar>
              <w:left w:w="108" w:type="dxa"/>
            </w:tcMar>
          </w:tcPr>
          <w:p w:rsidR="00A44ECD" w:rsidRPr="008B1B9D" w:rsidRDefault="00A44ECD" w:rsidP="00150B74">
            <w:pPr>
              <w:spacing w:line="226" w:lineRule="exact"/>
              <w:rPr>
                <w:sz w:val="19"/>
                <w:szCs w:val="19"/>
                <w:lang w:val="it-IT"/>
              </w:rPr>
            </w:pPr>
            <w:r w:rsidRPr="002B6200">
              <w:rPr>
                <w:sz w:val="19"/>
                <w:szCs w:val="19"/>
                <w:lang w:val="it-IT"/>
              </w:rPr>
              <w:t>L'entità deve fornire tutte le seguenti informazioni:</w:t>
            </w:r>
          </w:p>
        </w:tc>
        <w:tc>
          <w:tcPr>
            <w:tcW w:w="575" w:type="dxa"/>
            <w:tcMar>
              <w:left w:w="85" w:type="dxa"/>
              <w:right w:w="85" w:type="dxa"/>
            </w:tcMar>
            <w:vAlign w:val="center"/>
          </w:tcPr>
          <w:p w:rsidR="00A44ECD" w:rsidRPr="006A18CC" w:rsidRDefault="00A44ECD" w:rsidP="00150B74">
            <w:pPr>
              <w:jc w:val="center"/>
              <w:rPr>
                <w:lang w:val="it-IT"/>
              </w:rPr>
            </w:pPr>
          </w:p>
        </w:tc>
        <w:tc>
          <w:tcPr>
            <w:tcW w:w="567" w:type="dxa"/>
            <w:tcMar>
              <w:left w:w="108" w:type="dxa"/>
            </w:tcMar>
            <w:vAlign w:val="center"/>
          </w:tcPr>
          <w:p w:rsidR="00A44ECD" w:rsidRPr="006A18CC" w:rsidRDefault="00A44ECD" w:rsidP="00150B74">
            <w:pPr>
              <w:jc w:val="center"/>
              <w:rPr>
                <w:lang w:val="it-IT"/>
              </w:rPr>
            </w:pPr>
          </w:p>
        </w:tc>
        <w:tc>
          <w:tcPr>
            <w:tcW w:w="567" w:type="dxa"/>
            <w:tcMar>
              <w:left w:w="108" w:type="dxa"/>
            </w:tcMar>
            <w:vAlign w:val="center"/>
          </w:tcPr>
          <w:p w:rsidR="00A44ECD" w:rsidRPr="006A18CC" w:rsidRDefault="00A44ECD" w:rsidP="00150B74">
            <w:pPr>
              <w:jc w:val="center"/>
              <w:rPr>
                <w:lang w:val="it-IT"/>
              </w:rPr>
            </w:pPr>
          </w:p>
        </w:tc>
      </w:tr>
      <w:tr w:rsidR="00A44ECD" w:rsidRPr="008B1B9D" w:rsidTr="00F235B5">
        <w:trPr>
          <w:cantSplit/>
        </w:trPr>
        <w:tc>
          <w:tcPr>
            <w:tcW w:w="567" w:type="dxa"/>
            <w:tcMar>
              <w:left w:w="108" w:type="dxa"/>
              <w:right w:w="0" w:type="dxa"/>
            </w:tcMar>
          </w:tcPr>
          <w:p w:rsidR="00A44ECD" w:rsidRDefault="00A44ECD" w:rsidP="00A44ECD">
            <w:pPr>
              <w:pStyle w:val="Numeroelenco"/>
              <w:numPr>
                <w:ilvl w:val="0"/>
                <w:numId w:val="0"/>
              </w:numPr>
              <w:ind w:left="57"/>
              <w:rPr>
                <w:lang w:val="it-IT"/>
              </w:rPr>
            </w:pPr>
          </w:p>
        </w:tc>
        <w:tc>
          <w:tcPr>
            <w:tcW w:w="851" w:type="dxa"/>
            <w:tcMar>
              <w:left w:w="108" w:type="dxa"/>
              <w:right w:w="0" w:type="dxa"/>
            </w:tcMar>
          </w:tcPr>
          <w:p w:rsidR="00A44ECD" w:rsidRDefault="00A44ECD" w:rsidP="00A44ECD">
            <w:pPr>
              <w:pStyle w:val="IAS"/>
              <w:rPr>
                <w:lang w:val="it-IT"/>
              </w:rPr>
            </w:pPr>
          </w:p>
        </w:tc>
        <w:tc>
          <w:tcPr>
            <w:tcW w:w="7079" w:type="dxa"/>
            <w:tcMar>
              <w:left w:w="108" w:type="dxa"/>
            </w:tcMar>
          </w:tcPr>
          <w:p w:rsidR="00A44ECD" w:rsidRPr="002B6200" w:rsidRDefault="00A44ECD" w:rsidP="00A44ECD">
            <w:pPr>
              <w:pStyle w:val="Rientroa"/>
              <w:numPr>
                <w:ilvl w:val="0"/>
                <w:numId w:val="299"/>
              </w:numPr>
              <w:spacing w:line="210" w:lineRule="exact"/>
            </w:pPr>
            <w:r w:rsidRPr="002B6200">
              <w:t>i saldi di chiusura delle attività rilevate a titolo dei costi sostenuti per l'ottenimento o l'esecuzione del contratto con il cliente (conformemente al paragrafo 91 o 95), per le principali categorie di attività (per esempio, costi sostenuti per ottenere il contratto con il cliente, costi anteriori alla conclusione del contratto, costi di predisposizione del contratto) e</w:t>
            </w:r>
          </w:p>
        </w:tc>
        <w:tc>
          <w:tcPr>
            <w:tcW w:w="575" w:type="dxa"/>
            <w:tcMar>
              <w:left w:w="85" w:type="dxa"/>
              <w:right w:w="85"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44ECD" w:rsidRPr="008B1B9D" w:rsidTr="00F235B5">
        <w:trPr>
          <w:cantSplit/>
        </w:trPr>
        <w:tc>
          <w:tcPr>
            <w:tcW w:w="567" w:type="dxa"/>
            <w:tcMar>
              <w:left w:w="108" w:type="dxa"/>
              <w:right w:w="0" w:type="dxa"/>
            </w:tcMar>
          </w:tcPr>
          <w:p w:rsidR="00A44ECD" w:rsidRDefault="00A44ECD" w:rsidP="00A44ECD">
            <w:pPr>
              <w:pStyle w:val="Numeroelenco"/>
              <w:numPr>
                <w:ilvl w:val="0"/>
                <w:numId w:val="0"/>
              </w:numPr>
              <w:ind w:left="57"/>
              <w:rPr>
                <w:lang w:val="it-IT"/>
              </w:rPr>
            </w:pPr>
          </w:p>
        </w:tc>
        <w:tc>
          <w:tcPr>
            <w:tcW w:w="851" w:type="dxa"/>
            <w:tcMar>
              <w:left w:w="108" w:type="dxa"/>
              <w:right w:w="0" w:type="dxa"/>
            </w:tcMar>
          </w:tcPr>
          <w:p w:rsidR="00A44ECD" w:rsidRDefault="00A44ECD" w:rsidP="00A44ECD">
            <w:pPr>
              <w:pStyle w:val="IAS"/>
              <w:rPr>
                <w:lang w:val="it-IT"/>
              </w:rPr>
            </w:pPr>
          </w:p>
        </w:tc>
        <w:tc>
          <w:tcPr>
            <w:tcW w:w="7079" w:type="dxa"/>
            <w:tcMar>
              <w:left w:w="108" w:type="dxa"/>
            </w:tcMar>
          </w:tcPr>
          <w:p w:rsidR="00A44ECD" w:rsidRPr="002B6200" w:rsidRDefault="00A44ECD" w:rsidP="00A44ECD">
            <w:pPr>
              <w:pStyle w:val="Rientroa"/>
              <w:numPr>
                <w:ilvl w:val="0"/>
                <w:numId w:val="299"/>
              </w:numPr>
              <w:spacing w:line="210" w:lineRule="exact"/>
            </w:pPr>
            <w:r w:rsidRPr="002B6200">
              <w:t>l'importo dell'ammortamento e delle eventuali perdite per riduzione di valore rilevate nell'esercizio.</w:t>
            </w:r>
          </w:p>
        </w:tc>
        <w:tc>
          <w:tcPr>
            <w:tcW w:w="575" w:type="dxa"/>
            <w:tcMar>
              <w:left w:w="85" w:type="dxa"/>
              <w:right w:w="85"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44ECD" w:rsidRPr="008B1B9D" w:rsidTr="00F235B5">
        <w:trPr>
          <w:cantSplit/>
        </w:trPr>
        <w:tc>
          <w:tcPr>
            <w:tcW w:w="567" w:type="dxa"/>
            <w:tcMar>
              <w:left w:w="108" w:type="dxa"/>
              <w:right w:w="0" w:type="dxa"/>
            </w:tcMar>
          </w:tcPr>
          <w:p w:rsidR="00A44ECD" w:rsidRDefault="00A44ECD" w:rsidP="00A44ECD">
            <w:pPr>
              <w:pStyle w:val="Numeroelenco"/>
              <w:numPr>
                <w:ilvl w:val="0"/>
                <w:numId w:val="0"/>
              </w:numPr>
              <w:ind w:left="57"/>
              <w:rPr>
                <w:lang w:val="it-IT"/>
              </w:rPr>
            </w:pPr>
          </w:p>
        </w:tc>
        <w:tc>
          <w:tcPr>
            <w:tcW w:w="851" w:type="dxa"/>
            <w:tcMar>
              <w:left w:w="108" w:type="dxa"/>
              <w:right w:w="0" w:type="dxa"/>
            </w:tcMar>
          </w:tcPr>
          <w:p w:rsidR="00A44ECD" w:rsidRDefault="00A44ECD" w:rsidP="00A44ECD">
            <w:pPr>
              <w:pStyle w:val="IAS"/>
              <w:rPr>
                <w:lang w:val="it-IT"/>
              </w:rPr>
            </w:pPr>
          </w:p>
        </w:tc>
        <w:tc>
          <w:tcPr>
            <w:tcW w:w="7079" w:type="dxa"/>
            <w:tcMar>
              <w:left w:w="108" w:type="dxa"/>
            </w:tcMar>
          </w:tcPr>
          <w:p w:rsidR="00A44ECD" w:rsidRPr="008B1B9D" w:rsidRDefault="00A44ECD" w:rsidP="00A44ECD">
            <w:pPr>
              <w:spacing w:line="226" w:lineRule="exact"/>
              <w:rPr>
                <w:sz w:val="19"/>
                <w:szCs w:val="19"/>
                <w:lang w:val="it-IT"/>
              </w:rPr>
            </w:pPr>
            <w:r>
              <w:rPr>
                <w:b/>
                <w:bCs/>
                <w:sz w:val="19"/>
                <w:szCs w:val="19"/>
              </w:rPr>
              <w:t>Espedienti pratici</w:t>
            </w:r>
          </w:p>
        </w:tc>
        <w:tc>
          <w:tcPr>
            <w:tcW w:w="575" w:type="dxa"/>
            <w:tcMar>
              <w:left w:w="85" w:type="dxa"/>
              <w:right w:w="85" w:type="dxa"/>
            </w:tcMar>
            <w:vAlign w:val="center"/>
          </w:tcPr>
          <w:p w:rsidR="00A44ECD" w:rsidRPr="006A18CC" w:rsidRDefault="00A44ECD" w:rsidP="00A44ECD">
            <w:pPr>
              <w:jc w:val="center"/>
              <w:rPr>
                <w:lang w:val="it-IT"/>
              </w:rPr>
            </w:pPr>
          </w:p>
        </w:tc>
        <w:tc>
          <w:tcPr>
            <w:tcW w:w="567" w:type="dxa"/>
            <w:tcMar>
              <w:left w:w="108" w:type="dxa"/>
            </w:tcMar>
            <w:vAlign w:val="center"/>
          </w:tcPr>
          <w:p w:rsidR="00A44ECD" w:rsidRPr="006A18CC" w:rsidRDefault="00A44ECD" w:rsidP="00A44ECD">
            <w:pPr>
              <w:jc w:val="center"/>
              <w:rPr>
                <w:lang w:val="it-IT"/>
              </w:rPr>
            </w:pPr>
          </w:p>
        </w:tc>
        <w:tc>
          <w:tcPr>
            <w:tcW w:w="567" w:type="dxa"/>
            <w:tcMar>
              <w:left w:w="108" w:type="dxa"/>
            </w:tcMar>
            <w:vAlign w:val="center"/>
          </w:tcPr>
          <w:p w:rsidR="00A44ECD" w:rsidRPr="006A18CC" w:rsidRDefault="00A44ECD" w:rsidP="00A44ECD">
            <w:pPr>
              <w:jc w:val="center"/>
              <w:rPr>
                <w:lang w:val="it-IT"/>
              </w:rPr>
            </w:pPr>
          </w:p>
        </w:tc>
      </w:tr>
      <w:tr w:rsidR="00A44ECD" w:rsidRPr="008B1B9D" w:rsidTr="00F235B5">
        <w:trPr>
          <w:cantSplit/>
        </w:trPr>
        <w:tc>
          <w:tcPr>
            <w:tcW w:w="567" w:type="dxa"/>
            <w:tcMar>
              <w:left w:w="108" w:type="dxa"/>
              <w:right w:w="0" w:type="dxa"/>
            </w:tcMar>
          </w:tcPr>
          <w:p w:rsidR="00A44ECD" w:rsidRDefault="00A44ECD" w:rsidP="00A44ECD">
            <w:pPr>
              <w:pStyle w:val="Numeroelenco"/>
              <w:ind w:left="0" w:firstLine="57"/>
              <w:rPr>
                <w:lang w:val="it-IT"/>
              </w:rPr>
            </w:pPr>
          </w:p>
        </w:tc>
        <w:tc>
          <w:tcPr>
            <w:tcW w:w="851" w:type="dxa"/>
            <w:tcMar>
              <w:left w:w="108" w:type="dxa"/>
              <w:right w:w="0" w:type="dxa"/>
            </w:tcMar>
          </w:tcPr>
          <w:p w:rsidR="00A44ECD" w:rsidRDefault="00A44ECD" w:rsidP="00A44ECD">
            <w:pPr>
              <w:pStyle w:val="IAS"/>
              <w:rPr>
                <w:lang w:val="it-IT"/>
              </w:rPr>
            </w:pPr>
            <w:r>
              <w:rPr>
                <w:lang w:val="it-IT"/>
              </w:rPr>
              <w:t>IFRS 15.129</w:t>
            </w:r>
          </w:p>
        </w:tc>
        <w:tc>
          <w:tcPr>
            <w:tcW w:w="7079" w:type="dxa"/>
            <w:tcMar>
              <w:left w:w="108" w:type="dxa"/>
            </w:tcMar>
          </w:tcPr>
          <w:p w:rsidR="00A44ECD" w:rsidRPr="008B1B9D" w:rsidRDefault="00A44ECD" w:rsidP="00A44ECD">
            <w:pPr>
              <w:spacing w:line="226" w:lineRule="exact"/>
              <w:rPr>
                <w:sz w:val="19"/>
                <w:szCs w:val="19"/>
                <w:lang w:val="it-IT"/>
              </w:rPr>
            </w:pPr>
            <w:r w:rsidRPr="002B6200">
              <w:rPr>
                <w:sz w:val="19"/>
                <w:szCs w:val="19"/>
                <w:lang w:val="it-IT"/>
              </w:rPr>
              <w:t>Se sceglie di applicare l'espediente pratico previsto al paragrafo 63 (relativo all'esistenza di una componente di finanziamento significativa) o al paragrafo 94 (relativo ai costi incrementali per l'ottenimento del contratto), l'entità è tenuta a indicarlo.</w:t>
            </w:r>
          </w:p>
        </w:tc>
        <w:tc>
          <w:tcPr>
            <w:tcW w:w="575" w:type="dxa"/>
            <w:tcMar>
              <w:left w:w="85" w:type="dxa"/>
              <w:right w:w="85"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44ECD" w:rsidRPr="005A6350" w:rsidTr="00F235B5">
        <w:trPr>
          <w:cantSplit/>
        </w:trPr>
        <w:tc>
          <w:tcPr>
            <w:tcW w:w="567" w:type="dxa"/>
            <w:tcMar>
              <w:left w:w="108" w:type="dxa"/>
              <w:right w:w="0" w:type="dxa"/>
            </w:tcMar>
          </w:tcPr>
          <w:p w:rsidR="00A44ECD" w:rsidRPr="00A44ECD" w:rsidRDefault="00A44ECD" w:rsidP="00A44ECD">
            <w:pPr>
              <w:pStyle w:val="Numeroelenco"/>
              <w:numPr>
                <w:ilvl w:val="0"/>
                <w:numId w:val="0"/>
              </w:numPr>
              <w:ind w:left="57"/>
              <w:rPr>
                <w:b/>
                <w:lang w:val="it-IT"/>
              </w:rPr>
            </w:pPr>
          </w:p>
        </w:tc>
        <w:tc>
          <w:tcPr>
            <w:tcW w:w="851" w:type="dxa"/>
            <w:tcMar>
              <w:left w:w="108" w:type="dxa"/>
              <w:right w:w="0" w:type="dxa"/>
            </w:tcMar>
          </w:tcPr>
          <w:p w:rsidR="00A44ECD" w:rsidRPr="00A44ECD" w:rsidRDefault="00A44ECD" w:rsidP="00A44ECD">
            <w:pPr>
              <w:pStyle w:val="IAS"/>
              <w:rPr>
                <w:b/>
                <w:lang w:val="it-IT"/>
              </w:rPr>
            </w:pPr>
          </w:p>
        </w:tc>
        <w:tc>
          <w:tcPr>
            <w:tcW w:w="7079" w:type="dxa"/>
            <w:tcMar>
              <w:left w:w="108" w:type="dxa"/>
            </w:tcMar>
          </w:tcPr>
          <w:p w:rsidR="00A44ECD" w:rsidRPr="00A44ECD" w:rsidRDefault="00A44ECD" w:rsidP="00A44ECD">
            <w:pPr>
              <w:spacing w:line="226" w:lineRule="exact"/>
              <w:rPr>
                <w:b/>
                <w:sz w:val="19"/>
                <w:szCs w:val="19"/>
                <w:lang w:val="it-IT"/>
              </w:rPr>
            </w:pPr>
            <w:r w:rsidRPr="00A44ECD">
              <w:rPr>
                <w:b/>
                <w:sz w:val="19"/>
                <w:szCs w:val="19"/>
              </w:rPr>
              <w:t>DISPOSIZIONI TRANSITORIE</w:t>
            </w:r>
            <w:r>
              <w:rPr>
                <w:b/>
                <w:sz w:val="19"/>
                <w:szCs w:val="19"/>
              </w:rPr>
              <w:t xml:space="preserve"> DELL’IFRS 15</w:t>
            </w:r>
          </w:p>
        </w:tc>
        <w:tc>
          <w:tcPr>
            <w:tcW w:w="575" w:type="dxa"/>
            <w:tcMar>
              <w:left w:w="85" w:type="dxa"/>
              <w:right w:w="85" w:type="dxa"/>
            </w:tcMar>
            <w:vAlign w:val="center"/>
          </w:tcPr>
          <w:p w:rsidR="00A44ECD" w:rsidRPr="00A44ECD" w:rsidRDefault="00A44ECD" w:rsidP="00A44ECD">
            <w:pPr>
              <w:jc w:val="center"/>
              <w:rPr>
                <w:b/>
                <w:lang w:val="it-IT"/>
              </w:rPr>
            </w:pPr>
          </w:p>
        </w:tc>
        <w:tc>
          <w:tcPr>
            <w:tcW w:w="567" w:type="dxa"/>
            <w:tcMar>
              <w:left w:w="108" w:type="dxa"/>
            </w:tcMar>
            <w:vAlign w:val="center"/>
          </w:tcPr>
          <w:p w:rsidR="00A44ECD" w:rsidRPr="00A44ECD" w:rsidRDefault="00A44ECD" w:rsidP="00A44ECD">
            <w:pPr>
              <w:jc w:val="center"/>
              <w:rPr>
                <w:b/>
                <w:lang w:val="it-IT"/>
              </w:rPr>
            </w:pPr>
          </w:p>
        </w:tc>
        <w:tc>
          <w:tcPr>
            <w:tcW w:w="567" w:type="dxa"/>
            <w:tcMar>
              <w:left w:w="108" w:type="dxa"/>
            </w:tcMar>
            <w:vAlign w:val="center"/>
          </w:tcPr>
          <w:p w:rsidR="00A44ECD" w:rsidRPr="00A44ECD" w:rsidRDefault="00A44ECD" w:rsidP="00A44ECD">
            <w:pPr>
              <w:jc w:val="center"/>
              <w:rPr>
                <w:b/>
                <w:lang w:val="it-IT"/>
              </w:rPr>
            </w:pPr>
          </w:p>
        </w:tc>
      </w:tr>
      <w:tr w:rsidR="00A44ECD" w:rsidRPr="00A44ECD" w:rsidTr="00F235B5">
        <w:trPr>
          <w:cantSplit/>
        </w:trPr>
        <w:tc>
          <w:tcPr>
            <w:tcW w:w="567" w:type="dxa"/>
            <w:tcMar>
              <w:left w:w="108" w:type="dxa"/>
              <w:right w:w="0" w:type="dxa"/>
            </w:tcMar>
          </w:tcPr>
          <w:p w:rsidR="00A44ECD" w:rsidRDefault="00A44ECD" w:rsidP="00A44ECD">
            <w:pPr>
              <w:pStyle w:val="Numeroelenco"/>
              <w:numPr>
                <w:ilvl w:val="0"/>
                <w:numId w:val="0"/>
              </w:numPr>
              <w:ind w:left="57"/>
              <w:rPr>
                <w:lang w:val="it-IT"/>
              </w:rPr>
            </w:pPr>
          </w:p>
        </w:tc>
        <w:tc>
          <w:tcPr>
            <w:tcW w:w="851" w:type="dxa"/>
            <w:tcMar>
              <w:left w:w="108" w:type="dxa"/>
              <w:right w:w="0" w:type="dxa"/>
            </w:tcMar>
          </w:tcPr>
          <w:p w:rsidR="00A44ECD" w:rsidRDefault="00A44ECD" w:rsidP="00A44ECD">
            <w:pPr>
              <w:pStyle w:val="IAS"/>
              <w:rPr>
                <w:lang w:val="it-IT"/>
              </w:rPr>
            </w:pPr>
            <w:r>
              <w:rPr>
                <w:lang w:val="it-IT"/>
              </w:rPr>
              <w:t>IFRS 15.C3</w:t>
            </w:r>
          </w:p>
        </w:tc>
        <w:tc>
          <w:tcPr>
            <w:tcW w:w="7079" w:type="dxa"/>
            <w:tcMar>
              <w:left w:w="108" w:type="dxa"/>
            </w:tcMar>
          </w:tcPr>
          <w:p w:rsidR="00A44ECD" w:rsidRDefault="00A44ECD" w:rsidP="00150B74">
            <w:pPr>
              <w:pStyle w:val="Paragarfobordato"/>
            </w:pPr>
            <w:r>
              <w:t>L’entità deve applicare l’IFRS 15 utilizzando uno dei metodi seguenti:</w:t>
            </w:r>
          </w:p>
          <w:p w:rsidR="00A44ECD" w:rsidRDefault="00150B74" w:rsidP="00150B74">
            <w:pPr>
              <w:pStyle w:val="Paragarfobordato"/>
              <w:ind w:left="205" w:hanging="205"/>
            </w:pPr>
            <w:r>
              <w:t>a)</w:t>
            </w:r>
            <w:r>
              <w:tab/>
            </w:r>
            <w:r w:rsidR="00A44ECD">
              <w:t>retroattivmente a ciascun esercizio precedente presentato conformemente allo IAS 8, fatti salvi gli espedienti pratici consentiti (cfr, paragrafo C5)</w:t>
            </w:r>
          </w:p>
          <w:p w:rsidR="00A44ECD" w:rsidRPr="00905C59" w:rsidRDefault="00150B74" w:rsidP="00150B74">
            <w:pPr>
              <w:pStyle w:val="Paragarfobordato"/>
              <w:ind w:left="205" w:hanging="205"/>
            </w:pPr>
            <w:r>
              <w:t>b)</w:t>
            </w:r>
            <w:r>
              <w:tab/>
            </w:r>
            <w:r w:rsidR="00A44ECD">
              <w:t>retroattivamente contabilizzando l’effetto cumulativo dell’applicazione iniziale alla data di inizio dell’esercizio in cui l’entità applica per la prima volta l’IFRS 15.</w:t>
            </w:r>
          </w:p>
        </w:tc>
        <w:tc>
          <w:tcPr>
            <w:tcW w:w="575" w:type="dxa"/>
            <w:tcMar>
              <w:left w:w="85" w:type="dxa"/>
              <w:right w:w="85" w:type="dxa"/>
            </w:tcMar>
            <w:vAlign w:val="center"/>
          </w:tcPr>
          <w:p w:rsidR="00A44ECD" w:rsidRPr="006A18CC" w:rsidRDefault="00A44ECD" w:rsidP="00A44ECD">
            <w:pPr>
              <w:jc w:val="center"/>
              <w:rPr>
                <w:lang w:val="it-IT"/>
              </w:rPr>
            </w:pPr>
          </w:p>
        </w:tc>
        <w:tc>
          <w:tcPr>
            <w:tcW w:w="567" w:type="dxa"/>
            <w:tcMar>
              <w:left w:w="108" w:type="dxa"/>
            </w:tcMar>
            <w:vAlign w:val="center"/>
          </w:tcPr>
          <w:p w:rsidR="00A44ECD" w:rsidRPr="006A18CC" w:rsidRDefault="00A44ECD" w:rsidP="00A44ECD">
            <w:pPr>
              <w:jc w:val="center"/>
              <w:rPr>
                <w:lang w:val="it-IT"/>
              </w:rPr>
            </w:pPr>
          </w:p>
        </w:tc>
        <w:tc>
          <w:tcPr>
            <w:tcW w:w="567" w:type="dxa"/>
            <w:tcMar>
              <w:left w:w="108" w:type="dxa"/>
            </w:tcMar>
            <w:vAlign w:val="center"/>
          </w:tcPr>
          <w:p w:rsidR="00A44ECD" w:rsidRPr="006A18CC" w:rsidRDefault="00A44ECD" w:rsidP="00A44ECD">
            <w:pPr>
              <w:jc w:val="center"/>
              <w:rPr>
                <w:lang w:val="it-IT"/>
              </w:rPr>
            </w:pPr>
          </w:p>
        </w:tc>
      </w:tr>
      <w:tr w:rsidR="00A44ECD" w:rsidRPr="00A44ECD" w:rsidTr="00F235B5">
        <w:trPr>
          <w:cantSplit/>
        </w:trPr>
        <w:tc>
          <w:tcPr>
            <w:tcW w:w="567" w:type="dxa"/>
            <w:tcMar>
              <w:left w:w="108" w:type="dxa"/>
              <w:right w:w="0" w:type="dxa"/>
            </w:tcMar>
          </w:tcPr>
          <w:p w:rsidR="00A44ECD" w:rsidRDefault="00A44ECD" w:rsidP="00A44ECD">
            <w:pPr>
              <w:pStyle w:val="Numeroelenco"/>
              <w:numPr>
                <w:ilvl w:val="0"/>
                <w:numId w:val="0"/>
              </w:numPr>
              <w:ind w:left="57"/>
              <w:rPr>
                <w:lang w:val="it-IT"/>
              </w:rPr>
            </w:pPr>
          </w:p>
        </w:tc>
        <w:tc>
          <w:tcPr>
            <w:tcW w:w="851" w:type="dxa"/>
            <w:tcMar>
              <w:left w:w="108" w:type="dxa"/>
              <w:right w:w="0" w:type="dxa"/>
            </w:tcMar>
          </w:tcPr>
          <w:p w:rsidR="00A44ECD" w:rsidRDefault="00A44ECD" w:rsidP="00A44ECD">
            <w:pPr>
              <w:pStyle w:val="IAS"/>
              <w:rPr>
                <w:lang w:val="it-IT"/>
              </w:rPr>
            </w:pPr>
            <w:r>
              <w:rPr>
                <w:lang w:val="it-IT"/>
              </w:rPr>
              <w:t>IFRS 15.C4</w:t>
            </w:r>
          </w:p>
          <w:p w:rsidR="00A44ECD" w:rsidRDefault="00A44ECD" w:rsidP="00A44ECD">
            <w:pPr>
              <w:pStyle w:val="IAS"/>
              <w:rPr>
                <w:lang w:val="it-IT"/>
              </w:rPr>
            </w:pPr>
          </w:p>
        </w:tc>
        <w:tc>
          <w:tcPr>
            <w:tcW w:w="7079" w:type="dxa"/>
            <w:tcMar>
              <w:left w:w="108" w:type="dxa"/>
            </w:tcMar>
          </w:tcPr>
          <w:p w:rsidR="00A44ECD" w:rsidRPr="002B6200" w:rsidRDefault="00A44ECD" w:rsidP="00150B74">
            <w:pPr>
              <w:pStyle w:val="Paragarfobordato"/>
              <w:rPr>
                <w:sz w:val="19"/>
                <w:szCs w:val="19"/>
              </w:rPr>
            </w:pPr>
            <w:r w:rsidRPr="00905C59">
              <w:t>Nonostante le disposizioni del paragrafo 28 dello IAS 8, alla prima app</w:t>
            </w:r>
            <w:r w:rsidRPr="00437D7F">
              <w:t>licazione dell</w:t>
            </w:r>
            <w:r>
              <w:t>’IFRS 15</w:t>
            </w:r>
            <w:r w:rsidRPr="00905C59">
              <w:t xml:space="preserve"> l'entità deve presentare solo le informazioni quantitative di cui al paragrafo 28, lettera f), dello IAS 8</w:t>
            </w:r>
            <w:r>
              <w:t xml:space="preserve"> (vedi punto 115)</w:t>
            </w:r>
            <w:r w:rsidRPr="00905C59">
              <w:t xml:space="preserve"> per l'esercizio immediatamente precedente il primo esercizio al</w:t>
            </w:r>
            <w:r w:rsidRPr="00437D7F">
              <w:t xml:space="preserve"> quale è applicato il p</w:t>
            </w:r>
            <w:r w:rsidRPr="00905C59">
              <w:t>rincipio («esercizio immediatamente precedente») e solo s</w:t>
            </w:r>
            <w:r w:rsidRPr="00437D7F">
              <w:t>e l'entità applica il p</w:t>
            </w:r>
            <w:r w:rsidRPr="00905C59">
              <w:t>rincipio retroattivamente conformemente al paragrafo C3, lettera a). L'entità può presentare dette informazioni anche per l'esercizio corrente o per gli esercizi comparativi precedenti, ma non è tenuta a farlo.</w:t>
            </w:r>
          </w:p>
        </w:tc>
        <w:tc>
          <w:tcPr>
            <w:tcW w:w="575" w:type="dxa"/>
            <w:tcMar>
              <w:left w:w="85" w:type="dxa"/>
              <w:right w:w="85" w:type="dxa"/>
            </w:tcMar>
            <w:vAlign w:val="center"/>
          </w:tcPr>
          <w:p w:rsidR="00A44ECD" w:rsidRPr="006A18CC" w:rsidRDefault="00A44ECD" w:rsidP="00A44ECD">
            <w:pPr>
              <w:jc w:val="center"/>
              <w:rPr>
                <w:lang w:val="it-IT"/>
              </w:rPr>
            </w:pPr>
          </w:p>
        </w:tc>
        <w:tc>
          <w:tcPr>
            <w:tcW w:w="567" w:type="dxa"/>
            <w:tcMar>
              <w:left w:w="108" w:type="dxa"/>
            </w:tcMar>
            <w:vAlign w:val="center"/>
          </w:tcPr>
          <w:p w:rsidR="00A44ECD" w:rsidRPr="006A18CC" w:rsidRDefault="00A44ECD" w:rsidP="00A44ECD">
            <w:pPr>
              <w:jc w:val="center"/>
              <w:rPr>
                <w:lang w:val="it-IT"/>
              </w:rPr>
            </w:pPr>
          </w:p>
        </w:tc>
        <w:tc>
          <w:tcPr>
            <w:tcW w:w="567" w:type="dxa"/>
            <w:tcMar>
              <w:left w:w="108" w:type="dxa"/>
            </w:tcMar>
            <w:vAlign w:val="center"/>
          </w:tcPr>
          <w:p w:rsidR="00A44ECD" w:rsidRPr="006A18CC" w:rsidRDefault="00A44ECD" w:rsidP="00A44ECD">
            <w:pPr>
              <w:jc w:val="center"/>
              <w:rPr>
                <w:lang w:val="it-IT"/>
              </w:rPr>
            </w:pPr>
          </w:p>
        </w:tc>
      </w:tr>
      <w:tr w:rsidR="00A44ECD" w:rsidRPr="00A44ECD" w:rsidTr="00F235B5">
        <w:trPr>
          <w:cantSplit/>
        </w:trPr>
        <w:tc>
          <w:tcPr>
            <w:tcW w:w="567" w:type="dxa"/>
            <w:tcMar>
              <w:left w:w="108" w:type="dxa"/>
              <w:right w:w="0" w:type="dxa"/>
            </w:tcMar>
          </w:tcPr>
          <w:p w:rsidR="00A44ECD" w:rsidRDefault="00A44ECD" w:rsidP="00A44ECD">
            <w:pPr>
              <w:pStyle w:val="Numeroelenco"/>
              <w:numPr>
                <w:ilvl w:val="0"/>
                <w:numId w:val="0"/>
              </w:numPr>
              <w:ind w:left="57"/>
              <w:rPr>
                <w:lang w:val="it-IT"/>
              </w:rPr>
            </w:pPr>
          </w:p>
        </w:tc>
        <w:tc>
          <w:tcPr>
            <w:tcW w:w="851" w:type="dxa"/>
            <w:tcMar>
              <w:left w:w="108" w:type="dxa"/>
              <w:right w:w="0" w:type="dxa"/>
            </w:tcMar>
          </w:tcPr>
          <w:p w:rsidR="00A44ECD" w:rsidRDefault="00A44ECD" w:rsidP="00A44ECD">
            <w:pPr>
              <w:pStyle w:val="IAS"/>
              <w:rPr>
                <w:lang w:val="it-IT"/>
              </w:rPr>
            </w:pPr>
            <w:r>
              <w:rPr>
                <w:lang w:val="it-IT"/>
              </w:rPr>
              <w:t>IFRS 15.C5(c)</w:t>
            </w:r>
          </w:p>
        </w:tc>
        <w:tc>
          <w:tcPr>
            <w:tcW w:w="7079" w:type="dxa"/>
            <w:tcMar>
              <w:left w:w="108" w:type="dxa"/>
            </w:tcMar>
          </w:tcPr>
          <w:p w:rsidR="00A44ECD" w:rsidRPr="00905C59" w:rsidRDefault="00A44ECD" w:rsidP="00150B74">
            <w:pPr>
              <w:pStyle w:val="Paragarfobordato"/>
            </w:pPr>
            <w:r>
              <w:t>Qualora l’entità applica l’IFRS 15 retroattivamente in accordo al paragrafo C3, lettera a), l’entità può utilizzare il seguente espediente pratico:  per tutti gli esercizi precedenti presentati prima della data di applicazione iniziale, l’entità non è tenuta ad indicare l’importo del prezzo dell’operazione assegnato alle rimanenti obbligazioni di fare né a fornire una spiegazione in cui indica quando prevede di rilevare l’importo come ricavo (cfr. paragrafo 120)</w:t>
            </w:r>
          </w:p>
        </w:tc>
        <w:tc>
          <w:tcPr>
            <w:tcW w:w="575" w:type="dxa"/>
            <w:tcMar>
              <w:left w:w="85" w:type="dxa"/>
              <w:right w:w="85" w:type="dxa"/>
            </w:tcMar>
            <w:vAlign w:val="center"/>
          </w:tcPr>
          <w:p w:rsidR="00A44ECD" w:rsidRPr="006A18CC" w:rsidRDefault="00A44ECD" w:rsidP="00A44ECD">
            <w:pPr>
              <w:jc w:val="center"/>
              <w:rPr>
                <w:lang w:val="it-IT"/>
              </w:rPr>
            </w:pPr>
          </w:p>
        </w:tc>
        <w:tc>
          <w:tcPr>
            <w:tcW w:w="567" w:type="dxa"/>
            <w:tcMar>
              <w:left w:w="108" w:type="dxa"/>
            </w:tcMar>
            <w:vAlign w:val="center"/>
          </w:tcPr>
          <w:p w:rsidR="00A44ECD" w:rsidRPr="006A18CC" w:rsidRDefault="00A44ECD" w:rsidP="00A44ECD">
            <w:pPr>
              <w:jc w:val="center"/>
              <w:rPr>
                <w:lang w:val="it-IT"/>
              </w:rPr>
            </w:pPr>
          </w:p>
        </w:tc>
        <w:tc>
          <w:tcPr>
            <w:tcW w:w="567" w:type="dxa"/>
            <w:tcMar>
              <w:left w:w="108" w:type="dxa"/>
            </w:tcMar>
            <w:vAlign w:val="center"/>
          </w:tcPr>
          <w:p w:rsidR="00A44ECD" w:rsidRPr="006A18CC" w:rsidRDefault="00A44ECD" w:rsidP="00A44ECD">
            <w:pPr>
              <w:jc w:val="center"/>
              <w:rPr>
                <w:lang w:val="it-IT"/>
              </w:rPr>
            </w:pPr>
          </w:p>
        </w:tc>
      </w:tr>
      <w:tr w:rsidR="00A44ECD" w:rsidRPr="00A44ECD" w:rsidTr="00F235B5">
        <w:trPr>
          <w:cantSplit/>
        </w:trPr>
        <w:tc>
          <w:tcPr>
            <w:tcW w:w="567" w:type="dxa"/>
            <w:tcMar>
              <w:left w:w="108" w:type="dxa"/>
              <w:right w:w="0" w:type="dxa"/>
            </w:tcMar>
          </w:tcPr>
          <w:p w:rsidR="00A44ECD" w:rsidRDefault="00A44ECD" w:rsidP="00A44ECD">
            <w:pPr>
              <w:pStyle w:val="Numeroelenco"/>
              <w:ind w:left="0" w:firstLine="57"/>
              <w:rPr>
                <w:lang w:val="it-IT"/>
              </w:rPr>
            </w:pPr>
          </w:p>
        </w:tc>
        <w:tc>
          <w:tcPr>
            <w:tcW w:w="851" w:type="dxa"/>
            <w:tcMar>
              <w:left w:w="108" w:type="dxa"/>
              <w:right w:w="0" w:type="dxa"/>
            </w:tcMar>
          </w:tcPr>
          <w:p w:rsidR="00A44ECD" w:rsidRDefault="00A44ECD" w:rsidP="00A44ECD">
            <w:pPr>
              <w:pStyle w:val="IAS"/>
              <w:rPr>
                <w:lang w:val="it-IT"/>
              </w:rPr>
            </w:pPr>
            <w:r>
              <w:rPr>
                <w:lang w:val="it-IT"/>
              </w:rPr>
              <w:t>IFRS 15.C6</w:t>
            </w:r>
          </w:p>
        </w:tc>
        <w:tc>
          <w:tcPr>
            <w:tcW w:w="7079" w:type="dxa"/>
            <w:tcMar>
              <w:left w:w="108" w:type="dxa"/>
            </w:tcMar>
          </w:tcPr>
          <w:p w:rsidR="00A44ECD" w:rsidRPr="002B6200" w:rsidRDefault="00A44ECD" w:rsidP="00A44ECD">
            <w:pPr>
              <w:spacing w:line="226" w:lineRule="exact"/>
              <w:rPr>
                <w:sz w:val="19"/>
                <w:szCs w:val="19"/>
                <w:lang w:val="it-IT"/>
              </w:rPr>
            </w:pPr>
            <w:r>
              <w:rPr>
                <w:sz w:val="19"/>
                <w:szCs w:val="19"/>
                <w:lang w:val="it-IT"/>
              </w:rPr>
              <w:t>Con riferimento agli espedienti pratici, di cui al paragrafo C5, l’entità deve fornire le seguenti informazioni:</w:t>
            </w:r>
          </w:p>
        </w:tc>
        <w:tc>
          <w:tcPr>
            <w:tcW w:w="575" w:type="dxa"/>
            <w:tcMar>
              <w:left w:w="85" w:type="dxa"/>
              <w:right w:w="85" w:type="dxa"/>
            </w:tcMar>
            <w:vAlign w:val="center"/>
          </w:tcPr>
          <w:p w:rsidR="00A44ECD" w:rsidRPr="006A18CC" w:rsidRDefault="00A44ECD" w:rsidP="00A44ECD">
            <w:pPr>
              <w:jc w:val="center"/>
              <w:rPr>
                <w:lang w:val="it-IT"/>
              </w:rPr>
            </w:pPr>
          </w:p>
        </w:tc>
        <w:tc>
          <w:tcPr>
            <w:tcW w:w="567" w:type="dxa"/>
            <w:tcMar>
              <w:left w:w="108" w:type="dxa"/>
            </w:tcMar>
            <w:vAlign w:val="center"/>
          </w:tcPr>
          <w:p w:rsidR="00A44ECD" w:rsidRPr="006A18CC" w:rsidRDefault="00A44ECD" w:rsidP="00A44ECD">
            <w:pPr>
              <w:jc w:val="center"/>
              <w:rPr>
                <w:lang w:val="it-IT"/>
              </w:rPr>
            </w:pPr>
          </w:p>
        </w:tc>
        <w:tc>
          <w:tcPr>
            <w:tcW w:w="567" w:type="dxa"/>
            <w:tcMar>
              <w:left w:w="108" w:type="dxa"/>
            </w:tcMar>
            <w:vAlign w:val="center"/>
          </w:tcPr>
          <w:p w:rsidR="00A44ECD" w:rsidRPr="006A18CC" w:rsidRDefault="00A44ECD" w:rsidP="00A44ECD">
            <w:pPr>
              <w:jc w:val="center"/>
              <w:rPr>
                <w:lang w:val="it-IT"/>
              </w:rPr>
            </w:pPr>
          </w:p>
        </w:tc>
      </w:tr>
      <w:tr w:rsidR="00A44ECD" w:rsidRPr="008B1B9D" w:rsidTr="00AF78B1">
        <w:trPr>
          <w:cantSplit/>
        </w:trPr>
        <w:tc>
          <w:tcPr>
            <w:tcW w:w="567" w:type="dxa"/>
            <w:tcMar>
              <w:left w:w="108" w:type="dxa"/>
              <w:right w:w="0" w:type="dxa"/>
            </w:tcMar>
          </w:tcPr>
          <w:p w:rsidR="00A44ECD" w:rsidRDefault="00A44ECD" w:rsidP="00A44ECD">
            <w:pPr>
              <w:pStyle w:val="Numeroelenco"/>
              <w:numPr>
                <w:ilvl w:val="0"/>
                <w:numId w:val="0"/>
              </w:numPr>
              <w:ind w:left="57"/>
              <w:rPr>
                <w:lang w:val="it-IT"/>
              </w:rPr>
            </w:pPr>
          </w:p>
        </w:tc>
        <w:tc>
          <w:tcPr>
            <w:tcW w:w="851" w:type="dxa"/>
            <w:tcMar>
              <w:left w:w="108" w:type="dxa"/>
              <w:right w:w="0" w:type="dxa"/>
            </w:tcMar>
          </w:tcPr>
          <w:p w:rsidR="00A44ECD" w:rsidRDefault="00A44ECD" w:rsidP="00A44ECD">
            <w:pPr>
              <w:pStyle w:val="IAS"/>
              <w:rPr>
                <w:lang w:val="it-IT"/>
              </w:rPr>
            </w:pPr>
          </w:p>
        </w:tc>
        <w:tc>
          <w:tcPr>
            <w:tcW w:w="7079" w:type="dxa"/>
            <w:tcMar>
              <w:left w:w="108" w:type="dxa"/>
            </w:tcMar>
          </w:tcPr>
          <w:p w:rsidR="00A44ECD" w:rsidRPr="002B6200" w:rsidRDefault="00A44ECD" w:rsidP="00A44ECD">
            <w:pPr>
              <w:pStyle w:val="Rientroa"/>
              <w:numPr>
                <w:ilvl w:val="0"/>
                <w:numId w:val="303"/>
              </w:numPr>
              <w:spacing w:line="210" w:lineRule="exact"/>
            </w:pPr>
            <w:r>
              <w:t>gli espedienti pratici che sono stati utilizzati</w:t>
            </w:r>
          </w:p>
        </w:tc>
        <w:tc>
          <w:tcPr>
            <w:tcW w:w="575" w:type="dxa"/>
            <w:tcMar>
              <w:left w:w="85" w:type="dxa"/>
              <w:right w:w="85"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44ECD" w:rsidRPr="008B1B9D" w:rsidTr="00AF78B1">
        <w:trPr>
          <w:cantSplit/>
        </w:trPr>
        <w:tc>
          <w:tcPr>
            <w:tcW w:w="567" w:type="dxa"/>
            <w:tcMar>
              <w:left w:w="108" w:type="dxa"/>
              <w:right w:w="0" w:type="dxa"/>
            </w:tcMar>
          </w:tcPr>
          <w:p w:rsidR="00A44ECD" w:rsidRDefault="00A44ECD" w:rsidP="00A44ECD">
            <w:pPr>
              <w:pStyle w:val="Numeroelenco"/>
              <w:numPr>
                <w:ilvl w:val="0"/>
                <w:numId w:val="0"/>
              </w:numPr>
              <w:ind w:left="57"/>
              <w:rPr>
                <w:lang w:val="it-IT"/>
              </w:rPr>
            </w:pPr>
          </w:p>
        </w:tc>
        <w:tc>
          <w:tcPr>
            <w:tcW w:w="851" w:type="dxa"/>
            <w:tcMar>
              <w:left w:w="108" w:type="dxa"/>
              <w:right w:w="0" w:type="dxa"/>
            </w:tcMar>
          </w:tcPr>
          <w:p w:rsidR="00A44ECD" w:rsidRDefault="00A44ECD" w:rsidP="00A44ECD">
            <w:pPr>
              <w:pStyle w:val="IAS"/>
              <w:rPr>
                <w:lang w:val="it-IT"/>
              </w:rPr>
            </w:pPr>
          </w:p>
        </w:tc>
        <w:tc>
          <w:tcPr>
            <w:tcW w:w="7079" w:type="dxa"/>
            <w:tcMar>
              <w:left w:w="108" w:type="dxa"/>
            </w:tcMar>
          </w:tcPr>
          <w:p w:rsidR="00A44ECD" w:rsidRPr="002B6200" w:rsidRDefault="00A44ECD" w:rsidP="00A44ECD">
            <w:pPr>
              <w:pStyle w:val="Rientroa"/>
              <w:numPr>
                <w:ilvl w:val="0"/>
                <w:numId w:val="303"/>
              </w:numPr>
              <w:spacing w:line="210" w:lineRule="exact"/>
            </w:pPr>
            <w:r>
              <w:t>se ragionevolmente possibile, una valutazione qualitativa dell’effetto stimato dell’applicazione di ognuno degli espedienti.</w:t>
            </w:r>
          </w:p>
        </w:tc>
        <w:tc>
          <w:tcPr>
            <w:tcW w:w="575" w:type="dxa"/>
            <w:tcMar>
              <w:left w:w="85" w:type="dxa"/>
              <w:right w:w="85"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44ECD" w:rsidRPr="00A44ECD" w:rsidTr="00F235B5">
        <w:trPr>
          <w:cantSplit/>
        </w:trPr>
        <w:tc>
          <w:tcPr>
            <w:tcW w:w="567" w:type="dxa"/>
            <w:tcMar>
              <w:left w:w="108" w:type="dxa"/>
              <w:right w:w="0" w:type="dxa"/>
            </w:tcMar>
          </w:tcPr>
          <w:p w:rsidR="00A44ECD" w:rsidRDefault="00A44ECD" w:rsidP="00A44ECD">
            <w:pPr>
              <w:pStyle w:val="Numeroelenco"/>
              <w:ind w:left="0" w:firstLine="57"/>
              <w:rPr>
                <w:lang w:val="it-IT"/>
              </w:rPr>
            </w:pPr>
          </w:p>
        </w:tc>
        <w:tc>
          <w:tcPr>
            <w:tcW w:w="851" w:type="dxa"/>
            <w:tcMar>
              <w:left w:w="108" w:type="dxa"/>
              <w:right w:w="0" w:type="dxa"/>
            </w:tcMar>
          </w:tcPr>
          <w:p w:rsidR="00A44ECD" w:rsidRDefault="00A44ECD" w:rsidP="00A44ECD">
            <w:pPr>
              <w:pStyle w:val="IAS"/>
              <w:rPr>
                <w:lang w:val="it-IT"/>
              </w:rPr>
            </w:pPr>
            <w:r>
              <w:rPr>
                <w:lang w:val="it-IT"/>
              </w:rPr>
              <w:t>IFRS 15.C8</w:t>
            </w:r>
          </w:p>
        </w:tc>
        <w:tc>
          <w:tcPr>
            <w:tcW w:w="7079" w:type="dxa"/>
            <w:tcMar>
              <w:left w:w="108" w:type="dxa"/>
            </w:tcMar>
          </w:tcPr>
          <w:p w:rsidR="00A44ECD" w:rsidRPr="0011663F" w:rsidRDefault="00A44ECD" w:rsidP="00A44ECD">
            <w:pPr>
              <w:spacing w:line="226" w:lineRule="exact"/>
              <w:rPr>
                <w:sz w:val="19"/>
                <w:szCs w:val="19"/>
                <w:lang w:val="it-IT"/>
              </w:rPr>
            </w:pPr>
            <w:r w:rsidRPr="002B6200">
              <w:rPr>
                <w:sz w:val="19"/>
                <w:szCs w:val="19"/>
                <w:lang w:val="it-IT"/>
              </w:rPr>
              <w:t xml:space="preserve">Per gli esercizi che includono la data di applicazione iniziale, l'entità deve fornire entrambe le seguenti informazioni aggiuntive se </w:t>
            </w:r>
            <w:r>
              <w:rPr>
                <w:sz w:val="19"/>
                <w:szCs w:val="19"/>
                <w:lang w:val="it-IT"/>
              </w:rPr>
              <w:t xml:space="preserve">l’IFRS 15 </w:t>
            </w:r>
            <w:r w:rsidRPr="002B6200">
              <w:rPr>
                <w:sz w:val="19"/>
                <w:szCs w:val="19"/>
                <w:lang w:val="it-IT"/>
              </w:rPr>
              <w:t>è applicato retroattivamente conformemente al paragrafo C3, lettera b):</w:t>
            </w:r>
          </w:p>
        </w:tc>
        <w:tc>
          <w:tcPr>
            <w:tcW w:w="575" w:type="dxa"/>
            <w:tcMar>
              <w:left w:w="85" w:type="dxa"/>
              <w:right w:w="85" w:type="dxa"/>
            </w:tcMar>
            <w:vAlign w:val="center"/>
          </w:tcPr>
          <w:p w:rsidR="00A44ECD" w:rsidRPr="006A18CC" w:rsidRDefault="00A44ECD" w:rsidP="00A44ECD">
            <w:pPr>
              <w:jc w:val="center"/>
              <w:rPr>
                <w:lang w:val="it-IT"/>
              </w:rPr>
            </w:pPr>
          </w:p>
        </w:tc>
        <w:tc>
          <w:tcPr>
            <w:tcW w:w="567" w:type="dxa"/>
            <w:tcMar>
              <w:left w:w="108" w:type="dxa"/>
            </w:tcMar>
            <w:vAlign w:val="center"/>
          </w:tcPr>
          <w:p w:rsidR="00A44ECD" w:rsidRPr="006A18CC" w:rsidRDefault="00A44ECD" w:rsidP="00A44ECD">
            <w:pPr>
              <w:jc w:val="center"/>
              <w:rPr>
                <w:lang w:val="it-IT"/>
              </w:rPr>
            </w:pPr>
          </w:p>
        </w:tc>
        <w:tc>
          <w:tcPr>
            <w:tcW w:w="567" w:type="dxa"/>
            <w:tcMar>
              <w:left w:w="108" w:type="dxa"/>
            </w:tcMar>
            <w:vAlign w:val="center"/>
          </w:tcPr>
          <w:p w:rsidR="00A44ECD" w:rsidRPr="006A18CC" w:rsidRDefault="00A44ECD" w:rsidP="00A44ECD">
            <w:pPr>
              <w:jc w:val="center"/>
              <w:rPr>
                <w:lang w:val="it-IT"/>
              </w:rPr>
            </w:pPr>
          </w:p>
        </w:tc>
      </w:tr>
      <w:tr w:rsidR="00A44ECD" w:rsidRPr="008B1B9D" w:rsidTr="00F235B5">
        <w:trPr>
          <w:cantSplit/>
        </w:trPr>
        <w:tc>
          <w:tcPr>
            <w:tcW w:w="567" w:type="dxa"/>
            <w:tcMar>
              <w:left w:w="108" w:type="dxa"/>
              <w:right w:w="0" w:type="dxa"/>
            </w:tcMar>
          </w:tcPr>
          <w:p w:rsidR="00A44ECD" w:rsidRDefault="00A44ECD" w:rsidP="00A44ECD">
            <w:pPr>
              <w:pStyle w:val="Numeroelenco"/>
              <w:numPr>
                <w:ilvl w:val="0"/>
                <w:numId w:val="0"/>
              </w:numPr>
              <w:ind w:left="57"/>
              <w:rPr>
                <w:lang w:val="it-IT"/>
              </w:rPr>
            </w:pPr>
          </w:p>
        </w:tc>
        <w:tc>
          <w:tcPr>
            <w:tcW w:w="851" w:type="dxa"/>
            <w:tcMar>
              <w:left w:w="108" w:type="dxa"/>
              <w:right w:w="0" w:type="dxa"/>
            </w:tcMar>
          </w:tcPr>
          <w:p w:rsidR="00A44ECD" w:rsidRDefault="00A44ECD" w:rsidP="00A44ECD">
            <w:pPr>
              <w:pStyle w:val="IAS"/>
              <w:rPr>
                <w:lang w:val="it-IT"/>
              </w:rPr>
            </w:pPr>
          </w:p>
        </w:tc>
        <w:tc>
          <w:tcPr>
            <w:tcW w:w="7079" w:type="dxa"/>
            <w:tcMar>
              <w:left w:w="108" w:type="dxa"/>
            </w:tcMar>
          </w:tcPr>
          <w:p w:rsidR="00A44ECD" w:rsidRPr="002B6200" w:rsidRDefault="00A44ECD" w:rsidP="00A44ECD">
            <w:pPr>
              <w:pStyle w:val="Rientroa"/>
              <w:numPr>
                <w:ilvl w:val="0"/>
                <w:numId w:val="308"/>
              </w:numPr>
              <w:spacing w:line="210" w:lineRule="exact"/>
            </w:pPr>
            <w:r w:rsidRPr="002B6200">
              <w:t xml:space="preserve">l'importo dell'incidenza che ha su ogni voce del bilancio dell'esercizio corrente il fatto di applicare </w:t>
            </w:r>
            <w:r>
              <w:t xml:space="preserve">l’IFRS 15 </w:t>
            </w:r>
            <w:r w:rsidRPr="002B6200">
              <w:t>invece dello IAS 11, dello IAS 18 e delle relative Interpretazioni vigenti prima del cambiamento e</w:t>
            </w:r>
          </w:p>
        </w:tc>
        <w:tc>
          <w:tcPr>
            <w:tcW w:w="575" w:type="dxa"/>
            <w:tcMar>
              <w:left w:w="85" w:type="dxa"/>
              <w:right w:w="85"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44ECD" w:rsidRPr="008B1B9D" w:rsidTr="00F235B5">
        <w:trPr>
          <w:cantSplit/>
        </w:trPr>
        <w:tc>
          <w:tcPr>
            <w:tcW w:w="567" w:type="dxa"/>
            <w:tcMar>
              <w:left w:w="108" w:type="dxa"/>
              <w:right w:w="0" w:type="dxa"/>
            </w:tcMar>
          </w:tcPr>
          <w:p w:rsidR="00A44ECD" w:rsidRDefault="00A44ECD" w:rsidP="00A44ECD">
            <w:pPr>
              <w:pStyle w:val="Numeroelenco"/>
              <w:numPr>
                <w:ilvl w:val="0"/>
                <w:numId w:val="0"/>
              </w:numPr>
              <w:ind w:left="57"/>
              <w:rPr>
                <w:lang w:val="it-IT"/>
              </w:rPr>
            </w:pPr>
          </w:p>
        </w:tc>
        <w:tc>
          <w:tcPr>
            <w:tcW w:w="851" w:type="dxa"/>
            <w:tcMar>
              <w:left w:w="108" w:type="dxa"/>
              <w:right w:w="0" w:type="dxa"/>
            </w:tcMar>
          </w:tcPr>
          <w:p w:rsidR="00A44ECD" w:rsidRDefault="00A44ECD" w:rsidP="00A44ECD">
            <w:pPr>
              <w:pStyle w:val="IAS"/>
              <w:rPr>
                <w:lang w:val="it-IT"/>
              </w:rPr>
            </w:pPr>
          </w:p>
        </w:tc>
        <w:tc>
          <w:tcPr>
            <w:tcW w:w="7079" w:type="dxa"/>
            <w:tcMar>
              <w:left w:w="108" w:type="dxa"/>
            </w:tcMar>
          </w:tcPr>
          <w:p w:rsidR="00A44ECD" w:rsidRPr="002B6200" w:rsidRDefault="00A44ECD" w:rsidP="00A44ECD">
            <w:pPr>
              <w:pStyle w:val="Rientroa"/>
              <w:numPr>
                <w:ilvl w:val="0"/>
                <w:numId w:val="309"/>
              </w:numPr>
              <w:spacing w:line="210" w:lineRule="exact"/>
            </w:pPr>
            <w:r w:rsidRPr="002B6200">
              <w:t>l'illustrazione delle ragioni dei cambiamenti significativi individuati in applicazione del paragrafo C8, lettera a)</w:t>
            </w:r>
          </w:p>
        </w:tc>
        <w:tc>
          <w:tcPr>
            <w:tcW w:w="575" w:type="dxa"/>
            <w:tcMar>
              <w:left w:w="85" w:type="dxa"/>
              <w:right w:w="85"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6A18CC"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tr w:rsidR="00A44ECD" w:rsidRPr="00A44ECD" w:rsidTr="00F235B5">
        <w:trPr>
          <w:cantSplit/>
        </w:trPr>
        <w:tc>
          <w:tcPr>
            <w:tcW w:w="567" w:type="dxa"/>
            <w:tcMar>
              <w:left w:w="108" w:type="dxa"/>
              <w:right w:w="0" w:type="dxa"/>
            </w:tcMar>
          </w:tcPr>
          <w:p w:rsidR="00A44ECD" w:rsidRPr="00A44ECD" w:rsidRDefault="00A44ECD" w:rsidP="00A44ECD">
            <w:pPr>
              <w:pStyle w:val="Numeroelenco"/>
              <w:numPr>
                <w:ilvl w:val="0"/>
                <w:numId w:val="0"/>
              </w:numPr>
              <w:ind w:left="57"/>
              <w:rPr>
                <w:b/>
                <w:lang w:val="it-IT"/>
              </w:rPr>
            </w:pPr>
          </w:p>
        </w:tc>
        <w:tc>
          <w:tcPr>
            <w:tcW w:w="851" w:type="dxa"/>
            <w:tcMar>
              <w:left w:w="108" w:type="dxa"/>
              <w:right w:w="0" w:type="dxa"/>
            </w:tcMar>
          </w:tcPr>
          <w:p w:rsidR="00A44ECD" w:rsidRPr="00A44ECD" w:rsidRDefault="00A44ECD" w:rsidP="00A44ECD">
            <w:pPr>
              <w:pStyle w:val="IAS"/>
              <w:rPr>
                <w:b/>
                <w:sz w:val="20"/>
                <w:szCs w:val="20"/>
                <w:lang w:val="it-IT"/>
              </w:rPr>
            </w:pPr>
          </w:p>
        </w:tc>
        <w:tc>
          <w:tcPr>
            <w:tcW w:w="7079" w:type="dxa"/>
            <w:tcMar>
              <w:left w:w="108" w:type="dxa"/>
            </w:tcMar>
          </w:tcPr>
          <w:p w:rsidR="00A44ECD" w:rsidRPr="00A44ECD" w:rsidRDefault="00A44ECD" w:rsidP="00A44ECD">
            <w:pPr>
              <w:pStyle w:val="Rientroa"/>
              <w:numPr>
                <w:ilvl w:val="0"/>
                <w:numId w:val="0"/>
              </w:numPr>
              <w:spacing w:line="210" w:lineRule="exact"/>
              <w:rPr>
                <w:b/>
              </w:rPr>
            </w:pPr>
            <w:r w:rsidRPr="00A44ECD">
              <w:rPr>
                <w:b/>
                <w:sz w:val="19"/>
                <w:szCs w:val="19"/>
              </w:rPr>
              <w:t>MODIFICHE ALL’INFORMATIVA RICHIESTA DA ALTRI PRINCIPI</w:t>
            </w:r>
            <w:r>
              <w:rPr>
                <w:b/>
                <w:sz w:val="19"/>
                <w:szCs w:val="19"/>
              </w:rPr>
              <w:t xml:space="preserve"> IN CASO DI APPLICAZIONE ANTICIPATA DELL’IFRS 15</w:t>
            </w:r>
          </w:p>
        </w:tc>
        <w:tc>
          <w:tcPr>
            <w:tcW w:w="575" w:type="dxa"/>
            <w:tcMar>
              <w:left w:w="85" w:type="dxa"/>
              <w:right w:w="85" w:type="dxa"/>
            </w:tcMar>
            <w:vAlign w:val="center"/>
          </w:tcPr>
          <w:p w:rsidR="00A44ECD" w:rsidRPr="00A44ECD" w:rsidRDefault="00A44ECD" w:rsidP="00A44ECD">
            <w:pPr>
              <w:jc w:val="center"/>
              <w:rPr>
                <w:b/>
                <w:lang w:val="it-IT"/>
              </w:rPr>
            </w:pPr>
          </w:p>
        </w:tc>
        <w:tc>
          <w:tcPr>
            <w:tcW w:w="567" w:type="dxa"/>
            <w:tcMar>
              <w:left w:w="108" w:type="dxa"/>
            </w:tcMar>
            <w:vAlign w:val="center"/>
          </w:tcPr>
          <w:p w:rsidR="00A44ECD" w:rsidRPr="00A44ECD" w:rsidRDefault="00A44ECD" w:rsidP="00A44ECD">
            <w:pPr>
              <w:jc w:val="center"/>
              <w:rPr>
                <w:b/>
                <w:lang w:val="it-IT"/>
              </w:rPr>
            </w:pPr>
          </w:p>
        </w:tc>
        <w:tc>
          <w:tcPr>
            <w:tcW w:w="567" w:type="dxa"/>
            <w:tcMar>
              <w:left w:w="108" w:type="dxa"/>
            </w:tcMar>
            <w:vAlign w:val="center"/>
          </w:tcPr>
          <w:p w:rsidR="00A44ECD" w:rsidRPr="00A44ECD" w:rsidRDefault="00A44ECD" w:rsidP="00A44ECD">
            <w:pPr>
              <w:jc w:val="center"/>
              <w:rPr>
                <w:b/>
                <w:lang w:val="it-IT"/>
              </w:rPr>
            </w:pPr>
          </w:p>
        </w:tc>
      </w:tr>
      <w:tr w:rsidR="00A44ECD" w:rsidRPr="00A44ECD" w:rsidTr="00F235B5">
        <w:trPr>
          <w:cantSplit/>
        </w:trPr>
        <w:tc>
          <w:tcPr>
            <w:tcW w:w="567" w:type="dxa"/>
            <w:tcMar>
              <w:left w:w="108" w:type="dxa"/>
              <w:right w:w="0" w:type="dxa"/>
            </w:tcMar>
          </w:tcPr>
          <w:p w:rsidR="00A44ECD" w:rsidRDefault="00A44ECD" w:rsidP="00A44ECD">
            <w:pPr>
              <w:pStyle w:val="Numeroelenco"/>
              <w:ind w:left="0" w:firstLine="57"/>
              <w:rPr>
                <w:lang w:val="it-IT"/>
              </w:rPr>
            </w:pPr>
          </w:p>
        </w:tc>
        <w:tc>
          <w:tcPr>
            <w:tcW w:w="851" w:type="dxa"/>
            <w:tcMar>
              <w:left w:w="108" w:type="dxa"/>
              <w:right w:w="0" w:type="dxa"/>
            </w:tcMar>
          </w:tcPr>
          <w:p w:rsidR="00A44ECD" w:rsidRPr="002B6200" w:rsidRDefault="00A44ECD" w:rsidP="00A44ECD">
            <w:pPr>
              <w:pStyle w:val="IAS"/>
              <w:rPr>
                <w:lang w:val="it-IT"/>
              </w:rPr>
            </w:pPr>
            <w:r w:rsidRPr="002B6200">
              <w:rPr>
                <w:lang w:val="it-IT"/>
              </w:rPr>
              <w:t>IAS 34.16A</w:t>
            </w:r>
          </w:p>
        </w:tc>
        <w:tc>
          <w:tcPr>
            <w:tcW w:w="7079" w:type="dxa"/>
            <w:tcMar>
              <w:left w:w="108" w:type="dxa"/>
            </w:tcMar>
          </w:tcPr>
          <w:p w:rsidR="00A44ECD" w:rsidRPr="00A44ECD" w:rsidRDefault="00A44ECD" w:rsidP="00A44ECD">
            <w:pPr>
              <w:spacing w:line="226" w:lineRule="exact"/>
              <w:rPr>
                <w:sz w:val="19"/>
                <w:szCs w:val="19"/>
                <w:lang w:val="it-IT"/>
              </w:rPr>
            </w:pPr>
            <w:r w:rsidRPr="002B6200">
              <w:rPr>
                <w:sz w:val="19"/>
                <w:szCs w:val="19"/>
                <w:lang w:val="it-IT"/>
              </w:rPr>
              <w:t>Oltre a indicare operazioni e fatti significativi secondo quanto disposto dai paragrafi 15-15C, l'entità deve includere le seguenti informazioni nelle note al bilancio intermedio, se non riportate in altre sezioni del bilancio intermedio. L'informativa deve normalmente essere esposta con riferimento al periodo tra l'inizio dell'esercizio e la chiusura del periodo intermedio.</w:t>
            </w:r>
          </w:p>
        </w:tc>
        <w:tc>
          <w:tcPr>
            <w:tcW w:w="575" w:type="dxa"/>
            <w:tcMar>
              <w:left w:w="85" w:type="dxa"/>
              <w:right w:w="85" w:type="dxa"/>
            </w:tcMar>
            <w:vAlign w:val="center"/>
          </w:tcPr>
          <w:p w:rsidR="00A44ECD" w:rsidRPr="002326E0" w:rsidRDefault="00A44ECD" w:rsidP="00A44ECD">
            <w:pPr>
              <w:jc w:val="center"/>
              <w:rPr>
                <w:lang w:val="it-IT"/>
              </w:rPr>
            </w:pPr>
          </w:p>
        </w:tc>
        <w:tc>
          <w:tcPr>
            <w:tcW w:w="567" w:type="dxa"/>
            <w:tcMar>
              <w:left w:w="108" w:type="dxa"/>
            </w:tcMar>
            <w:vAlign w:val="center"/>
          </w:tcPr>
          <w:p w:rsidR="00A44ECD" w:rsidRPr="002326E0" w:rsidRDefault="00A44ECD" w:rsidP="00A44ECD">
            <w:pPr>
              <w:jc w:val="center"/>
              <w:rPr>
                <w:lang w:val="it-IT"/>
              </w:rPr>
            </w:pPr>
          </w:p>
        </w:tc>
        <w:tc>
          <w:tcPr>
            <w:tcW w:w="567" w:type="dxa"/>
            <w:tcMar>
              <w:left w:w="108" w:type="dxa"/>
            </w:tcMar>
            <w:vAlign w:val="center"/>
          </w:tcPr>
          <w:p w:rsidR="00A44ECD" w:rsidRPr="002326E0" w:rsidRDefault="00A44ECD" w:rsidP="00A44ECD">
            <w:pPr>
              <w:jc w:val="center"/>
              <w:rPr>
                <w:lang w:val="it-IT"/>
              </w:rPr>
            </w:pPr>
          </w:p>
        </w:tc>
      </w:tr>
      <w:tr w:rsidR="00A44ECD" w:rsidRPr="008B1B9D" w:rsidTr="00F235B5">
        <w:trPr>
          <w:cantSplit/>
        </w:trPr>
        <w:tc>
          <w:tcPr>
            <w:tcW w:w="567" w:type="dxa"/>
            <w:tcMar>
              <w:left w:w="108" w:type="dxa"/>
              <w:right w:w="0" w:type="dxa"/>
            </w:tcMar>
          </w:tcPr>
          <w:p w:rsidR="00A44ECD" w:rsidRDefault="00A44ECD" w:rsidP="00A44ECD">
            <w:pPr>
              <w:pStyle w:val="Numeroelenco"/>
              <w:numPr>
                <w:ilvl w:val="0"/>
                <w:numId w:val="0"/>
              </w:numPr>
              <w:ind w:left="142"/>
              <w:rPr>
                <w:lang w:val="it-IT"/>
              </w:rPr>
            </w:pPr>
          </w:p>
        </w:tc>
        <w:tc>
          <w:tcPr>
            <w:tcW w:w="851" w:type="dxa"/>
            <w:tcMar>
              <w:left w:w="108" w:type="dxa"/>
              <w:right w:w="0" w:type="dxa"/>
            </w:tcMar>
          </w:tcPr>
          <w:p w:rsidR="00A44ECD" w:rsidRPr="002326E0" w:rsidRDefault="00A44ECD" w:rsidP="00A44ECD">
            <w:pPr>
              <w:pStyle w:val="IAS"/>
              <w:rPr>
                <w:lang w:val="it-IT"/>
              </w:rPr>
            </w:pPr>
          </w:p>
        </w:tc>
        <w:tc>
          <w:tcPr>
            <w:tcW w:w="7079" w:type="dxa"/>
            <w:tcMar>
              <w:left w:w="108" w:type="dxa"/>
            </w:tcMar>
          </w:tcPr>
          <w:p w:rsidR="00A44ECD" w:rsidRPr="002B6200" w:rsidRDefault="00A44ECD" w:rsidP="00A44ECD">
            <w:pPr>
              <w:pStyle w:val="Rientroa"/>
              <w:numPr>
                <w:ilvl w:val="0"/>
                <w:numId w:val="0"/>
              </w:numPr>
              <w:spacing w:line="210" w:lineRule="exact"/>
              <w:ind w:left="392" w:hanging="360"/>
            </w:pPr>
            <w:r w:rsidRPr="002B6200">
              <w:t>a) …</w:t>
            </w:r>
            <w:r>
              <w:t xml:space="preserve"> (</w:t>
            </w:r>
            <w:r w:rsidRPr="003E3B0E">
              <w:rPr>
                <w:i/>
              </w:rPr>
              <w:t>omissis</w:t>
            </w:r>
            <w:r>
              <w:t>)….</w:t>
            </w:r>
          </w:p>
        </w:tc>
        <w:tc>
          <w:tcPr>
            <w:tcW w:w="575" w:type="dxa"/>
            <w:tcMar>
              <w:left w:w="85" w:type="dxa"/>
              <w:right w:w="85" w:type="dxa"/>
            </w:tcMar>
            <w:vAlign w:val="center"/>
          </w:tcPr>
          <w:p w:rsidR="00A44ECD" w:rsidRPr="002326E0" w:rsidRDefault="00A44ECD" w:rsidP="00A44ECD">
            <w:pPr>
              <w:jc w:val="center"/>
              <w:rPr>
                <w:lang w:val="it-IT"/>
              </w:rPr>
            </w:pPr>
          </w:p>
        </w:tc>
        <w:tc>
          <w:tcPr>
            <w:tcW w:w="567" w:type="dxa"/>
            <w:tcMar>
              <w:left w:w="108" w:type="dxa"/>
            </w:tcMar>
            <w:vAlign w:val="center"/>
          </w:tcPr>
          <w:p w:rsidR="00A44ECD" w:rsidRPr="002326E0" w:rsidRDefault="00A44ECD" w:rsidP="00A44ECD">
            <w:pPr>
              <w:jc w:val="center"/>
              <w:rPr>
                <w:lang w:val="it-IT"/>
              </w:rPr>
            </w:pPr>
          </w:p>
        </w:tc>
        <w:tc>
          <w:tcPr>
            <w:tcW w:w="567" w:type="dxa"/>
            <w:tcMar>
              <w:left w:w="108" w:type="dxa"/>
            </w:tcMar>
            <w:vAlign w:val="center"/>
          </w:tcPr>
          <w:p w:rsidR="00A44ECD" w:rsidRPr="002326E0" w:rsidRDefault="00A44ECD" w:rsidP="00A44ECD">
            <w:pPr>
              <w:jc w:val="center"/>
              <w:rPr>
                <w:lang w:val="it-IT"/>
              </w:rPr>
            </w:pPr>
          </w:p>
        </w:tc>
      </w:tr>
      <w:tr w:rsidR="00A44ECD" w:rsidRPr="008B1B9D" w:rsidTr="00F235B5">
        <w:trPr>
          <w:cantSplit/>
        </w:trPr>
        <w:tc>
          <w:tcPr>
            <w:tcW w:w="567" w:type="dxa"/>
            <w:tcMar>
              <w:left w:w="108" w:type="dxa"/>
              <w:right w:w="0" w:type="dxa"/>
            </w:tcMar>
          </w:tcPr>
          <w:p w:rsidR="00A44ECD" w:rsidRDefault="00A44ECD" w:rsidP="00A44ECD">
            <w:pPr>
              <w:pStyle w:val="Numeroelenco"/>
              <w:numPr>
                <w:ilvl w:val="0"/>
                <w:numId w:val="0"/>
              </w:numPr>
              <w:ind w:left="142"/>
              <w:rPr>
                <w:lang w:val="it-IT"/>
              </w:rPr>
            </w:pPr>
          </w:p>
        </w:tc>
        <w:tc>
          <w:tcPr>
            <w:tcW w:w="851" w:type="dxa"/>
            <w:tcMar>
              <w:left w:w="108" w:type="dxa"/>
              <w:right w:w="0" w:type="dxa"/>
            </w:tcMar>
          </w:tcPr>
          <w:p w:rsidR="00A44ECD" w:rsidRPr="002326E0" w:rsidRDefault="00A44ECD" w:rsidP="00A44ECD">
            <w:pPr>
              <w:pStyle w:val="IAS"/>
              <w:rPr>
                <w:lang w:val="it-IT"/>
              </w:rPr>
            </w:pPr>
          </w:p>
        </w:tc>
        <w:tc>
          <w:tcPr>
            <w:tcW w:w="7079" w:type="dxa"/>
            <w:tcMar>
              <w:left w:w="108" w:type="dxa"/>
            </w:tcMar>
          </w:tcPr>
          <w:p w:rsidR="00A44ECD" w:rsidRPr="002B6200" w:rsidRDefault="00A44ECD" w:rsidP="00A44ECD">
            <w:pPr>
              <w:pStyle w:val="Rientroa"/>
              <w:numPr>
                <w:ilvl w:val="0"/>
                <w:numId w:val="0"/>
              </w:numPr>
              <w:spacing w:line="210" w:lineRule="exact"/>
              <w:ind w:left="392" w:hanging="360"/>
            </w:pPr>
            <w:r w:rsidRPr="002B6200">
              <w:t>l)</w:t>
            </w:r>
            <w:r w:rsidR="003E3B0E">
              <w:t xml:space="preserve">   </w:t>
            </w:r>
            <w:r w:rsidRPr="002B6200">
              <w:t>la disaggregazione dei ricavi provenienti da contratti con i clienti conformemente ai paragrafi 114 e 115 dell'IFRS 15 Ricavi provenienti da contratti con i clienti.</w:t>
            </w:r>
          </w:p>
        </w:tc>
        <w:tc>
          <w:tcPr>
            <w:tcW w:w="575" w:type="dxa"/>
            <w:tcMar>
              <w:left w:w="85" w:type="dxa"/>
              <w:right w:w="85" w:type="dxa"/>
            </w:tcMar>
            <w:vAlign w:val="center"/>
          </w:tcPr>
          <w:p w:rsidR="00A44ECD" w:rsidRPr="002326E0"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2326E0"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c>
          <w:tcPr>
            <w:tcW w:w="567" w:type="dxa"/>
            <w:tcMar>
              <w:left w:w="108" w:type="dxa"/>
            </w:tcMar>
            <w:vAlign w:val="center"/>
          </w:tcPr>
          <w:p w:rsidR="00A44ECD" w:rsidRPr="002326E0" w:rsidRDefault="00A44ECD" w:rsidP="00A44ECD">
            <w:pPr>
              <w:jc w:val="center"/>
              <w:rPr>
                <w:lang w:val="it-IT"/>
              </w:rPr>
            </w:pPr>
            <w:r>
              <w:fldChar w:fldCharType="begin">
                <w:ffData>
                  <w:name w:val="Check4"/>
                  <w:enabled/>
                  <w:calcOnExit w:val="0"/>
                  <w:checkBox>
                    <w:sizeAuto/>
                    <w:default w:val="0"/>
                  </w:checkBox>
                </w:ffData>
              </w:fldChar>
            </w:r>
            <w:r>
              <w:instrText xml:space="preserve"> FORMCHECKBOX </w:instrText>
            </w:r>
            <w:r>
              <w:fldChar w:fldCharType="end"/>
            </w:r>
          </w:p>
        </w:tc>
      </w:tr>
      <w:bookmarkEnd w:id="0"/>
    </w:tbl>
    <w:p w:rsidR="00617973" w:rsidRPr="008A0F36" w:rsidRDefault="00617973" w:rsidP="00175655">
      <w:pPr>
        <w:pStyle w:val="Normalegrassetto"/>
        <w:rPr>
          <w:sz w:val="22"/>
          <w:szCs w:val="22"/>
          <w:lang w:val="it-IT"/>
        </w:rPr>
      </w:pPr>
    </w:p>
    <w:p w:rsidR="00136DFB" w:rsidRDefault="00136DFB">
      <w:pPr>
        <w:overflowPunct/>
        <w:autoSpaceDE/>
        <w:autoSpaceDN/>
        <w:adjustRightInd/>
        <w:spacing w:before="0" w:after="0" w:line="240" w:lineRule="auto"/>
        <w:jc w:val="left"/>
        <w:textAlignment w:val="auto"/>
        <w:rPr>
          <w:b/>
          <w:bCs/>
          <w:color w:val="4F81BD" w:themeColor="accent1"/>
          <w:sz w:val="18"/>
          <w:szCs w:val="18"/>
          <w:lang w:val="it-IT"/>
        </w:rPr>
      </w:pPr>
      <w:r>
        <w:rPr>
          <w:lang w:val="it-IT"/>
        </w:rPr>
        <w:br w:type="page"/>
      </w:r>
    </w:p>
    <w:p w:rsidR="00BB2E5C" w:rsidRDefault="00BB2E5C" w:rsidP="00355BA7">
      <w:pPr>
        <w:pStyle w:val="Didascalia"/>
        <w:rPr>
          <w:lang w:val="it-IT"/>
        </w:rPr>
      </w:pPr>
    </w:p>
    <w:p w:rsidR="0052012E" w:rsidRPr="008A0F36" w:rsidRDefault="0052012E" w:rsidP="00175655">
      <w:pPr>
        <w:pStyle w:val="Normalegrassetto"/>
        <w:rPr>
          <w:sz w:val="22"/>
          <w:szCs w:val="22"/>
          <w:lang w:val="it-IT"/>
        </w:rPr>
      </w:pPr>
      <w:r w:rsidRPr="008A0F36">
        <w:rPr>
          <w:sz w:val="22"/>
          <w:szCs w:val="22"/>
          <w:lang w:val="it-IT"/>
        </w:rPr>
        <w:t>ALLEGATO 1</w:t>
      </w:r>
    </w:p>
    <w:p w:rsidR="0052012E" w:rsidRPr="008A0F36" w:rsidRDefault="0052012E" w:rsidP="00175655">
      <w:pPr>
        <w:pStyle w:val="Normalegrassetto"/>
        <w:rPr>
          <w:lang w:val="it-IT"/>
        </w:rPr>
      </w:pPr>
    </w:p>
    <w:p w:rsidR="0052012E" w:rsidRPr="008A0F36" w:rsidRDefault="00D97D95" w:rsidP="00175655">
      <w:pPr>
        <w:pStyle w:val="Normalegrassetto"/>
        <w:rPr>
          <w:lang w:val="it-IT"/>
        </w:rPr>
      </w:pPr>
      <w:r w:rsidRPr="008A0F36">
        <w:rPr>
          <w:lang w:val="it-IT"/>
        </w:rPr>
        <w:t>Nuovi documenti emessi dallo IASB ed omologati dall</w:t>
      </w:r>
      <w:r w:rsidR="00BF4E43" w:rsidRPr="008A0F36">
        <w:rPr>
          <w:b w:val="0"/>
          <w:lang w:val="it-IT"/>
        </w:rPr>
        <w:t>’</w:t>
      </w:r>
      <w:r w:rsidRPr="008A0F36">
        <w:rPr>
          <w:lang w:val="it-IT"/>
        </w:rPr>
        <w:t>UE da adottare obbligatoriamente a partire dai bilanci degli esercizi che iniziano il 1° gennaio 20</w:t>
      </w:r>
      <w:r w:rsidR="00B97309" w:rsidRPr="008A0F36">
        <w:rPr>
          <w:lang w:val="it-IT"/>
        </w:rPr>
        <w:t>1</w:t>
      </w:r>
      <w:r w:rsidR="001F489F">
        <w:rPr>
          <w:lang w:val="it-IT"/>
        </w:rPr>
        <w:t>6</w:t>
      </w:r>
      <w:r w:rsidRPr="008A0F36">
        <w:rPr>
          <w:lang w:val="it-IT"/>
        </w:rPr>
        <w:t>.</w:t>
      </w:r>
    </w:p>
    <w:p w:rsidR="00B97309" w:rsidRPr="008A0F36" w:rsidRDefault="00B97309" w:rsidP="00175655">
      <w:pPr>
        <w:pStyle w:val="Normalegrassetto"/>
        <w:rPr>
          <w:sz w:val="22"/>
          <w:szCs w:val="22"/>
          <w:lang w:val="it-IT"/>
        </w:rPr>
      </w:pPr>
    </w:p>
    <w:p w:rsidR="00520F02" w:rsidRPr="008A0F36" w:rsidRDefault="00520F02">
      <w:pPr>
        <w:keepNext/>
        <w:rPr>
          <w:rFonts w:ascii="Times New Roman" w:hAnsi="Times New Roman"/>
          <w:sz w:val="22"/>
          <w:lang w:val="it-IT"/>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349"/>
        <w:gridCol w:w="2304"/>
        <w:gridCol w:w="1646"/>
        <w:gridCol w:w="1646"/>
      </w:tblGrid>
      <w:tr w:rsidR="00B3345E" w:rsidRPr="00A44ECD" w:rsidTr="003E3B0E">
        <w:tc>
          <w:tcPr>
            <w:tcW w:w="3261" w:type="dxa"/>
            <w:tcBorders>
              <w:top w:val="single" w:sz="4" w:space="0" w:color="auto"/>
              <w:left w:val="single" w:sz="4" w:space="0" w:color="auto"/>
              <w:bottom w:val="single" w:sz="4" w:space="0" w:color="auto"/>
              <w:right w:val="single" w:sz="4" w:space="0" w:color="auto"/>
            </w:tcBorders>
            <w:vAlign w:val="center"/>
            <w:hideMark/>
          </w:tcPr>
          <w:p w:rsidR="00B3345E" w:rsidRDefault="00B3345E" w:rsidP="00CA1CB7">
            <w:pPr>
              <w:jc w:val="center"/>
              <w:rPr>
                <w:b/>
                <w:bCs/>
                <w:sz w:val="18"/>
                <w:szCs w:val="18"/>
                <w:lang w:val="it-IT"/>
              </w:rPr>
            </w:pPr>
            <w:r>
              <w:rPr>
                <w:b/>
                <w:bCs/>
                <w:sz w:val="18"/>
                <w:szCs w:val="18"/>
                <w:lang w:val="it-IT"/>
              </w:rPr>
              <w:t>Titolo documento</w:t>
            </w:r>
          </w:p>
        </w:tc>
        <w:tc>
          <w:tcPr>
            <w:tcW w:w="1349" w:type="dxa"/>
            <w:tcBorders>
              <w:top w:val="single" w:sz="4" w:space="0" w:color="auto"/>
              <w:left w:val="single" w:sz="4" w:space="0" w:color="auto"/>
              <w:bottom w:val="single" w:sz="4" w:space="0" w:color="auto"/>
              <w:right w:val="single" w:sz="4" w:space="0" w:color="auto"/>
            </w:tcBorders>
            <w:vAlign w:val="center"/>
            <w:hideMark/>
          </w:tcPr>
          <w:p w:rsidR="00B3345E" w:rsidRDefault="00B3345E" w:rsidP="00136A38">
            <w:pPr>
              <w:jc w:val="center"/>
              <w:rPr>
                <w:b/>
                <w:bCs/>
                <w:sz w:val="18"/>
                <w:szCs w:val="18"/>
                <w:lang w:val="it-IT"/>
              </w:rPr>
            </w:pPr>
            <w:r>
              <w:rPr>
                <w:b/>
                <w:bCs/>
                <w:sz w:val="18"/>
                <w:szCs w:val="18"/>
                <w:lang w:val="it-IT"/>
              </w:rPr>
              <w:t>Data emissione</w:t>
            </w:r>
          </w:p>
        </w:tc>
        <w:tc>
          <w:tcPr>
            <w:tcW w:w="2304" w:type="dxa"/>
            <w:tcBorders>
              <w:top w:val="single" w:sz="4" w:space="0" w:color="auto"/>
              <w:left w:val="single" w:sz="4" w:space="0" w:color="auto"/>
              <w:bottom w:val="single" w:sz="4" w:space="0" w:color="auto"/>
              <w:right w:val="single" w:sz="4" w:space="0" w:color="auto"/>
            </w:tcBorders>
            <w:vAlign w:val="center"/>
            <w:hideMark/>
          </w:tcPr>
          <w:p w:rsidR="00B3345E" w:rsidRDefault="00B3345E" w:rsidP="00CA1CB7">
            <w:pPr>
              <w:jc w:val="center"/>
              <w:rPr>
                <w:b/>
                <w:bCs/>
                <w:sz w:val="18"/>
                <w:szCs w:val="18"/>
                <w:lang w:val="it-IT"/>
              </w:rPr>
            </w:pPr>
            <w:r>
              <w:rPr>
                <w:b/>
                <w:bCs/>
                <w:sz w:val="18"/>
                <w:szCs w:val="18"/>
                <w:lang w:val="it-IT"/>
              </w:rPr>
              <w:t>Data di entrata in vigore</w:t>
            </w:r>
          </w:p>
        </w:tc>
        <w:tc>
          <w:tcPr>
            <w:tcW w:w="1646" w:type="dxa"/>
            <w:tcBorders>
              <w:top w:val="single" w:sz="4" w:space="0" w:color="auto"/>
              <w:left w:val="single" w:sz="4" w:space="0" w:color="auto"/>
              <w:bottom w:val="single" w:sz="4" w:space="0" w:color="auto"/>
              <w:right w:val="single" w:sz="4" w:space="0" w:color="auto"/>
            </w:tcBorders>
            <w:vAlign w:val="center"/>
            <w:hideMark/>
          </w:tcPr>
          <w:p w:rsidR="00B3345E" w:rsidRDefault="00B3345E" w:rsidP="00136A38">
            <w:pPr>
              <w:jc w:val="center"/>
              <w:rPr>
                <w:b/>
                <w:bCs/>
                <w:sz w:val="18"/>
                <w:szCs w:val="18"/>
                <w:lang w:val="it-IT"/>
              </w:rPr>
            </w:pPr>
            <w:r>
              <w:rPr>
                <w:b/>
                <w:bCs/>
                <w:sz w:val="18"/>
                <w:szCs w:val="18"/>
                <w:lang w:val="it-IT"/>
              </w:rPr>
              <w:t>Data di omologazione</w:t>
            </w:r>
          </w:p>
        </w:tc>
        <w:tc>
          <w:tcPr>
            <w:tcW w:w="1646" w:type="dxa"/>
            <w:tcBorders>
              <w:top w:val="single" w:sz="4" w:space="0" w:color="auto"/>
              <w:left w:val="single" w:sz="4" w:space="0" w:color="auto"/>
              <w:bottom w:val="single" w:sz="4" w:space="0" w:color="auto"/>
              <w:right w:val="single" w:sz="4" w:space="0" w:color="auto"/>
            </w:tcBorders>
            <w:vAlign w:val="center"/>
            <w:hideMark/>
          </w:tcPr>
          <w:p w:rsidR="00B3345E" w:rsidRDefault="00B3345E" w:rsidP="00136A38">
            <w:pPr>
              <w:jc w:val="center"/>
              <w:rPr>
                <w:b/>
                <w:bCs/>
                <w:sz w:val="18"/>
                <w:szCs w:val="18"/>
                <w:lang w:val="it-IT"/>
              </w:rPr>
            </w:pPr>
            <w:r>
              <w:rPr>
                <w:b/>
                <w:bCs/>
                <w:sz w:val="18"/>
                <w:szCs w:val="18"/>
                <w:lang w:val="it-IT"/>
              </w:rPr>
              <w:t>Regolamento UE e data di pubblicazione</w:t>
            </w:r>
          </w:p>
        </w:tc>
      </w:tr>
      <w:tr w:rsidR="001F489F" w:rsidRPr="003A39E4" w:rsidTr="003E3B0E">
        <w:tc>
          <w:tcPr>
            <w:tcW w:w="3261" w:type="dxa"/>
            <w:tcBorders>
              <w:top w:val="single" w:sz="4" w:space="0" w:color="auto"/>
              <w:left w:val="single" w:sz="4" w:space="0" w:color="auto"/>
              <w:bottom w:val="single" w:sz="4" w:space="0" w:color="auto"/>
              <w:right w:val="single" w:sz="4" w:space="0" w:color="auto"/>
            </w:tcBorders>
          </w:tcPr>
          <w:p w:rsidR="001F489F" w:rsidRDefault="001F489F" w:rsidP="00F235B5">
            <w:pPr>
              <w:jc w:val="left"/>
              <w:rPr>
                <w:bCs/>
                <w:sz w:val="18"/>
                <w:szCs w:val="18"/>
                <w:lang w:val="it-IT"/>
              </w:rPr>
            </w:pPr>
            <w:r>
              <w:rPr>
                <w:bCs/>
                <w:sz w:val="18"/>
                <w:szCs w:val="18"/>
                <w:lang w:val="it-IT"/>
              </w:rPr>
              <w:t>Piani a benefici definiti: contributi dei dipendenti (modifiche allo IAS 19)</w:t>
            </w:r>
          </w:p>
        </w:tc>
        <w:tc>
          <w:tcPr>
            <w:tcW w:w="1349" w:type="dxa"/>
            <w:tcBorders>
              <w:top w:val="single" w:sz="4" w:space="0" w:color="auto"/>
              <w:left w:val="single" w:sz="4" w:space="0" w:color="auto"/>
              <w:bottom w:val="single" w:sz="4" w:space="0" w:color="auto"/>
              <w:right w:val="single" w:sz="4" w:space="0" w:color="auto"/>
            </w:tcBorders>
          </w:tcPr>
          <w:p w:rsidR="001F489F" w:rsidRDefault="004D49EA" w:rsidP="00E72C90">
            <w:pPr>
              <w:jc w:val="center"/>
              <w:rPr>
                <w:bCs/>
                <w:sz w:val="18"/>
                <w:szCs w:val="18"/>
                <w:lang w:val="it-IT"/>
              </w:rPr>
            </w:pPr>
            <w:r>
              <w:rPr>
                <w:bCs/>
                <w:sz w:val="18"/>
                <w:szCs w:val="18"/>
                <w:lang w:val="it-IT"/>
              </w:rPr>
              <w:t>n</w:t>
            </w:r>
            <w:r w:rsidR="001F489F">
              <w:rPr>
                <w:bCs/>
                <w:sz w:val="18"/>
                <w:szCs w:val="18"/>
                <w:lang w:val="it-IT"/>
              </w:rPr>
              <w:t>ovembre 2013</w:t>
            </w:r>
          </w:p>
        </w:tc>
        <w:tc>
          <w:tcPr>
            <w:tcW w:w="2304" w:type="dxa"/>
            <w:tcBorders>
              <w:top w:val="single" w:sz="4" w:space="0" w:color="auto"/>
              <w:left w:val="single" w:sz="4" w:space="0" w:color="auto"/>
              <w:bottom w:val="single" w:sz="4" w:space="0" w:color="auto"/>
              <w:right w:val="single" w:sz="4" w:space="0" w:color="auto"/>
            </w:tcBorders>
          </w:tcPr>
          <w:p w:rsidR="001F489F" w:rsidRDefault="001F489F" w:rsidP="00752F6F">
            <w:pPr>
              <w:jc w:val="center"/>
              <w:rPr>
                <w:sz w:val="18"/>
                <w:szCs w:val="18"/>
                <w:lang w:val="it-IT"/>
              </w:rPr>
            </w:pPr>
            <w:r>
              <w:rPr>
                <w:sz w:val="18"/>
                <w:szCs w:val="18"/>
                <w:lang w:val="it-IT"/>
              </w:rPr>
              <w:t>1° febbraio 2015</w:t>
            </w:r>
            <w:r>
              <w:rPr>
                <w:sz w:val="18"/>
                <w:szCs w:val="18"/>
                <w:lang w:val="it-IT"/>
              </w:rPr>
              <w:br/>
              <w:t>(per lo IASB: 1° luglio 2014)</w:t>
            </w:r>
          </w:p>
        </w:tc>
        <w:tc>
          <w:tcPr>
            <w:tcW w:w="1646" w:type="dxa"/>
            <w:tcBorders>
              <w:top w:val="single" w:sz="4" w:space="0" w:color="auto"/>
              <w:left w:val="single" w:sz="4" w:space="0" w:color="auto"/>
              <w:bottom w:val="single" w:sz="4" w:space="0" w:color="auto"/>
              <w:right w:val="single" w:sz="4" w:space="0" w:color="auto"/>
            </w:tcBorders>
          </w:tcPr>
          <w:p w:rsidR="001F489F" w:rsidRDefault="001F489F" w:rsidP="00752F6F">
            <w:pPr>
              <w:jc w:val="center"/>
              <w:rPr>
                <w:bCs/>
                <w:sz w:val="18"/>
                <w:szCs w:val="18"/>
                <w:lang w:val="it-IT"/>
              </w:rPr>
            </w:pPr>
            <w:r>
              <w:rPr>
                <w:bCs/>
                <w:sz w:val="18"/>
                <w:szCs w:val="18"/>
                <w:lang w:val="it-IT"/>
              </w:rPr>
              <w:t>17 dicembre 2014</w:t>
            </w:r>
          </w:p>
        </w:tc>
        <w:tc>
          <w:tcPr>
            <w:tcW w:w="1646" w:type="dxa"/>
            <w:tcBorders>
              <w:top w:val="single" w:sz="4" w:space="0" w:color="auto"/>
              <w:left w:val="single" w:sz="4" w:space="0" w:color="auto"/>
              <w:bottom w:val="single" w:sz="4" w:space="0" w:color="auto"/>
              <w:right w:val="single" w:sz="4" w:space="0" w:color="auto"/>
            </w:tcBorders>
          </w:tcPr>
          <w:p w:rsidR="001F489F" w:rsidRDefault="001F489F" w:rsidP="00752F6F">
            <w:pPr>
              <w:jc w:val="center"/>
              <w:rPr>
                <w:bCs/>
                <w:sz w:val="18"/>
                <w:szCs w:val="18"/>
                <w:lang w:val="it-IT"/>
              </w:rPr>
            </w:pPr>
            <w:r>
              <w:rPr>
                <w:bCs/>
                <w:sz w:val="18"/>
                <w:szCs w:val="18"/>
                <w:lang w:val="it-IT"/>
              </w:rPr>
              <w:t>(UE) 2015/29</w:t>
            </w:r>
            <w:r>
              <w:rPr>
                <w:bCs/>
                <w:sz w:val="18"/>
                <w:szCs w:val="18"/>
                <w:lang w:val="it-IT"/>
              </w:rPr>
              <w:br/>
              <w:t>9 gennaio 2015</w:t>
            </w:r>
          </w:p>
        </w:tc>
      </w:tr>
      <w:tr w:rsidR="001F489F" w:rsidRPr="003A39E4" w:rsidTr="003E3B0E">
        <w:tc>
          <w:tcPr>
            <w:tcW w:w="3261" w:type="dxa"/>
            <w:tcBorders>
              <w:top w:val="single" w:sz="4" w:space="0" w:color="auto"/>
              <w:left w:val="single" w:sz="4" w:space="0" w:color="auto"/>
              <w:bottom w:val="single" w:sz="4" w:space="0" w:color="auto"/>
              <w:right w:val="single" w:sz="4" w:space="0" w:color="auto"/>
            </w:tcBorders>
          </w:tcPr>
          <w:p w:rsidR="001F489F" w:rsidRDefault="001F489F" w:rsidP="00F235B5">
            <w:pPr>
              <w:jc w:val="left"/>
              <w:rPr>
                <w:bCs/>
                <w:sz w:val="18"/>
                <w:szCs w:val="18"/>
                <w:lang w:val="it-IT"/>
              </w:rPr>
            </w:pPr>
            <w:r>
              <w:rPr>
                <w:bCs/>
                <w:sz w:val="18"/>
                <w:szCs w:val="18"/>
                <w:lang w:val="it-IT"/>
              </w:rPr>
              <w:t>Miglioramenti agli International Financial Reporting Standards (ciclo 2010-2012)</w:t>
            </w:r>
          </w:p>
        </w:tc>
        <w:tc>
          <w:tcPr>
            <w:tcW w:w="1349" w:type="dxa"/>
            <w:tcBorders>
              <w:top w:val="single" w:sz="4" w:space="0" w:color="auto"/>
              <w:left w:val="single" w:sz="4" w:space="0" w:color="auto"/>
              <w:bottom w:val="single" w:sz="4" w:space="0" w:color="auto"/>
              <w:right w:val="single" w:sz="4" w:space="0" w:color="auto"/>
            </w:tcBorders>
          </w:tcPr>
          <w:p w:rsidR="001F489F" w:rsidRDefault="001F489F" w:rsidP="00E72C90">
            <w:pPr>
              <w:jc w:val="center"/>
              <w:rPr>
                <w:bCs/>
                <w:sz w:val="18"/>
                <w:szCs w:val="18"/>
                <w:lang w:val="it-IT"/>
              </w:rPr>
            </w:pPr>
            <w:r>
              <w:rPr>
                <w:bCs/>
                <w:sz w:val="18"/>
                <w:szCs w:val="18"/>
                <w:lang w:val="it-IT"/>
              </w:rPr>
              <w:t>dicembre 2013</w:t>
            </w:r>
          </w:p>
        </w:tc>
        <w:tc>
          <w:tcPr>
            <w:tcW w:w="2304" w:type="dxa"/>
            <w:tcBorders>
              <w:top w:val="single" w:sz="4" w:space="0" w:color="auto"/>
              <w:left w:val="single" w:sz="4" w:space="0" w:color="auto"/>
              <w:bottom w:val="single" w:sz="4" w:space="0" w:color="auto"/>
              <w:right w:val="single" w:sz="4" w:space="0" w:color="auto"/>
            </w:tcBorders>
          </w:tcPr>
          <w:p w:rsidR="001F489F" w:rsidRDefault="001F489F" w:rsidP="00752F6F">
            <w:pPr>
              <w:jc w:val="center"/>
              <w:rPr>
                <w:sz w:val="18"/>
                <w:szCs w:val="18"/>
                <w:lang w:val="it-IT"/>
              </w:rPr>
            </w:pPr>
            <w:r>
              <w:rPr>
                <w:sz w:val="18"/>
                <w:szCs w:val="18"/>
                <w:lang w:val="it-IT"/>
              </w:rPr>
              <w:t>1° febbraio 2015</w:t>
            </w:r>
            <w:r>
              <w:rPr>
                <w:sz w:val="18"/>
                <w:szCs w:val="18"/>
                <w:lang w:val="it-IT"/>
              </w:rPr>
              <w:br/>
              <w:t>(per lo IASB: 1° luglio 2014)</w:t>
            </w:r>
          </w:p>
        </w:tc>
        <w:tc>
          <w:tcPr>
            <w:tcW w:w="1646" w:type="dxa"/>
            <w:tcBorders>
              <w:top w:val="single" w:sz="4" w:space="0" w:color="auto"/>
              <w:left w:val="single" w:sz="4" w:space="0" w:color="auto"/>
              <w:bottom w:val="single" w:sz="4" w:space="0" w:color="auto"/>
              <w:right w:val="single" w:sz="4" w:space="0" w:color="auto"/>
            </w:tcBorders>
          </w:tcPr>
          <w:p w:rsidR="001F489F" w:rsidRDefault="001F489F" w:rsidP="00752F6F">
            <w:pPr>
              <w:jc w:val="center"/>
              <w:rPr>
                <w:bCs/>
                <w:sz w:val="18"/>
                <w:szCs w:val="18"/>
                <w:lang w:val="it-IT"/>
              </w:rPr>
            </w:pPr>
            <w:r>
              <w:rPr>
                <w:bCs/>
                <w:sz w:val="18"/>
                <w:szCs w:val="18"/>
                <w:lang w:val="it-IT"/>
              </w:rPr>
              <w:t>17 dicembre 2014</w:t>
            </w:r>
          </w:p>
        </w:tc>
        <w:tc>
          <w:tcPr>
            <w:tcW w:w="1646" w:type="dxa"/>
            <w:tcBorders>
              <w:top w:val="single" w:sz="4" w:space="0" w:color="auto"/>
              <w:left w:val="single" w:sz="4" w:space="0" w:color="auto"/>
              <w:bottom w:val="single" w:sz="4" w:space="0" w:color="auto"/>
              <w:right w:val="single" w:sz="4" w:space="0" w:color="auto"/>
            </w:tcBorders>
          </w:tcPr>
          <w:p w:rsidR="001F489F" w:rsidRDefault="001F489F" w:rsidP="00752F6F">
            <w:pPr>
              <w:jc w:val="center"/>
              <w:rPr>
                <w:bCs/>
                <w:sz w:val="18"/>
                <w:szCs w:val="18"/>
                <w:lang w:val="it-IT"/>
              </w:rPr>
            </w:pPr>
            <w:r>
              <w:rPr>
                <w:bCs/>
                <w:sz w:val="18"/>
                <w:szCs w:val="18"/>
                <w:lang w:val="it-IT"/>
              </w:rPr>
              <w:t>(UE) 2015/28</w:t>
            </w:r>
            <w:r>
              <w:rPr>
                <w:bCs/>
                <w:sz w:val="18"/>
                <w:szCs w:val="18"/>
                <w:lang w:val="it-IT"/>
              </w:rPr>
              <w:br/>
              <w:t>9 gennaio 2015</w:t>
            </w:r>
          </w:p>
        </w:tc>
      </w:tr>
      <w:tr w:rsidR="001F489F" w:rsidRPr="003A39E4" w:rsidTr="003E3B0E">
        <w:tc>
          <w:tcPr>
            <w:tcW w:w="3261" w:type="dxa"/>
            <w:tcBorders>
              <w:top w:val="single" w:sz="4" w:space="0" w:color="auto"/>
              <w:left w:val="single" w:sz="4" w:space="0" w:color="auto"/>
              <w:bottom w:val="single" w:sz="4" w:space="0" w:color="auto"/>
              <w:right w:val="single" w:sz="4" w:space="0" w:color="auto"/>
            </w:tcBorders>
          </w:tcPr>
          <w:p w:rsidR="001F489F" w:rsidRDefault="00DF445E" w:rsidP="00F235B5">
            <w:pPr>
              <w:jc w:val="left"/>
              <w:rPr>
                <w:bCs/>
                <w:sz w:val="18"/>
                <w:szCs w:val="18"/>
                <w:lang w:val="it-IT"/>
              </w:rPr>
            </w:pPr>
            <w:r>
              <w:rPr>
                <w:bCs/>
                <w:sz w:val="18"/>
                <w:szCs w:val="18"/>
                <w:lang w:val="it-IT"/>
              </w:rPr>
              <w:t>Agricoltura: piante fruttifere (modifiche allo IAS 16 e allo IAS 41)</w:t>
            </w:r>
          </w:p>
        </w:tc>
        <w:tc>
          <w:tcPr>
            <w:tcW w:w="1349" w:type="dxa"/>
            <w:tcBorders>
              <w:top w:val="single" w:sz="4" w:space="0" w:color="auto"/>
              <w:left w:val="single" w:sz="4" w:space="0" w:color="auto"/>
              <w:bottom w:val="single" w:sz="4" w:space="0" w:color="auto"/>
              <w:right w:val="single" w:sz="4" w:space="0" w:color="auto"/>
            </w:tcBorders>
          </w:tcPr>
          <w:p w:rsidR="001F489F" w:rsidRDefault="004D49EA" w:rsidP="00E72C90">
            <w:pPr>
              <w:jc w:val="center"/>
              <w:rPr>
                <w:bCs/>
                <w:sz w:val="18"/>
                <w:szCs w:val="18"/>
                <w:lang w:val="it-IT"/>
              </w:rPr>
            </w:pPr>
            <w:r>
              <w:rPr>
                <w:bCs/>
                <w:sz w:val="18"/>
                <w:szCs w:val="18"/>
                <w:lang w:val="it-IT"/>
              </w:rPr>
              <w:t>giugno 2014</w:t>
            </w:r>
          </w:p>
        </w:tc>
        <w:tc>
          <w:tcPr>
            <w:tcW w:w="2304" w:type="dxa"/>
            <w:tcBorders>
              <w:top w:val="single" w:sz="4" w:space="0" w:color="auto"/>
              <w:left w:val="single" w:sz="4" w:space="0" w:color="auto"/>
              <w:bottom w:val="single" w:sz="4" w:space="0" w:color="auto"/>
              <w:right w:val="single" w:sz="4" w:space="0" w:color="auto"/>
            </w:tcBorders>
          </w:tcPr>
          <w:p w:rsidR="001F489F" w:rsidRDefault="001F489F" w:rsidP="00752F6F">
            <w:pPr>
              <w:jc w:val="center"/>
              <w:rPr>
                <w:sz w:val="18"/>
                <w:szCs w:val="18"/>
                <w:lang w:val="it-IT"/>
              </w:rPr>
            </w:pPr>
            <w:r>
              <w:rPr>
                <w:sz w:val="18"/>
                <w:szCs w:val="18"/>
                <w:lang w:val="it-IT"/>
              </w:rPr>
              <w:t>1° gennaio 2016</w:t>
            </w:r>
          </w:p>
        </w:tc>
        <w:tc>
          <w:tcPr>
            <w:tcW w:w="1646" w:type="dxa"/>
            <w:tcBorders>
              <w:top w:val="single" w:sz="4" w:space="0" w:color="auto"/>
              <w:left w:val="single" w:sz="4" w:space="0" w:color="auto"/>
              <w:bottom w:val="single" w:sz="4" w:space="0" w:color="auto"/>
              <w:right w:val="single" w:sz="4" w:space="0" w:color="auto"/>
            </w:tcBorders>
          </w:tcPr>
          <w:p w:rsidR="001F489F" w:rsidRDefault="004D49EA" w:rsidP="00752F6F">
            <w:pPr>
              <w:jc w:val="center"/>
              <w:rPr>
                <w:bCs/>
                <w:sz w:val="18"/>
                <w:szCs w:val="18"/>
                <w:lang w:val="it-IT"/>
              </w:rPr>
            </w:pPr>
            <w:r>
              <w:rPr>
                <w:bCs/>
                <w:sz w:val="18"/>
                <w:szCs w:val="18"/>
                <w:lang w:val="it-IT"/>
              </w:rPr>
              <w:t>23 novembre 2015</w:t>
            </w:r>
          </w:p>
        </w:tc>
        <w:tc>
          <w:tcPr>
            <w:tcW w:w="1646" w:type="dxa"/>
            <w:tcBorders>
              <w:top w:val="single" w:sz="4" w:space="0" w:color="auto"/>
              <w:left w:val="single" w:sz="4" w:space="0" w:color="auto"/>
              <w:bottom w:val="single" w:sz="4" w:space="0" w:color="auto"/>
              <w:right w:val="single" w:sz="4" w:space="0" w:color="auto"/>
            </w:tcBorders>
          </w:tcPr>
          <w:p w:rsidR="001F489F" w:rsidRDefault="006827F4" w:rsidP="00752F6F">
            <w:pPr>
              <w:jc w:val="center"/>
              <w:rPr>
                <w:bCs/>
                <w:sz w:val="18"/>
                <w:szCs w:val="18"/>
                <w:lang w:val="it-IT"/>
              </w:rPr>
            </w:pPr>
            <w:r>
              <w:rPr>
                <w:bCs/>
                <w:sz w:val="18"/>
                <w:szCs w:val="18"/>
                <w:lang w:val="it-IT"/>
              </w:rPr>
              <w:t>(UE) 2015/2113</w:t>
            </w:r>
          </w:p>
          <w:p w:rsidR="006827F4" w:rsidRDefault="006827F4" w:rsidP="00752F6F">
            <w:pPr>
              <w:jc w:val="center"/>
              <w:rPr>
                <w:bCs/>
                <w:sz w:val="18"/>
                <w:szCs w:val="18"/>
                <w:lang w:val="it-IT"/>
              </w:rPr>
            </w:pPr>
            <w:r>
              <w:rPr>
                <w:bCs/>
                <w:sz w:val="18"/>
                <w:szCs w:val="18"/>
                <w:lang w:val="it-IT"/>
              </w:rPr>
              <w:t>24 novembre 2015</w:t>
            </w:r>
          </w:p>
        </w:tc>
      </w:tr>
      <w:tr w:rsidR="001F489F" w:rsidRPr="003A39E4" w:rsidTr="003E3B0E">
        <w:tc>
          <w:tcPr>
            <w:tcW w:w="3261" w:type="dxa"/>
            <w:tcBorders>
              <w:top w:val="single" w:sz="4" w:space="0" w:color="auto"/>
              <w:left w:val="single" w:sz="4" w:space="0" w:color="auto"/>
              <w:bottom w:val="single" w:sz="4" w:space="0" w:color="auto"/>
              <w:right w:val="single" w:sz="4" w:space="0" w:color="auto"/>
            </w:tcBorders>
          </w:tcPr>
          <w:p w:rsidR="001F489F" w:rsidRDefault="00DF445E" w:rsidP="00F235B5">
            <w:pPr>
              <w:jc w:val="left"/>
              <w:rPr>
                <w:bCs/>
                <w:sz w:val="18"/>
                <w:szCs w:val="18"/>
                <w:lang w:val="it-IT"/>
              </w:rPr>
            </w:pPr>
            <w:r>
              <w:rPr>
                <w:bCs/>
                <w:sz w:val="18"/>
                <w:szCs w:val="18"/>
                <w:lang w:val="it-IT"/>
              </w:rPr>
              <w:t>Contabilizzazione delle acquisizioni di interessenze in attività a controllo congiunto (modifiche all’IFRS 11)</w:t>
            </w:r>
          </w:p>
        </w:tc>
        <w:tc>
          <w:tcPr>
            <w:tcW w:w="1349" w:type="dxa"/>
            <w:tcBorders>
              <w:top w:val="single" w:sz="4" w:space="0" w:color="auto"/>
              <w:left w:val="single" w:sz="4" w:space="0" w:color="auto"/>
              <w:bottom w:val="single" w:sz="4" w:space="0" w:color="auto"/>
              <w:right w:val="single" w:sz="4" w:space="0" w:color="auto"/>
            </w:tcBorders>
          </w:tcPr>
          <w:p w:rsidR="001F489F" w:rsidRDefault="004D49EA" w:rsidP="00E72C90">
            <w:pPr>
              <w:jc w:val="center"/>
              <w:rPr>
                <w:bCs/>
                <w:sz w:val="18"/>
                <w:szCs w:val="18"/>
                <w:lang w:val="it-IT"/>
              </w:rPr>
            </w:pPr>
            <w:r>
              <w:rPr>
                <w:bCs/>
                <w:sz w:val="18"/>
                <w:szCs w:val="18"/>
                <w:lang w:val="it-IT"/>
              </w:rPr>
              <w:t>maggio 2014</w:t>
            </w:r>
          </w:p>
        </w:tc>
        <w:tc>
          <w:tcPr>
            <w:tcW w:w="2304" w:type="dxa"/>
            <w:tcBorders>
              <w:top w:val="single" w:sz="4" w:space="0" w:color="auto"/>
              <w:left w:val="single" w:sz="4" w:space="0" w:color="auto"/>
              <w:bottom w:val="single" w:sz="4" w:space="0" w:color="auto"/>
              <w:right w:val="single" w:sz="4" w:space="0" w:color="auto"/>
            </w:tcBorders>
          </w:tcPr>
          <w:p w:rsidR="001F489F" w:rsidRDefault="001F489F" w:rsidP="00752F6F">
            <w:pPr>
              <w:jc w:val="center"/>
              <w:rPr>
                <w:sz w:val="18"/>
                <w:szCs w:val="18"/>
                <w:lang w:val="it-IT"/>
              </w:rPr>
            </w:pPr>
            <w:r w:rsidRPr="004C3634">
              <w:rPr>
                <w:sz w:val="18"/>
                <w:szCs w:val="18"/>
                <w:lang w:val="it-IT"/>
              </w:rPr>
              <w:t>1° gennaio 2016</w:t>
            </w:r>
          </w:p>
        </w:tc>
        <w:tc>
          <w:tcPr>
            <w:tcW w:w="1646" w:type="dxa"/>
            <w:tcBorders>
              <w:top w:val="single" w:sz="4" w:space="0" w:color="auto"/>
              <w:left w:val="single" w:sz="4" w:space="0" w:color="auto"/>
              <w:bottom w:val="single" w:sz="4" w:space="0" w:color="auto"/>
              <w:right w:val="single" w:sz="4" w:space="0" w:color="auto"/>
            </w:tcBorders>
          </w:tcPr>
          <w:p w:rsidR="001F489F" w:rsidRDefault="004D49EA" w:rsidP="00752F6F">
            <w:pPr>
              <w:jc w:val="center"/>
              <w:rPr>
                <w:bCs/>
                <w:sz w:val="18"/>
                <w:szCs w:val="18"/>
                <w:lang w:val="it-IT"/>
              </w:rPr>
            </w:pPr>
            <w:r>
              <w:rPr>
                <w:bCs/>
                <w:sz w:val="18"/>
                <w:szCs w:val="18"/>
                <w:lang w:val="it-IT"/>
              </w:rPr>
              <w:t>24 novembre 2015</w:t>
            </w:r>
          </w:p>
        </w:tc>
        <w:tc>
          <w:tcPr>
            <w:tcW w:w="1646" w:type="dxa"/>
            <w:tcBorders>
              <w:top w:val="single" w:sz="4" w:space="0" w:color="auto"/>
              <w:left w:val="single" w:sz="4" w:space="0" w:color="auto"/>
              <w:bottom w:val="single" w:sz="4" w:space="0" w:color="auto"/>
              <w:right w:val="single" w:sz="4" w:space="0" w:color="auto"/>
            </w:tcBorders>
          </w:tcPr>
          <w:p w:rsidR="006827F4" w:rsidRDefault="006827F4" w:rsidP="006827F4">
            <w:pPr>
              <w:jc w:val="center"/>
              <w:rPr>
                <w:bCs/>
                <w:sz w:val="18"/>
                <w:szCs w:val="18"/>
                <w:lang w:val="it-IT"/>
              </w:rPr>
            </w:pPr>
            <w:r>
              <w:rPr>
                <w:bCs/>
                <w:sz w:val="18"/>
                <w:szCs w:val="18"/>
                <w:lang w:val="it-IT"/>
              </w:rPr>
              <w:t>(UE) 2015/2173</w:t>
            </w:r>
          </w:p>
          <w:p w:rsidR="001F489F" w:rsidRDefault="006827F4" w:rsidP="006827F4">
            <w:pPr>
              <w:jc w:val="center"/>
              <w:rPr>
                <w:bCs/>
                <w:sz w:val="18"/>
                <w:szCs w:val="18"/>
                <w:lang w:val="it-IT"/>
              </w:rPr>
            </w:pPr>
            <w:r>
              <w:rPr>
                <w:bCs/>
                <w:sz w:val="18"/>
                <w:szCs w:val="18"/>
                <w:lang w:val="it-IT"/>
              </w:rPr>
              <w:t>25 novembre 2015</w:t>
            </w:r>
          </w:p>
        </w:tc>
      </w:tr>
      <w:tr w:rsidR="001F489F" w:rsidRPr="003A39E4" w:rsidTr="003E3B0E">
        <w:tc>
          <w:tcPr>
            <w:tcW w:w="3261" w:type="dxa"/>
            <w:tcBorders>
              <w:top w:val="single" w:sz="4" w:space="0" w:color="auto"/>
              <w:left w:val="single" w:sz="4" w:space="0" w:color="auto"/>
              <w:bottom w:val="single" w:sz="4" w:space="0" w:color="auto"/>
              <w:right w:val="single" w:sz="4" w:space="0" w:color="auto"/>
            </w:tcBorders>
          </w:tcPr>
          <w:p w:rsidR="001F489F" w:rsidRDefault="00DF445E" w:rsidP="00F235B5">
            <w:pPr>
              <w:jc w:val="left"/>
              <w:rPr>
                <w:bCs/>
                <w:sz w:val="18"/>
                <w:szCs w:val="18"/>
                <w:lang w:val="it-IT"/>
              </w:rPr>
            </w:pPr>
            <w:r>
              <w:rPr>
                <w:bCs/>
                <w:sz w:val="18"/>
                <w:szCs w:val="18"/>
                <w:lang w:val="it-IT"/>
              </w:rPr>
              <w:t>Chiarimento sui metodi di ammortamento accettabili (modifiche allo IAS 16 e allo IAS 38)</w:t>
            </w:r>
          </w:p>
        </w:tc>
        <w:tc>
          <w:tcPr>
            <w:tcW w:w="1349" w:type="dxa"/>
            <w:tcBorders>
              <w:top w:val="single" w:sz="4" w:space="0" w:color="auto"/>
              <w:left w:val="single" w:sz="4" w:space="0" w:color="auto"/>
              <w:bottom w:val="single" w:sz="4" w:space="0" w:color="auto"/>
              <w:right w:val="single" w:sz="4" w:space="0" w:color="auto"/>
            </w:tcBorders>
          </w:tcPr>
          <w:p w:rsidR="001F489F" w:rsidRDefault="004D49EA" w:rsidP="00E72C90">
            <w:pPr>
              <w:jc w:val="center"/>
              <w:rPr>
                <w:bCs/>
                <w:sz w:val="18"/>
                <w:szCs w:val="18"/>
                <w:lang w:val="it-IT"/>
              </w:rPr>
            </w:pPr>
            <w:r>
              <w:rPr>
                <w:bCs/>
                <w:sz w:val="18"/>
                <w:szCs w:val="18"/>
                <w:lang w:val="it-IT"/>
              </w:rPr>
              <w:t>maggio 2014</w:t>
            </w:r>
          </w:p>
        </w:tc>
        <w:tc>
          <w:tcPr>
            <w:tcW w:w="2304" w:type="dxa"/>
            <w:tcBorders>
              <w:top w:val="single" w:sz="4" w:space="0" w:color="auto"/>
              <w:left w:val="single" w:sz="4" w:space="0" w:color="auto"/>
              <w:bottom w:val="single" w:sz="4" w:space="0" w:color="auto"/>
              <w:right w:val="single" w:sz="4" w:space="0" w:color="auto"/>
            </w:tcBorders>
          </w:tcPr>
          <w:p w:rsidR="001F489F" w:rsidRDefault="001F489F" w:rsidP="00752F6F">
            <w:pPr>
              <w:jc w:val="center"/>
              <w:rPr>
                <w:sz w:val="18"/>
                <w:szCs w:val="18"/>
                <w:lang w:val="it-IT"/>
              </w:rPr>
            </w:pPr>
            <w:r w:rsidRPr="004C3634">
              <w:rPr>
                <w:sz w:val="18"/>
                <w:szCs w:val="18"/>
                <w:lang w:val="it-IT"/>
              </w:rPr>
              <w:t>1° gennaio 2016</w:t>
            </w:r>
          </w:p>
        </w:tc>
        <w:tc>
          <w:tcPr>
            <w:tcW w:w="1646" w:type="dxa"/>
            <w:tcBorders>
              <w:top w:val="single" w:sz="4" w:space="0" w:color="auto"/>
              <w:left w:val="single" w:sz="4" w:space="0" w:color="auto"/>
              <w:bottom w:val="single" w:sz="4" w:space="0" w:color="auto"/>
              <w:right w:val="single" w:sz="4" w:space="0" w:color="auto"/>
            </w:tcBorders>
          </w:tcPr>
          <w:p w:rsidR="001F489F" w:rsidRDefault="004D49EA" w:rsidP="00752F6F">
            <w:pPr>
              <w:jc w:val="center"/>
              <w:rPr>
                <w:bCs/>
                <w:sz w:val="18"/>
                <w:szCs w:val="18"/>
                <w:lang w:val="it-IT"/>
              </w:rPr>
            </w:pPr>
            <w:r>
              <w:rPr>
                <w:bCs/>
                <w:sz w:val="18"/>
                <w:szCs w:val="18"/>
                <w:lang w:val="it-IT"/>
              </w:rPr>
              <w:t>2 dicembre 2015</w:t>
            </w:r>
          </w:p>
        </w:tc>
        <w:tc>
          <w:tcPr>
            <w:tcW w:w="1646" w:type="dxa"/>
            <w:tcBorders>
              <w:top w:val="single" w:sz="4" w:space="0" w:color="auto"/>
              <w:left w:val="single" w:sz="4" w:space="0" w:color="auto"/>
              <w:bottom w:val="single" w:sz="4" w:space="0" w:color="auto"/>
              <w:right w:val="single" w:sz="4" w:space="0" w:color="auto"/>
            </w:tcBorders>
          </w:tcPr>
          <w:p w:rsidR="006827F4" w:rsidRDefault="006827F4" w:rsidP="006827F4">
            <w:pPr>
              <w:jc w:val="center"/>
              <w:rPr>
                <w:bCs/>
                <w:sz w:val="18"/>
                <w:szCs w:val="18"/>
                <w:lang w:val="it-IT"/>
              </w:rPr>
            </w:pPr>
            <w:r>
              <w:rPr>
                <w:bCs/>
                <w:sz w:val="18"/>
                <w:szCs w:val="18"/>
                <w:lang w:val="it-IT"/>
              </w:rPr>
              <w:t>(UE) 2015/2231</w:t>
            </w:r>
          </w:p>
          <w:p w:rsidR="001F489F" w:rsidRDefault="006827F4" w:rsidP="006827F4">
            <w:pPr>
              <w:jc w:val="center"/>
              <w:rPr>
                <w:bCs/>
                <w:sz w:val="18"/>
                <w:szCs w:val="18"/>
                <w:lang w:val="it-IT"/>
              </w:rPr>
            </w:pPr>
            <w:r>
              <w:rPr>
                <w:bCs/>
                <w:sz w:val="18"/>
                <w:szCs w:val="18"/>
                <w:lang w:val="it-IT"/>
              </w:rPr>
              <w:t>3 dicembre 2015</w:t>
            </w:r>
          </w:p>
        </w:tc>
      </w:tr>
      <w:tr w:rsidR="001F489F" w:rsidRPr="003A39E4" w:rsidTr="003E3B0E">
        <w:tc>
          <w:tcPr>
            <w:tcW w:w="3261" w:type="dxa"/>
            <w:tcBorders>
              <w:top w:val="single" w:sz="4" w:space="0" w:color="auto"/>
              <w:left w:val="single" w:sz="4" w:space="0" w:color="auto"/>
              <w:bottom w:val="single" w:sz="4" w:space="0" w:color="auto"/>
              <w:right w:val="single" w:sz="4" w:space="0" w:color="auto"/>
            </w:tcBorders>
          </w:tcPr>
          <w:p w:rsidR="001F489F" w:rsidRDefault="00DF445E" w:rsidP="00F235B5">
            <w:pPr>
              <w:jc w:val="left"/>
              <w:rPr>
                <w:bCs/>
                <w:sz w:val="18"/>
                <w:szCs w:val="18"/>
                <w:lang w:val="it-IT"/>
              </w:rPr>
            </w:pPr>
            <w:r>
              <w:rPr>
                <w:bCs/>
                <w:sz w:val="18"/>
                <w:szCs w:val="18"/>
                <w:lang w:val="it-IT"/>
              </w:rPr>
              <w:t>Ciclo annuale di miglioramenti agli IFRS 2012-2014</w:t>
            </w:r>
          </w:p>
        </w:tc>
        <w:tc>
          <w:tcPr>
            <w:tcW w:w="1349" w:type="dxa"/>
            <w:tcBorders>
              <w:top w:val="single" w:sz="4" w:space="0" w:color="auto"/>
              <w:left w:val="single" w:sz="4" w:space="0" w:color="auto"/>
              <w:bottom w:val="single" w:sz="4" w:space="0" w:color="auto"/>
              <w:right w:val="single" w:sz="4" w:space="0" w:color="auto"/>
            </w:tcBorders>
          </w:tcPr>
          <w:p w:rsidR="001F489F" w:rsidRDefault="004D49EA" w:rsidP="00E72C90">
            <w:pPr>
              <w:jc w:val="center"/>
              <w:rPr>
                <w:bCs/>
                <w:sz w:val="18"/>
                <w:szCs w:val="18"/>
                <w:lang w:val="it-IT"/>
              </w:rPr>
            </w:pPr>
            <w:r>
              <w:rPr>
                <w:bCs/>
                <w:sz w:val="18"/>
                <w:szCs w:val="18"/>
                <w:lang w:val="it-IT"/>
              </w:rPr>
              <w:t>settembre 2014</w:t>
            </w:r>
          </w:p>
        </w:tc>
        <w:tc>
          <w:tcPr>
            <w:tcW w:w="2304" w:type="dxa"/>
            <w:tcBorders>
              <w:top w:val="single" w:sz="4" w:space="0" w:color="auto"/>
              <w:left w:val="single" w:sz="4" w:space="0" w:color="auto"/>
              <w:bottom w:val="single" w:sz="4" w:space="0" w:color="auto"/>
              <w:right w:val="single" w:sz="4" w:space="0" w:color="auto"/>
            </w:tcBorders>
          </w:tcPr>
          <w:p w:rsidR="001F489F" w:rsidRDefault="001F489F" w:rsidP="00752F6F">
            <w:pPr>
              <w:jc w:val="center"/>
              <w:rPr>
                <w:sz w:val="18"/>
                <w:szCs w:val="18"/>
                <w:lang w:val="it-IT"/>
              </w:rPr>
            </w:pPr>
            <w:r w:rsidRPr="004C3634">
              <w:rPr>
                <w:sz w:val="18"/>
                <w:szCs w:val="18"/>
                <w:lang w:val="it-IT"/>
              </w:rPr>
              <w:t>1° gennaio 2016</w:t>
            </w:r>
          </w:p>
        </w:tc>
        <w:tc>
          <w:tcPr>
            <w:tcW w:w="1646" w:type="dxa"/>
            <w:tcBorders>
              <w:top w:val="single" w:sz="4" w:space="0" w:color="auto"/>
              <w:left w:val="single" w:sz="4" w:space="0" w:color="auto"/>
              <w:bottom w:val="single" w:sz="4" w:space="0" w:color="auto"/>
              <w:right w:val="single" w:sz="4" w:space="0" w:color="auto"/>
            </w:tcBorders>
          </w:tcPr>
          <w:p w:rsidR="001F489F" w:rsidRDefault="004D49EA" w:rsidP="00752F6F">
            <w:pPr>
              <w:jc w:val="center"/>
              <w:rPr>
                <w:bCs/>
                <w:sz w:val="18"/>
                <w:szCs w:val="18"/>
                <w:lang w:val="it-IT"/>
              </w:rPr>
            </w:pPr>
            <w:r>
              <w:rPr>
                <w:bCs/>
                <w:sz w:val="18"/>
                <w:szCs w:val="18"/>
                <w:lang w:val="it-IT"/>
              </w:rPr>
              <w:t>15 dicembre 2015</w:t>
            </w:r>
          </w:p>
        </w:tc>
        <w:tc>
          <w:tcPr>
            <w:tcW w:w="1646" w:type="dxa"/>
            <w:tcBorders>
              <w:top w:val="single" w:sz="4" w:space="0" w:color="auto"/>
              <w:left w:val="single" w:sz="4" w:space="0" w:color="auto"/>
              <w:bottom w:val="single" w:sz="4" w:space="0" w:color="auto"/>
              <w:right w:val="single" w:sz="4" w:space="0" w:color="auto"/>
            </w:tcBorders>
          </w:tcPr>
          <w:p w:rsidR="006827F4" w:rsidRDefault="006827F4" w:rsidP="006827F4">
            <w:pPr>
              <w:jc w:val="center"/>
              <w:rPr>
                <w:bCs/>
                <w:sz w:val="18"/>
                <w:szCs w:val="18"/>
                <w:lang w:val="it-IT"/>
              </w:rPr>
            </w:pPr>
            <w:r>
              <w:rPr>
                <w:bCs/>
                <w:sz w:val="18"/>
                <w:szCs w:val="18"/>
                <w:lang w:val="it-IT"/>
              </w:rPr>
              <w:t>(UE) 2015/2343</w:t>
            </w:r>
          </w:p>
          <w:p w:rsidR="001F489F" w:rsidRDefault="006827F4" w:rsidP="006827F4">
            <w:pPr>
              <w:jc w:val="center"/>
              <w:rPr>
                <w:bCs/>
                <w:sz w:val="18"/>
                <w:szCs w:val="18"/>
                <w:lang w:val="it-IT"/>
              </w:rPr>
            </w:pPr>
            <w:r>
              <w:rPr>
                <w:bCs/>
                <w:sz w:val="18"/>
                <w:szCs w:val="18"/>
                <w:lang w:val="it-IT"/>
              </w:rPr>
              <w:t>16 dicembre 2015</w:t>
            </w:r>
          </w:p>
        </w:tc>
      </w:tr>
      <w:tr w:rsidR="001F489F" w:rsidRPr="003A39E4" w:rsidTr="003E3B0E">
        <w:tc>
          <w:tcPr>
            <w:tcW w:w="3261" w:type="dxa"/>
            <w:tcBorders>
              <w:top w:val="single" w:sz="4" w:space="0" w:color="auto"/>
              <w:left w:val="single" w:sz="4" w:space="0" w:color="auto"/>
              <w:bottom w:val="single" w:sz="4" w:space="0" w:color="auto"/>
              <w:right w:val="single" w:sz="4" w:space="0" w:color="auto"/>
            </w:tcBorders>
          </w:tcPr>
          <w:p w:rsidR="001F489F" w:rsidRDefault="008D3986" w:rsidP="00F235B5">
            <w:pPr>
              <w:jc w:val="left"/>
              <w:rPr>
                <w:bCs/>
                <w:sz w:val="18"/>
                <w:szCs w:val="18"/>
                <w:lang w:val="it-IT"/>
              </w:rPr>
            </w:pPr>
            <w:r>
              <w:rPr>
                <w:bCs/>
                <w:sz w:val="18"/>
                <w:szCs w:val="18"/>
                <w:lang w:val="it-IT"/>
              </w:rPr>
              <w:t>Inizativa di informativa (modifiche allo IAS 1)</w:t>
            </w:r>
          </w:p>
        </w:tc>
        <w:tc>
          <w:tcPr>
            <w:tcW w:w="1349" w:type="dxa"/>
            <w:tcBorders>
              <w:top w:val="single" w:sz="4" w:space="0" w:color="auto"/>
              <w:left w:val="single" w:sz="4" w:space="0" w:color="auto"/>
              <w:bottom w:val="single" w:sz="4" w:space="0" w:color="auto"/>
              <w:right w:val="single" w:sz="4" w:space="0" w:color="auto"/>
            </w:tcBorders>
          </w:tcPr>
          <w:p w:rsidR="001F489F" w:rsidRDefault="004D49EA" w:rsidP="00E72C90">
            <w:pPr>
              <w:jc w:val="center"/>
              <w:rPr>
                <w:bCs/>
                <w:sz w:val="18"/>
                <w:szCs w:val="18"/>
                <w:lang w:val="it-IT"/>
              </w:rPr>
            </w:pPr>
            <w:r>
              <w:rPr>
                <w:bCs/>
                <w:sz w:val="18"/>
                <w:szCs w:val="18"/>
                <w:lang w:val="it-IT"/>
              </w:rPr>
              <w:t>dicembre 2014</w:t>
            </w:r>
          </w:p>
        </w:tc>
        <w:tc>
          <w:tcPr>
            <w:tcW w:w="2304" w:type="dxa"/>
            <w:tcBorders>
              <w:top w:val="single" w:sz="4" w:space="0" w:color="auto"/>
              <w:left w:val="single" w:sz="4" w:space="0" w:color="auto"/>
              <w:bottom w:val="single" w:sz="4" w:space="0" w:color="auto"/>
              <w:right w:val="single" w:sz="4" w:space="0" w:color="auto"/>
            </w:tcBorders>
          </w:tcPr>
          <w:p w:rsidR="001F489F" w:rsidRDefault="001F489F" w:rsidP="00752F6F">
            <w:pPr>
              <w:jc w:val="center"/>
              <w:rPr>
                <w:sz w:val="18"/>
                <w:szCs w:val="18"/>
                <w:lang w:val="it-IT"/>
              </w:rPr>
            </w:pPr>
            <w:r w:rsidRPr="004C3634">
              <w:rPr>
                <w:sz w:val="18"/>
                <w:szCs w:val="18"/>
                <w:lang w:val="it-IT"/>
              </w:rPr>
              <w:t>1° gennaio 2016</w:t>
            </w:r>
          </w:p>
        </w:tc>
        <w:tc>
          <w:tcPr>
            <w:tcW w:w="1646" w:type="dxa"/>
            <w:tcBorders>
              <w:top w:val="single" w:sz="4" w:space="0" w:color="auto"/>
              <w:left w:val="single" w:sz="4" w:space="0" w:color="auto"/>
              <w:bottom w:val="single" w:sz="4" w:space="0" w:color="auto"/>
              <w:right w:val="single" w:sz="4" w:space="0" w:color="auto"/>
            </w:tcBorders>
          </w:tcPr>
          <w:p w:rsidR="001F489F" w:rsidRDefault="004D49EA" w:rsidP="00752F6F">
            <w:pPr>
              <w:jc w:val="center"/>
              <w:rPr>
                <w:bCs/>
                <w:sz w:val="18"/>
                <w:szCs w:val="18"/>
                <w:lang w:val="it-IT"/>
              </w:rPr>
            </w:pPr>
            <w:r>
              <w:rPr>
                <w:bCs/>
                <w:sz w:val="18"/>
                <w:szCs w:val="18"/>
                <w:lang w:val="it-IT"/>
              </w:rPr>
              <w:t>18 dicembre 2015</w:t>
            </w:r>
          </w:p>
        </w:tc>
        <w:tc>
          <w:tcPr>
            <w:tcW w:w="1646" w:type="dxa"/>
            <w:tcBorders>
              <w:top w:val="single" w:sz="4" w:space="0" w:color="auto"/>
              <w:left w:val="single" w:sz="4" w:space="0" w:color="auto"/>
              <w:bottom w:val="single" w:sz="4" w:space="0" w:color="auto"/>
              <w:right w:val="single" w:sz="4" w:space="0" w:color="auto"/>
            </w:tcBorders>
          </w:tcPr>
          <w:p w:rsidR="006827F4" w:rsidRDefault="006827F4" w:rsidP="006827F4">
            <w:pPr>
              <w:jc w:val="center"/>
              <w:rPr>
                <w:bCs/>
                <w:sz w:val="18"/>
                <w:szCs w:val="18"/>
                <w:lang w:val="it-IT"/>
              </w:rPr>
            </w:pPr>
            <w:r>
              <w:rPr>
                <w:bCs/>
                <w:sz w:val="18"/>
                <w:szCs w:val="18"/>
                <w:lang w:val="it-IT"/>
              </w:rPr>
              <w:t>(UE) 2015/2406</w:t>
            </w:r>
          </w:p>
          <w:p w:rsidR="001F489F" w:rsidRDefault="006827F4" w:rsidP="006827F4">
            <w:pPr>
              <w:jc w:val="center"/>
              <w:rPr>
                <w:bCs/>
                <w:sz w:val="18"/>
                <w:szCs w:val="18"/>
                <w:lang w:val="it-IT"/>
              </w:rPr>
            </w:pPr>
            <w:r>
              <w:rPr>
                <w:bCs/>
                <w:sz w:val="18"/>
                <w:szCs w:val="18"/>
                <w:lang w:val="it-IT"/>
              </w:rPr>
              <w:t>19 dicembre 2015</w:t>
            </w:r>
          </w:p>
        </w:tc>
      </w:tr>
      <w:tr w:rsidR="001F489F" w:rsidRPr="003A39E4" w:rsidTr="003E3B0E">
        <w:tc>
          <w:tcPr>
            <w:tcW w:w="3261" w:type="dxa"/>
            <w:tcBorders>
              <w:top w:val="single" w:sz="4" w:space="0" w:color="auto"/>
              <w:left w:val="single" w:sz="4" w:space="0" w:color="auto"/>
              <w:bottom w:val="single" w:sz="4" w:space="0" w:color="auto"/>
              <w:right w:val="single" w:sz="4" w:space="0" w:color="auto"/>
            </w:tcBorders>
          </w:tcPr>
          <w:p w:rsidR="001F489F" w:rsidRDefault="008D3986" w:rsidP="004300E2">
            <w:pPr>
              <w:tabs>
                <w:tab w:val="left" w:pos="892"/>
              </w:tabs>
              <w:jc w:val="left"/>
              <w:rPr>
                <w:bCs/>
                <w:sz w:val="18"/>
                <w:szCs w:val="18"/>
                <w:lang w:val="it-IT"/>
              </w:rPr>
            </w:pPr>
            <w:r>
              <w:rPr>
                <w:bCs/>
                <w:sz w:val="18"/>
                <w:szCs w:val="18"/>
                <w:lang w:val="it-IT"/>
              </w:rPr>
              <w:t>Metodo del patrimonio netto nel bilancio separato (modifiche allo IAS 27)</w:t>
            </w:r>
          </w:p>
        </w:tc>
        <w:tc>
          <w:tcPr>
            <w:tcW w:w="1349" w:type="dxa"/>
            <w:tcBorders>
              <w:top w:val="single" w:sz="4" w:space="0" w:color="auto"/>
              <w:left w:val="single" w:sz="4" w:space="0" w:color="auto"/>
              <w:bottom w:val="single" w:sz="4" w:space="0" w:color="auto"/>
              <w:right w:val="single" w:sz="4" w:space="0" w:color="auto"/>
            </w:tcBorders>
          </w:tcPr>
          <w:p w:rsidR="001F489F" w:rsidRDefault="004D49EA" w:rsidP="00E72C90">
            <w:pPr>
              <w:jc w:val="center"/>
              <w:rPr>
                <w:bCs/>
                <w:sz w:val="18"/>
                <w:szCs w:val="18"/>
                <w:lang w:val="it-IT"/>
              </w:rPr>
            </w:pPr>
            <w:r>
              <w:rPr>
                <w:bCs/>
                <w:sz w:val="18"/>
                <w:szCs w:val="18"/>
                <w:lang w:val="it-IT"/>
              </w:rPr>
              <w:t>agosto 2014</w:t>
            </w:r>
          </w:p>
        </w:tc>
        <w:tc>
          <w:tcPr>
            <w:tcW w:w="2304" w:type="dxa"/>
            <w:tcBorders>
              <w:top w:val="single" w:sz="4" w:space="0" w:color="auto"/>
              <w:left w:val="single" w:sz="4" w:space="0" w:color="auto"/>
              <w:bottom w:val="single" w:sz="4" w:space="0" w:color="auto"/>
              <w:right w:val="single" w:sz="4" w:space="0" w:color="auto"/>
            </w:tcBorders>
          </w:tcPr>
          <w:p w:rsidR="001F489F" w:rsidRDefault="001F489F" w:rsidP="00752F6F">
            <w:pPr>
              <w:jc w:val="center"/>
              <w:rPr>
                <w:sz w:val="18"/>
                <w:szCs w:val="18"/>
                <w:lang w:val="it-IT"/>
              </w:rPr>
            </w:pPr>
            <w:r w:rsidRPr="004C3634">
              <w:rPr>
                <w:sz w:val="18"/>
                <w:szCs w:val="18"/>
                <w:lang w:val="it-IT"/>
              </w:rPr>
              <w:t>1° gennaio 2016</w:t>
            </w:r>
          </w:p>
        </w:tc>
        <w:tc>
          <w:tcPr>
            <w:tcW w:w="1646" w:type="dxa"/>
            <w:tcBorders>
              <w:top w:val="single" w:sz="4" w:space="0" w:color="auto"/>
              <w:left w:val="single" w:sz="4" w:space="0" w:color="auto"/>
              <w:bottom w:val="single" w:sz="4" w:space="0" w:color="auto"/>
              <w:right w:val="single" w:sz="4" w:space="0" w:color="auto"/>
            </w:tcBorders>
          </w:tcPr>
          <w:p w:rsidR="001F489F" w:rsidRDefault="004D49EA" w:rsidP="00752F6F">
            <w:pPr>
              <w:jc w:val="center"/>
              <w:rPr>
                <w:bCs/>
                <w:sz w:val="18"/>
                <w:szCs w:val="18"/>
                <w:lang w:val="it-IT"/>
              </w:rPr>
            </w:pPr>
            <w:r>
              <w:rPr>
                <w:bCs/>
                <w:sz w:val="18"/>
                <w:szCs w:val="18"/>
                <w:lang w:val="it-IT"/>
              </w:rPr>
              <w:t>18 dicembre 2015</w:t>
            </w:r>
          </w:p>
        </w:tc>
        <w:tc>
          <w:tcPr>
            <w:tcW w:w="1646" w:type="dxa"/>
            <w:tcBorders>
              <w:top w:val="single" w:sz="4" w:space="0" w:color="auto"/>
              <w:left w:val="single" w:sz="4" w:space="0" w:color="auto"/>
              <w:bottom w:val="single" w:sz="4" w:space="0" w:color="auto"/>
              <w:right w:val="single" w:sz="4" w:space="0" w:color="auto"/>
            </w:tcBorders>
          </w:tcPr>
          <w:p w:rsidR="006827F4" w:rsidRDefault="006827F4" w:rsidP="006827F4">
            <w:pPr>
              <w:jc w:val="center"/>
              <w:rPr>
                <w:bCs/>
                <w:sz w:val="18"/>
                <w:szCs w:val="18"/>
                <w:lang w:val="it-IT"/>
              </w:rPr>
            </w:pPr>
            <w:r>
              <w:rPr>
                <w:bCs/>
                <w:sz w:val="18"/>
                <w:szCs w:val="18"/>
                <w:lang w:val="it-IT"/>
              </w:rPr>
              <w:t>(UE) 2015/2441</w:t>
            </w:r>
          </w:p>
          <w:p w:rsidR="001F489F" w:rsidRDefault="006827F4" w:rsidP="006827F4">
            <w:pPr>
              <w:jc w:val="center"/>
              <w:rPr>
                <w:bCs/>
                <w:sz w:val="18"/>
                <w:szCs w:val="18"/>
                <w:lang w:val="it-IT"/>
              </w:rPr>
            </w:pPr>
            <w:r>
              <w:rPr>
                <w:bCs/>
                <w:sz w:val="18"/>
                <w:szCs w:val="18"/>
                <w:lang w:val="it-IT"/>
              </w:rPr>
              <w:t>23 dicembre 2015</w:t>
            </w:r>
          </w:p>
        </w:tc>
      </w:tr>
      <w:tr w:rsidR="0069539E" w:rsidRPr="00FB4B6E" w:rsidTr="003E3B0E">
        <w:tc>
          <w:tcPr>
            <w:tcW w:w="3261" w:type="dxa"/>
            <w:tcBorders>
              <w:top w:val="single" w:sz="4" w:space="0" w:color="auto"/>
              <w:left w:val="single" w:sz="4" w:space="0" w:color="auto"/>
              <w:bottom w:val="single" w:sz="4" w:space="0" w:color="auto"/>
              <w:right w:val="single" w:sz="4" w:space="0" w:color="auto"/>
            </w:tcBorders>
          </w:tcPr>
          <w:p w:rsidR="0069539E" w:rsidRDefault="0069539E" w:rsidP="0069539E">
            <w:pPr>
              <w:tabs>
                <w:tab w:val="left" w:pos="892"/>
              </w:tabs>
              <w:jc w:val="left"/>
              <w:rPr>
                <w:bCs/>
                <w:sz w:val="18"/>
                <w:szCs w:val="18"/>
                <w:lang w:val="it-IT"/>
              </w:rPr>
            </w:pPr>
            <w:r>
              <w:rPr>
                <w:bCs/>
                <w:sz w:val="18"/>
                <w:szCs w:val="18"/>
                <w:lang w:val="it-IT"/>
              </w:rPr>
              <w:t>Entità d’investimento: applicazione dell’eccezione di consolidamento (modifiche all’IFRS 10, IFRS 12 e IAS 28)</w:t>
            </w:r>
          </w:p>
        </w:tc>
        <w:tc>
          <w:tcPr>
            <w:tcW w:w="1349" w:type="dxa"/>
            <w:tcBorders>
              <w:top w:val="single" w:sz="4" w:space="0" w:color="auto"/>
              <w:left w:val="single" w:sz="4" w:space="0" w:color="auto"/>
              <w:bottom w:val="single" w:sz="4" w:space="0" w:color="auto"/>
              <w:right w:val="single" w:sz="4" w:space="0" w:color="auto"/>
            </w:tcBorders>
          </w:tcPr>
          <w:p w:rsidR="0069539E" w:rsidRDefault="0069539E" w:rsidP="0069539E">
            <w:pPr>
              <w:jc w:val="center"/>
              <w:rPr>
                <w:bCs/>
                <w:sz w:val="18"/>
                <w:szCs w:val="18"/>
                <w:lang w:val="it-IT"/>
              </w:rPr>
            </w:pPr>
            <w:r>
              <w:rPr>
                <w:bCs/>
                <w:sz w:val="18"/>
                <w:szCs w:val="18"/>
                <w:lang w:val="it-IT"/>
              </w:rPr>
              <w:t>dicembre 2014</w:t>
            </w:r>
          </w:p>
        </w:tc>
        <w:tc>
          <w:tcPr>
            <w:tcW w:w="2304" w:type="dxa"/>
            <w:tcBorders>
              <w:top w:val="single" w:sz="4" w:space="0" w:color="auto"/>
              <w:left w:val="single" w:sz="4" w:space="0" w:color="auto"/>
              <w:bottom w:val="single" w:sz="4" w:space="0" w:color="auto"/>
              <w:right w:val="single" w:sz="4" w:space="0" w:color="auto"/>
            </w:tcBorders>
          </w:tcPr>
          <w:p w:rsidR="0069539E" w:rsidRPr="004C3634" w:rsidRDefault="0069539E" w:rsidP="0069539E">
            <w:pPr>
              <w:jc w:val="center"/>
              <w:rPr>
                <w:sz w:val="18"/>
                <w:szCs w:val="18"/>
                <w:lang w:val="it-IT"/>
              </w:rPr>
            </w:pPr>
            <w:r w:rsidRPr="004C3634">
              <w:rPr>
                <w:sz w:val="18"/>
                <w:szCs w:val="18"/>
                <w:lang w:val="it-IT"/>
              </w:rPr>
              <w:t>1° gennaio 2016</w:t>
            </w:r>
          </w:p>
        </w:tc>
        <w:tc>
          <w:tcPr>
            <w:tcW w:w="1646" w:type="dxa"/>
            <w:tcBorders>
              <w:top w:val="single" w:sz="4" w:space="0" w:color="auto"/>
              <w:left w:val="single" w:sz="4" w:space="0" w:color="auto"/>
              <w:bottom w:val="single" w:sz="4" w:space="0" w:color="auto"/>
              <w:right w:val="single" w:sz="4" w:space="0" w:color="auto"/>
            </w:tcBorders>
          </w:tcPr>
          <w:p w:rsidR="0069539E" w:rsidRDefault="0069539E" w:rsidP="0069539E">
            <w:pPr>
              <w:jc w:val="center"/>
              <w:rPr>
                <w:bCs/>
                <w:sz w:val="18"/>
                <w:szCs w:val="18"/>
                <w:lang w:val="it-IT"/>
              </w:rPr>
            </w:pPr>
            <w:r>
              <w:rPr>
                <w:bCs/>
                <w:sz w:val="18"/>
                <w:szCs w:val="18"/>
                <w:lang w:val="it-IT"/>
              </w:rPr>
              <w:t>22 settembre 2016</w:t>
            </w:r>
          </w:p>
        </w:tc>
        <w:tc>
          <w:tcPr>
            <w:tcW w:w="1646" w:type="dxa"/>
            <w:tcBorders>
              <w:top w:val="single" w:sz="4" w:space="0" w:color="auto"/>
              <w:left w:val="single" w:sz="4" w:space="0" w:color="auto"/>
              <w:bottom w:val="single" w:sz="4" w:space="0" w:color="auto"/>
              <w:right w:val="single" w:sz="4" w:space="0" w:color="auto"/>
            </w:tcBorders>
          </w:tcPr>
          <w:p w:rsidR="0069539E" w:rsidRDefault="0069539E" w:rsidP="0069539E">
            <w:pPr>
              <w:jc w:val="center"/>
              <w:rPr>
                <w:bCs/>
                <w:sz w:val="18"/>
                <w:szCs w:val="18"/>
                <w:lang w:val="it-IT"/>
              </w:rPr>
            </w:pPr>
            <w:r>
              <w:rPr>
                <w:bCs/>
                <w:sz w:val="18"/>
                <w:szCs w:val="18"/>
                <w:lang w:val="it-IT"/>
              </w:rPr>
              <w:t>(UE) 2016/1703</w:t>
            </w:r>
          </w:p>
          <w:p w:rsidR="0069539E" w:rsidRDefault="0069539E" w:rsidP="00390734">
            <w:pPr>
              <w:jc w:val="center"/>
              <w:rPr>
                <w:bCs/>
                <w:sz w:val="18"/>
                <w:szCs w:val="18"/>
                <w:lang w:val="it-IT"/>
              </w:rPr>
            </w:pPr>
            <w:r>
              <w:rPr>
                <w:bCs/>
                <w:sz w:val="18"/>
                <w:szCs w:val="18"/>
                <w:lang w:val="it-IT"/>
              </w:rPr>
              <w:t>23 settembre 2016</w:t>
            </w:r>
          </w:p>
        </w:tc>
      </w:tr>
    </w:tbl>
    <w:p w:rsidR="00267634" w:rsidRPr="008A0F36" w:rsidRDefault="00267634" w:rsidP="00175655">
      <w:pPr>
        <w:pStyle w:val="Normalegrassetto"/>
        <w:rPr>
          <w:sz w:val="22"/>
          <w:szCs w:val="22"/>
          <w:lang w:val="it-IT"/>
        </w:rPr>
      </w:pPr>
    </w:p>
    <w:p w:rsidR="00267634" w:rsidRPr="008A0F36" w:rsidRDefault="00267634">
      <w:pPr>
        <w:overflowPunct/>
        <w:autoSpaceDE/>
        <w:autoSpaceDN/>
        <w:adjustRightInd/>
        <w:spacing w:before="0" w:after="0" w:line="240" w:lineRule="auto"/>
        <w:jc w:val="left"/>
        <w:textAlignment w:val="auto"/>
        <w:rPr>
          <w:b/>
          <w:sz w:val="22"/>
          <w:szCs w:val="22"/>
          <w:lang w:val="it-IT"/>
        </w:rPr>
      </w:pPr>
      <w:r w:rsidRPr="008A0F36">
        <w:rPr>
          <w:sz w:val="22"/>
          <w:szCs w:val="22"/>
          <w:lang w:val="it-IT"/>
        </w:rPr>
        <w:br w:type="page"/>
      </w:r>
    </w:p>
    <w:p w:rsidR="00CD5A03" w:rsidRDefault="00CD5A03" w:rsidP="00A85ED5">
      <w:pPr>
        <w:pStyle w:val="Normalegrassetto"/>
        <w:rPr>
          <w:sz w:val="22"/>
          <w:szCs w:val="22"/>
          <w:lang w:val="it-IT"/>
        </w:rPr>
      </w:pPr>
    </w:p>
    <w:p w:rsidR="00CD5A03" w:rsidRDefault="00CD5A03" w:rsidP="00A85ED5">
      <w:pPr>
        <w:pStyle w:val="Normalegrassetto"/>
        <w:rPr>
          <w:sz w:val="22"/>
          <w:szCs w:val="22"/>
          <w:lang w:val="it-IT"/>
        </w:rPr>
      </w:pPr>
    </w:p>
    <w:p w:rsidR="00CD5A03" w:rsidRDefault="00CD5A03" w:rsidP="00A85ED5">
      <w:pPr>
        <w:pStyle w:val="Normalegrassetto"/>
        <w:rPr>
          <w:sz w:val="22"/>
          <w:szCs w:val="22"/>
          <w:lang w:val="it-IT"/>
        </w:rPr>
      </w:pPr>
    </w:p>
    <w:p w:rsidR="00A85ED5" w:rsidRPr="008A0F36" w:rsidRDefault="0052012E" w:rsidP="00A85ED5">
      <w:pPr>
        <w:pStyle w:val="Normalegrassetto"/>
        <w:rPr>
          <w:sz w:val="22"/>
          <w:szCs w:val="22"/>
          <w:lang w:val="it-IT"/>
        </w:rPr>
      </w:pPr>
      <w:r w:rsidRPr="008A0F36">
        <w:rPr>
          <w:sz w:val="22"/>
          <w:szCs w:val="22"/>
          <w:lang w:val="it-IT"/>
        </w:rPr>
        <w:t>ALLEGATO 2</w:t>
      </w:r>
      <w:r w:rsidR="00A85ED5" w:rsidRPr="008A0F36">
        <w:rPr>
          <w:sz w:val="22"/>
          <w:szCs w:val="22"/>
          <w:lang w:val="it-IT"/>
        </w:rPr>
        <w:t xml:space="preserve"> – P</w:t>
      </w:r>
      <w:r w:rsidR="00E93B42">
        <w:rPr>
          <w:sz w:val="22"/>
          <w:szCs w:val="22"/>
          <w:lang w:val="it-IT"/>
        </w:rPr>
        <w:t>ARTE</w:t>
      </w:r>
      <w:r w:rsidR="00A85ED5" w:rsidRPr="008A0F36">
        <w:rPr>
          <w:sz w:val="22"/>
          <w:szCs w:val="22"/>
          <w:lang w:val="it-IT"/>
        </w:rPr>
        <w:t xml:space="preserve"> A</w:t>
      </w:r>
    </w:p>
    <w:p w:rsidR="00A85ED5" w:rsidRPr="008A0F36" w:rsidRDefault="00A85ED5" w:rsidP="00A85ED5">
      <w:pPr>
        <w:pStyle w:val="Normalegrassetto"/>
        <w:rPr>
          <w:color w:val="0C2D83"/>
          <w:sz w:val="18"/>
          <w:szCs w:val="18"/>
          <w:lang w:val="it-IT"/>
        </w:rPr>
      </w:pPr>
    </w:p>
    <w:p w:rsidR="00A85ED5" w:rsidRPr="008A0F36" w:rsidRDefault="00A85ED5" w:rsidP="00A85ED5">
      <w:pPr>
        <w:pStyle w:val="Normalegrassetto"/>
        <w:rPr>
          <w:lang w:val="it-IT"/>
        </w:rPr>
      </w:pPr>
      <w:r w:rsidRPr="008A0F36">
        <w:rPr>
          <w:lang w:val="it-IT"/>
        </w:rPr>
        <w:t>IAS/IFRS</w:t>
      </w:r>
      <w:r w:rsidR="00AE2773" w:rsidRPr="008A0F36">
        <w:rPr>
          <w:lang w:val="it-IT"/>
        </w:rPr>
        <w:t xml:space="preserve"> e relative interpretazioni </w:t>
      </w:r>
      <w:r w:rsidRPr="008A0F36">
        <w:rPr>
          <w:lang w:val="it-IT"/>
        </w:rPr>
        <w:t>IFRIC applicabili ai bilanci degli esercizi che iniziano dopo il 1° gennaio 201</w:t>
      </w:r>
      <w:r w:rsidR="0048419D">
        <w:rPr>
          <w:lang w:val="it-IT"/>
        </w:rPr>
        <w:t>6</w:t>
      </w:r>
    </w:p>
    <w:p w:rsidR="00A85ED5" w:rsidRPr="008A0F36" w:rsidRDefault="00A85ED5" w:rsidP="00A85ED5">
      <w:pPr>
        <w:tabs>
          <w:tab w:val="left" w:pos="397"/>
        </w:tabs>
        <w:rPr>
          <w:rFonts w:ascii="Times New Roman" w:hAnsi="Times New Roman"/>
          <w:b/>
          <w:bCs/>
          <w:lang w:val="it-IT"/>
        </w:rPr>
      </w:pPr>
    </w:p>
    <w:p w:rsidR="00A85ED5" w:rsidRPr="008A0F36" w:rsidRDefault="00A85ED5" w:rsidP="00A85ED5">
      <w:pPr>
        <w:pStyle w:val="Normalegrassetto"/>
        <w:rPr>
          <w:sz w:val="22"/>
          <w:szCs w:val="22"/>
          <w:lang w:val="it-IT"/>
        </w:rPr>
      </w:pPr>
      <w:r w:rsidRPr="008A0F36">
        <w:rPr>
          <w:sz w:val="22"/>
          <w:szCs w:val="22"/>
          <w:lang w:val="it-IT"/>
        </w:rPr>
        <w:t>Documenti omologati dall</w:t>
      </w:r>
      <w:r w:rsidRPr="008A0F36">
        <w:rPr>
          <w:b w:val="0"/>
          <w:sz w:val="22"/>
          <w:szCs w:val="22"/>
          <w:lang w:val="it-IT"/>
        </w:rPr>
        <w:t>’</w:t>
      </w:r>
      <w:r w:rsidRPr="008A0F36">
        <w:rPr>
          <w:sz w:val="22"/>
          <w:szCs w:val="22"/>
          <w:lang w:val="it-IT"/>
        </w:rPr>
        <w:t xml:space="preserve">UE al </w:t>
      </w:r>
      <w:r w:rsidR="00AE2773" w:rsidRPr="008A0F36">
        <w:rPr>
          <w:sz w:val="22"/>
          <w:szCs w:val="22"/>
          <w:lang w:val="it-IT"/>
        </w:rPr>
        <w:t>3</w:t>
      </w:r>
      <w:r w:rsidR="000F56BA">
        <w:rPr>
          <w:sz w:val="22"/>
          <w:szCs w:val="22"/>
          <w:lang w:val="it-IT"/>
        </w:rPr>
        <w:t>1 ottobre</w:t>
      </w:r>
      <w:r w:rsidRPr="008A0F36">
        <w:rPr>
          <w:sz w:val="22"/>
          <w:szCs w:val="22"/>
          <w:lang w:val="it-IT"/>
        </w:rPr>
        <w:t xml:space="preserve"> 201</w:t>
      </w:r>
      <w:r w:rsidR="00A2090A">
        <w:rPr>
          <w:sz w:val="22"/>
          <w:szCs w:val="22"/>
          <w:lang w:val="it-IT"/>
        </w:rPr>
        <w:t>6</w:t>
      </w:r>
      <w:r w:rsidRPr="008A0F36">
        <w:rPr>
          <w:sz w:val="22"/>
          <w:szCs w:val="22"/>
          <w:lang w:val="it-IT"/>
        </w:rPr>
        <w:t xml:space="preserve"> </w:t>
      </w:r>
    </w:p>
    <w:p w:rsidR="00A85ED5" w:rsidRPr="008A0F36" w:rsidRDefault="00A85ED5" w:rsidP="00A85ED5">
      <w:pPr>
        <w:rPr>
          <w:sz w:val="10"/>
          <w:szCs w:val="10"/>
          <w:lang w:val="it-IT"/>
        </w:rPr>
      </w:pPr>
    </w:p>
    <w:p w:rsidR="007F1A41" w:rsidRDefault="007F1A41" w:rsidP="005B2BA5">
      <w:pPr>
        <w:rPr>
          <w:lang w:val="it-IT"/>
        </w:rPr>
      </w:pPr>
    </w:p>
    <w:p w:rsidR="00455F82" w:rsidRPr="008A0F36" w:rsidRDefault="00455F82" w:rsidP="00455F82">
      <w:pPr>
        <w:rPr>
          <w:lang w:val="it-IT"/>
        </w:rPr>
      </w:pPr>
      <w:r w:rsidRPr="008A0F36">
        <w:rPr>
          <w:lang w:val="it-IT"/>
        </w:rPr>
        <w:t>Le informazioni da fornire nelle note al bilancio previste da tali documenti sono inserite nella presente lista di controllo, in quanto è consentita la loro applicazione anticipata.</w:t>
      </w:r>
    </w:p>
    <w:p w:rsidR="00455F82" w:rsidRPr="008A0F36" w:rsidRDefault="00455F82" w:rsidP="00455F82">
      <w:pPr>
        <w:rPr>
          <w:rFonts w:ascii="Times New Roman" w:hAnsi="Times New Roman"/>
          <w:b/>
          <w:bCs/>
          <w:sz w:val="22"/>
          <w:szCs w:val="22"/>
          <w:lang w:val="it-IT"/>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76"/>
        <w:gridCol w:w="1984"/>
        <w:gridCol w:w="1417"/>
        <w:gridCol w:w="1417"/>
        <w:gridCol w:w="1418"/>
      </w:tblGrid>
      <w:tr w:rsidR="00455F82" w:rsidRPr="00A44ECD" w:rsidTr="00455F82">
        <w:tc>
          <w:tcPr>
            <w:tcW w:w="2694" w:type="dxa"/>
            <w:tcBorders>
              <w:top w:val="single" w:sz="4" w:space="0" w:color="auto"/>
              <w:left w:val="single" w:sz="4" w:space="0" w:color="auto"/>
              <w:bottom w:val="single" w:sz="4" w:space="0" w:color="auto"/>
              <w:right w:val="single" w:sz="4" w:space="0" w:color="auto"/>
            </w:tcBorders>
            <w:vAlign w:val="center"/>
            <w:hideMark/>
          </w:tcPr>
          <w:p w:rsidR="00455F82" w:rsidRDefault="00455F82" w:rsidP="00455F82">
            <w:pPr>
              <w:jc w:val="center"/>
              <w:rPr>
                <w:b/>
                <w:bCs/>
                <w:sz w:val="18"/>
                <w:szCs w:val="18"/>
                <w:lang w:val="it-IT"/>
              </w:rPr>
            </w:pPr>
            <w:r>
              <w:rPr>
                <w:b/>
                <w:bCs/>
                <w:sz w:val="18"/>
                <w:szCs w:val="18"/>
                <w:lang w:val="it-IT"/>
              </w:rPr>
              <w:t>Titolo documento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5F82" w:rsidRDefault="00455F82" w:rsidP="00455F82">
            <w:pPr>
              <w:jc w:val="center"/>
              <w:rPr>
                <w:b/>
                <w:bCs/>
                <w:sz w:val="18"/>
                <w:szCs w:val="18"/>
                <w:lang w:val="it-IT"/>
              </w:rPr>
            </w:pPr>
            <w:r>
              <w:rPr>
                <w:b/>
                <w:bCs/>
                <w:sz w:val="18"/>
                <w:szCs w:val="18"/>
                <w:lang w:val="it-IT"/>
              </w:rPr>
              <w:t>Data emissione</w:t>
            </w:r>
          </w:p>
        </w:tc>
        <w:tc>
          <w:tcPr>
            <w:tcW w:w="1984" w:type="dxa"/>
            <w:tcBorders>
              <w:top w:val="single" w:sz="4" w:space="0" w:color="auto"/>
              <w:left w:val="single" w:sz="4" w:space="0" w:color="auto"/>
              <w:bottom w:val="single" w:sz="4" w:space="0" w:color="auto"/>
              <w:right w:val="single" w:sz="4" w:space="0" w:color="auto"/>
            </w:tcBorders>
            <w:vAlign w:val="center"/>
            <w:hideMark/>
          </w:tcPr>
          <w:p w:rsidR="00455F82" w:rsidRDefault="00455F82" w:rsidP="00455F82">
            <w:pPr>
              <w:jc w:val="center"/>
              <w:rPr>
                <w:b/>
                <w:bCs/>
                <w:sz w:val="18"/>
                <w:szCs w:val="18"/>
                <w:lang w:val="it-IT"/>
              </w:rPr>
            </w:pPr>
            <w:r>
              <w:rPr>
                <w:b/>
                <w:bCs/>
                <w:sz w:val="18"/>
                <w:szCs w:val="18"/>
                <w:lang w:val="it-IT"/>
              </w:rPr>
              <w:t>Data di entrata in vigore</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5F82" w:rsidRDefault="00455F82" w:rsidP="00455F82">
            <w:pPr>
              <w:jc w:val="center"/>
              <w:rPr>
                <w:b/>
                <w:bCs/>
                <w:sz w:val="18"/>
                <w:szCs w:val="18"/>
                <w:lang w:val="it-IT"/>
              </w:rPr>
            </w:pPr>
            <w:r>
              <w:rPr>
                <w:b/>
                <w:bCs/>
                <w:sz w:val="18"/>
                <w:szCs w:val="18"/>
                <w:lang w:val="it-IT"/>
              </w:rPr>
              <w:t>Data di omologazione</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5F82" w:rsidRDefault="00455F82" w:rsidP="00455F82">
            <w:pPr>
              <w:jc w:val="center"/>
              <w:rPr>
                <w:b/>
                <w:bCs/>
                <w:sz w:val="18"/>
                <w:szCs w:val="18"/>
                <w:lang w:val="it-IT"/>
              </w:rPr>
            </w:pPr>
            <w:r>
              <w:rPr>
                <w:b/>
                <w:bCs/>
                <w:sz w:val="18"/>
                <w:szCs w:val="18"/>
                <w:lang w:val="it-IT"/>
              </w:rPr>
              <w:t>Regolamento UE e data di pubblicazione</w:t>
            </w:r>
          </w:p>
        </w:tc>
        <w:tc>
          <w:tcPr>
            <w:tcW w:w="1418" w:type="dxa"/>
            <w:tcBorders>
              <w:top w:val="single" w:sz="4" w:space="0" w:color="auto"/>
              <w:left w:val="single" w:sz="4" w:space="0" w:color="auto"/>
              <w:bottom w:val="single" w:sz="4" w:space="0" w:color="auto"/>
              <w:right w:val="single" w:sz="4" w:space="0" w:color="auto"/>
            </w:tcBorders>
            <w:vAlign w:val="center"/>
            <w:hideMark/>
          </w:tcPr>
          <w:p w:rsidR="00455F82" w:rsidRDefault="00455F82" w:rsidP="00455F82">
            <w:pPr>
              <w:jc w:val="center"/>
              <w:rPr>
                <w:b/>
                <w:bCs/>
                <w:sz w:val="18"/>
                <w:szCs w:val="18"/>
                <w:lang w:val="it-IT"/>
              </w:rPr>
            </w:pPr>
            <w:r>
              <w:rPr>
                <w:b/>
                <w:bCs/>
                <w:sz w:val="18"/>
                <w:szCs w:val="18"/>
                <w:lang w:val="it-IT"/>
              </w:rPr>
              <w:t>Note e riferimenti alla presente lista di controllo</w:t>
            </w:r>
          </w:p>
        </w:tc>
      </w:tr>
      <w:tr w:rsidR="00455F82" w:rsidRPr="00A44ECD" w:rsidTr="00455F82">
        <w:tc>
          <w:tcPr>
            <w:tcW w:w="2694" w:type="dxa"/>
            <w:tcBorders>
              <w:top w:val="single" w:sz="4" w:space="0" w:color="auto"/>
              <w:left w:val="single" w:sz="4" w:space="0" w:color="auto"/>
              <w:bottom w:val="single" w:sz="4" w:space="0" w:color="auto"/>
              <w:right w:val="single" w:sz="4" w:space="0" w:color="auto"/>
            </w:tcBorders>
          </w:tcPr>
          <w:p w:rsidR="00455F82" w:rsidRDefault="00455F82" w:rsidP="00455F82">
            <w:pPr>
              <w:jc w:val="left"/>
              <w:rPr>
                <w:bCs/>
                <w:sz w:val="18"/>
                <w:szCs w:val="18"/>
                <w:lang w:val="it-IT"/>
              </w:rPr>
            </w:pPr>
            <w:r>
              <w:rPr>
                <w:bCs/>
                <w:sz w:val="18"/>
                <w:szCs w:val="18"/>
                <w:lang w:val="it-IT"/>
              </w:rPr>
              <w:t>IFRS 15 – Ricavi provenie</w:t>
            </w:r>
            <w:r w:rsidR="00C71481">
              <w:rPr>
                <w:bCs/>
                <w:sz w:val="18"/>
                <w:szCs w:val="18"/>
                <w:lang w:val="it-IT"/>
              </w:rPr>
              <w:t>n</w:t>
            </w:r>
            <w:r>
              <w:rPr>
                <w:bCs/>
                <w:sz w:val="18"/>
                <w:szCs w:val="18"/>
                <w:lang w:val="it-IT"/>
              </w:rPr>
              <w:t>ti da contr</w:t>
            </w:r>
            <w:r w:rsidR="00CB74B6">
              <w:rPr>
                <w:bCs/>
                <w:sz w:val="18"/>
                <w:szCs w:val="18"/>
                <w:lang w:val="it-IT"/>
              </w:rPr>
              <w:t>a</w:t>
            </w:r>
            <w:r>
              <w:rPr>
                <w:bCs/>
                <w:sz w:val="18"/>
                <w:szCs w:val="18"/>
                <w:lang w:val="it-IT"/>
              </w:rPr>
              <w:t>tti con clienti</w:t>
            </w:r>
          </w:p>
        </w:tc>
        <w:tc>
          <w:tcPr>
            <w:tcW w:w="1276" w:type="dxa"/>
            <w:tcBorders>
              <w:top w:val="single" w:sz="4" w:space="0" w:color="auto"/>
              <w:left w:val="single" w:sz="4" w:space="0" w:color="auto"/>
              <w:bottom w:val="single" w:sz="4" w:space="0" w:color="auto"/>
              <w:right w:val="single" w:sz="4" w:space="0" w:color="auto"/>
            </w:tcBorders>
          </w:tcPr>
          <w:p w:rsidR="00455F82" w:rsidRDefault="00EE74E0" w:rsidP="00455F82">
            <w:pPr>
              <w:jc w:val="center"/>
              <w:rPr>
                <w:bCs/>
                <w:sz w:val="18"/>
                <w:szCs w:val="18"/>
                <w:lang w:val="it-IT"/>
              </w:rPr>
            </w:pPr>
            <w:r>
              <w:rPr>
                <w:bCs/>
                <w:sz w:val="18"/>
                <w:szCs w:val="18"/>
                <w:lang w:val="it-IT"/>
              </w:rPr>
              <w:t>m</w:t>
            </w:r>
            <w:r w:rsidR="00455F82">
              <w:rPr>
                <w:bCs/>
                <w:sz w:val="18"/>
                <w:szCs w:val="18"/>
                <w:lang w:val="it-IT"/>
              </w:rPr>
              <w:t>aggio 2014</w:t>
            </w:r>
            <w:r w:rsidR="00CB74B6">
              <w:rPr>
                <w:bCs/>
                <w:sz w:val="18"/>
                <w:szCs w:val="18"/>
                <w:lang w:val="it-IT"/>
              </w:rPr>
              <w:t xml:space="preserve"> (nota 1)</w:t>
            </w:r>
          </w:p>
        </w:tc>
        <w:tc>
          <w:tcPr>
            <w:tcW w:w="1984" w:type="dxa"/>
            <w:tcBorders>
              <w:top w:val="single" w:sz="4" w:space="0" w:color="auto"/>
              <w:left w:val="single" w:sz="4" w:space="0" w:color="auto"/>
              <w:bottom w:val="single" w:sz="4" w:space="0" w:color="auto"/>
              <w:right w:val="single" w:sz="4" w:space="0" w:color="auto"/>
            </w:tcBorders>
          </w:tcPr>
          <w:p w:rsidR="00455F82" w:rsidRDefault="00455F82" w:rsidP="00455F82">
            <w:pPr>
              <w:jc w:val="center"/>
              <w:rPr>
                <w:sz w:val="18"/>
                <w:szCs w:val="18"/>
                <w:lang w:val="it-IT"/>
              </w:rPr>
            </w:pPr>
            <w:r>
              <w:rPr>
                <w:sz w:val="18"/>
                <w:szCs w:val="18"/>
                <w:lang w:val="it-IT"/>
              </w:rPr>
              <w:t>1° gennaio 2018</w:t>
            </w:r>
          </w:p>
        </w:tc>
        <w:tc>
          <w:tcPr>
            <w:tcW w:w="1417" w:type="dxa"/>
            <w:tcBorders>
              <w:top w:val="single" w:sz="4" w:space="0" w:color="auto"/>
              <w:left w:val="single" w:sz="4" w:space="0" w:color="auto"/>
              <w:bottom w:val="single" w:sz="4" w:space="0" w:color="auto"/>
              <w:right w:val="single" w:sz="4" w:space="0" w:color="auto"/>
            </w:tcBorders>
          </w:tcPr>
          <w:p w:rsidR="00455F82" w:rsidRDefault="00CB74B6" w:rsidP="00455F82">
            <w:pPr>
              <w:jc w:val="center"/>
              <w:rPr>
                <w:bCs/>
                <w:sz w:val="18"/>
                <w:szCs w:val="18"/>
                <w:lang w:val="it-IT"/>
              </w:rPr>
            </w:pPr>
            <w:r>
              <w:rPr>
                <w:bCs/>
                <w:sz w:val="18"/>
                <w:szCs w:val="18"/>
                <w:lang w:val="it-IT"/>
              </w:rPr>
              <w:t>22 settembre 2016</w:t>
            </w:r>
          </w:p>
        </w:tc>
        <w:tc>
          <w:tcPr>
            <w:tcW w:w="1417" w:type="dxa"/>
            <w:tcBorders>
              <w:top w:val="single" w:sz="4" w:space="0" w:color="auto"/>
              <w:left w:val="single" w:sz="4" w:space="0" w:color="auto"/>
              <w:bottom w:val="single" w:sz="4" w:space="0" w:color="auto"/>
              <w:right w:val="single" w:sz="4" w:space="0" w:color="auto"/>
            </w:tcBorders>
          </w:tcPr>
          <w:p w:rsidR="00455F82" w:rsidRDefault="00CB74B6" w:rsidP="00455F82">
            <w:pPr>
              <w:jc w:val="center"/>
              <w:rPr>
                <w:bCs/>
                <w:sz w:val="18"/>
                <w:szCs w:val="18"/>
                <w:lang w:val="it-IT"/>
              </w:rPr>
            </w:pPr>
            <w:r>
              <w:rPr>
                <w:bCs/>
                <w:sz w:val="18"/>
                <w:szCs w:val="18"/>
                <w:lang w:val="it-IT"/>
              </w:rPr>
              <w:t>(UE) 2016/1905</w:t>
            </w:r>
            <w:r>
              <w:rPr>
                <w:bCs/>
                <w:sz w:val="18"/>
                <w:szCs w:val="18"/>
                <w:lang w:val="it-IT"/>
              </w:rPr>
              <w:br/>
              <w:t>29 ottobre</w:t>
            </w:r>
            <w:r w:rsidR="00455F82">
              <w:rPr>
                <w:bCs/>
                <w:sz w:val="18"/>
                <w:szCs w:val="18"/>
                <w:lang w:val="it-IT"/>
              </w:rPr>
              <w:t xml:space="preserve"> 2016</w:t>
            </w:r>
          </w:p>
        </w:tc>
        <w:tc>
          <w:tcPr>
            <w:tcW w:w="1418" w:type="dxa"/>
            <w:tcBorders>
              <w:top w:val="single" w:sz="4" w:space="0" w:color="auto"/>
              <w:left w:val="single" w:sz="4" w:space="0" w:color="auto"/>
              <w:bottom w:val="single" w:sz="4" w:space="0" w:color="auto"/>
              <w:right w:val="single" w:sz="4" w:space="0" w:color="auto"/>
            </w:tcBorders>
          </w:tcPr>
          <w:p w:rsidR="00455F82" w:rsidRPr="00CA1CB7" w:rsidRDefault="00455F82" w:rsidP="00455F82">
            <w:pPr>
              <w:spacing w:before="0" w:afterLines="40" w:after="96"/>
              <w:jc w:val="center"/>
              <w:rPr>
                <w:sz w:val="16"/>
                <w:lang w:val="it-IT"/>
              </w:rPr>
            </w:pPr>
            <w:r>
              <w:rPr>
                <w:bCs/>
                <w:sz w:val="16"/>
                <w:szCs w:val="16"/>
                <w:lang w:val="it-IT"/>
              </w:rPr>
              <w:t>E’ consentita l’applicazione anticipata</w:t>
            </w:r>
          </w:p>
          <w:p w:rsidR="00455F82" w:rsidRDefault="00455F82" w:rsidP="00C761FA">
            <w:pPr>
              <w:spacing w:before="0" w:after="0"/>
              <w:jc w:val="center"/>
              <w:rPr>
                <w:bCs/>
                <w:sz w:val="16"/>
                <w:szCs w:val="16"/>
                <w:lang w:val="it-IT"/>
              </w:rPr>
            </w:pPr>
            <w:r>
              <w:rPr>
                <w:bCs/>
                <w:sz w:val="16"/>
                <w:szCs w:val="16"/>
                <w:lang w:val="it-IT"/>
              </w:rPr>
              <w:t>Vedi punt</w:t>
            </w:r>
            <w:r w:rsidR="007478BB">
              <w:rPr>
                <w:bCs/>
                <w:sz w:val="16"/>
                <w:szCs w:val="16"/>
                <w:lang w:val="it-IT"/>
              </w:rPr>
              <w:t>i</w:t>
            </w:r>
            <w:r w:rsidR="00EC6925">
              <w:rPr>
                <w:bCs/>
                <w:sz w:val="16"/>
                <w:szCs w:val="16"/>
                <w:lang w:val="it-IT"/>
              </w:rPr>
              <w:t xml:space="preserve"> </w:t>
            </w:r>
            <w:r>
              <w:rPr>
                <w:bCs/>
                <w:sz w:val="16"/>
                <w:szCs w:val="16"/>
                <w:lang w:val="it-IT"/>
              </w:rPr>
              <w:t>46</w:t>
            </w:r>
            <w:r w:rsidR="007478BB">
              <w:rPr>
                <w:bCs/>
                <w:sz w:val="16"/>
                <w:szCs w:val="16"/>
                <w:lang w:val="it-IT"/>
              </w:rPr>
              <w:t>0-4</w:t>
            </w:r>
            <w:r w:rsidR="00EC6925">
              <w:rPr>
                <w:bCs/>
                <w:sz w:val="16"/>
                <w:szCs w:val="16"/>
                <w:lang w:val="it-IT"/>
              </w:rPr>
              <w:t>8</w:t>
            </w:r>
            <w:r w:rsidR="00C761FA">
              <w:rPr>
                <w:bCs/>
                <w:sz w:val="16"/>
                <w:szCs w:val="16"/>
                <w:lang w:val="it-IT"/>
              </w:rPr>
              <w:t>1</w:t>
            </w:r>
          </w:p>
        </w:tc>
      </w:tr>
    </w:tbl>
    <w:p w:rsidR="00A85ED5" w:rsidRPr="008A0F36" w:rsidRDefault="00A85ED5" w:rsidP="00175655">
      <w:pPr>
        <w:pStyle w:val="Normalegrassetto"/>
        <w:rPr>
          <w:sz w:val="22"/>
          <w:szCs w:val="22"/>
          <w:lang w:val="it-IT"/>
        </w:rPr>
      </w:pPr>
    </w:p>
    <w:p w:rsidR="00CB74B6" w:rsidRPr="004300E2" w:rsidRDefault="00CB74B6" w:rsidP="003E3B0E">
      <w:pPr>
        <w:ind w:left="709" w:hanging="709"/>
        <w:rPr>
          <w:lang w:val="it-IT"/>
        </w:rPr>
      </w:pPr>
      <w:r>
        <w:rPr>
          <w:bCs/>
          <w:sz w:val="18"/>
          <w:szCs w:val="18"/>
          <w:lang w:val="it-IT"/>
        </w:rPr>
        <w:t xml:space="preserve">(Nota 1) </w:t>
      </w:r>
      <w:r>
        <w:rPr>
          <w:bCs/>
          <w:sz w:val="18"/>
          <w:szCs w:val="18"/>
          <w:lang w:val="it-IT"/>
        </w:rPr>
        <w:tab/>
        <w:t>L’amendment che ha modificato l’</w:t>
      </w:r>
      <w:r w:rsidRPr="00FB4B6E">
        <w:rPr>
          <w:bCs/>
          <w:i/>
          <w:sz w:val="18"/>
          <w:szCs w:val="18"/>
          <w:lang w:val="it-IT"/>
        </w:rPr>
        <w:t xml:space="preserve">effective date </w:t>
      </w:r>
      <w:r>
        <w:rPr>
          <w:bCs/>
          <w:sz w:val="18"/>
          <w:szCs w:val="18"/>
          <w:lang w:val="it-IT"/>
        </w:rPr>
        <w:t xml:space="preserve">dell’IFRS 15 è stato pubblicato nel </w:t>
      </w:r>
      <w:r w:rsidRPr="00180BDA">
        <w:rPr>
          <w:bCs/>
          <w:sz w:val="18"/>
          <w:szCs w:val="18"/>
          <w:lang w:val="it-IT"/>
        </w:rPr>
        <w:t>settembre 2015</w:t>
      </w:r>
      <w:r>
        <w:rPr>
          <w:bCs/>
          <w:sz w:val="18"/>
          <w:szCs w:val="18"/>
          <w:lang w:val="it-IT"/>
        </w:rPr>
        <w:t>.</w:t>
      </w:r>
    </w:p>
    <w:p w:rsidR="0041165F" w:rsidRDefault="00A85ED5" w:rsidP="0041165F">
      <w:pPr>
        <w:keepNext/>
        <w:rPr>
          <w:rFonts w:ascii="Times New Roman" w:hAnsi="Times New Roman"/>
          <w:b/>
          <w:bCs/>
          <w:sz w:val="22"/>
          <w:szCs w:val="22"/>
          <w:lang w:val="it-IT"/>
        </w:rPr>
      </w:pPr>
      <w:r w:rsidRPr="008A0F36">
        <w:rPr>
          <w:sz w:val="22"/>
          <w:szCs w:val="22"/>
          <w:lang w:val="it-IT"/>
        </w:rPr>
        <w:br w:type="page"/>
      </w:r>
    </w:p>
    <w:p w:rsidR="00A85ED5" w:rsidRPr="008A0F36" w:rsidRDefault="00A85ED5" w:rsidP="00175655">
      <w:pPr>
        <w:pStyle w:val="Normalegrassetto"/>
        <w:rPr>
          <w:sz w:val="22"/>
          <w:szCs w:val="22"/>
          <w:lang w:val="it-IT"/>
        </w:rPr>
      </w:pPr>
    </w:p>
    <w:p w:rsidR="00CD5A03" w:rsidRDefault="00CD5A03" w:rsidP="00175655">
      <w:pPr>
        <w:pStyle w:val="Normalegrassetto"/>
        <w:rPr>
          <w:sz w:val="22"/>
          <w:szCs w:val="22"/>
          <w:lang w:val="it-IT"/>
        </w:rPr>
      </w:pPr>
    </w:p>
    <w:p w:rsidR="00CD5A03" w:rsidRDefault="00CD5A03" w:rsidP="00175655">
      <w:pPr>
        <w:pStyle w:val="Normalegrassetto"/>
        <w:rPr>
          <w:sz w:val="22"/>
          <w:szCs w:val="22"/>
          <w:lang w:val="it-IT"/>
        </w:rPr>
      </w:pPr>
    </w:p>
    <w:p w:rsidR="0052012E" w:rsidRPr="008A0F36" w:rsidRDefault="00A85ED5" w:rsidP="00175655">
      <w:pPr>
        <w:pStyle w:val="Normalegrassetto"/>
        <w:rPr>
          <w:sz w:val="22"/>
          <w:szCs w:val="22"/>
          <w:lang w:val="it-IT"/>
        </w:rPr>
      </w:pPr>
      <w:r w:rsidRPr="008A0F36">
        <w:rPr>
          <w:sz w:val="22"/>
          <w:szCs w:val="22"/>
          <w:lang w:val="it-IT"/>
        </w:rPr>
        <w:t>ALLEGATO 2 –</w:t>
      </w:r>
      <w:r w:rsidR="00962AEA" w:rsidRPr="008A0F36">
        <w:rPr>
          <w:sz w:val="22"/>
          <w:szCs w:val="22"/>
          <w:lang w:val="it-IT"/>
        </w:rPr>
        <w:t xml:space="preserve"> </w:t>
      </w:r>
      <w:r w:rsidRPr="008A0F36">
        <w:rPr>
          <w:sz w:val="22"/>
          <w:szCs w:val="22"/>
          <w:lang w:val="it-IT"/>
        </w:rPr>
        <w:t>P</w:t>
      </w:r>
      <w:r w:rsidR="005B2BA5">
        <w:rPr>
          <w:sz w:val="22"/>
          <w:szCs w:val="22"/>
          <w:lang w:val="it-IT"/>
        </w:rPr>
        <w:t>ARTE</w:t>
      </w:r>
      <w:r w:rsidRPr="008A0F36">
        <w:rPr>
          <w:sz w:val="22"/>
          <w:szCs w:val="22"/>
          <w:lang w:val="it-IT"/>
        </w:rPr>
        <w:t xml:space="preserve"> B</w:t>
      </w:r>
    </w:p>
    <w:p w:rsidR="0052012E" w:rsidRPr="008A0F36" w:rsidRDefault="0052012E" w:rsidP="00175655">
      <w:pPr>
        <w:pStyle w:val="Normalegrassetto"/>
        <w:rPr>
          <w:color w:val="0C2D83"/>
          <w:sz w:val="18"/>
          <w:szCs w:val="18"/>
          <w:lang w:val="it-IT"/>
        </w:rPr>
      </w:pPr>
    </w:p>
    <w:p w:rsidR="0052012E" w:rsidRPr="008A0F36" w:rsidRDefault="0052012E" w:rsidP="00175655">
      <w:pPr>
        <w:pStyle w:val="Normalegrassetto"/>
        <w:rPr>
          <w:lang w:val="it-IT"/>
        </w:rPr>
      </w:pPr>
      <w:r w:rsidRPr="008A0F36">
        <w:rPr>
          <w:lang w:val="it-IT"/>
        </w:rPr>
        <w:t>IAS/IFRS</w:t>
      </w:r>
      <w:r w:rsidR="00AE2773" w:rsidRPr="008A0F36">
        <w:rPr>
          <w:lang w:val="it-IT"/>
        </w:rPr>
        <w:t xml:space="preserve"> e relative interpretazioni </w:t>
      </w:r>
      <w:r w:rsidRPr="008A0F36">
        <w:rPr>
          <w:lang w:val="it-IT"/>
        </w:rPr>
        <w:t xml:space="preserve">IFRIC applicabili ai bilanci degli esercizi che iniziano dopo il </w:t>
      </w:r>
      <w:r w:rsidR="00C34E7D" w:rsidRPr="008A0F36">
        <w:rPr>
          <w:lang w:val="it-IT"/>
        </w:rPr>
        <w:t>1° gennaio</w:t>
      </w:r>
      <w:r w:rsidRPr="008A0F36">
        <w:rPr>
          <w:lang w:val="it-IT"/>
        </w:rPr>
        <w:t xml:space="preserve"> 20</w:t>
      </w:r>
      <w:r w:rsidR="00B97309" w:rsidRPr="008A0F36">
        <w:rPr>
          <w:lang w:val="it-IT"/>
        </w:rPr>
        <w:t>1</w:t>
      </w:r>
      <w:r w:rsidR="00A2090A">
        <w:rPr>
          <w:lang w:val="it-IT"/>
        </w:rPr>
        <w:t>6</w:t>
      </w:r>
    </w:p>
    <w:p w:rsidR="0052012E" w:rsidRPr="008A0F36" w:rsidRDefault="0052012E" w:rsidP="0052012E">
      <w:pPr>
        <w:tabs>
          <w:tab w:val="left" w:pos="397"/>
        </w:tabs>
        <w:rPr>
          <w:rFonts w:ascii="Times New Roman" w:hAnsi="Times New Roman"/>
          <w:sz w:val="10"/>
          <w:szCs w:val="10"/>
          <w:lang w:val="it-IT"/>
        </w:rPr>
      </w:pPr>
    </w:p>
    <w:p w:rsidR="0052012E" w:rsidRPr="008A0F36" w:rsidRDefault="0052012E" w:rsidP="00A36AC4">
      <w:pPr>
        <w:pStyle w:val="Normalegrassetto"/>
        <w:rPr>
          <w:sz w:val="22"/>
          <w:szCs w:val="22"/>
          <w:lang w:val="it-IT"/>
        </w:rPr>
      </w:pPr>
      <w:r w:rsidRPr="008A0F36">
        <w:rPr>
          <w:sz w:val="22"/>
          <w:szCs w:val="22"/>
          <w:lang w:val="it-IT"/>
        </w:rPr>
        <w:t>Documenti NON ancora omologati dall</w:t>
      </w:r>
      <w:r w:rsidR="00BF4E43" w:rsidRPr="008A0F36">
        <w:rPr>
          <w:b w:val="0"/>
          <w:sz w:val="22"/>
          <w:szCs w:val="22"/>
          <w:lang w:val="it-IT"/>
        </w:rPr>
        <w:t>’</w:t>
      </w:r>
      <w:r w:rsidRPr="008A0F36">
        <w:rPr>
          <w:sz w:val="22"/>
          <w:szCs w:val="22"/>
          <w:lang w:val="it-IT"/>
        </w:rPr>
        <w:t xml:space="preserve">UE </w:t>
      </w:r>
      <w:r w:rsidRPr="008A0F36">
        <w:rPr>
          <w:sz w:val="22"/>
          <w:lang w:val="it-IT"/>
        </w:rPr>
        <w:t xml:space="preserve">al </w:t>
      </w:r>
      <w:r w:rsidR="00F163D0" w:rsidRPr="008A0F36">
        <w:rPr>
          <w:sz w:val="22"/>
          <w:szCs w:val="22"/>
          <w:lang w:val="it-IT"/>
        </w:rPr>
        <w:t>3</w:t>
      </w:r>
      <w:r w:rsidR="000F56BA">
        <w:rPr>
          <w:sz w:val="22"/>
          <w:szCs w:val="22"/>
          <w:lang w:val="it-IT"/>
        </w:rPr>
        <w:t>1 ottobre</w:t>
      </w:r>
      <w:r w:rsidR="00EC135B" w:rsidRPr="008A0F36">
        <w:rPr>
          <w:sz w:val="22"/>
          <w:lang w:val="it-IT"/>
        </w:rPr>
        <w:t xml:space="preserve"> </w:t>
      </w:r>
      <w:r w:rsidRPr="008A0F36">
        <w:rPr>
          <w:sz w:val="22"/>
          <w:lang w:val="it-IT"/>
        </w:rPr>
        <w:t>20</w:t>
      </w:r>
      <w:r w:rsidR="00EC135B" w:rsidRPr="008A0F36">
        <w:rPr>
          <w:sz w:val="22"/>
          <w:lang w:val="it-IT"/>
        </w:rPr>
        <w:t>1</w:t>
      </w:r>
      <w:r w:rsidR="00A2090A">
        <w:rPr>
          <w:sz w:val="22"/>
          <w:lang w:val="it-IT"/>
        </w:rPr>
        <w:t>6</w:t>
      </w:r>
    </w:p>
    <w:p w:rsidR="0052012E" w:rsidRPr="008A0F36" w:rsidRDefault="0052012E" w:rsidP="0052012E">
      <w:pPr>
        <w:tabs>
          <w:tab w:val="left" w:pos="397"/>
        </w:tabs>
        <w:rPr>
          <w:rFonts w:ascii="Times New Roman" w:hAnsi="Times New Roman"/>
          <w:sz w:val="10"/>
          <w:szCs w:val="10"/>
          <w:lang w:val="it-IT"/>
        </w:rPr>
      </w:pPr>
    </w:p>
    <w:p w:rsidR="00C216C7" w:rsidRPr="008A0F36" w:rsidRDefault="0052012E" w:rsidP="00C216C7">
      <w:pPr>
        <w:rPr>
          <w:lang w:val="it-IT"/>
        </w:rPr>
      </w:pPr>
      <w:r w:rsidRPr="008A0F36">
        <w:rPr>
          <w:lang w:val="it-IT"/>
        </w:rPr>
        <w:t>Si segnala che tali documenti saranno applicabili solo dopo l</w:t>
      </w:r>
      <w:r w:rsidR="00BF4E43" w:rsidRPr="008A0F36">
        <w:rPr>
          <w:lang w:val="it-IT"/>
        </w:rPr>
        <w:t>’</w:t>
      </w:r>
      <w:r w:rsidRPr="008A0F36">
        <w:rPr>
          <w:lang w:val="it-IT"/>
        </w:rPr>
        <w:t>avvenuta omologazione da parte dell</w:t>
      </w:r>
      <w:r w:rsidR="00BF4E43" w:rsidRPr="008A0F36">
        <w:rPr>
          <w:lang w:val="it-IT"/>
        </w:rPr>
        <w:t>’</w:t>
      </w:r>
      <w:r w:rsidRPr="008A0F36">
        <w:rPr>
          <w:lang w:val="it-IT"/>
        </w:rPr>
        <w:t xml:space="preserve">UE. </w:t>
      </w:r>
    </w:p>
    <w:p w:rsidR="0052012E" w:rsidRPr="008A0F36" w:rsidRDefault="0052012E" w:rsidP="00A36AC4">
      <w:pPr>
        <w:rPr>
          <w:lang w:val="it-I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701"/>
        <w:gridCol w:w="1984"/>
        <w:gridCol w:w="2411"/>
      </w:tblGrid>
      <w:tr w:rsidR="00B3345E" w:rsidRPr="00A44ECD" w:rsidTr="00136A38">
        <w:tc>
          <w:tcPr>
            <w:tcW w:w="3402" w:type="dxa"/>
            <w:tcBorders>
              <w:top w:val="single" w:sz="4" w:space="0" w:color="auto"/>
              <w:left w:val="single" w:sz="4" w:space="0" w:color="auto"/>
              <w:bottom w:val="single" w:sz="4" w:space="0" w:color="auto"/>
              <w:right w:val="single" w:sz="4" w:space="0" w:color="auto"/>
            </w:tcBorders>
            <w:vAlign w:val="center"/>
          </w:tcPr>
          <w:p w:rsidR="00B3345E" w:rsidRDefault="00B3345E" w:rsidP="00136A38">
            <w:pPr>
              <w:jc w:val="center"/>
              <w:rPr>
                <w:b/>
                <w:bCs/>
                <w:sz w:val="18"/>
                <w:szCs w:val="18"/>
                <w:lang w:val="it-IT"/>
              </w:rPr>
            </w:pPr>
            <w:r>
              <w:rPr>
                <w:b/>
                <w:bCs/>
                <w:sz w:val="18"/>
                <w:szCs w:val="18"/>
                <w:lang w:val="it-IT"/>
              </w:rPr>
              <w:t>Titolo documento</w:t>
            </w:r>
          </w:p>
        </w:tc>
        <w:tc>
          <w:tcPr>
            <w:tcW w:w="1701" w:type="dxa"/>
            <w:tcBorders>
              <w:top w:val="single" w:sz="4" w:space="0" w:color="auto"/>
              <w:left w:val="single" w:sz="4" w:space="0" w:color="auto"/>
              <w:bottom w:val="single" w:sz="4" w:space="0" w:color="auto"/>
              <w:right w:val="single" w:sz="4" w:space="0" w:color="auto"/>
            </w:tcBorders>
            <w:vAlign w:val="center"/>
          </w:tcPr>
          <w:p w:rsidR="00B3345E" w:rsidRDefault="00B3345E" w:rsidP="00136A38">
            <w:pPr>
              <w:jc w:val="center"/>
              <w:rPr>
                <w:b/>
                <w:bCs/>
                <w:sz w:val="18"/>
                <w:szCs w:val="18"/>
                <w:lang w:val="it-IT"/>
              </w:rPr>
            </w:pPr>
            <w:r>
              <w:rPr>
                <w:b/>
                <w:bCs/>
                <w:sz w:val="18"/>
                <w:szCs w:val="18"/>
                <w:lang w:val="it-IT"/>
              </w:rPr>
              <w:t>Data emissione</w:t>
            </w:r>
          </w:p>
          <w:p w:rsidR="00B3345E" w:rsidRDefault="00B3345E" w:rsidP="00136A38">
            <w:pPr>
              <w:jc w:val="center"/>
              <w:rPr>
                <w:b/>
                <w:bCs/>
                <w:sz w:val="18"/>
                <w:szCs w:val="18"/>
                <w:lang w:val="it-IT"/>
              </w:rPr>
            </w:pPr>
            <w:r>
              <w:rPr>
                <w:b/>
                <w:bCs/>
                <w:sz w:val="18"/>
                <w:szCs w:val="18"/>
                <w:lang w:val="it-IT"/>
              </w:rPr>
              <w:t>da parte dello IASB</w:t>
            </w:r>
          </w:p>
        </w:tc>
        <w:tc>
          <w:tcPr>
            <w:tcW w:w="1984" w:type="dxa"/>
            <w:tcBorders>
              <w:top w:val="single" w:sz="4" w:space="0" w:color="auto"/>
              <w:left w:val="single" w:sz="4" w:space="0" w:color="auto"/>
              <w:bottom w:val="single" w:sz="4" w:space="0" w:color="auto"/>
              <w:right w:val="single" w:sz="4" w:space="0" w:color="auto"/>
            </w:tcBorders>
            <w:vAlign w:val="center"/>
          </w:tcPr>
          <w:p w:rsidR="00B3345E" w:rsidRDefault="00B3345E" w:rsidP="00136A38">
            <w:pPr>
              <w:jc w:val="center"/>
              <w:rPr>
                <w:b/>
                <w:bCs/>
                <w:sz w:val="18"/>
                <w:szCs w:val="18"/>
                <w:lang w:val="it-IT"/>
              </w:rPr>
            </w:pPr>
            <w:r>
              <w:rPr>
                <w:b/>
                <w:bCs/>
                <w:sz w:val="18"/>
                <w:szCs w:val="18"/>
                <w:lang w:val="it-IT"/>
              </w:rPr>
              <w:t>Data di entrata in vigore del documento IASB</w:t>
            </w:r>
          </w:p>
        </w:tc>
        <w:tc>
          <w:tcPr>
            <w:tcW w:w="2411" w:type="dxa"/>
            <w:tcBorders>
              <w:top w:val="single" w:sz="4" w:space="0" w:color="auto"/>
              <w:left w:val="single" w:sz="4" w:space="0" w:color="auto"/>
              <w:bottom w:val="single" w:sz="4" w:space="0" w:color="auto"/>
              <w:right w:val="single" w:sz="4" w:space="0" w:color="auto"/>
            </w:tcBorders>
            <w:vAlign w:val="center"/>
          </w:tcPr>
          <w:p w:rsidR="00B3345E" w:rsidRDefault="00B3345E" w:rsidP="00136A38">
            <w:pPr>
              <w:jc w:val="center"/>
              <w:rPr>
                <w:b/>
                <w:bCs/>
                <w:sz w:val="18"/>
                <w:szCs w:val="18"/>
                <w:lang w:val="it-IT"/>
              </w:rPr>
            </w:pPr>
            <w:r>
              <w:rPr>
                <w:b/>
                <w:bCs/>
                <w:sz w:val="18"/>
                <w:szCs w:val="18"/>
                <w:lang w:val="it-IT"/>
              </w:rPr>
              <w:t>Data di prevista omologazione</w:t>
            </w:r>
          </w:p>
          <w:p w:rsidR="00B3345E" w:rsidRDefault="00B3345E" w:rsidP="00136A38">
            <w:pPr>
              <w:jc w:val="center"/>
              <w:rPr>
                <w:b/>
                <w:bCs/>
                <w:sz w:val="18"/>
                <w:szCs w:val="18"/>
                <w:lang w:val="it-IT"/>
              </w:rPr>
            </w:pPr>
            <w:r>
              <w:rPr>
                <w:b/>
                <w:bCs/>
                <w:sz w:val="18"/>
                <w:szCs w:val="18"/>
                <w:lang w:val="it-IT"/>
              </w:rPr>
              <w:t>da parte dell</w:t>
            </w:r>
            <w:r w:rsidRPr="0041165F">
              <w:rPr>
                <w:b/>
                <w:bCs/>
                <w:sz w:val="18"/>
                <w:szCs w:val="18"/>
                <w:lang w:val="it-IT"/>
              </w:rPr>
              <w:t>’</w:t>
            </w:r>
            <w:r>
              <w:rPr>
                <w:b/>
                <w:bCs/>
                <w:sz w:val="18"/>
                <w:szCs w:val="18"/>
                <w:lang w:val="it-IT"/>
              </w:rPr>
              <w:t>UE</w:t>
            </w:r>
          </w:p>
        </w:tc>
      </w:tr>
      <w:tr w:rsidR="00B3345E" w:rsidTr="00136A38">
        <w:tc>
          <w:tcPr>
            <w:tcW w:w="3402" w:type="dxa"/>
            <w:tcBorders>
              <w:top w:val="single" w:sz="4" w:space="0" w:color="auto"/>
              <w:left w:val="single" w:sz="4" w:space="0" w:color="auto"/>
              <w:bottom w:val="single" w:sz="4" w:space="0" w:color="auto"/>
              <w:right w:val="single" w:sz="4" w:space="0" w:color="auto"/>
            </w:tcBorders>
            <w:vAlign w:val="center"/>
          </w:tcPr>
          <w:p w:rsidR="00B3345E" w:rsidRDefault="00B3345E" w:rsidP="00136A38">
            <w:pPr>
              <w:jc w:val="left"/>
              <w:rPr>
                <w:b/>
                <w:bCs/>
                <w:sz w:val="18"/>
                <w:szCs w:val="18"/>
                <w:lang w:val="it-IT"/>
              </w:rPr>
            </w:pPr>
            <w:r>
              <w:rPr>
                <w:b/>
                <w:bCs/>
                <w:sz w:val="18"/>
                <w:szCs w:val="18"/>
                <w:lang w:val="it-IT"/>
              </w:rPr>
              <w:t>Standards</w:t>
            </w:r>
          </w:p>
        </w:tc>
        <w:tc>
          <w:tcPr>
            <w:tcW w:w="1701" w:type="dxa"/>
            <w:tcBorders>
              <w:top w:val="single" w:sz="4" w:space="0" w:color="auto"/>
              <w:left w:val="single" w:sz="4" w:space="0" w:color="auto"/>
              <w:bottom w:val="single" w:sz="4" w:space="0" w:color="auto"/>
              <w:right w:val="single" w:sz="4" w:space="0" w:color="auto"/>
            </w:tcBorders>
            <w:vAlign w:val="center"/>
          </w:tcPr>
          <w:p w:rsidR="00B3345E" w:rsidRDefault="00B3345E" w:rsidP="00136A38">
            <w:pPr>
              <w:jc w:val="center"/>
              <w:rPr>
                <w:b/>
                <w:bCs/>
                <w:sz w:val="18"/>
                <w:szCs w:val="18"/>
                <w:lang w:val="it-IT"/>
              </w:rPr>
            </w:pPr>
          </w:p>
        </w:tc>
        <w:tc>
          <w:tcPr>
            <w:tcW w:w="1984" w:type="dxa"/>
            <w:tcBorders>
              <w:top w:val="single" w:sz="4" w:space="0" w:color="auto"/>
              <w:left w:val="single" w:sz="4" w:space="0" w:color="auto"/>
              <w:bottom w:val="single" w:sz="4" w:space="0" w:color="auto"/>
              <w:right w:val="single" w:sz="4" w:space="0" w:color="auto"/>
            </w:tcBorders>
            <w:vAlign w:val="center"/>
          </w:tcPr>
          <w:p w:rsidR="00B3345E" w:rsidRDefault="00B3345E" w:rsidP="00136A38">
            <w:pPr>
              <w:jc w:val="center"/>
              <w:rPr>
                <w:b/>
                <w:bCs/>
                <w:sz w:val="18"/>
                <w:szCs w:val="18"/>
                <w:lang w:val="it-IT"/>
              </w:rPr>
            </w:pPr>
          </w:p>
        </w:tc>
        <w:tc>
          <w:tcPr>
            <w:tcW w:w="2411" w:type="dxa"/>
            <w:tcBorders>
              <w:top w:val="single" w:sz="4" w:space="0" w:color="auto"/>
              <w:left w:val="single" w:sz="4" w:space="0" w:color="auto"/>
              <w:bottom w:val="single" w:sz="4" w:space="0" w:color="auto"/>
              <w:right w:val="single" w:sz="4" w:space="0" w:color="auto"/>
            </w:tcBorders>
            <w:vAlign w:val="center"/>
          </w:tcPr>
          <w:p w:rsidR="00B3345E" w:rsidRDefault="00B3345E" w:rsidP="00136A38">
            <w:pPr>
              <w:jc w:val="center"/>
              <w:rPr>
                <w:b/>
                <w:bCs/>
                <w:sz w:val="18"/>
                <w:szCs w:val="18"/>
                <w:lang w:val="it-IT"/>
              </w:rPr>
            </w:pPr>
          </w:p>
        </w:tc>
      </w:tr>
      <w:tr w:rsidR="00B3345E" w:rsidRPr="00F20DD1" w:rsidTr="00D45DCD">
        <w:tc>
          <w:tcPr>
            <w:tcW w:w="3402" w:type="dxa"/>
            <w:tcBorders>
              <w:top w:val="single" w:sz="4" w:space="0" w:color="auto"/>
              <w:left w:val="single" w:sz="4" w:space="0" w:color="auto"/>
              <w:bottom w:val="single" w:sz="4" w:space="0" w:color="auto"/>
              <w:right w:val="single" w:sz="4" w:space="0" w:color="auto"/>
            </w:tcBorders>
            <w:vAlign w:val="center"/>
          </w:tcPr>
          <w:p w:rsidR="00B3345E" w:rsidRPr="00BB4F56" w:rsidRDefault="00B3345E" w:rsidP="00136A38">
            <w:pPr>
              <w:jc w:val="left"/>
              <w:rPr>
                <w:bCs/>
                <w:sz w:val="18"/>
                <w:szCs w:val="18"/>
                <w:lang w:val="en-US"/>
              </w:rPr>
            </w:pPr>
            <w:r w:rsidRPr="00BB4F56">
              <w:rPr>
                <w:bCs/>
                <w:sz w:val="18"/>
                <w:szCs w:val="18"/>
                <w:lang w:val="en-US"/>
              </w:rPr>
              <w:t>IFRS 9</w:t>
            </w:r>
            <w:r>
              <w:rPr>
                <w:bCs/>
                <w:sz w:val="18"/>
                <w:szCs w:val="18"/>
                <w:lang w:val="en-US"/>
              </w:rPr>
              <w:t xml:space="preserve"> Financial Instruments</w:t>
            </w:r>
          </w:p>
        </w:tc>
        <w:tc>
          <w:tcPr>
            <w:tcW w:w="1701" w:type="dxa"/>
            <w:tcBorders>
              <w:top w:val="single" w:sz="4" w:space="0" w:color="auto"/>
              <w:left w:val="single" w:sz="4" w:space="0" w:color="auto"/>
              <w:bottom w:val="single" w:sz="4" w:space="0" w:color="auto"/>
              <w:right w:val="single" w:sz="4" w:space="0" w:color="auto"/>
            </w:tcBorders>
            <w:vAlign w:val="center"/>
          </w:tcPr>
          <w:p w:rsidR="00B3345E" w:rsidRPr="00F20DD1" w:rsidRDefault="004D1307" w:rsidP="00136A38">
            <w:pPr>
              <w:jc w:val="center"/>
              <w:rPr>
                <w:bCs/>
                <w:sz w:val="18"/>
                <w:szCs w:val="18"/>
                <w:lang w:val="en-US"/>
              </w:rPr>
            </w:pPr>
            <w:r>
              <w:rPr>
                <w:bCs/>
                <w:sz w:val="18"/>
                <w:szCs w:val="18"/>
                <w:lang w:val="en-US"/>
              </w:rPr>
              <w:t>l</w:t>
            </w:r>
            <w:r w:rsidR="00B3345E" w:rsidRPr="00F20DD1">
              <w:rPr>
                <w:bCs/>
                <w:sz w:val="18"/>
                <w:szCs w:val="18"/>
                <w:lang w:val="en-US"/>
              </w:rPr>
              <w:t>uglio 2014</w:t>
            </w:r>
          </w:p>
        </w:tc>
        <w:tc>
          <w:tcPr>
            <w:tcW w:w="1984" w:type="dxa"/>
            <w:tcBorders>
              <w:top w:val="single" w:sz="4" w:space="0" w:color="auto"/>
              <w:left w:val="single" w:sz="4" w:space="0" w:color="auto"/>
              <w:bottom w:val="single" w:sz="4" w:space="0" w:color="auto"/>
              <w:right w:val="single" w:sz="4" w:space="0" w:color="auto"/>
            </w:tcBorders>
            <w:vAlign w:val="center"/>
          </w:tcPr>
          <w:p w:rsidR="00B3345E" w:rsidRDefault="00B3345E" w:rsidP="00136A38">
            <w:pPr>
              <w:jc w:val="center"/>
              <w:rPr>
                <w:b/>
                <w:bCs/>
                <w:sz w:val="18"/>
                <w:szCs w:val="18"/>
                <w:lang w:val="it-IT"/>
              </w:rPr>
            </w:pPr>
            <w:r>
              <w:rPr>
                <w:bCs/>
                <w:sz w:val="18"/>
                <w:szCs w:val="18"/>
                <w:lang w:val="en-US"/>
              </w:rPr>
              <w:t>1° gennaio 2018</w:t>
            </w:r>
          </w:p>
        </w:tc>
        <w:tc>
          <w:tcPr>
            <w:tcW w:w="2411" w:type="dxa"/>
            <w:tcBorders>
              <w:top w:val="single" w:sz="4" w:space="0" w:color="auto"/>
              <w:left w:val="single" w:sz="4" w:space="0" w:color="auto"/>
              <w:bottom w:val="single" w:sz="4" w:space="0" w:color="auto"/>
              <w:right w:val="single" w:sz="4" w:space="0" w:color="auto"/>
            </w:tcBorders>
            <w:vAlign w:val="center"/>
          </w:tcPr>
          <w:p w:rsidR="00B6303F" w:rsidRPr="00F20DD1" w:rsidRDefault="00A2090A" w:rsidP="00D45DCD">
            <w:pPr>
              <w:tabs>
                <w:tab w:val="left" w:pos="35"/>
              </w:tabs>
              <w:jc w:val="center"/>
              <w:rPr>
                <w:bCs/>
                <w:sz w:val="18"/>
                <w:szCs w:val="18"/>
                <w:lang w:val="it-IT"/>
              </w:rPr>
            </w:pPr>
            <w:r>
              <w:rPr>
                <w:bCs/>
                <w:sz w:val="18"/>
                <w:szCs w:val="18"/>
                <w:lang w:val="it-IT"/>
              </w:rPr>
              <w:t>4</w:t>
            </w:r>
            <w:r w:rsidR="00B6303F">
              <w:rPr>
                <w:bCs/>
                <w:sz w:val="18"/>
                <w:szCs w:val="18"/>
                <w:lang w:val="it-IT"/>
              </w:rPr>
              <w:t>° semestre 201</w:t>
            </w:r>
            <w:r>
              <w:rPr>
                <w:bCs/>
                <w:sz w:val="18"/>
                <w:szCs w:val="18"/>
                <w:lang w:val="it-IT"/>
              </w:rPr>
              <w:t>6</w:t>
            </w:r>
          </w:p>
        </w:tc>
      </w:tr>
      <w:tr w:rsidR="00B3345E" w:rsidRPr="00464D3A" w:rsidTr="00136A38">
        <w:tc>
          <w:tcPr>
            <w:tcW w:w="3402" w:type="dxa"/>
            <w:tcBorders>
              <w:top w:val="single" w:sz="4" w:space="0" w:color="auto"/>
              <w:left w:val="single" w:sz="4" w:space="0" w:color="auto"/>
              <w:bottom w:val="single" w:sz="4" w:space="0" w:color="auto"/>
              <w:right w:val="single" w:sz="4" w:space="0" w:color="auto"/>
            </w:tcBorders>
            <w:vAlign w:val="center"/>
          </w:tcPr>
          <w:p w:rsidR="00B3345E" w:rsidRPr="00BB4F56" w:rsidRDefault="00B3345E" w:rsidP="00136A38">
            <w:pPr>
              <w:jc w:val="left"/>
              <w:rPr>
                <w:bCs/>
                <w:sz w:val="18"/>
                <w:szCs w:val="18"/>
                <w:lang w:val="en-US"/>
              </w:rPr>
            </w:pPr>
            <w:r w:rsidRPr="00BB4F56">
              <w:rPr>
                <w:bCs/>
                <w:sz w:val="18"/>
                <w:szCs w:val="18"/>
                <w:lang w:val="en-US"/>
              </w:rPr>
              <w:t>IFRS 14</w:t>
            </w:r>
            <w:r>
              <w:rPr>
                <w:bCs/>
                <w:sz w:val="18"/>
                <w:szCs w:val="18"/>
                <w:lang w:val="en-US"/>
              </w:rPr>
              <w:t xml:space="preserve"> Regulatory Deferral Accounts</w:t>
            </w:r>
          </w:p>
        </w:tc>
        <w:tc>
          <w:tcPr>
            <w:tcW w:w="1701" w:type="dxa"/>
            <w:tcBorders>
              <w:top w:val="single" w:sz="4" w:space="0" w:color="auto"/>
              <w:left w:val="single" w:sz="4" w:space="0" w:color="auto"/>
              <w:bottom w:val="single" w:sz="4" w:space="0" w:color="auto"/>
              <w:right w:val="single" w:sz="4" w:space="0" w:color="auto"/>
            </w:tcBorders>
            <w:vAlign w:val="center"/>
          </w:tcPr>
          <w:p w:rsidR="00B3345E" w:rsidRPr="00F20DD1" w:rsidRDefault="004D1307" w:rsidP="00136A38">
            <w:pPr>
              <w:jc w:val="center"/>
              <w:rPr>
                <w:bCs/>
                <w:sz w:val="18"/>
                <w:szCs w:val="18"/>
                <w:lang w:val="en-US"/>
              </w:rPr>
            </w:pPr>
            <w:r>
              <w:rPr>
                <w:bCs/>
                <w:sz w:val="18"/>
                <w:szCs w:val="18"/>
                <w:lang w:val="en-US"/>
              </w:rPr>
              <w:t>g</w:t>
            </w:r>
            <w:r w:rsidR="00B3345E" w:rsidRPr="00F20DD1">
              <w:rPr>
                <w:bCs/>
                <w:sz w:val="18"/>
                <w:szCs w:val="18"/>
                <w:lang w:val="en-US"/>
              </w:rPr>
              <w:t>ennaio 2014</w:t>
            </w:r>
          </w:p>
        </w:tc>
        <w:tc>
          <w:tcPr>
            <w:tcW w:w="1984" w:type="dxa"/>
            <w:tcBorders>
              <w:top w:val="single" w:sz="4" w:space="0" w:color="auto"/>
              <w:left w:val="single" w:sz="4" w:space="0" w:color="auto"/>
              <w:bottom w:val="single" w:sz="4" w:space="0" w:color="auto"/>
              <w:right w:val="single" w:sz="4" w:space="0" w:color="auto"/>
            </w:tcBorders>
          </w:tcPr>
          <w:p w:rsidR="00B3345E" w:rsidRPr="004300E2" w:rsidRDefault="00464D3A" w:rsidP="00136A38">
            <w:pPr>
              <w:jc w:val="center"/>
              <w:rPr>
                <w:bCs/>
                <w:sz w:val="18"/>
                <w:szCs w:val="18"/>
                <w:lang w:val="it-IT"/>
              </w:rPr>
            </w:pPr>
            <w:r>
              <w:rPr>
                <w:bCs/>
                <w:sz w:val="18"/>
                <w:szCs w:val="18"/>
                <w:lang w:val="it-IT"/>
              </w:rPr>
              <w:t xml:space="preserve"> </w:t>
            </w:r>
            <w:r w:rsidR="00FC1E6E">
              <w:rPr>
                <w:bCs/>
                <w:sz w:val="18"/>
                <w:szCs w:val="18"/>
                <w:lang w:val="it-IT"/>
              </w:rPr>
              <w:t>(</w:t>
            </w:r>
            <w:r>
              <w:rPr>
                <w:bCs/>
                <w:sz w:val="18"/>
                <w:szCs w:val="18"/>
                <w:lang w:val="it-IT"/>
              </w:rPr>
              <w:t>Nota 1</w:t>
            </w:r>
            <w:r w:rsidR="00FC1E6E">
              <w:rPr>
                <w:bCs/>
                <w:sz w:val="18"/>
                <w:szCs w:val="18"/>
                <w:lang w:val="it-IT"/>
              </w:rPr>
              <w:t>)</w:t>
            </w:r>
          </w:p>
        </w:tc>
        <w:tc>
          <w:tcPr>
            <w:tcW w:w="2411" w:type="dxa"/>
            <w:tcBorders>
              <w:top w:val="single" w:sz="4" w:space="0" w:color="auto"/>
              <w:left w:val="single" w:sz="4" w:space="0" w:color="auto"/>
              <w:bottom w:val="single" w:sz="4" w:space="0" w:color="auto"/>
              <w:right w:val="single" w:sz="4" w:space="0" w:color="auto"/>
            </w:tcBorders>
            <w:vAlign w:val="center"/>
          </w:tcPr>
          <w:p w:rsidR="00B3345E" w:rsidRPr="00F20DD1" w:rsidRDefault="00FC1E6E" w:rsidP="004300E2">
            <w:pPr>
              <w:tabs>
                <w:tab w:val="left" w:pos="35"/>
              </w:tabs>
              <w:jc w:val="center"/>
              <w:rPr>
                <w:bCs/>
                <w:sz w:val="18"/>
                <w:szCs w:val="18"/>
                <w:lang w:val="it-IT"/>
              </w:rPr>
            </w:pPr>
            <w:r>
              <w:rPr>
                <w:bCs/>
                <w:sz w:val="18"/>
                <w:szCs w:val="18"/>
                <w:lang w:val="it-IT"/>
              </w:rPr>
              <w:t>(</w:t>
            </w:r>
            <w:r w:rsidR="00464D3A">
              <w:rPr>
                <w:bCs/>
                <w:sz w:val="18"/>
                <w:szCs w:val="18"/>
                <w:lang w:val="it-IT"/>
              </w:rPr>
              <w:t>Nota 1</w:t>
            </w:r>
            <w:r>
              <w:rPr>
                <w:bCs/>
                <w:sz w:val="18"/>
                <w:szCs w:val="18"/>
                <w:lang w:val="it-IT"/>
              </w:rPr>
              <w:t>)</w:t>
            </w:r>
          </w:p>
        </w:tc>
      </w:tr>
      <w:tr w:rsidR="00A2090A" w:rsidTr="00136A38">
        <w:tc>
          <w:tcPr>
            <w:tcW w:w="3402" w:type="dxa"/>
            <w:tcBorders>
              <w:top w:val="single" w:sz="4" w:space="0" w:color="auto"/>
              <w:left w:val="single" w:sz="4" w:space="0" w:color="auto"/>
              <w:bottom w:val="single" w:sz="4" w:space="0" w:color="auto"/>
              <w:right w:val="single" w:sz="4" w:space="0" w:color="auto"/>
            </w:tcBorders>
            <w:vAlign w:val="center"/>
          </w:tcPr>
          <w:p w:rsidR="00A2090A" w:rsidRPr="00BB4F56" w:rsidRDefault="00464D3A" w:rsidP="00136A38">
            <w:pPr>
              <w:jc w:val="left"/>
              <w:rPr>
                <w:bCs/>
                <w:sz w:val="18"/>
                <w:szCs w:val="18"/>
                <w:lang w:val="en-US"/>
              </w:rPr>
            </w:pPr>
            <w:r>
              <w:rPr>
                <w:bCs/>
                <w:sz w:val="18"/>
                <w:szCs w:val="18"/>
                <w:lang w:val="en-US"/>
              </w:rPr>
              <w:t>IFRS 16 Leases</w:t>
            </w:r>
          </w:p>
        </w:tc>
        <w:tc>
          <w:tcPr>
            <w:tcW w:w="1701" w:type="dxa"/>
            <w:tcBorders>
              <w:top w:val="single" w:sz="4" w:space="0" w:color="auto"/>
              <w:left w:val="single" w:sz="4" w:space="0" w:color="auto"/>
              <w:bottom w:val="single" w:sz="4" w:space="0" w:color="auto"/>
              <w:right w:val="single" w:sz="4" w:space="0" w:color="auto"/>
            </w:tcBorders>
            <w:vAlign w:val="center"/>
          </w:tcPr>
          <w:p w:rsidR="00A2090A" w:rsidRDefault="00464D3A" w:rsidP="00136A38">
            <w:pPr>
              <w:jc w:val="center"/>
              <w:rPr>
                <w:bCs/>
                <w:sz w:val="18"/>
                <w:szCs w:val="18"/>
                <w:lang w:val="en-US"/>
              </w:rPr>
            </w:pPr>
            <w:r>
              <w:rPr>
                <w:bCs/>
                <w:sz w:val="18"/>
                <w:szCs w:val="18"/>
                <w:lang w:val="en-US"/>
              </w:rPr>
              <w:t>gennaio 2016</w:t>
            </w:r>
          </w:p>
        </w:tc>
        <w:tc>
          <w:tcPr>
            <w:tcW w:w="1984" w:type="dxa"/>
            <w:tcBorders>
              <w:top w:val="single" w:sz="4" w:space="0" w:color="auto"/>
              <w:left w:val="single" w:sz="4" w:space="0" w:color="auto"/>
              <w:bottom w:val="single" w:sz="4" w:space="0" w:color="auto"/>
              <w:right w:val="single" w:sz="4" w:space="0" w:color="auto"/>
            </w:tcBorders>
          </w:tcPr>
          <w:p w:rsidR="00A2090A" w:rsidRPr="004715CC" w:rsidRDefault="00464D3A" w:rsidP="00136A38">
            <w:pPr>
              <w:jc w:val="center"/>
              <w:rPr>
                <w:bCs/>
                <w:sz w:val="18"/>
                <w:szCs w:val="18"/>
                <w:lang w:val="en-US"/>
              </w:rPr>
            </w:pPr>
            <w:r>
              <w:rPr>
                <w:bCs/>
                <w:sz w:val="18"/>
                <w:szCs w:val="18"/>
                <w:lang w:val="en-US"/>
              </w:rPr>
              <w:t>1° gennaio 2019</w:t>
            </w:r>
          </w:p>
        </w:tc>
        <w:tc>
          <w:tcPr>
            <w:tcW w:w="2411" w:type="dxa"/>
            <w:tcBorders>
              <w:top w:val="single" w:sz="4" w:space="0" w:color="auto"/>
              <w:left w:val="single" w:sz="4" w:space="0" w:color="auto"/>
              <w:bottom w:val="single" w:sz="4" w:space="0" w:color="auto"/>
              <w:right w:val="single" w:sz="4" w:space="0" w:color="auto"/>
            </w:tcBorders>
            <w:vAlign w:val="center"/>
          </w:tcPr>
          <w:p w:rsidR="00A2090A" w:rsidRDefault="00464D3A" w:rsidP="00136A38">
            <w:pPr>
              <w:jc w:val="center"/>
              <w:rPr>
                <w:bCs/>
                <w:sz w:val="18"/>
                <w:szCs w:val="18"/>
                <w:lang w:val="it-IT"/>
              </w:rPr>
            </w:pPr>
            <w:r>
              <w:rPr>
                <w:bCs/>
                <w:sz w:val="18"/>
                <w:szCs w:val="18"/>
                <w:lang w:val="it-IT"/>
              </w:rPr>
              <w:t>2017</w:t>
            </w:r>
          </w:p>
        </w:tc>
      </w:tr>
      <w:tr w:rsidR="00B3345E" w:rsidRPr="0041165F" w:rsidTr="00136A38">
        <w:tc>
          <w:tcPr>
            <w:tcW w:w="3402" w:type="dxa"/>
            <w:tcBorders>
              <w:top w:val="single" w:sz="4" w:space="0" w:color="auto"/>
              <w:left w:val="single" w:sz="4" w:space="0" w:color="auto"/>
              <w:bottom w:val="single" w:sz="4" w:space="0" w:color="auto"/>
              <w:right w:val="single" w:sz="4" w:space="0" w:color="auto"/>
            </w:tcBorders>
            <w:vAlign w:val="center"/>
          </w:tcPr>
          <w:p w:rsidR="00B3345E" w:rsidRDefault="00B3345E" w:rsidP="00136A38">
            <w:pPr>
              <w:jc w:val="left"/>
              <w:rPr>
                <w:b/>
                <w:bCs/>
                <w:sz w:val="18"/>
                <w:szCs w:val="18"/>
                <w:lang w:val="it-IT"/>
              </w:rPr>
            </w:pPr>
            <w:r>
              <w:rPr>
                <w:b/>
                <w:bCs/>
                <w:sz w:val="18"/>
                <w:szCs w:val="18"/>
                <w:lang w:val="it-IT"/>
              </w:rPr>
              <w:t>Amendments</w:t>
            </w:r>
          </w:p>
        </w:tc>
        <w:tc>
          <w:tcPr>
            <w:tcW w:w="1701" w:type="dxa"/>
            <w:tcBorders>
              <w:top w:val="single" w:sz="4" w:space="0" w:color="auto"/>
              <w:left w:val="single" w:sz="4" w:space="0" w:color="auto"/>
              <w:bottom w:val="single" w:sz="4" w:space="0" w:color="auto"/>
              <w:right w:val="single" w:sz="4" w:space="0" w:color="auto"/>
            </w:tcBorders>
            <w:vAlign w:val="center"/>
          </w:tcPr>
          <w:p w:rsidR="00B3345E" w:rsidRPr="0041165F" w:rsidRDefault="00B3345E" w:rsidP="00136A38">
            <w:pPr>
              <w:jc w:val="center"/>
              <w:rPr>
                <w:b/>
                <w:bCs/>
                <w:sz w:val="18"/>
                <w:szCs w:val="18"/>
                <w:lang w:val="it-IT"/>
              </w:rPr>
            </w:pPr>
          </w:p>
        </w:tc>
        <w:tc>
          <w:tcPr>
            <w:tcW w:w="1984" w:type="dxa"/>
            <w:tcBorders>
              <w:top w:val="single" w:sz="4" w:space="0" w:color="auto"/>
              <w:left w:val="single" w:sz="4" w:space="0" w:color="auto"/>
              <w:bottom w:val="single" w:sz="4" w:space="0" w:color="auto"/>
              <w:right w:val="single" w:sz="4" w:space="0" w:color="auto"/>
            </w:tcBorders>
            <w:vAlign w:val="center"/>
          </w:tcPr>
          <w:p w:rsidR="00B3345E" w:rsidRPr="0041165F" w:rsidRDefault="00B3345E" w:rsidP="00136A38">
            <w:pPr>
              <w:jc w:val="center"/>
              <w:rPr>
                <w:b/>
                <w:bCs/>
                <w:sz w:val="18"/>
                <w:szCs w:val="18"/>
                <w:lang w:val="it-IT"/>
              </w:rPr>
            </w:pPr>
          </w:p>
        </w:tc>
        <w:tc>
          <w:tcPr>
            <w:tcW w:w="2411" w:type="dxa"/>
            <w:tcBorders>
              <w:top w:val="single" w:sz="4" w:space="0" w:color="auto"/>
              <w:left w:val="single" w:sz="4" w:space="0" w:color="auto"/>
              <w:bottom w:val="single" w:sz="4" w:space="0" w:color="auto"/>
              <w:right w:val="single" w:sz="4" w:space="0" w:color="auto"/>
            </w:tcBorders>
            <w:vAlign w:val="center"/>
          </w:tcPr>
          <w:p w:rsidR="00B3345E" w:rsidRPr="0041165F" w:rsidRDefault="00B3345E" w:rsidP="00136A38">
            <w:pPr>
              <w:jc w:val="center"/>
              <w:rPr>
                <w:b/>
                <w:bCs/>
                <w:sz w:val="18"/>
                <w:szCs w:val="18"/>
                <w:lang w:val="it-IT"/>
              </w:rPr>
            </w:pPr>
          </w:p>
        </w:tc>
      </w:tr>
      <w:tr w:rsidR="00B3345E" w:rsidRPr="00A44ECD" w:rsidTr="00BF03D1">
        <w:tc>
          <w:tcPr>
            <w:tcW w:w="3402" w:type="dxa"/>
            <w:tcBorders>
              <w:top w:val="single" w:sz="4" w:space="0" w:color="auto"/>
              <w:left w:val="single" w:sz="4" w:space="0" w:color="auto"/>
              <w:bottom w:val="single" w:sz="4" w:space="0" w:color="auto"/>
              <w:right w:val="single" w:sz="4" w:space="0" w:color="auto"/>
            </w:tcBorders>
            <w:vAlign w:val="center"/>
          </w:tcPr>
          <w:p w:rsidR="00B3345E" w:rsidRPr="00DD6150" w:rsidRDefault="00B3345E" w:rsidP="00FC1E6E">
            <w:pPr>
              <w:ind w:left="63"/>
              <w:jc w:val="left"/>
              <w:rPr>
                <w:bCs/>
                <w:sz w:val="18"/>
                <w:szCs w:val="18"/>
                <w:lang w:val="en-US"/>
              </w:rPr>
            </w:pPr>
            <w:r w:rsidRPr="00730D43">
              <w:rPr>
                <w:bCs/>
                <w:sz w:val="18"/>
                <w:szCs w:val="18"/>
                <w:lang w:val="en-US"/>
              </w:rPr>
              <w:t>Amendments to IFRS 10 and IAS 28: Sale or Contribution of Assets between an Investor and its Associate or Joint Venture</w:t>
            </w:r>
          </w:p>
        </w:tc>
        <w:tc>
          <w:tcPr>
            <w:tcW w:w="1701" w:type="dxa"/>
            <w:tcBorders>
              <w:top w:val="single" w:sz="4" w:space="0" w:color="auto"/>
              <w:left w:val="single" w:sz="4" w:space="0" w:color="auto"/>
              <w:bottom w:val="single" w:sz="4" w:space="0" w:color="auto"/>
              <w:right w:val="single" w:sz="4" w:space="0" w:color="auto"/>
            </w:tcBorders>
            <w:vAlign w:val="center"/>
          </w:tcPr>
          <w:p w:rsidR="00B3345E" w:rsidRPr="00355BA7" w:rsidRDefault="004D1307" w:rsidP="00136A38">
            <w:pPr>
              <w:jc w:val="center"/>
              <w:rPr>
                <w:bCs/>
                <w:sz w:val="18"/>
                <w:szCs w:val="18"/>
                <w:lang w:val="en-US"/>
              </w:rPr>
            </w:pPr>
            <w:r>
              <w:rPr>
                <w:bCs/>
                <w:sz w:val="18"/>
                <w:szCs w:val="18"/>
                <w:lang w:val="en-US"/>
              </w:rPr>
              <w:t>s</w:t>
            </w:r>
            <w:r w:rsidR="00B3345E">
              <w:rPr>
                <w:bCs/>
                <w:sz w:val="18"/>
                <w:szCs w:val="18"/>
                <w:lang w:val="en-US"/>
              </w:rPr>
              <w:t>ettembre 2014</w:t>
            </w:r>
          </w:p>
        </w:tc>
        <w:tc>
          <w:tcPr>
            <w:tcW w:w="1984" w:type="dxa"/>
            <w:tcBorders>
              <w:top w:val="single" w:sz="4" w:space="0" w:color="auto"/>
              <w:left w:val="single" w:sz="4" w:space="0" w:color="auto"/>
              <w:bottom w:val="single" w:sz="4" w:space="0" w:color="auto"/>
              <w:right w:val="single" w:sz="4" w:space="0" w:color="auto"/>
            </w:tcBorders>
            <w:vAlign w:val="center"/>
          </w:tcPr>
          <w:p w:rsidR="00B6303F" w:rsidRPr="00F235B5" w:rsidRDefault="00464D3A" w:rsidP="00464D3A">
            <w:pPr>
              <w:jc w:val="center"/>
              <w:rPr>
                <w:bCs/>
                <w:sz w:val="18"/>
                <w:szCs w:val="18"/>
                <w:lang w:val="it-IT"/>
              </w:rPr>
            </w:pPr>
            <w:r>
              <w:rPr>
                <w:bCs/>
                <w:sz w:val="18"/>
                <w:szCs w:val="18"/>
                <w:lang w:val="it-IT"/>
              </w:rPr>
              <w:t>D</w:t>
            </w:r>
            <w:r w:rsidR="00B076A2" w:rsidRPr="00F235B5">
              <w:rPr>
                <w:bCs/>
                <w:sz w:val="18"/>
                <w:szCs w:val="18"/>
                <w:lang w:val="it-IT"/>
              </w:rPr>
              <w:t xml:space="preserve">ifferita fino al completamento del progetto </w:t>
            </w:r>
            <w:r w:rsidR="00202509">
              <w:rPr>
                <w:bCs/>
                <w:sz w:val="18"/>
                <w:szCs w:val="18"/>
                <w:lang w:val="it-IT"/>
              </w:rPr>
              <w:t xml:space="preserve">IASB </w:t>
            </w:r>
            <w:r w:rsidR="00B076A2" w:rsidRPr="00F235B5">
              <w:rPr>
                <w:bCs/>
                <w:sz w:val="18"/>
                <w:szCs w:val="18"/>
                <w:lang w:val="it-IT"/>
              </w:rPr>
              <w:t>sull</w:t>
            </w:r>
            <w:r w:rsidR="00B076A2" w:rsidRPr="00FB4B6E">
              <w:rPr>
                <w:bCs/>
                <w:i/>
                <w:sz w:val="18"/>
                <w:szCs w:val="18"/>
                <w:lang w:val="it-IT"/>
              </w:rPr>
              <w:t>’equity method</w:t>
            </w:r>
          </w:p>
        </w:tc>
        <w:tc>
          <w:tcPr>
            <w:tcW w:w="2411" w:type="dxa"/>
            <w:tcBorders>
              <w:top w:val="single" w:sz="4" w:space="0" w:color="auto"/>
              <w:left w:val="single" w:sz="4" w:space="0" w:color="auto"/>
              <w:bottom w:val="single" w:sz="4" w:space="0" w:color="auto"/>
              <w:right w:val="single" w:sz="4" w:space="0" w:color="auto"/>
            </w:tcBorders>
            <w:vAlign w:val="center"/>
          </w:tcPr>
          <w:p w:rsidR="00B3345E" w:rsidRPr="00F235B5" w:rsidRDefault="00B3345E" w:rsidP="00136A38">
            <w:pPr>
              <w:jc w:val="center"/>
              <w:rPr>
                <w:bCs/>
                <w:sz w:val="18"/>
                <w:szCs w:val="18"/>
                <w:lang w:val="it-IT"/>
              </w:rPr>
            </w:pPr>
          </w:p>
          <w:p w:rsidR="00B6303F" w:rsidRPr="00F235B5" w:rsidRDefault="00B6303F">
            <w:pPr>
              <w:jc w:val="center"/>
              <w:rPr>
                <w:bCs/>
                <w:sz w:val="18"/>
                <w:szCs w:val="18"/>
                <w:lang w:val="it-IT"/>
              </w:rPr>
            </w:pPr>
            <w:r w:rsidRPr="00F235B5">
              <w:rPr>
                <w:bCs/>
                <w:sz w:val="18"/>
                <w:szCs w:val="18"/>
                <w:lang w:val="it-IT"/>
              </w:rPr>
              <w:t xml:space="preserve">Rinviata in attesa </w:t>
            </w:r>
            <w:r w:rsidR="00B076A2">
              <w:rPr>
                <w:bCs/>
                <w:sz w:val="18"/>
                <w:szCs w:val="18"/>
                <w:lang w:val="it-IT"/>
              </w:rPr>
              <w:t>della conclusione del progetto IASB  sull’</w:t>
            </w:r>
            <w:r w:rsidR="00B076A2" w:rsidRPr="00FB4B6E">
              <w:rPr>
                <w:bCs/>
                <w:i/>
                <w:sz w:val="18"/>
                <w:szCs w:val="18"/>
                <w:lang w:val="it-IT"/>
              </w:rPr>
              <w:t>equity method</w:t>
            </w:r>
          </w:p>
        </w:tc>
      </w:tr>
      <w:tr w:rsidR="00674EBF" w:rsidTr="00FB4B6E">
        <w:trPr>
          <w:trHeight w:val="427"/>
        </w:trPr>
        <w:tc>
          <w:tcPr>
            <w:tcW w:w="3402"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3186"/>
            </w:tblGrid>
            <w:tr w:rsidR="00CA19A2" w:rsidRPr="00CA19A2" w:rsidTr="004300E2">
              <w:trPr>
                <w:trHeight w:val="555"/>
              </w:trPr>
              <w:tc>
                <w:tcPr>
                  <w:tcW w:w="0" w:type="auto"/>
                </w:tcPr>
                <w:p w:rsidR="00CA19A2" w:rsidRPr="004300E2" w:rsidRDefault="00CA19A2" w:rsidP="004300E2">
                  <w:pPr>
                    <w:jc w:val="left"/>
                    <w:rPr>
                      <w:bCs/>
                      <w:sz w:val="18"/>
                      <w:szCs w:val="18"/>
                      <w:lang w:val="en-US"/>
                    </w:rPr>
                  </w:pPr>
                  <w:r w:rsidRPr="004300E2">
                    <w:rPr>
                      <w:bCs/>
                      <w:sz w:val="18"/>
                      <w:szCs w:val="18"/>
                      <w:lang w:val="en-US"/>
                    </w:rPr>
                    <w:t xml:space="preserve">Amendments to IAS 12: Recognition of Deferred Tax Assets for Unrealised Losses </w:t>
                  </w:r>
                </w:p>
              </w:tc>
            </w:tr>
          </w:tbl>
          <w:p w:rsidR="00674EBF" w:rsidRPr="00CA19A2" w:rsidRDefault="00674EBF" w:rsidP="00CA19A2">
            <w:pPr>
              <w:jc w:val="left"/>
              <w:rPr>
                <w:bCs/>
                <w:sz w:val="18"/>
                <w:szCs w:val="18"/>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rsidR="00674EBF" w:rsidRDefault="00674EBF" w:rsidP="00136A38">
            <w:pPr>
              <w:jc w:val="center"/>
              <w:rPr>
                <w:bCs/>
                <w:sz w:val="18"/>
                <w:szCs w:val="18"/>
                <w:lang w:val="en-US"/>
              </w:rPr>
            </w:pPr>
            <w:r>
              <w:rPr>
                <w:bCs/>
                <w:sz w:val="18"/>
                <w:szCs w:val="18"/>
                <w:lang w:val="en-US"/>
              </w:rPr>
              <w:t xml:space="preserve">gennaio 2016 </w:t>
            </w:r>
          </w:p>
        </w:tc>
        <w:tc>
          <w:tcPr>
            <w:tcW w:w="1984" w:type="dxa"/>
            <w:tcBorders>
              <w:top w:val="single" w:sz="4" w:space="0" w:color="auto"/>
              <w:left w:val="single" w:sz="4" w:space="0" w:color="auto"/>
              <w:bottom w:val="single" w:sz="4" w:space="0" w:color="auto"/>
              <w:right w:val="single" w:sz="4" w:space="0" w:color="auto"/>
            </w:tcBorders>
            <w:vAlign w:val="center"/>
          </w:tcPr>
          <w:p w:rsidR="00674EBF" w:rsidRPr="00BF03D1" w:rsidRDefault="00674EBF" w:rsidP="00136A38">
            <w:pPr>
              <w:jc w:val="center"/>
              <w:rPr>
                <w:bCs/>
                <w:sz w:val="18"/>
                <w:szCs w:val="18"/>
                <w:lang w:val="en-US"/>
              </w:rPr>
            </w:pPr>
            <w:r w:rsidRPr="00AD623B">
              <w:rPr>
                <w:bCs/>
                <w:sz w:val="18"/>
                <w:szCs w:val="18"/>
                <w:lang w:val="en-US"/>
              </w:rPr>
              <w:t>1° gennaio 201</w:t>
            </w:r>
            <w:r>
              <w:rPr>
                <w:bCs/>
                <w:sz w:val="18"/>
                <w:szCs w:val="18"/>
                <w:lang w:val="en-US"/>
              </w:rPr>
              <w:t>7</w:t>
            </w:r>
          </w:p>
        </w:tc>
        <w:tc>
          <w:tcPr>
            <w:tcW w:w="2411" w:type="dxa"/>
            <w:tcBorders>
              <w:top w:val="single" w:sz="4" w:space="0" w:color="auto"/>
              <w:left w:val="single" w:sz="4" w:space="0" w:color="auto"/>
              <w:bottom w:val="single" w:sz="4" w:space="0" w:color="auto"/>
              <w:right w:val="single" w:sz="4" w:space="0" w:color="auto"/>
            </w:tcBorders>
            <w:vAlign w:val="center"/>
          </w:tcPr>
          <w:p w:rsidR="00674EBF" w:rsidRDefault="00DA375F" w:rsidP="00136A38">
            <w:pPr>
              <w:jc w:val="center"/>
              <w:rPr>
                <w:bCs/>
                <w:sz w:val="18"/>
                <w:szCs w:val="18"/>
                <w:lang w:val="en-US"/>
              </w:rPr>
            </w:pPr>
            <w:r>
              <w:rPr>
                <w:bCs/>
                <w:sz w:val="18"/>
                <w:szCs w:val="18"/>
                <w:lang w:val="en-US"/>
              </w:rPr>
              <w:t>4</w:t>
            </w:r>
            <w:r w:rsidR="00674EBF">
              <w:rPr>
                <w:bCs/>
                <w:sz w:val="18"/>
                <w:szCs w:val="18"/>
                <w:lang w:val="en-US"/>
              </w:rPr>
              <w:t>° trimestre 201</w:t>
            </w:r>
            <w:r>
              <w:rPr>
                <w:bCs/>
                <w:sz w:val="18"/>
                <w:szCs w:val="18"/>
                <w:lang w:val="en-US"/>
              </w:rPr>
              <w:t>6</w:t>
            </w:r>
          </w:p>
        </w:tc>
      </w:tr>
      <w:tr w:rsidR="00674EBF" w:rsidTr="00FB4B6E">
        <w:trPr>
          <w:trHeight w:val="427"/>
        </w:trPr>
        <w:tc>
          <w:tcPr>
            <w:tcW w:w="3402"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3006"/>
            </w:tblGrid>
            <w:tr w:rsidR="00CA19A2" w:rsidRPr="00CA19A2">
              <w:trPr>
                <w:trHeight w:val="99"/>
              </w:trPr>
              <w:tc>
                <w:tcPr>
                  <w:tcW w:w="0" w:type="auto"/>
                </w:tcPr>
                <w:p w:rsidR="00CA19A2" w:rsidRPr="004300E2" w:rsidRDefault="00CA19A2" w:rsidP="004300E2">
                  <w:pPr>
                    <w:jc w:val="center"/>
                    <w:rPr>
                      <w:bCs/>
                      <w:sz w:val="18"/>
                      <w:szCs w:val="18"/>
                      <w:lang w:val="en-US"/>
                    </w:rPr>
                  </w:pPr>
                  <w:r w:rsidRPr="004300E2">
                    <w:rPr>
                      <w:bCs/>
                      <w:sz w:val="18"/>
                      <w:szCs w:val="18"/>
                      <w:lang w:val="en-US"/>
                    </w:rPr>
                    <w:t>Amendments to IAS 7: Disclosure Initiative</w:t>
                  </w:r>
                </w:p>
              </w:tc>
            </w:tr>
          </w:tbl>
          <w:p w:rsidR="00674EBF" w:rsidRPr="004300E2" w:rsidRDefault="00674EBF" w:rsidP="00BF03D1">
            <w:pPr>
              <w:jc w:val="left"/>
              <w:rPr>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74EBF" w:rsidRDefault="00674EBF" w:rsidP="00136A38">
            <w:pPr>
              <w:jc w:val="center"/>
              <w:rPr>
                <w:bCs/>
                <w:sz w:val="18"/>
                <w:szCs w:val="18"/>
                <w:lang w:val="en-US"/>
              </w:rPr>
            </w:pPr>
            <w:r>
              <w:rPr>
                <w:bCs/>
                <w:sz w:val="18"/>
                <w:szCs w:val="18"/>
                <w:lang w:val="en-US"/>
              </w:rPr>
              <w:t xml:space="preserve">gennaio 2016 </w:t>
            </w:r>
          </w:p>
        </w:tc>
        <w:tc>
          <w:tcPr>
            <w:tcW w:w="1984" w:type="dxa"/>
            <w:tcBorders>
              <w:top w:val="single" w:sz="4" w:space="0" w:color="auto"/>
              <w:left w:val="single" w:sz="4" w:space="0" w:color="auto"/>
              <w:bottom w:val="single" w:sz="4" w:space="0" w:color="auto"/>
              <w:right w:val="single" w:sz="4" w:space="0" w:color="auto"/>
            </w:tcBorders>
            <w:vAlign w:val="center"/>
          </w:tcPr>
          <w:p w:rsidR="00674EBF" w:rsidRPr="00BF03D1" w:rsidRDefault="00674EBF" w:rsidP="00136A38">
            <w:pPr>
              <w:jc w:val="center"/>
              <w:rPr>
                <w:bCs/>
                <w:sz w:val="18"/>
                <w:szCs w:val="18"/>
                <w:lang w:val="en-US"/>
              </w:rPr>
            </w:pPr>
            <w:r w:rsidRPr="00AD623B">
              <w:rPr>
                <w:bCs/>
                <w:sz w:val="18"/>
                <w:szCs w:val="18"/>
                <w:lang w:val="en-US"/>
              </w:rPr>
              <w:t>1° gennaio 201</w:t>
            </w:r>
            <w:r>
              <w:rPr>
                <w:bCs/>
                <w:sz w:val="18"/>
                <w:szCs w:val="18"/>
                <w:lang w:val="en-US"/>
              </w:rPr>
              <w:t>7</w:t>
            </w:r>
          </w:p>
        </w:tc>
        <w:tc>
          <w:tcPr>
            <w:tcW w:w="2411" w:type="dxa"/>
            <w:tcBorders>
              <w:top w:val="single" w:sz="4" w:space="0" w:color="auto"/>
              <w:left w:val="single" w:sz="4" w:space="0" w:color="auto"/>
              <w:bottom w:val="single" w:sz="4" w:space="0" w:color="auto"/>
              <w:right w:val="single" w:sz="4" w:space="0" w:color="auto"/>
            </w:tcBorders>
            <w:vAlign w:val="center"/>
          </w:tcPr>
          <w:p w:rsidR="00674EBF" w:rsidRDefault="00DA375F" w:rsidP="00136A38">
            <w:pPr>
              <w:jc w:val="center"/>
              <w:rPr>
                <w:bCs/>
                <w:sz w:val="18"/>
                <w:szCs w:val="18"/>
                <w:lang w:val="en-US"/>
              </w:rPr>
            </w:pPr>
            <w:r>
              <w:rPr>
                <w:bCs/>
                <w:sz w:val="18"/>
                <w:szCs w:val="18"/>
                <w:lang w:val="en-US"/>
              </w:rPr>
              <w:t>4</w:t>
            </w:r>
            <w:r w:rsidR="00674EBF" w:rsidRPr="00374612">
              <w:rPr>
                <w:bCs/>
                <w:sz w:val="18"/>
                <w:szCs w:val="18"/>
                <w:lang w:val="en-US"/>
              </w:rPr>
              <w:t>° trimestre 201</w:t>
            </w:r>
            <w:r>
              <w:rPr>
                <w:bCs/>
                <w:sz w:val="18"/>
                <w:szCs w:val="18"/>
                <w:lang w:val="en-US"/>
              </w:rPr>
              <w:t>6</w:t>
            </w:r>
          </w:p>
        </w:tc>
      </w:tr>
      <w:tr w:rsidR="00674EBF" w:rsidTr="00FB4B6E">
        <w:trPr>
          <w:trHeight w:val="427"/>
        </w:trPr>
        <w:tc>
          <w:tcPr>
            <w:tcW w:w="3402"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3186"/>
            </w:tblGrid>
            <w:tr w:rsidR="00CA19A2" w:rsidRPr="00CA19A2">
              <w:trPr>
                <w:trHeight w:val="99"/>
              </w:trPr>
              <w:tc>
                <w:tcPr>
                  <w:tcW w:w="0" w:type="auto"/>
                </w:tcPr>
                <w:p w:rsidR="00CA19A2" w:rsidRPr="004300E2" w:rsidRDefault="00CA19A2" w:rsidP="004300E2">
                  <w:pPr>
                    <w:rPr>
                      <w:bCs/>
                      <w:sz w:val="18"/>
                      <w:szCs w:val="18"/>
                      <w:lang w:val="en-US"/>
                    </w:rPr>
                  </w:pPr>
                  <w:r w:rsidRPr="004300E2">
                    <w:rPr>
                      <w:bCs/>
                      <w:sz w:val="18"/>
                      <w:szCs w:val="18"/>
                      <w:lang w:val="en-US"/>
                    </w:rPr>
                    <w:t xml:space="preserve">Clarifications to IFRS 15 Revenue from Contracts with Customers </w:t>
                  </w:r>
                </w:p>
              </w:tc>
            </w:tr>
          </w:tbl>
          <w:p w:rsidR="00674EBF" w:rsidRPr="004300E2" w:rsidRDefault="00674EBF" w:rsidP="00BF03D1">
            <w:pPr>
              <w:jc w:val="left"/>
              <w:rPr>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74EBF" w:rsidRDefault="00674EBF" w:rsidP="00136A38">
            <w:pPr>
              <w:jc w:val="center"/>
              <w:rPr>
                <w:bCs/>
                <w:sz w:val="18"/>
                <w:szCs w:val="18"/>
                <w:lang w:val="en-US"/>
              </w:rPr>
            </w:pPr>
            <w:r>
              <w:rPr>
                <w:bCs/>
                <w:sz w:val="18"/>
                <w:szCs w:val="18"/>
                <w:lang w:val="en-US"/>
              </w:rPr>
              <w:t>aprile 2016</w:t>
            </w:r>
          </w:p>
        </w:tc>
        <w:tc>
          <w:tcPr>
            <w:tcW w:w="1984" w:type="dxa"/>
            <w:tcBorders>
              <w:top w:val="single" w:sz="4" w:space="0" w:color="auto"/>
              <w:left w:val="single" w:sz="4" w:space="0" w:color="auto"/>
              <w:bottom w:val="single" w:sz="4" w:space="0" w:color="auto"/>
              <w:right w:val="single" w:sz="4" w:space="0" w:color="auto"/>
            </w:tcBorders>
            <w:vAlign w:val="center"/>
          </w:tcPr>
          <w:p w:rsidR="00674EBF" w:rsidRPr="00BF03D1" w:rsidRDefault="00674EBF" w:rsidP="001F489F">
            <w:pPr>
              <w:jc w:val="center"/>
              <w:rPr>
                <w:bCs/>
                <w:sz w:val="18"/>
                <w:szCs w:val="18"/>
                <w:lang w:val="en-US"/>
              </w:rPr>
            </w:pPr>
            <w:r w:rsidRPr="00AD623B">
              <w:rPr>
                <w:bCs/>
                <w:sz w:val="18"/>
                <w:szCs w:val="18"/>
                <w:lang w:val="en-US"/>
              </w:rPr>
              <w:t>1° gennaio 201</w:t>
            </w:r>
            <w:r>
              <w:rPr>
                <w:bCs/>
                <w:sz w:val="18"/>
                <w:szCs w:val="18"/>
                <w:lang w:val="en-US"/>
              </w:rPr>
              <w:t>8</w:t>
            </w:r>
          </w:p>
        </w:tc>
        <w:tc>
          <w:tcPr>
            <w:tcW w:w="2411" w:type="dxa"/>
            <w:tcBorders>
              <w:top w:val="single" w:sz="4" w:space="0" w:color="auto"/>
              <w:left w:val="single" w:sz="4" w:space="0" w:color="auto"/>
              <w:bottom w:val="single" w:sz="4" w:space="0" w:color="auto"/>
              <w:right w:val="single" w:sz="4" w:space="0" w:color="auto"/>
            </w:tcBorders>
            <w:vAlign w:val="center"/>
          </w:tcPr>
          <w:p w:rsidR="00674EBF" w:rsidRDefault="00DA375F" w:rsidP="00136A38">
            <w:pPr>
              <w:jc w:val="center"/>
              <w:rPr>
                <w:bCs/>
                <w:sz w:val="18"/>
                <w:szCs w:val="18"/>
                <w:lang w:val="en-US"/>
              </w:rPr>
            </w:pPr>
            <w:r>
              <w:rPr>
                <w:bCs/>
                <w:sz w:val="18"/>
                <w:szCs w:val="18"/>
                <w:lang w:val="en-US"/>
              </w:rPr>
              <w:t>1° sem</w:t>
            </w:r>
            <w:r w:rsidR="00674EBF" w:rsidRPr="00374612">
              <w:rPr>
                <w:bCs/>
                <w:sz w:val="18"/>
                <w:szCs w:val="18"/>
                <w:lang w:val="en-US"/>
              </w:rPr>
              <w:t>estre 2017</w:t>
            </w:r>
          </w:p>
        </w:tc>
      </w:tr>
      <w:tr w:rsidR="00674EBF" w:rsidTr="004300E2">
        <w:trPr>
          <w:trHeight w:val="427"/>
        </w:trPr>
        <w:tc>
          <w:tcPr>
            <w:tcW w:w="3402"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3186"/>
            </w:tblGrid>
            <w:tr w:rsidR="00CA19A2" w:rsidRPr="00CA19A2">
              <w:trPr>
                <w:trHeight w:val="257"/>
              </w:trPr>
              <w:tc>
                <w:tcPr>
                  <w:tcW w:w="0" w:type="auto"/>
                </w:tcPr>
                <w:p w:rsidR="00CA19A2" w:rsidRPr="004300E2" w:rsidRDefault="00CA19A2" w:rsidP="004300E2">
                  <w:pPr>
                    <w:rPr>
                      <w:bCs/>
                      <w:sz w:val="18"/>
                      <w:szCs w:val="18"/>
                      <w:lang w:val="en-US"/>
                    </w:rPr>
                  </w:pPr>
                  <w:r w:rsidRPr="004300E2">
                    <w:rPr>
                      <w:bCs/>
                      <w:sz w:val="18"/>
                      <w:szCs w:val="18"/>
                      <w:lang w:val="en-US"/>
                    </w:rPr>
                    <w:t xml:space="preserve">Amendments to IFRS 2: Classification and Measurement of Share-based Payment Transactions </w:t>
                  </w:r>
                </w:p>
              </w:tc>
            </w:tr>
          </w:tbl>
          <w:p w:rsidR="00674EBF" w:rsidRPr="004300E2" w:rsidRDefault="00674EBF" w:rsidP="00BF03D1">
            <w:pPr>
              <w:jc w:val="left"/>
              <w:rPr>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74EBF" w:rsidRDefault="00674EBF" w:rsidP="00136A38">
            <w:pPr>
              <w:jc w:val="center"/>
              <w:rPr>
                <w:bCs/>
                <w:sz w:val="18"/>
                <w:szCs w:val="18"/>
                <w:lang w:val="en-US"/>
              </w:rPr>
            </w:pPr>
            <w:r>
              <w:rPr>
                <w:bCs/>
                <w:sz w:val="18"/>
                <w:szCs w:val="18"/>
                <w:lang w:val="en-US"/>
              </w:rPr>
              <w:t xml:space="preserve">giugno 2016 </w:t>
            </w:r>
          </w:p>
        </w:tc>
        <w:tc>
          <w:tcPr>
            <w:tcW w:w="1984" w:type="dxa"/>
            <w:tcBorders>
              <w:top w:val="single" w:sz="4" w:space="0" w:color="auto"/>
              <w:left w:val="single" w:sz="4" w:space="0" w:color="auto"/>
              <w:bottom w:val="single" w:sz="4" w:space="0" w:color="auto"/>
              <w:right w:val="single" w:sz="4" w:space="0" w:color="auto"/>
            </w:tcBorders>
          </w:tcPr>
          <w:p w:rsidR="001F489F" w:rsidRDefault="001F489F" w:rsidP="00136A38">
            <w:pPr>
              <w:jc w:val="center"/>
              <w:rPr>
                <w:bCs/>
                <w:sz w:val="18"/>
                <w:szCs w:val="18"/>
                <w:lang w:val="en-US"/>
              </w:rPr>
            </w:pPr>
          </w:p>
          <w:p w:rsidR="00674EBF" w:rsidRPr="00BF03D1" w:rsidRDefault="00674EBF" w:rsidP="00136A38">
            <w:pPr>
              <w:jc w:val="center"/>
              <w:rPr>
                <w:bCs/>
                <w:sz w:val="18"/>
                <w:szCs w:val="18"/>
                <w:lang w:val="en-US"/>
              </w:rPr>
            </w:pPr>
            <w:r w:rsidRPr="00AD623B">
              <w:rPr>
                <w:bCs/>
                <w:sz w:val="18"/>
                <w:szCs w:val="18"/>
                <w:lang w:val="en-US"/>
              </w:rPr>
              <w:t>1° gennaio 201</w:t>
            </w:r>
            <w:r>
              <w:rPr>
                <w:bCs/>
                <w:sz w:val="18"/>
                <w:szCs w:val="18"/>
                <w:lang w:val="en-US"/>
              </w:rPr>
              <w:t>8</w:t>
            </w:r>
          </w:p>
        </w:tc>
        <w:tc>
          <w:tcPr>
            <w:tcW w:w="2411" w:type="dxa"/>
            <w:tcBorders>
              <w:top w:val="single" w:sz="4" w:space="0" w:color="auto"/>
              <w:left w:val="single" w:sz="4" w:space="0" w:color="auto"/>
              <w:bottom w:val="single" w:sz="4" w:space="0" w:color="auto"/>
              <w:right w:val="single" w:sz="4" w:space="0" w:color="auto"/>
            </w:tcBorders>
            <w:vAlign w:val="center"/>
          </w:tcPr>
          <w:p w:rsidR="00674EBF" w:rsidRDefault="00674EBF" w:rsidP="00136A38">
            <w:pPr>
              <w:jc w:val="center"/>
              <w:rPr>
                <w:bCs/>
                <w:sz w:val="18"/>
                <w:szCs w:val="18"/>
                <w:lang w:val="en-US"/>
              </w:rPr>
            </w:pPr>
            <w:r>
              <w:rPr>
                <w:bCs/>
                <w:sz w:val="18"/>
                <w:szCs w:val="18"/>
                <w:lang w:val="en-US"/>
              </w:rPr>
              <w:t>2° semestre 2017</w:t>
            </w:r>
          </w:p>
        </w:tc>
      </w:tr>
      <w:tr w:rsidR="00674EBF" w:rsidTr="004300E2">
        <w:trPr>
          <w:trHeight w:val="427"/>
        </w:trPr>
        <w:tc>
          <w:tcPr>
            <w:tcW w:w="3402"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3186"/>
            </w:tblGrid>
            <w:tr w:rsidR="001F489F" w:rsidRPr="001F489F">
              <w:trPr>
                <w:trHeight w:val="255"/>
              </w:trPr>
              <w:tc>
                <w:tcPr>
                  <w:tcW w:w="0" w:type="auto"/>
                </w:tcPr>
                <w:p w:rsidR="001F489F" w:rsidRPr="004300E2" w:rsidRDefault="001F489F" w:rsidP="004300E2">
                  <w:pPr>
                    <w:rPr>
                      <w:bCs/>
                      <w:sz w:val="18"/>
                      <w:szCs w:val="18"/>
                      <w:lang w:val="en-US"/>
                    </w:rPr>
                  </w:pPr>
                  <w:r w:rsidRPr="004300E2">
                    <w:rPr>
                      <w:bCs/>
                      <w:sz w:val="18"/>
                      <w:szCs w:val="18"/>
                      <w:lang w:val="en-US"/>
                    </w:rPr>
                    <w:t xml:space="preserve">Amendments to IFRS 4: Applying IFRS 9 Financial Instruments with IFRS 4 Insurance Contracts </w:t>
                  </w:r>
                </w:p>
              </w:tc>
            </w:tr>
          </w:tbl>
          <w:p w:rsidR="00674EBF" w:rsidRPr="004300E2" w:rsidRDefault="00674EBF" w:rsidP="00BF03D1">
            <w:pPr>
              <w:jc w:val="left"/>
              <w:rPr>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74EBF" w:rsidRDefault="00674EBF" w:rsidP="00136A38">
            <w:pPr>
              <w:jc w:val="center"/>
              <w:rPr>
                <w:bCs/>
                <w:sz w:val="18"/>
                <w:szCs w:val="18"/>
                <w:lang w:val="en-US"/>
              </w:rPr>
            </w:pPr>
            <w:r>
              <w:rPr>
                <w:bCs/>
                <w:sz w:val="18"/>
                <w:szCs w:val="18"/>
                <w:lang w:val="en-US"/>
              </w:rPr>
              <w:t>settembre 2016</w:t>
            </w:r>
          </w:p>
        </w:tc>
        <w:tc>
          <w:tcPr>
            <w:tcW w:w="1984" w:type="dxa"/>
            <w:tcBorders>
              <w:top w:val="single" w:sz="4" w:space="0" w:color="auto"/>
              <w:left w:val="single" w:sz="4" w:space="0" w:color="auto"/>
              <w:bottom w:val="single" w:sz="4" w:space="0" w:color="auto"/>
              <w:right w:val="single" w:sz="4" w:space="0" w:color="auto"/>
            </w:tcBorders>
          </w:tcPr>
          <w:p w:rsidR="001F489F" w:rsidRDefault="001F489F" w:rsidP="00136A38">
            <w:pPr>
              <w:jc w:val="center"/>
              <w:rPr>
                <w:bCs/>
                <w:sz w:val="18"/>
                <w:szCs w:val="18"/>
                <w:lang w:val="en-US"/>
              </w:rPr>
            </w:pPr>
          </w:p>
          <w:p w:rsidR="00674EBF" w:rsidRPr="00BF03D1" w:rsidRDefault="00674EBF" w:rsidP="00136A38">
            <w:pPr>
              <w:jc w:val="center"/>
              <w:rPr>
                <w:bCs/>
                <w:sz w:val="18"/>
                <w:szCs w:val="18"/>
                <w:lang w:val="en-US"/>
              </w:rPr>
            </w:pPr>
            <w:r w:rsidRPr="00AD623B">
              <w:rPr>
                <w:bCs/>
                <w:sz w:val="18"/>
                <w:szCs w:val="18"/>
                <w:lang w:val="en-US"/>
              </w:rPr>
              <w:t>1° gennaio 201</w:t>
            </w:r>
            <w:r>
              <w:rPr>
                <w:bCs/>
                <w:sz w:val="18"/>
                <w:szCs w:val="18"/>
                <w:lang w:val="en-US"/>
              </w:rPr>
              <w:t>8</w:t>
            </w:r>
          </w:p>
        </w:tc>
        <w:tc>
          <w:tcPr>
            <w:tcW w:w="2411" w:type="dxa"/>
            <w:tcBorders>
              <w:top w:val="single" w:sz="4" w:space="0" w:color="auto"/>
              <w:left w:val="single" w:sz="4" w:space="0" w:color="auto"/>
              <w:bottom w:val="single" w:sz="4" w:space="0" w:color="auto"/>
              <w:right w:val="single" w:sz="4" w:space="0" w:color="auto"/>
            </w:tcBorders>
            <w:vAlign w:val="center"/>
          </w:tcPr>
          <w:p w:rsidR="00674EBF" w:rsidRDefault="00674EBF" w:rsidP="00136A38">
            <w:pPr>
              <w:jc w:val="center"/>
              <w:rPr>
                <w:bCs/>
                <w:sz w:val="18"/>
                <w:szCs w:val="18"/>
                <w:lang w:val="en-US"/>
              </w:rPr>
            </w:pPr>
            <w:r>
              <w:rPr>
                <w:bCs/>
                <w:sz w:val="18"/>
                <w:szCs w:val="18"/>
                <w:lang w:val="en-US"/>
              </w:rPr>
              <w:t>2017</w:t>
            </w:r>
          </w:p>
        </w:tc>
      </w:tr>
    </w:tbl>
    <w:p w:rsidR="00464D3A" w:rsidRDefault="00464D3A" w:rsidP="00613D1C">
      <w:pPr>
        <w:ind w:left="284" w:hanging="284"/>
        <w:rPr>
          <w:lang w:val="it-IT"/>
        </w:rPr>
      </w:pPr>
    </w:p>
    <w:p w:rsidR="002C7BC7" w:rsidRDefault="00464D3A" w:rsidP="003E3B0E">
      <w:pPr>
        <w:ind w:left="709" w:hanging="709"/>
        <w:rPr>
          <w:bCs/>
          <w:sz w:val="18"/>
          <w:szCs w:val="18"/>
          <w:lang w:val="it-IT"/>
        </w:rPr>
      </w:pPr>
      <w:r w:rsidRPr="00464D3A">
        <w:rPr>
          <w:bCs/>
          <w:sz w:val="18"/>
          <w:szCs w:val="18"/>
          <w:lang w:val="it-IT"/>
        </w:rPr>
        <w:t>(</w:t>
      </w:r>
      <w:r>
        <w:rPr>
          <w:bCs/>
          <w:sz w:val="18"/>
          <w:szCs w:val="18"/>
          <w:lang w:val="it-IT"/>
        </w:rPr>
        <w:t>N</w:t>
      </w:r>
      <w:r w:rsidRPr="004300E2">
        <w:rPr>
          <w:bCs/>
          <w:sz w:val="18"/>
          <w:szCs w:val="18"/>
          <w:lang w:val="it-IT"/>
        </w:rPr>
        <w:t xml:space="preserve">ota 1) </w:t>
      </w:r>
      <w:r w:rsidR="00FC1E6E">
        <w:rPr>
          <w:bCs/>
          <w:sz w:val="18"/>
          <w:szCs w:val="18"/>
          <w:lang w:val="it-IT"/>
        </w:rPr>
        <w:tab/>
        <w:t>L’IFRS 14 è entrato in vigore dal 1° gennaio 2016, ma l</w:t>
      </w:r>
      <w:r w:rsidRPr="00180BDA">
        <w:rPr>
          <w:bCs/>
          <w:sz w:val="18"/>
          <w:szCs w:val="18"/>
          <w:lang w:val="it-IT"/>
        </w:rPr>
        <w:t>a Commissione Europea ha deciso di sospendere il processo di omologazione</w:t>
      </w:r>
      <w:r w:rsidR="00FC1E6E">
        <w:rPr>
          <w:bCs/>
          <w:sz w:val="18"/>
          <w:szCs w:val="18"/>
          <w:lang w:val="it-IT"/>
        </w:rPr>
        <w:t xml:space="preserve"> </w:t>
      </w:r>
      <w:r w:rsidRPr="00180BDA">
        <w:rPr>
          <w:bCs/>
          <w:sz w:val="18"/>
          <w:szCs w:val="18"/>
          <w:lang w:val="it-IT"/>
        </w:rPr>
        <w:t xml:space="preserve">in attesa </w:t>
      </w:r>
      <w:r w:rsidR="00FC1E6E">
        <w:rPr>
          <w:bCs/>
          <w:sz w:val="18"/>
          <w:szCs w:val="18"/>
          <w:lang w:val="it-IT"/>
        </w:rPr>
        <w:t>del nuovo principio contabile sui “rate-regulated activities”</w:t>
      </w:r>
      <w:r>
        <w:rPr>
          <w:bCs/>
          <w:sz w:val="18"/>
          <w:szCs w:val="18"/>
          <w:lang w:val="it-IT"/>
        </w:rPr>
        <w:t>.</w:t>
      </w:r>
    </w:p>
    <w:p w:rsidR="00464D3A" w:rsidRPr="004300E2" w:rsidRDefault="00464D3A" w:rsidP="00613D1C">
      <w:pPr>
        <w:ind w:left="284" w:hanging="284"/>
        <w:rPr>
          <w:lang w:val="it-IT"/>
        </w:rPr>
      </w:pPr>
    </w:p>
    <w:sectPr w:rsidR="00464D3A" w:rsidRPr="004300E2" w:rsidSect="00C356F7">
      <w:headerReference w:type="even" r:id="rId16"/>
      <w:headerReference w:type="default" r:id="rId17"/>
      <w:footerReference w:type="default" r:id="rId18"/>
      <w:pgSz w:w="11906" w:h="16838" w:code="9"/>
      <w:pgMar w:top="1134" w:right="851" w:bottom="851" w:left="85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FB3" w:rsidRDefault="00750FB3">
      <w:r>
        <w:separator/>
      </w:r>
    </w:p>
    <w:p w:rsidR="00750FB3" w:rsidRDefault="00750FB3"/>
  </w:endnote>
  <w:endnote w:type="continuationSeparator" w:id="0">
    <w:p w:rsidR="00750FB3" w:rsidRDefault="00750FB3">
      <w:r>
        <w:continuationSeparator/>
      </w:r>
    </w:p>
    <w:p w:rsidR="00750FB3" w:rsidRDefault="00750FB3"/>
  </w:endnote>
  <w:endnote w:type="continuationNotice" w:id="1">
    <w:p w:rsidR="00750FB3" w:rsidRDefault="00750FB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embedRegular r:id="rId1" w:subsetted="1" w:fontKey="{7B7FB4FF-E176-4D04-B0D2-83FEBB1BC3A1}"/>
  </w:font>
  <w:font w:name="Arial Narrow">
    <w:panose1 w:val="020B0606020202030204"/>
    <w:charset w:val="00"/>
    <w:family w:val="swiss"/>
    <w:pitch w:val="variable"/>
    <w:sig w:usb0="00000287" w:usb1="00000800" w:usb2="00000000" w:usb3="00000000" w:csb0="0000009F" w:csb1="00000000"/>
    <w:embedRegular r:id="rId2" w:fontKey="{04F0AA30-3C8F-441F-83C0-627AD139516F}"/>
    <w:embedBold r:id="rId3" w:fontKey="{85BB0E59-0F5A-476E-B855-3FB78F369C74}"/>
    <w:embedItalic r:id="rId4" w:fontKey="{CA4059A5-7005-48BA-AFFE-8C73A5415BF7}"/>
    <w:embedBoldItalic r:id="rId5" w:fontKey="{B50BB1C2-CA26-4082-B3E6-E964876D1D6D}"/>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EY Gothic Comp BookPS">
    <w:altName w:val="Arial"/>
    <w:panose1 w:val="00000000000000000000"/>
    <w:charset w:val="00"/>
    <w:family w:val="swiss"/>
    <w:notTrueType/>
    <w:pitch w:val="variable"/>
    <w:sig w:usb0="00000083" w:usb1="00000000" w:usb2="00000000" w:usb3="00000000" w:csb0="00000009" w:csb1="00000000"/>
  </w:font>
  <w:font w:name="Times">
    <w:panose1 w:val="020206030504050203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Linotype">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E67" w:rsidRPr="008E710C" w:rsidRDefault="005A2E67" w:rsidP="008E710C">
    <w:pPr>
      <w:pStyle w:val="Intestazione"/>
      <w:pBdr>
        <w:bottom w:val="none" w:sz="0" w:space="0" w:color="auto"/>
      </w:pBdr>
      <w:tabs>
        <w:tab w:val="clear" w:pos="9072"/>
        <w:tab w:val="right" w:pos="10206"/>
      </w:tabs>
      <w:jc w:val="left"/>
      <w:rPr>
        <w:lang w:val="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E67" w:rsidRPr="008E710C" w:rsidRDefault="005A2E67" w:rsidP="008E710C">
    <w:pPr>
      <w:pStyle w:val="Intestazione"/>
      <w:pBdr>
        <w:bottom w:val="none" w:sz="0" w:space="0" w:color="auto"/>
      </w:pBdr>
      <w:tabs>
        <w:tab w:val="clear" w:pos="9072"/>
        <w:tab w:val="right" w:pos="10206"/>
      </w:tabs>
      <w:jc w:val="left"/>
      <w:rPr>
        <w:lang w:val="it-IT"/>
      </w:rPr>
    </w:pPr>
    <w:r>
      <w:rPr>
        <w:lang w:val="it-IT"/>
      </w:rPr>
      <w:t xml:space="preserve">BILANCI </w:t>
    </w:r>
    <w:r w:rsidRPr="00990D18">
      <w:rPr>
        <w:lang w:val="it-IT"/>
      </w:rPr>
      <w:t xml:space="preserve">IAS/IFRS </w:t>
    </w:r>
    <w:r>
      <w:rPr>
        <w:lang w:val="it-IT"/>
      </w:rPr>
      <w:t xml:space="preserve">- LISTA DI CONTROLLO 2016 </w:t>
    </w:r>
    <w:r w:rsidRPr="00B267A4">
      <w:rPr>
        <w:lang w:val="it-IT"/>
      </w:rPr>
      <w:tab/>
    </w:r>
    <w:r>
      <w:fldChar w:fldCharType="begin"/>
    </w:r>
    <w:r w:rsidRPr="0097153D">
      <w:rPr>
        <w:lang w:val="it-IT"/>
      </w:rPr>
      <w:instrText xml:space="preserve"> PAGE </w:instrText>
    </w:r>
    <w:r>
      <w:fldChar w:fldCharType="separate"/>
    </w:r>
    <w:r w:rsidR="003F17AC">
      <w:rPr>
        <w:lang w:val="it-IT"/>
      </w:rPr>
      <w:t>2</w:t>
    </w:r>
    <w:r>
      <w:fldChar w:fldCharType="end"/>
    </w:r>
    <w:r w:rsidRPr="0097153D">
      <w:rPr>
        <w:lang w:val="it-IT"/>
      </w:rPr>
      <w:t xml:space="preserve"> di </w:t>
    </w:r>
    <w:r>
      <w:fldChar w:fldCharType="begin"/>
    </w:r>
    <w:r w:rsidRPr="0097153D">
      <w:rPr>
        <w:lang w:val="it-IT"/>
      </w:rPr>
      <w:instrText xml:space="preserve"> NUMPAGES  </w:instrText>
    </w:r>
    <w:r>
      <w:fldChar w:fldCharType="separate"/>
    </w:r>
    <w:r w:rsidR="003F17AC">
      <w:rPr>
        <w:lang w:val="it-IT"/>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FB3" w:rsidRDefault="00750FB3">
      <w:r>
        <w:separator/>
      </w:r>
    </w:p>
    <w:p w:rsidR="00750FB3" w:rsidRDefault="00750FB3"/>
  </w:footnote>
  <w:footnote w:type="continuationSeparator" w:id="0">
    <w:p w:rsidR="00750FB3" w:rsidRDefault="00750FB3">
      <w:r>
        <w:continuationSeparator/>
      </w:r>
    </w:p>
    <w:p w:rsidR="00750FB3" w:rsidRDefault="00750FB3"/>
  </w:footnote>
  <w:footnote w:type="continuationNotice" w:id="1">
    <w:p w:rsidR="00750FB3" w:rsidRDefault="00750FB3">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E67" w:rsidRDefault="005A2E67" w:rsidP="00684F6E">
    <w:pPr>
      <w:pStyle w:val="Intestazione"/>
      <w:pBdr>
        <w:bottom w:val="none" w:sz="0" w:space="0" w:color="auto"/>
      </w:pBdr>
      <w:tabs>
        <w:tab w:val="clear" w:pos="9072"/>
        <w:tab w:val="left" w:pos="1578"/>
      </w:tabs>
    </w:pPr>
    <w:r>
      <w:rPr>
        <w:rFonts w:ascii="Times New Roman" w:hAnsi="Times New Roman"/>
        <w:sz w:val="24"/>
        <w:szCs w:val="24"/>
        <w:lang w:val="it-IT" w:eastAsia="it-IT"/>
      </w:rPr>
      <w:drawing>
        <wp:anchor distT="0" distB="0" distL="114300" distR="114300" simplePos="0" relativeHeight="251657216" behindDoc="0" locked="0" layoutInCell="1" allowOverlap="1" wp14:anchorId="2010CBE0" wp14:editId="3F6A1AA1">
          <wp:simplePos x="0" y="0"/>
          <wp:positionH relativeFrom="column">
            <wp:posOffset>-635</wp:posOffset>
          </wp:positionH>
          <wp:positionV relativeFrom="paragraph">
            <wp:posOffset>0</wp:posOffset>
          </wp:positionV>
          <wp:extent cx="919480" cy="151130"/>
          <wp:effectExtent l="19050" t="0" r="0" b="0"/>
          <wp:wrapNone/>
          <wp:docPr id="1" name="Immagine 1" descr="assirevi_xcartaint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ssirevi_xcartaintesta"/>
                  <pic:cNvPicPr>
                    <a:picLocks noChangeAspect="1" noChangeArrowheads="1"/>
                  </pic:cNvPicPr>
                </pic:nvPicPr>
                <pic:blipFill>
                  <a:blip r:embed="rId1">
                    <a:lum contrast="6000"/>
                  </a:blip>
                  <a:srcRect/>
                  <a:stretch>
                    <a:fillRect/>
                  </a:stretch>
                </pic:blipFill>
                <pic:spPr bwMode="auto">
                  <a:xfrm>
                    <a:off x="0" y="0"/>
                    <a:ext cx="919480" cy="151130"/>
                  </a:xfrm>
                  <a:prstGeom prst="rect">
                    <a:avLst/>
                  </a:prstGeom>
                  <a:noFill/>
                </pic:spPr>
              </pic:pic>
            </a:graphicData>
          </a:graphic>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E67" w:rsidRDefault="005A2E6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E67" w:rsidRPr="00175655" w:rsidRDefault="005A2E67" w:rsidP="00175655">
    <w:pPr>
      <w:pStyle w:val="Intestazione"/>
      <w:pBdr>
        <w:bottom w:val="none" w:sz="0" w:space="0" w:color="auto"/>
      </w:pBdr>
    </w:pPr>
    <w:r>
      <w:rPr>
        <w:lang w:val="it-IT" w:eastAsia="it-IT"/>
      </w:rPr>
      <w:drawing>
        <wp:anchor distT="0" distB="0" distL="114300" distR="114300" simplePos="0" relativeHeight="251657728" behindDoc="0" locked="0" layoutInCell="1" allowOverlap="1" wp14:anchorId="5EF11162" wp14:editId="2561BCFE">
          <wp:simplePos x="0" y="0"/>
          <wp:positionH relativeFrom="column">
            <wp:posOffset>-27940</wp:posOffset>
          </wp:positionH>
          <wp:positionV relativeFrom="paragraph">
            <wp:posOffset>1270</wp:posOffset>
          </wp:positionV>
          <wp:extent cx="919480" cy="151130"/>
          <wp:effectExtent l="19050" t="0" r="0" b="0"/>
          <wp:wrapNone/>
          <wp:docPr id="2" name="Immagine 1" descr="assirevi_xcartaint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ssirevi_xcartaintesta"/>
                  <pic:cNvPicPr>
                    <a:picLocks noChangeAspect="1" noChangeArrowheads="1"/>
                  </pic:cNvPicPr>
                </pic:nvPicPr>
                <pic:blipFill>
                  <a:blip r:embed="rId1">
                    <a:lum contrast="6000"/>
                  </a:blip>
                  <a:srcRect/>
                  <a:stretch>
                    <a:fillRect/>
                  </a:stretch>
                </pic:blipFill>
                <pic:spPr bwMode="auto">
                  <a:xfrm>
                    <a:off x="0" y="0"/>
                    <a:ext cx="919480" cy="151130"/>
                  </a:xfrm>
                  <a:prstGeom prst="rect">
                    <a:avLst/>
                  </a:prstGeom>
                  <a:noFill/>
                </pic:spPr>
              </pic:pic>
            </a:graphicData>
          </a:graphic>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1F20734"/>
    <w:lvl w:ilvl="0">
      <w:start w:val="1"/>
      <w:numFmt w:val="decimal"/>
      <w:pStyle w:val="Numeroelenco"/>
      <w:lvlText w:val="%1)"/>
      <w:lvlJc w:val="left"/>
      <w:pPr>
        <w:ind w:left="502" w:hanging="360"/>
      </w:pPr>
      <w:rPr>
        <w:rFonts w:hint="default"/>
        <w:b/>
        <w:color w:val="auto"/>
      </w:rPr>
    </w:lvl>
  </w:abstractNum>
  <w:abstractNum w:abstractNumId="1">
    <w:nsid w:val="01CE6203"/>
    <w:multiLevelType w:val="hybridMultilevel"/>
    <w:tmpl w:val="A586A49C"/>
    <w:lvl w:ilvl="0" w:tplc="E5B6F3B8">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
    <w:nsid w:val="04EE57B4"/>
    <w:multiLevelType w:val="hybridMultilevel"/>
    <w:tmpl w:val="D83AAF10"/>
    <w:lvl w:ilvl="0" w:tplc="8696D0B4">
      <w:start w:val="1"/>
      <w:numFmt w:val="lowerLetter"/>
      <w:lvlText w:val="%1)"/>
      <w:lvlJc w:val="left"/>
      <w:pPr>
        <w:ind w:left="72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7311C21"/>
    <w:multiLevelType w:val="hybridMultilevel"/>
    <w:tmpl w:val="EFC4DBB2"/>
    <w:lvl w:ilvl="0" w:tplc="62F6FBA0">
      <w:start w:val="1"/>
      <w:numFmt w:val="lowerLetter"/>
      <w:lvlText w:val="%1)"/>
      <w:lvlJc w:val="left"/>
      <w:pPr>
        <w:ind w:left="392" w:hanging="360"/>
      </w:pPr>
      <w:rPr>
        <w:rFonts w:hint="default"/>
        <w:sz w:val="20"/>
      </w:rPr>
    </w:lvl>
    <w:lvl w:ilvl="1" w:tplc="04100019" w:tentative="1">
      <w:start w:val="1"/>
      <w:numFmt w:val="lowerLetter"/>
      <w:lvlText w:val="%2."/>
      <w:lvlJc w:val="left"/>
      <w:pPr>
        <w:ind w:left="1112" w:hanging="360"/>
      </w:pPr>
    </w:lvl>
    <w:lvl w:ilvl="2" w:tplc="0410001B" w:tentative="1">
      <w:start w:val="1"/>
      <w:numFmt w:val="lowerRoman"/>
      <w:lvlText w:val="%3."/>
      <w:lvlJc w:val="right"/>
      <w:pPr>
        <w:ind w:left="1832" w:hanging="180"/>
      </w:pPr>
    </w:lvl>
    <w:lvl w:ilvl="3" w:tplc="0410000F" w:tentative="1">
      <w:start w:val="1"/>
      <w:numFmt w:val="decimal"/>
      <w:lvlText w:val="%4."/>
      <w:lvlJc w:val="left"/>
      <w:pPr>
        <w:ind w:left="2552" w:hanging="360"/>
      </w:pPr>
    </w:lvl>
    <w:lvl w:ilvl="4" w:tplc="04100019" w:tentative="1">
      <w:start w:val="1"/>
      <w:numFmt w:val="lowerLetter"/>
      <w:lvlText w:val="%5."/>
      <w:lvlJc w:val="left"/>
      <w:pPr>
        <w:ind w:left="3272" w:hanging="360"/>
      </w:pPr>
    </w:lvl>
    <w:lvl w:ilvl="5" w:tplc="0410001B" w:tentative="1">
      <w:start w:val="1"/>
      <w:numFmt w:val="lowerRoman"/>
      <w:lvlText w:val="%6."/>
      <w:lvlJc w:val="right"/>
      <w:pPr>
        <w:ind w:left="3992" w:hanging="180"/>
      </w:pPr>
    </w:lvl>
    <w:lvl w:ilvl="6" w:tplc="0410000F" w:tentative="1">
      <w:start w:val="1"/>
      <w:numFmt w:val="decimal"/>
      <w:lvlText w:val="%7."/>
      <w:lvlJc w:val="left"/>
      <w:pPr>
        <w:ind w:left="4712" w:hanging="360"/>
      </w:pPr>
    </w:lvl>
    <w:lvl w:ilvl="7" w:tplc="04100019" w:tentative="1">
      <w:start w:val="1"/>
      <w:numFmt w:val="lowerLetter"/>
      <w:lvlText w:val="%8."/>
      <w:lvlJc w:val="left"/>
      <w:pPr>
        <w:ind w:left="5432" w:hanging="360"/>
      </w:pPr>
    </w:lvl>
    <w:lvl w:ilvl="8" w:tplc="0410001B" w:tentative="1">
      <w:start w:val="1"/>
      <w:numFmt w:val="lowerRoman"/>
      <w:lvlText w:val="%9."/>
      <w:lvlJc w:val="right"/>
      <w:pPr>
        <w:ind w:left="6152" w:hanging="180"/>
      </w:pPr>
    </w:lvl>
  </w:abstractNum>
  <w:abstractNum w:abstractNumId="4">
    <w:nsid w:val="0C89103C"/>
    <w:multiLevelType w:val="hybridMultilevel"/>
    <w:tmpl w:val="731A494A"/>
    <w:lvl w:ilvl="0" w:tplc="102CE316">
      <w:start w:val="1"/>
      <w:numFmt w:val="bullet"/>
      <w:pStyle w:val="Puntoelenco"/>
      <w:lvlText w:val="-"/>
      <w:lvlJc w:val="left"/>
      <w:pPr>
        <w:tabs>
          <w:tab w:val="num" w:pos="780"/>
        </w:tabs>
        <w:ind w:left="780" w:hanging="420"/>
      </w:pPr>
      <w:rPr>
        <w:rFonts w:ascii="Arial Narrow" w:hAnsi="Arial Narrow" w:hint="default"/>
        <w:b w:val="0"/>
        <w:i w:val="0"/>
        <w:sz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C77128"/>
    <w:multiLevelType w:val="hybridMultilevel"/>
    <w:tmpl w:val="C826F988"/>
    <w:lvl w:ilvl="0" w:tplc="0410000B">
      <w:start w:val="1"/>
      <w:numFmt w:val="bullet"/>
      <w:lvlText w:val=""/>
      <w:lvlJc w:val="left"/>
      <w:pPr>
        <w:ind w:left="752" w:hanging="360"/>
      </w:pPr>
      <w:rPr>
        <w:rFonts w:ascii="Wingdings" w:hAnsi="Wingdings" w:hint="default"/>
      </w:rPr>
    </w:lvl>
    <w:lvl w:ilvl="1" w:tplc="04100003" w:tentative="1">
      <w:start w:val="1"/>
      <w:numFmt w:val="bullet"/>
      <w:lvlText w:val="o"/>
      <w:lvlJc w:val="left"/>
      <w:pPr>
        <w:ind w:left="1472" w:hanging="360"/>
      </w:pPr>
      <w:rPr>
        <w:rFonts w:ascii="Courier New" w:hAnsi="Courier New" w:cs="Courier New" w:hint="default"/>
      </w:rPr>
    </w:lvl>
    <w:lvl w:ilvl="2" w:tplc="04100005" w:tentative="1">
      <w:start w:val="1"/>
      <w:numFmt w:val="bullet"/>
      <w:lvlText w:val=""/>
      <w:lvlJc w:val="left"/>
      <w:pPr>
        <w:ind w:left="2192" w:hanging="360"/>
      </w:pPr>
      <w:rPr>
        <w:rFonts w:ascii="Wingdings" w:hAnsi="Wingdings" w:hint="default"/>
      </w:rPr>
    </w:lvl>
    <w:lvl w:ilvl="3" w:tplc="04100001" w:tentative="1">
      <w:start w:val="1"/>
      <w:numFmt w:val="bullet"/>
      <w:lvlText w:val=""/>
      <w:lvlJc w:val="left"/>
      <w:pPr>
        <w:ind w:left="2912" w:hanging="360"/>
      </w:pPr>
      <w:rPr>
        <w:rFonts w:ascii="Symbol" w:hAnsi="Symbol" w:hint="default"/>
      </w:rPr>
    </w:lvl>
    <w:lvl w:ilvl="4" w:tplc="04100003" w:tentative="1">
      <w:start w:val="1"/>
      <w:numFmt w:val="bullet"/>
      <w:lvlText w:val="o"/>
      <w:lvlJc w:val="left"/>
      <w:pPr>
        <w:ind w:left="3632" w:hanging="360"/>
      </w:pPr>
      <w:rPr>
        <w:rFonts w:ascii="Courier New" w:hAnsi="Courier New" w:cs="Courier New" w:hint="default"/>
      </w:rPr>
    </w:lvl>
    <w:lvl w:ilvl="5" w:tplc="04100005" w:tentative="1">
      <w:start w:val="1"/>
      <w:numFmt w:val="bullet"/>
      <w:lvlText w:val=""/>
      <w:lvlJc w:val="left"/>
      <w:pPr>
        <w:ind w:left="4352" w:hanging="360"/>
      </w:pPr>
      <w:rPr>
        <w:rFonts w:ascii="Wingdings" w:hAnsi="Wingdings" w:hint="default"/>
      </w:rPr>
    </w:lvl>
    <w:lvl w:ilvl="6" w:tplc="04100001" w:tentative="1">
      <w:start w:val="1"/>
      <w:numFmt w:val="bullet"/>
      <w:lvlText w:val=""/>
      <w:lvlJc w:val="left"/>
      <w:pPr>
        <w:ind w:left="5072" w:hanging="360"/>
      </w:pPr>
      <w:rPr>
        <w:rFonts w:ascii="Symbol" w:hAnsi="Symbol" w:hint="default"/>
      </w:rPr>
    </w:lvl>
    <w:lvl w:ilvl="7" w:tplc="04100003" w:tentative="1">
      <w:start w:val="1"/>
      <w:numFmt w:val="bullet"/>
      <w:lvlText w:val="o"/>
      <w:lvlJc w:val="left"/>
      <w:pPr>
        <w:ind w:left="5792" w:hanging="360"/>
      </w:pPr>
      <w:rPr>
        <w:rFonts w:ascii="Courier New" w:hAnsi="Courier New" w:cs="Courier New" w:hint="default"/>
      </w:rPr>
    </w:lvl>
    <w:lvl w:ilvl="8" w:tplc="04100005" w:tentative="1">
      <w:start w:val="1"/>
      <w:numFmt w:val="bullet"/>
      <w:lvlText w:val=""/>
      <w:lvlJc w:val="left"/>
      <w:pPr>
        <w:ind w:left="6512" w:hanging="360"/>
      </w:pPr>
      <w:rPr>
        <w:rFonts w:ascii="Wingdings" w:hAnsi="Wingdings" w:hint="default"/>
      </w:rPr>
    </w:lvl>
  </w:abstractNum>
  <w:abstractNum w:abstractNumId="6">
    <w:nsid w:val="0D43046C"/>
    <w:multiLevelType w:val="hybridMultilevel"/>
    <w:tmpl w:val="4F82B6EC"/>
    <w:lvl w:ilvl="0" w:tplc="FC5C15B6">
      <w:start w:val="1"/>
      <w:numFmt w:val="lowerLetter"/>
      <w:lvlText w:val="%1)"/>
      <w:lvlJc w:val="left"/>
      <w:pPr>
        <w:ind w:left="392" w:hanging="360"/>
      </w:pPr>
      <w:rPr>
        <w:rFonts w:hint="default"/>
      </w:rPr>
    </w:lvl>
    <w:lvl w:ilvl="1" w:tplc="04100019" w:tentative="1">
      <w:start w:val="1"/>
      <w:numFmt w:val="lowerLetter"/>
      <w:lvlText w:val="%2."/>
      <w:lvlJc w:val="left"/>
      <w:pPr>
        <w:ind w:left="1112" w:hanging="360"/>
      </w:pPr>
    </w:lvl>
    <w:lvl w:ilvl="2" w:tplc="0410001B" w:tentative="1">
      <w:start w:val="1"/>
      <w:numFmt w:val="lowerRoman"/>
      <w:lvlText w:val="%3."/>
      <w:lvlJc w:val="right"/>
      <w:pPr>
        <w:ind w:left="1832" w:hanging="180"/>
      </w:pPr>
    </w:lvl>
    <w:lvl w:ilvl="3" w:tplc="0410000F" w:tentative="1">
      <w:start w:val="1"/>
      <w:numFmt w:val="decimal"/>
      <w:lvlText w:val="%4."/>
      <w:lvlJc w:val="left"/>
      <w:pPr>
        <w:ind w:left="2552" w:hanging="360"/>
      </w:pPr>
    </w:lvl>
    <w:lvl w:ilvl="4" w:tplc="04100019" w:tentative="1">
      <w:start w:val="1"/>
      <w:numFmt w:val="lowerLetter"/>
      <w:lvlText w:val="%5."/>
      <w:lvlJc w:val="left"/>
      <w:pPr>
        <w:ind w:left="3272" w:hanging="360"/>
      </w:pPr>
    </w:lvl>
    <w:lvl w:ilvl="5" w:tplc="0410001B" w:tentative="1">
      <w:start w:val="1"/>
      <w:numFmt w:val="lowerRoman"/>
      <w:lvlText w:val="%6."/>
      <w:lvlJc w:val="right"/>
      <w:pPr>
        <w:ind w:left="3992" w:hanging="180"/>
      </w:pPr>
    </w:lvl>
    <w:lvl w:ilvl="6" w:tplc="0410000F" w:tentative="1">
      <w:start w:val="1"/>
      <w:numFmt w:val="decimal"/>
      <w:lvlText w:val="%7."/>
      <w:lvlJc w:val="left"/>
      <w:pPr>
        <w:ind w:left="4712" w:hanging="360"/>
      </w:pPr>
    </w:lvl>
    <w:lvl w:ilvl="7" w:tplc="04100019" w:tentative="1">
      <w:start w:val="1"/>
      <w:numFmt w:val="lowerLetter"/>
      <w:lvlText w:val="%8."/>
      <w:lvlJc w:val="left"/>
      <w:pPr>
        <w:ind w:left="5432" w:hanging="360"/>
      </w:pPr>
    </w:lvl>
    <w:lvl w:ilvl="8" w:tplc="0410001B" w:tentative="1">
      <w:start w:val="1"/>
      <w:numFmt w:val="lowerRoman"/>
      <w:lvlText w:val="%9."/>
      <w:lvlJc w:val="right"/>
      <w:pPr>
        <w:ind w:left="6152" w:hanging="180"/>
      </w:pPr>
    </w:lvl>
  </w:abstractNum>
  <w:abstractNum w:abstractNumId="7">
    <w:nsid w:val="0E9D534A"/>
    <w:multiLevelType w:val="hybridMultilevel"/>
    <w:tmpl w:val="2402C3FE"/>
    <w:lvl w:ilvl="0" w:tplc="9400535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0D3C5D"/>
    <w:multiLevelType w:val="hybridMultilevel"/>
    <w:tmpl w:val="D892D558"/>
    <w:lvl w:ilvl="0" w:tplc="9488CB18">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9">
    <w:nsid w:val="131B2F60"/>
    <w:multiLevelType w:val="hybridMultilevel"/>
    <w:tmpl w:val="19ECF652"/>
    <w:lvl w:ilvl="0" w:tplc="CD6AEB14">
      <w:start w:val="1"/>
      <w:numFmt w:val="lowerLetter"/>
      <w:lvlText w:val="%1)"/>
      <w:lvlJc w:val="left"/>
      <w:pPr>
        <w:ind w:left="392" w:hanging="360"/>
      </w:pPr>
      <w:rPr>
        <w:rFonts w:hint="default"/>
      </w:rPr>
    </w:lvl>
    <w:lvl w:ilvl="1" w:tplc="04100019" w:tentative="1">
      <w:start w:val="1"/>
      <w:numFmt w:val="lowerLetter"/>
      <w:lvlText w:val="%2."/>
      <w:lvlJc w:val="left"/>
      <w:pPr>
        <w:ind w:left="1112" w:hanging="360"/>
      </w:pPr>
    </w:lvl>
    <w:lvl w:ilvl="2" w:tplc="0410001B" w:tentative="1">
      <w:start w:val="1"/>
      <w:numFmt w:val="lowerRoman"/>
      <w:lvlText w:val="%3."/>
      <w:lvlJc w:val="right"/>
      <w:pPr>
        <w:ind w:left="1832" w:hanging="180"/>
      </w:pPr>
    </w:lvl>
    <w:lvl w:ilvl="3" w:tplc="0410000F" w:tentative="1">
      <w:start w:val="1"/>
      <w:numFmt w:val="decimal"/>
      <w:lvlText w:val="%4."/>
      <w:lvlJc w:val="left"/>
      <w:pPr>
        <w:ind w:left="2552" w:hanging="360"/>
      </w:pPr>
    </w:lvl>
    <w:lvl w:ilvl="4" w:tplc="04100019" w:tentative="1">
      <w:start w:val="1"/>
      <w:numFmt w:val="lowerLetter"/>
      <w:lvlText w:val="%5."/>
      <w:lvlJc w:val="left"/>
      <w:pPr>
        <w:ind w:left="3272" w:hanging="360"/>
      </w:pPr>
    </w:lvl>
    <w:lvl w:ilvl="5" w:tplc="0410001B" w:tentative="1">
      <w:start w:val="1"/>
      <w:numFmt w:val="lowerRoman"/>
      <w:lvlText w:val="%6."/>
      <w:lvlJc w:val="right"/>
      <w:pPr>
        <w:ind w:left="3992" w:hanging="180"/>
      </w:pPr>
    </w:lvl>
    <w:lvl w:ilvl="6" w:tplc="0410000F" w:tentative="1">
      <w:start w:val="1"/>
      <w:numFmt w:val="decimal"/>
      <w:lvlText w:val="%7."/>
      <w:lvlJc w:val="left"/>
      <w:pPr>
        <w:ind w:left="4712" w:hanging="360"/>
      </w:pPr>
    </w:lvl>
    <w:lvl w:ilvl="7" w:tplc="04100019" w:tentative="1">
      <w:start w:val="1"/>
      <w:numFmt w:val="lowerLetter"/>
      <w:lvlText w:val="%8."/>
      <w:lvlJc w:val="left"/>
      <w:pPr>
        <w:ind w:left="5432" w:hanging="360"/>
      </w:pPr>
    </w:lvl>
    <w:lvl w:ilvl="8" w:tplc="0410001B" w:tentative="1">
      <w:start w:val="1"/>
      <w:numFmt w:val="lowerRoman"/>
      <w:lvlText w:val="%9."/>
      <w:lvlJc w:val="right"/>
      <w:pPr>
        <w:ind w:left="6152" w:hanging="180"/>
      </w:pPr>
    </w:lvl>
  </w:abstractNum>
  <w:abstractNum w:abstractNumId="10">
    <w:nsid w:val="16B25E9D"/>
    <w:multiLevelType w:val="hybridMultilevel"/>
    <w:tmpl w:val="08223CE8"/>
    <w:lvl w:ilvl="0" w:tplc="40ECF1FC">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16BD7457"/>
    <w:multiLevelType w:val="hybridMultilevel"/>
    <w:tmpl w:val="14E01FDE"/>
    <w:lvl w:ilvl="0" w:tplc="D2F21CE0">
      <w:start w:val="1"/>
      <w:numFmt w:val="lowerRoman"/>
      <w:lvlText w:val="%1)"/>
      <w:lvlJc w:val="left"/>
      <w:pPr>
        <w:ind w:left="1603" w:hanging="720"/>
      </w:pPr>
      <w:rPr>
        <w:rFonts w:hint="default"/>
      </w:rPr>
    </w:lvl>
    <w:lvl w:ilvl="1" w:tplc="04100019" w:tentative="1">
      <w:start w:val="1"/>
      <w:numFmt w:val="lowerLetter"/>
      <w:lvlText w:val="%2."/>
      <w:lvlJc w:val="left"/>
      <w:pPr>
        <w:ind w:left="1963" w:hanging="360"/>
      </w:pPr>
    </w:lvl>
    <w:lvl w:ilvl="2" w:tplc="0410001B" w:tentative="1">
      <w:start w:val="1"/>
      <w:numFmt w:val="lowerRoman"/>
      <w:lvlText w:val="%3."/>
      <w:lvlJc w:val="right"/>
      <w:pPr>
        <w:ind w:left="2683" w:hanging="180"/>
      </w:pPr>
    </w:lvl>
    <w:lvl w:ilvl="3" w:tplc="0410000F" w:tentative="1">
      <w:start w:val="1"/>
      <w:numFmt w:val="decimal"/>
      <w:lvlText w:val="%4."/>
      <w:lvlJc w:val="left"/>
      <w:pPr>
        <w:ind w:left="3403" w:hanging="360"/>
      </w:pPr>
    </w:lvl>
    <w:lvl w:ilvl="4" w:tplc="04100019" w:tentative="1">
      <w:start w:val="1"/>
      <w:numFmt w:val="lowerLetter"/>
      <w:lvlText w:val="%5."/>
      <w:lvlJc w:val="left"/>
      <w:pPr>
        <w:ind w:left="4123" w:hanging="360"/>
      </w:pPr>
    </w:lvl>
    <w:lvl w:ilvl="5" w:tplc="0410001B" w:tentative="1">
      <w:start w:val="1"/>
      <w:numFmt w:val="lowerRoman"/>
      <w:lvlText w:val="%6."/>
      <w:lvlJc w:val="right"/>
      <w:pPr>
        <w:ind w:left="4843" w:hanging="180"/>
      </w:pPr>
    </w:lvl>
    <w:lvl w:ilvl="6" w:tplc="0410000F" w:tentative="1">
      <w:start w:val="1"/>
      <w:numFmt w:val="decimal"/>
      <w:lvlText w:val="%7."/>
      <w:lvlJc w:val="left"/>
      <w:pPr>
        <w:ind w:left="5563" w:hanging="360"/>
      </w:pPr>
    </w:lvl>
    <w:lvl w:ilvl="7" w:tplc="04100019" w:tentative="1">
      <w:start w:val="1"/>
      <w:numFmt w:val="lowerLetter"/>
      <w:lvlText w:val="%8."/>
      <w:lvlJc w:val="left"/>
      <w:pPr>
        <w:ind w:left="6283" w:hanging="360"/>
      </w:pPr>
    </w:lvl>
    <w:lvl w:ilvl="8" w:tplc="0410001B" w:tentative="1">
      <w:start w:val="1"/>
      <w:numFmt w:val="lowerRoman"/>
      <w:lvlText w:val="%9."/>
      <w:lvlJc w:val="right"/>
      <w:pPr>
        <w:ind w:left="7003" w:hanging="180"/>
      </w:pPr>
    </w:lvl>
  </w:abstractNum>
  <w:abstractNum w:abstractNumId="12">
    <w:nsid w:val="17652BEA"/>
    <w:multiLevelType w:val="hybridMultilevel"/>
    <w:tmpl w:val="591AA2BE"/>
    <w:lvl w:ilvl="0" w:tplc="91F86CEE">
      <w:start w:val="1"/>
      <w:numFmt w:val="lowerLetter"/>
      <w:lvlText w:val="%1)"/>
      <w:lvlJc w:val="left"/>
      <w:pPr>
        <w:ind w:left="392" w:hanging="360"/>
      </w:pPr>
      <w:rPr>
        <w:rFonts w:hint="default"/>
      </w:rPr>
    </w:lvl>
    <w:lvl w:ilvl="1" w:tplc="04100019" w:tentative="1">
      <w:start w:val="1"/>
      <w:numFmt w:val="lowerLetter"/>
      <w:lvlText w:val="%2."/>
      <w:lvlJc w:val="left"/>
      <w:pPr>
        <w:ind w:left="1112" w:hanging="360"/>
      </w:pPr>
    </w:lvl>
    <w:lvl w:ilvl="2" w:tplc="0410001B" w:tentative="1">
      <w:start w:val="1"/>
      <w:numFmt w:val="lowerRoman"/>
      <w:lvlText w:val="%3."/>
      <w:lvlJc w:val="right"/>
      <w:pPr>
        <w:ind w:left="1832" w:hanging="180"/>
      </w:pPr>
    </w:lvl>
    <w:lvl w:ilvl="3" w:tplc="0410000F" w:tentative="1">
      <w:start w:val="1"/>
      <w:numFmt w:val="decimal"/>
      <w:lvlText w:val="%4."/>
      <w:lvlJc w:val="left"/>
      <w:pPr>
        <w:ind w:left="2552" w:hanging="360"/>
      </w:pPr>
    </w:lvl>
    <w:lvl w:ilvl="4" w:tplc="04100019" w:tentative="1">
      <w:start w:val="1"/>
      <w:numFmt w:val="lowerLetter"/>
      <w:lvlText w:val="%5."/>
      <w:lvlJc w:val="left"/>
      <w:pPr>
        <w:ind w:left="3272" w:hanging="360"/>
      </w:pPr>
    </w:lvl>
    <w:lvl w:ilvl="5" w:tplc="0410001B" w:tentative="1">
      <w:start w:val="1"/>
      <w:numFmt w:val="lowerRoman"/>
      <w:lvlText w:val="%6."/>
      <w:lvlJc w:val="right"/>
      <w:pPr>
        <w:ind w:left="3992" w:hanging="180"/>
      </w:pPr>
    </w:lvl>
    <w:lvl w:ilvl="6" w:tplc="0410000F" w:tentative="1">
      <w:start w:val="1"/>
      <w:numFmt w:val="decimal"/>
      <w:lvlText w:val="%7."/>
      <w:lvlJc w:val="left"/>
      <w:pPr>
        <w:ind w:left="4712" w:hanging="360"/>
      </w:pPr>
    </w:lvl>
    <w:lvl w:ilvl="7" w:tplc="04100019" w:tentative="1">
      <w:start w:val="1"/>
      <w:numFmt w:val="lowerLetter"/>
      <w:lvlText w:val="%8."/>
      <w:lvlJc w:val="left"/>
      <w:pPr>
        <w:ind w:left="5432" w:hanging="360"/>
      </w:pPr>
    </w:lvl>
    <w:lvl w:ilvl="8" w:tplc="0410001B" w:tentative="1">
      <w:start w:val="1"/>
      <w:numFmt w:val="lowerRoman"/>
      <w:lvlText w:val="%9."/>
      <w:lvlJc w:val="right"/>
      <w:pPr>
        <w:ind w:left="6152" w:hanging="180"/>
      </w:pPr>
    </w:lvl>
  </w:abstractNum>
  <w:abstractNum w:abstractNumId="13">
    <w:nsid w:val="18DE3B11"/>
    <w:multiLevelType w:val="hybridMultilevel"/>
    <w:tmpl w:val="10DC4E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97557E8"/>
    <w:multiLevelType w:val="hybridMultilevel"/>
    <w:tmpl w:val="3B626782"/>
    <w:lvl w:ilvl="0" w:tplc="12B27C98">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5">
    <w:nsid w:val="19D81655"/>
    <w:multiLevelType w:val="hybridMultilevel"/>
    <w:tmpl w:val="F4E0CB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0DF416D"/>
    <w:multiLevelType w:val="hybridMultilevel"/>
    <w:tmpl w:val="D8B64CC4"/>
    <w:lvl w:ilvl="0" w:tplc="2C5AC33E">
      <w:start w:val="1"/>
      <w:numFmt w:val="lowerRoman"/>
      <w:lvlText w:val="(%1)"/>
      <w:lvlJc w:val="left"/>
      <w:pPr>
        <w:ind w:left="896" w:hanging="720"/>
      </w:pPr>
      <w:rPr>
        <w:rFonts w:hint="default"/>
      </w:rPr>
    </w:lvl>
    <w:lvl w:ilvl="1" w:tplc="04100019" w:tentative="1">
      <w:start w:val="1"/>
      <w:numFmt w:val="lowerLetter"/>
      <w:lvlText w:val="%2."/>
      <w:lvlJc w:val="left"/>
      <w:pPr>
        <w:ind w:left="1256" w:hanging="360"/>
      </w:pPr>
    </w:lvl>
    <w:lvl w:ilvl="2" w:tplc="0410001B" w:tentative="1">
      <w:start w:val="1"/>
      <w:numFmt w:val="lowerRoman"/>
      <w:lvlText w:val="%3."/>
      <w:lvlJc w:val="right"/>
      <w:pPr>
        <w:ind w:left="1976" w:hanging="180"/>
      </w:pPr>
    </w:lvl>
    <w:lvl w:ilvl="3" w:tplc="0410000F" w:tentative="1">
      <w:start w:val="1"/>
      <w:numFmt w:val="decimal"/>
      <w:lvlText w:val="%4."/>
      <w:lvlJc w:val="left"/>
      <w:pPr>
        <w:ind w:left="2696" w:hanging="360"/>
      </w:pPr>
    </w:lvl>
    <w:lvl w:ilvl="4" w:tplc="04100019" w:tentative="1">
      <w:start w:val="1"/>
      <w:numFmt w:val="lowerLetter"/>
      <w:lvlText w:val="%5."/>
      <w:lvlJc w:val="left"/>
      <w:pPr>
        <w:ind w:left="3416" w:hanging="360"/>
      </w:pPr>
    </w:lvl>
    <w:lvl w:ilvl="5" w:tplc="0410001B" w:tentative="1">
      <w:start w:val="1"/>
      <w:numFmt w:val="lowerRoman"/>
      <w:lvlText w:val="%6."/>
      <w:lvlJc w:val="right"/>
      <w:pPr>
        <w:ind w:left="4136" w:hanging="180"/>
      </w:pPr>
    </w:lvl>
    <w:lvl w:ilvl="6" w:tplc="0410000F" w:tentative="1">
      <w:start w:val="1"/>
      <w:numFmt w:val="decimal"/>
      <w:lvlText w:val="%7."/>
      <w:lvlJc w:val="left"/>
      <w:pPr>
        <w:ind w:left="4856" w:hanging="360"/>
      </w:pPr>
    </w:lvl>
    <w:lvl w:ilvl="7" w:tplc="04100019" w:tentative="1">
      <w:start w:val="1"/>
      <w:numFmt w:val="lowerLetter"/>
      <w:lvlText w:val="%8."/>
      <w:lvlJc w:val="left"/>
      <w:pPr>
        <w:ind w:left="5576" w:hanging="360"/>
      </w:pPr>
    </w:lvl>
    <w:lvl w:ilvl="8" w:tplc="0410001B" w:tentative="1">
      <w:start w:val="1"/>
      <w:numFmt w:val="lowerRoman"/>
      <w:lvlText w:val="%9."/>
      <w:lvlJc w:val="right"/>
      <w:pPr>
        <w:ind w:left="6296" w:hanging="180"/>
      </w:pPr>
    </w:lvl>
  </w:abstractNum>
  <w:abstractNum w:abstractNumId="17">
    <w:nsid w:val="22F721FB"/>
    <w:multiLevelType w:val="hybridMultilevel"/>
    <w:tmpl w:val="C9C2AC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576D34"/>
    <w:multiLevelType w:val="hybridMultilevel"/>
    <w:tmpl w:val="E2EAE0B0"/>
    <w:lvl w:ilvl="0" w:tplc="0410000B">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19">
    <w:nsid w:val="256424E5"/>
    <w:multiLevelType w:val="hybridMultilevel"/>
    <w:tmpl w:val="F1607D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77F5E2B"/>
    <w:multiLevelType w:val="hybridMultilevel"/>
    <w:tmpl w:val="D78EFB84"/>
    <w:lvl w:ilvl="0" w:tplc="CDF0027E">
      <w:start w:val="1"/>
      <w:numFmt w:val="lowerLetter"/>
      <w:lvlText w:val="%1)"/>
      <w:lvlJc w:val="left"/>
      <w:pPr>
        <w:ind w:left="536" w:hanging="360"/>
      </w:pPr>
      <w:rPr>
        <w:rFonts w:hint="default"/>
      </w:rPr>
    </w:lvl>
    <w:lvl w:ilvl="1" w:tplc="04100019" w:tentative="1">
      <w:start w:val="1"/>
      <w:numFmt w:val="lowerLetter"/>
      <w:lvlText w:val="%2."/>
      <w:lvlJc w:val="left"/>
      <w:pPr>
        <w:ind w:left="1256" w:hanging="360"/>
      </w:pPr>
    </w:lvl>
    <w:lvl w:ilvl="2" w:tplc="0410001B" w:tentative="1">
      <w:start w:val="1"/>
      <w:numFmt w:val="lowerRoman"/>
      <w:lvlText w:val="%3."/>
      <w:lvlJc w:val="right"/>
      <w:pPr>
        <w:ind w:left="1976" w:hanging="180"/>
      </w:pPr>
    </w:lvl>
    <w:lvl w:ilvl="3" w:tplc="0410000F" w:tentative="1">
      <w:start w:val="1"/>
      <w:numFmt w:val="decimal"/>
      <w:lvlText w:val="%4."/>
      <w:lvlJc w:val="left"/>
      <w:pPr>
        <w:ind w:left="2696" w:hanging="360"/>
      </w:pPr>
    </w:lvl>
    <w:lvl w:ilvl="4" w:tplc="04100019" w:tentative="1">
      <w:start w:val="1"/>
      <w:numFmt w:val="lowerLetter"/>
      <w:lvlText w:val="%5."/>
      <w:lvlJc w:val="left"/>
      <w:pPr>
        <w:ind w:left="3416" w:hanging="360"/>
      </w:pPr>
    </w:lvl>
    <w:lvl w:ilvl="5" w:tplc="0410001B" w:tentative="1">
      <w:start w:val="1"/>
      <w:numFmt w:val="lowerRoman"/>
      <w:lvlText w:val="%6."/>
      <w:lvlJc w:val="right"/>
      <w:pPr>
        <w:ind w:left="4136" w:hanging="180"/>
      </w:pPr>
    </w:lvl>
    <w:lvl w:ilvl="6" w:tplc="0410000F" w:tentative="1">
      <w:start w:val="1"/>
      <w:numFmt w:val="decimal"/>
      <w:lvlText w:val="%7."/>
      <w:lvlJc w:val="left"/>
      <w:pPr>
        <w:ind w:left="4856" w:hanging="360"/>
      </w:pPr>
    </w:lvl>
    <w:lvl w:ilvl="7" w:tplc="04100019" w:tentative="1">
      <w:start w:val="1"/>
      <w:numFmt w:val="lowerLetter"/>
      <w:lvlText w:val="%8."/>
      <w:lvlJc w:val="left"/>
      <w:pPr>
        <w:ind w:left="5576" w:hanging="360"/>
      </w:pPr>
    </w:lvl>
    <w:lvl w:ilvl="8" w:tplc="0410001B" w:tentative="1">
      <w:start w:val="1"/>
      <w:numFmt w:val="lowerRoman"/>
      <w:lvlText w:val="%9."/>
      <w:lvlJc w:val="right"/>
      <w:pPr>
        <w:ind w:left="6296" w:hanging="180"/>
      </w:pPr>
    </w:lvl>
  </w:abstractNum>
  <w:abstractNum w:abstractNumId="21">
    <w:nsid w:val="288E0871"/>
    <w:multiLevelType w:val="hybridMultilevel"/>
    <w:tmpl w:val="544EC3F4"/>
    <w:lvl w:ilvl="0" w:tplc="B27E313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9247398"/>
    <w:multiLevelType w:val="hybridMultilevel"/>
    <w:tmpl w:val="71486CC6"/>
    <w:lvl w:ilvl="0" w:tplc="31F4AFA2">
      <w:start w:val="1"/>
      <w:numFmt w:val="lowerRoman"/>
      <w:lvlText w:val="%1)"/>
      <w:lvlJc w:val="left"/>
      <w:pPr>
        <w:ind w:left="1172" w:hanging="720"/>
      </w:pPr>
      <w:rPr>
        <w:rFonts w:hint="default"/>
      </w:rPr>
    </w:lvl>
    <w:lvl w:ilvl="1" w:tplc="04100019" w:tentative="1">
      <w:start w:val="1"/>
      <w:numFmt w:val="lowerLetter"/>
      <w:lvlText w:val="%2."/>
      <w:lvlJc w:val="left"/>
      <w:pPr>
        <w:ind w:left="1532" w:hanging="360"/>
      </w:pPr>
    </w:lvl>
    <w:lvl w:ilvl="2" w:tplc="0410001B" w:tentative="1">
      <w:start w:val="1"/>
      <w:numFmt w:val="lowerRoman"/>
      <w:lvlText w:val="%3."/>
      <w:lvlJc w:val="right"/>
      <w:pPr>
        <w:ind w:left="2252" w:hanging="180"/>
      </w:pPr>
    </w:lvl>
    <w:lvl w:ilvl="3" w:tplc="0410000F" w:tentative="1">
      <w:start w:val="1"/>
      <w:numFmt w:val="decimal"/>
      <w:lvlText w:val="%4."/>
      <w:lvlJc w:val="left"/>
      <w:pPr>
        <w:ind w:left="2972" w:hanging="360"/>
      </w:pPr>
    </w:lvl>
    <w:lvl w:ilvl="4" w:tplc="04100019" w:tentative="1">
      <w:start w:val="1"/>
      <w:numFmt w:val="lowerLetter"/>
      <w:lvlText w:val="%5."/>
      <w:lvlJc w:val="left"/>
      <w:pPr>
        <w:ind w:left="3692" w:hanging="360"/>
      </w:pPr>
    </w:lvl>
    <w:lvl w:ilvl="5" w:tplc="0410001B" w:tentative="1">
      <w:start w:val="1"/>
      <w:numFmt w:val="lowerRoman"/>
      <w:lvlText w:val="%6."/>
      <w:lvlJc w:val="right"/>
      <w:pPr>
        <w:ind w:left="4412" w:hanging="180"/>
      </w:pPr>
    </w:lvl>
    <w:lvl w:ilvl="6" w:tplc="0410000F" w:tentative="1">
      <w:start w:val="1"/>
      <w:numFmt w:val="decimal"/>
      <w:lvlText w:val="%7."/>
      <w:lvlJc w:val="left"/>
      <w:pPr>
        <w:ind w:left="5132" w:hanging="360"/>
      </w:pPr>
    </w:lvl>
    <w:lvl w:ilvl="7" w:tplc="04100019" w:tentative="1">
      <w:start w:val="1"/>
      <w:numFmt w:val="lowerLetter"/>
      <w:lvlText w:val="%8."/>
      <w:lvlJc w:val="left"/>
      <w:pPr>
        <w:ind w:left="5852" w:hanging="360"/>
      </w:pPr>
    </w:lvl>
    <w:lvl w:ilvl="8" w:tplc="0410001B" w:tentative="1">
      <w:start w:val="1"/>
      <w:numFmt w:val="lowerRoman"/>
      <w:lvlText w:val="%9."/>
      <w:lvlJc w:val="right"/>
      <w:pPr>
        <w:ind w:left="6572" w:hanging="180"/>
      </w:pPr>
    </w:lvl>
  </w:abstractNum>
  <w:abstractNum w:abstractNumId="23">
    <w:nsid w:val="2B0D3A64"/>
    <w:multiLevelType w:val="hybridMultilevel"/>
    <w:tmpl w:val="331C1A68"/>
    <w:lvl w:ilvl="0" w:tplc="1F182B2A">
      <w:start w:val="1"/>
      <w:numFmt w:val="lowerLetter"/>
      <w:lvlText w:val="%1)"/>
      <w:lvlJc w:val="left"/>
      <w:pPr>
        <w:ind w:left="582" w:hanging="360"/>
      </w:pPr>
      <w:rPr>
        <w:rFonts w:hint="default"/>
      </w:rPr>
    </w:lvl>
    <w:lvl w:ilvl="1" w:tplc="04090019" w:tentative="1">
      <w:start w:val="1"/>
      <w:numFmt w:val="lowerLetter"/>
      <w:lvlText w:val="%2."/>
      <w:lvlJc w:val="left"/>
      <w:pPr>
        <w:ind w:left="1302" w:hanging="360"/>
      </w:pPr>
    </w:lvl>
    <w:lvl w:ilvl="2" w:tplc="0409001B" w:tentative="1">
      <w:start w:val="1"/>
      <w:numFmt w:val="lowerRoman"/>
      <w:lvlText w:val="%3."/>
      <w:lvlJc w:val="right"/>
      <w:pPr>
        <w:ind w:left="2022" w:hanging="180"/>
      </w:pPr>
    </w:lvl>
    <w:lvl w:ilvl="3" w:tplc="0409000F" w:tentative="1">
      <w:start w:val="1"/>
      <w:numFmt w:val="decimal"/>
      <w:lvlText w:val="%4."/>
      <w:lvlJc w:val="left"/>
      <w:pPr>
        <w:ind w:left="2742" w:hanging="360"/>
      </w:pPr>
    </w:lvl>
    <w:lvl w:ilvl="4" w:tplc="04090019" w:tentative="1">
      <w:start w:val="1"/>
      <w:numFmt w:val="lowerLetter"/>
      <w:lvlText w:val="%5."/>
      <w:lvlJc w:val="left"/>
      <w:pPr>
        <w:ind w:left="3462" w:hanging="360"/>
      </w:pPr>
    </w:lvl>
    <w:lvl w:ilvl="5" w:tplc="0409001B" w:tentative="1">
      <w:start w:val="1"/>
      <w:numFmt w:val="lowerRoman"/>
      <w:lvlText w:val="%6."/>
      <w:lvlJc w:val="right"/>
      <w:pPr>
        <w:ind w:left="4182" w:hanging="180"/>
      </w:pPr>
    </w:lvl>
    <w:lvl w:ilvl="6" w:tplc="0409000F" w:tentative="1">
      <w:start w:val="1"/>
      <w:numFmt w:val="decimal"/>
      <w:lvlText w:val="%7."/>
      <w:lvlJc w:val="left"/>
      <w:pPr>
        <w:ind w:left="4902" w:hanging="360"/>
      </w:pPr>
    </w:lvl>
    <w:lvl w:ilvl="7" w:tplc="04090019" w:tentative="1">
      <w:start w:val="1"/>
      <w:numFmt w:val="lowerLetter"/>
      <w:lvlText w:val="%8."/>
      <w:lvlJc w:val="left"/>
      <w:pPr>
        <w:ind w:left="5622" w:hanging="360"/>
      </w:pPr>
    </w:lvl>
    <w:lvl w:ilvl="8" w:tplc="0409001B" w:tentative="1">
      <w:start w:val="1"/>
      <w:numFmt w:val="lowerRoman"/>
      <w:lvlText w:val="%9."/>
      <w:lvlJc w:val="right"/>
      <w:pPr>
        <w:ind w:left="6342" w:hanging="180"/>
      </w:pPr>
    </w:lvl>
  </w:abstractNum>
  <w:abstractNum w:abstractNumId="24">
    <w:nsid w:val="2E121574"/>
    <w:multiLevelType w:val="hybridMultilevel"/>
    <w:tmpl w:val="6AB4E866"/>
    <w:lvl w:ilvl="0" w:tplc="5DEC7EEA">
      <w:start w:val="1"/>
      <w:numFmt w:val="lowerLetter"/>
      <w:lvlText w:val="%1)"/>
      <w:lvlJc w:val="left"/>
      <w:pPr>
        <w:ind w:left="392" w:hanging="360"/>
      </w:pPr>
      <w:rPr>
        <w:rFonts w:hint="default"/>
      </w:rPr>
    </w:lvl>
    <w:lvl w:ilvl="1" w:tplc="04100019" w:tentative="1">
      <w:start w:val="1"/>
      <w:numFmt w:val="lowerLetter"/>
      <w:lvlText w:val="%2."/>
      <w:lvlJc w:val="left"/>
      <w:pPr>
        <w:ind w:left="1112" w:hanging="360"/>
      </w:pPr>
    </w:lvl>
    <w:lvl w:ilvl="2" w:tplc="0410001B" w:tentative="1">
      <w:start w:val="1"/>
      <w:numFmt w:val="lowerRoman"/>
      <w:lvlText w:val="%3."/>
      <w:lvlJc w:val="right"/>
      <w:pPr>
        <w:ind w:left="1832" w:hanging="180"/>
      </w:pPr>
    </w:lvl>
    <w:lvl w:ilvl="3" w:tplc="0410000F" w:tentative="1">
      <w:start w:val="1"/>
      <w:numFmt w:val="decimal"/>
      <w:lvlText w:val="%4."/>
      <w:lvlJc w:val="left"/>
      <w:pPr>
        <w:ind w:left="2552" w:hanging="360"/>
      </w:pPr>
    </w:lvl>
    <w:lvl w:ilvl="4" w:tplc="04100019" w:tentative="1">
      <w:start w:val="1"/>
      <w:numFmt w:val="lowerLetter"/>
      <w:lvlText w:val="%5."/>
      <w:lvlJc w:val="left"/>
      <w:pPr>
        <w:ind w:left="3272" w:hanging="360"/>
      </w:pPr>
    </w:lvl>
    <w:lvl w:ilvl="5" w:tplc="0410001B" w:tentative="1">
      <w:start w:val="1"/>
      <w:numFmt w:val="lowerRoman"/>
      <w:lvlText w:val="%6."/>
      <w:lvlJc w:val="right"/>
      <w:pPr>
        <w:ind w:left="3992" w:hanging="180"/>
      </w:pPr>
    </w:lvl>
    <w:lvl w:ilvl="6" w:tplc="0410000F" w:tentative="1">
      <w:start w:val="1"/>
      <w:numFmt w:val="decimal"/>
      <w:lvlText w:val="%7."/>
      <w:lvlJc w:val="left"/>
      <w:pPr>
        <w:ind w:left="4712" w:hanging="360"/>
      </w:pPr>
    </w:lvl>
    <w:lvl w:ilvl="7" w:tplc="04100019" w:tentative="1">
      <w:start w:val="1"/>
      <w:numFmt w:val="lowerLetter"/>
      <w:lvlText w:val="%8."/>
      <w:lvlJc w:val="left"/>
      <w:pPr>
        <w:ind w:left="5432" w:hanging="360"/>
      </w:pPr>
    </w:lvl>
    <w:lvl w:ilvl="8" w:tplc="0410001B" w:tentative="1">
      <w:start w:val="1"/>
      <w:numFmt w:val="lowerRoman"/>
      <w:lvlText w:val="%9."/>
      <w:lvlJc w:val="right"/>
      <w:pPr>
        <w:ind w:left="6152" w:hanging="180"/>
      </w:pPr>
    </w:lvl>
  </w:abstractNum>
  <w:abstractNum w:abstractNumId="25">
    <w:nsid w:val="2F2F5968"/>
    <w:multiLevelType w:val="hybridMultilevel"/>
    <w:tmpl w:val="72A21A72"/>
    <w:lvl w:ilvl="0" w:tplc="16A2B528">
      <w:start w:val="2"/>
      <w:numFmt w:val="lowerLetter"/>
      <w:lvlText w:val="%1)"/>
      <w:lvlJc w:val="left"/>
      <w:pPr>
        <w:ind w:left="39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33795888"/>
    <w:multiLevelType w:val="hybridMultilevel"/>
    <w:tmpl w:val="B2BC6E06"/>
    <w:lvl w:ilvl="0" w:tplc="9462F5DC">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7">
    <w:nsid w:val="352E6C68"/>
    <w:multiLevelType w:val="hybridMultilevel"/>
    <w:tmpl w:val="D2A226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35E1385E"/>
    <w:multiLevelType w:val="hybridMultilevel"/>
    <w:tmpl w:val="B1EEA042"/>
    <w:lvl w:ilvl="0" w:tplc="5016B9F0">
      <w:start w:val="1"/>
      <w:numFmt w:val="lowerLetter"/>
      <w:lvlText w:val="%1)"/>
      <w:lvlJc w:val="left"/>
      <w:pPr>
        <w:ind w:left="720" w:hanging="360"/>
      </w:pPr>
      <w:rPr>
        <w:rFonts w:hint="default"/>
        <w:sz w:val="1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37E923BA"/>
    <w:multiLevelType w:val="hybridMultilevel"/>
    <w:tmpl w:val="16A403C2"/>
    <w:lvl w:ilvl="0" w:tplc="21089C20">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nsid w:val="38984BA9"/>
    <w:multiLevelType w:val="hybridMultilevel"/>
    <w:tmpl w:val="E442707A"/>
    <w:lvl w:ilvl="0" w:tplc="116A5E80">
      <w:start w:val="1"/>
      <w:numFmt w:val="lowerLetter"/>
      <w:lvlText w:val="%1)"/>
      <w:lvlJc w:val="left"/>
      <w:pPr>
        <w:ind w:left="392" w:hanging="360"/>
      </w:pPr>
      <w:rPr>
        <w:rFonts w:hint="default"/>
      </w:rPr>
    </w:lvl>
    <w:lvl w:ilvl="1" w:tplc="04100019" w:tentative="1">
      <w:start w:val="1"/>
      <w:numFmt w:val="lowerLetter"/>
      <w:lvlText w:val="%2."/>
      <w:lvlJc w:val="left"/>
      <w:pPr>
        <w:ind w:left="1112" w:hanging="360"/>
      </w:pPr>
    </w:lvl>
    <w:lvl w:ilvl="2" w:tplc="0410001B" w:tentative="1">
      <w:start w:val="1"/>
      <w:numFmt w:val="lowerRoman"/>
      <w:lvlText w:val="%3."/>
      <w:lvlJc w:val="right"/>
      <w:pPr>
        <w:ind w:left="1832" w:hanging="180"/>
      </w:pPr>
    </w:lvl>
    <w:lvl w:ilvl="3" w:tplc="0410000F" w:tentative="1">
      <w:start w:val="1"/>
      <w:numFmt w:val="decimal"/>
      <w:lvlText w:val="%4."/>
      <w:lvlJc w:val="left"/>
      <w:pPr>
        <w:ind w:left="2552" w:hanging="360"/>
      </w:pPr>
    </w:lvl>
    <w:lvl w:ilvl="4" w:tplc="04100019" w:tentative="1">
      <w:start w:val="1"/>
      <w:numFmt w:val="lowerLetter"/>
      <w:lvlText w:val="%5."/>
      <w:lvlJc w:val="left"/>
      <w:pPr>
        <w:ind w:left="3272" w:hanging="360"/>
      </w:pPr>
    </w:lvl>
    <w:lvl w:ilvl="5" w:tplc="0410001B" w:tentative="1">
      <w:start w:val="1"/>
      <w:numFmt w:val="lowerRoman"/>
      <w:lvlText w:val="%6."/>
      <w:lvlJc w:val="right"/>
      <w:pPr>
        <w:ind w:left="3992" w:hanging="180"/>
      </w:pPr>
    </w:lvl>
    <w:lvl w:ilvl="6" w:tplc="0410000F" w:tentative="1">
      <w:start w:val="1"/>
      <w:numFmt w:val="decimal"/>
      <w:lvlText w:val="%7."/>
      <w:lvlJc w:val="left"/>
      <w:pPr>
        <w:ind w:left="4712" w:hanging="360"/>
      </w:pPr>
    </w:lvl>
    <w:lvl w:ilvl="7" w:tplc="04100019" w:tentative="1">
      <w:start w:val="1"/>
      <w:numFmt w:val="lowerLetter"/>
      <w:lvlText w:val="%8."/>
      <w:lvlJc w:val="left"/>
      <w:pPr>
        <w:ind w:left="5432" w:hanging="360"/>
      </w:pPr>
    </w:lvl>
    <w:lvl w:ilvl="8" w:tplc="0410001B" w:tentative="1">
      <w:start w:val="1"/>
      <w:numFmt w:val="lowerRoman"/>
      <w:lvlText w:val="%9."/>
      <w:lvlJc w:val="right"/>
      <w:pPr>
        <w:ind w:left="6152" w:hanging="180"/>
      </w:pPr>
    </w:lvl>
  </w:abstractNum>
  <w:abstractNum w:abstractNumId="31">
    <w:nsid w:val="38FA179A"/>
    <w:multiLevelType w:val="hybridMultilevel"/>
    <w:tmpl w:val="B2BC6E06"/>
    <w:lvl w:ilvl="0" w:tplc="9462F5DC">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2">
    <w:nsid w:val="3BAA2AA3"/>
    <w:multiLevelType w:val="hybridMultilevel"/>
    <w:tmpl w:val="1F3A5E54"/>
    <w:lvl w:ilvl="0" w:tplc="C7BE64CA">
      <w:start w:val="4"/>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D5A5AA2"/>
    <w:multiLevelType w:val="hybridMultilevel"/>
    <w:tmpl w:val="D35C1CA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3F7C34EA"/>
    <w:multiLevelType w:val="hybridMultilevel"/>
    <w:tmpl w:val="67F234DA"/>
    <w:lvl w:ilvl="0" w:tplc="01660EA6">
      <w:start w:val="1"/>
      <w:numFmt w:val="lowerLetter"/>
      <w:lvlText w:val="%1)"/>
      <w:lvlJc w:val="left"/>
      <w:pPr>
        <w:ind w:left="392" w:hanging="360"/>
      </w:pPr>
      <w:rPr>
        <w:rFonts w:hint="default"/>
      </w:rPr>
    </w:lvl>
    <w:lvl w:ilvl="1" w:tplc="04100019" w:tentative="1">
      <w:start w:val="1"/>
      <w:numFmt w:val="lowerLetter"/>
      <w:lvlText w:val="%2."/>
      <w:lvlJc w:val="left"/>
      <w:pPr>
        <w:ind w:left="1112" w:hanging="360"/>
      </w:pPr>
    </w:lvl>
    <w:lvl w:ilvl="2" w:tplc="0410001B" w:tentative="1">
      <w:start w:val="1"/>
      <w:numFmt w:val="lowerRoman"/>
      <w:lvlText w:val="%3."/>
      <w:lvlJc w:val="right"/>
      <w:pPr>
        <w:ind w:left="1832" w:hanging="180"/>
      </w:pPr>
    </w:lvl>
    <w:lvl w:ilvl="3" w:tplc="0410000F" w:tentative="1">
      <w:start w:val="1"/>
      <w:numFmt w:val="decimal"/>
      <w:lvlText w:val="%4."/>
      <w:lvlJc w:val="left"/>
      <w:pPr>
        <w:ind w:left="2552" w:hanging="360"/>
      </w:pPr>
    </w:lvl>
    <w:lvl w:ilvl="4" w:tplc="04100019" w:tentative="1">
      <w:start w:val="1"/>
      <w:numFmt w:val="lowerLetter"/>
      <w:lvlText w:val="%5."/>
      <w:lvlJc w:val="left"/>
      <w:pPr>
        <w:ind w:left="3272" w:hanging="360"/>
      </w:pPr>
    </w:lvl>
    <w:lvl w:ilvl="5" w:tplc="0410001B" w:tentative="1">
      <w:start w:val="1"/>
      <w:numFmt w:val="lowerRoman"/>
      <w:lvlText w:val="%6."/>
      <w:lvlJc w:val="right"/>
      <w:pPr>
        <w:ind w:left="3992" w:hanging="180"/>
      </w:pPr>
    </w:lvl>
    <w:lvl w:ilvl="6" w:tplc="0410000F" w:tentative="1">
      <w:start w:val="1"/>
      <w:numFmt w:val="decimal"/>
      <w:lvlText w:val="%7."/>
      <w:lvlJc w:val="left"/>
      <w:pPr>
        <w:ind w:left="4712" w:hanging="360"/>
      </w:pPr>
    </w:lvl>
    <w:lvl w:ilvl="7" w:tplc="04100019" w:tentative="1">
      <w:start w:val="1"/>
      <w:numFmt w:val="lowerLetter"/>
      <w:lvlText w:val="%8."/>
      <w:lvlJc w:val="left"/>
      <w:pPr>
        <w:ind w:left="5432" w:hanging="360"/>
      </w:pPr>
    </w:lvl>
    <w:lvl w:ilvl="8" w:tplc="0410001B" w:tentative="1">
      <w:start w:val="1"/>
      <w:numFmt w:val="lowerRoman"/>
      <w:lvlText w:val="%9."/>
      <w:lvlJc w:val="right"/>
      <w:pPr>
        <w:ind w:left="6152" w:hanging="180"/>
      </w:pPr>
    </w:lvl>
  </w:abstractNum>
  <w:abstractNum w:abstractNumId="35">
    <w:nsid w:val="41C4485E"/>
    <w:multiLevelType w:val="hybridMultilevel"/>
    <w:tmpl w:val="45B6CB58"/>
    <w:lvl w:ilvl="0" w:tplc="451812B0">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nsid w:val="41C5742A"/>
    <w:multiLevelType w:val="hybridMultilevel"/>
    <w:tmpl w:val="36BAFF5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44F93994"/>
    <w:multiLevelType w:val="hybridMultilevel"/>
    <w:tmpl w:val="C47A3100"/>
    <w:lvl w:ilvl="0" w:tplc="A7C6F612">
      <w:start w:val="1"/>
      <w:numFmt w:val="lowerLetter"/>
      <w:pStyle w:val="Rientroa"/>
      <w:lvlText w:val="%1)"/>
      <w:lvlJc w:val="left"/>
      <w:pPr>
        <w:tabs>
          <w:tab w:val="num" w:pos="392"/>
        </w:tabs>
        <w:ind w:left="392" w:hanging="360"/>
      </w:pPr>
      <w:rPr>
        <w:rFonts w:hint="default"/>
        <w:b w:val="0"/>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38">
    <w:nsid w:val="495A454E"/>
    <w:multiLevelType w:val="hybridMultilevel"/>
    <w:tmpl w:val="1654DB12"/>
    <w:lvl w:ilvl="0" w:tplc="F5E60318">
      <w:start w:val="1"/>
      <w:numFmt w:val="lowerLetter"/>
      <w:lvlText w:val="%1)"/>
      <w:lvlJc w:val="left"/>
      <w:pPr>
        <w:ind w:left="754" w:hanging="360"/>
      </w:pPr>
      <w:rPr>
        <w:rFonts w:hint="default"/>
      </w:r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39">
    <w:nsid w:val="4B6D535E"/>
    <w:multiLevelType w:val="hybridMultilevel"/>
    <w:tmpl w:val="621C3060"/>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DDD4F89"/>
    <w:multiLevelType w:val="hybridMultilevel"/>
    <w:tmpl w:val="4F7E2C10"/>
    <w:lvl w:ilvl="0" w:tplc="E88E165C">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41">
    <w:nsid w:val="4E294C3A"/>
    <w:multiLevelType w:val="hybridMultilevel"/>
    <w:tmpl w:val="B2BC6E06"/>
    <w:lvl w:ilvl="0" w:tplc="9462F5DC">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42">
    <w:nsid w:val="4F0F4852"/>
    <w:multiLevelType w:val="hybridMultilevel"/>
    <w:tmpl w:val="5E2ACF62"/>
    <w:lvl w:ilvl="0" w:tplc="1610D98C">
      <w:start w:val="1"/>
      <w:numFmt w:val="lowerLetter"/>
      <w:lvlText w:val="(%1)"/>
      <w:lvlJc w:val="left"/>
      <w:pPr>
        <w:ind w:left="392" w:hanging="360"/>
      </w:pPr>
      <w:rPr>
        <w:rFonts w:hint="default"/>
      </w:rPr>
    </w:lvl>
    <w:lvl w:ilvl="1" w:tplc="04100019" w:tentative="1">
      <w:start w:val="1"/>
      <w:numFmt w:val="lowerLetter"/>
      <w:lvlText w:val="%2."/>
      <w:lvlJc w:val="left"/>
      <w:pPr>
        <w:ind w:left="1112" w:hanging="360"/>
      </w:pPr>
    </w:lvl>
    <w:lvl w:ilvl="2" w:tplc="0410001B" w:tentative="1">
      <w:start w:val="1"/>
      <w:numFmt w:val="lowerRoman"/>
      <w:lvlText w:val="%3."/>
      <w:lvlJc w:val="right"/>
      <w:pPr>
        <w:ind w:left="1832" w:hanging="180"/>
      </w:pPr>
    </w:lvl>
    <w:lvl w:ilvl="3" w:tplc="0410000F" w:tentative="1">
      <w:start w:val="1"/>
      <w:numFmt w:val="decimal"/>
      <w:lvlText w:val="%4."/>
      <w:lvlJc w:val="left"/>
      <w:pPr>
        <w:ind w:left="2552" w:hanging="360"/>
      </w:pPr>
    </w:lvl>
    <w:lvl w:ilvl="4" w:tplc="04100019" w:tentative="1">
      <w:start w:val="1"/>
      <w:numFmt w:val="lowerLetter"/>
      <w:lvlText w:val="%5."/>
      <w:lvlJc w:val="left"/>
      <w:pPr>
        <w:ind w:left="3272" w:hanging="360"/>
      </w:pPr>
    </w:lvl>
    <w:lvl w:ilvl="5" w:tplc="0410001B" w:tentative="1">
      <w:start w:val="1"/>
      <w:numFmt w:val="lowerRoman"/>
      <w:lvlText w:val="%6."/>
      <w:lvlJc w:val="right"/>
      <w:pPr>
        <w:ind w:left="3992" w:hanging="180"/>
      </w:pPr>
    </w:lvl>
    <w:lvl w:ilvl="6" w:tplc="0410000F" w:tentative="1">
      <w:start w:val="1"/>
      <w:numFmt w:val="decimal"/>
      <w:lvlText w:val="%7."/>
      <w:lvlJc w:val="left"/>
      <w:pPr>
        <w:ind w:left="4712" w:hanging="360"/>
      </w:pPr>
    </w:lvl>
    <w:lvl w:ilvl="7" w:tplc="04100019" w:tentative="1">
      <w:start w:val="1"/>
      <w:numFmt w:val="lowerLetter"/>
      <w:lvlText w:val="%8."/>
      <w:lvlJc w:val="left"/>
      <w:pPr>
        <w:ind w:left="5432" w:hanging="360"/>
      </w:pPr>
    </w:lvl>
    <w:lvl w:ilvl="8" w:tplc="0410001B" w:tentative="1">
      <w:start w:val="1"/>
      <w:numFmt w:val="lowerRoman"/>
      <w:lvlText w:val="%9."/>
      <w:lvlJc w:val="right"/>
      <w:pPr>
        <w:ind w:left="6152" w:hanging="180"/>
      </w:pPr>
    </w:lvl>
  </w:abstractNum>
  <w:abstractNum w:abstractNumId="43">
    <w:nsid w:val="4F7A2FF4"/>
    <w:multiLevelType w:val="hybridMultilevel"/>
    <w:tmpl w:val="69069A18"/>
    <w:lvl w:ilvl="0" w:tplc="E19E040A">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4">
    <w:nsid w:val="50DA7CA6"/>
    <w:multiLevelType w:val="hybridMultilevel"/>
    <w:tmpl w:val="1D0238DE"/>
    <w:lvl w:ilvl="0" w:tplc="9B7442EE">
      <w:start w:val="1"/>
      <w:numFmt w:val="lowerRoman"/>
      <w:lvlText w:val="%1)"/>
      <w:lvlJc w:val="left"/>
      <w:pPr>
        <w:ind w:left="1092" w:hanging="720"/>
      </w:pPr>
      <w:rPr>
        <w:rFonts w:hint="default"/>
      </w:rPr>
    </w:lvl>
    <w:lvl w:ilvl="1" w:tplc="04100019" w:tentative="1">
      <w:start w:val="1"/>
      <w:numFmt w:val="lowerLetter"/>
      <w:lvlText w:val="%2."/>
      <w:lvlJc w:val="left"/>
      <w:pPr>
        <w:ind w:left="1452" w:hanging="360"/>
      </w:pPr>
    </w:lvl>
    <w:lvl w:ilvl="2" w:tplc="0410001B" w:tentative="1">
      <w:start w:val="1"/>
      <w:numFmt w:val="lowerRoman"/>
      <w:lvlText w:val="%3."/>
      <w:lvlJc w:val="right"/>
      <w:pPr>
        <w:ind w:left="2172" w:hanging="180"/>
      </w:pPr>
    </w:lvl>
    <w:lvl w:ilvl="3" w:tplc="0410000F" w:tentative="1">
      <w:start w:val="1"/>
      <w:numFmt w:val="decimal"/>
      <w:lvlText w:val="%4."/>
      <w:lvlJc w:val="left"/>
      <w:pPr>
        <w:ind w:left="2892" w:hanging="360"/>
      </w:pPr>
    </w:lvl>
    <w:lvl w:ilvl="4" w:tplc="04100019" w:tentative="1">
      <w:start w:val="1"/>
      <w:numFmt w:val="lowerLetter"/>
      <w:lvlText w:val="%5."/>
      <w:lvlJc w:val="left"/>
      <w:pPr>
        <w:ind w:left="3612" w:hanging="360"/>
      </w:pPr>
    </w:lvl>
    <w:lvl w:ilvl="5" w:tplc="0410001B" w:tentative="1">
      <w:start w:val="1"/>
      <w:numFmt w:val="lowerRoman"/>
      <w:lvlText w:val="%6."/>
      <w:lvlJc w:val="right"/>
      <w:pPr>
        <w:ind w:left="4332" w:hanging="180"/>
      </w:pPr>
    </w:lvl>
    <w:lvl w:ilvl="6" w:tplc="0410000F" w:tentative="1">
      <w:start w:val="1"/>
      <w:numFmt w:val="decimal"/>
      <w:lvlText w:val="%7."/>
      <w:lvlJc w:val="left"/>
      <w:pPr>
        <w:ind w:left="5052" w:hanging="360"/>
      </w:pPr>
    </w:lvl>
    <w:lvl w:ilvl="7" w:tplc="04100019" w:tentative="1">
      <w:start w:val="1"/>
      <w:numFmt w:val="lowerLetter"/>
      <w:lvlText w:val="%8."/>
      <w:lvlJc w:val="left"/>
      <w:pPr>
        <w:ind w:left="5772" w:hanging="360"/>
      </w:pPr>
    </w:lvl>
    <w:lvl w:ilvl="8" w:tplc="0410001B" w:tentative="1">
      <w:start w:val="1"/>
      <w:numFmt w:val="lowerRoman"/>
      <w:lvlText w:val="%9."/>
      <w:lvlJc w:val="right"/>
      <w:pPr>
        <w:ind w:left="6492" w:hanging="180"/>
      </w:pPr>
    </w:lvl>
  </w:abstractNum>
  <w:abstractNum w:abstractNumId="45">
    <w:nsid w:val="527806A6"/>
    <w:multiLevelType w:val="hybridMultilevel"/>
    <w:tmpl w:val="1572F47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52C35822"/>
    <w:multiLevelType w:val="hybridMultilevel"/>
    <w:tmpl w:val="511C15D2"/>
    <w:lvl w:ilvl="0" w:tplc="108C1DCA">
      <w:start w:val="1"/>
      <w:numFmt w:val="lowerLetter"/>
      <w:lvlText w:val="%1)"/>
      <w:lvlJc w:val="left"/>
      <w:pPr>
        <w:ind w:left="392"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47">
    <w:nsid w:val="53CD15A9"/>
    <w:multiLevelType w:val="hybridMultilevel"/>
    <w:tmpl w:val="910052F0"/>
    <w:lvl w:ilvl="0" w:tplc="D3F88E88">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8">
    <w:nsid w:val="55556360"/>
    <w:multiLevelType w:val="hybridMultilevel"/>
    <w:tmpl w:val="7FDEF2FE"/>
    <w:lvl w:ilvl="0" w:tplc="5D808E1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74C4625"/>
    <w:multiLevelType w:val="hybridMultilevel"/>
    <w:tmpl w:val="E1D2B788"/>
    <w:lvl w:ilvl="0" w:tplc="01C8B9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B064494"/>
    <w:multiLevelType w:val="hybridMultilevel"/>
    <w:tmpl w:val="040445BE"/>
    <w:lvl w:ilvl="0" w:tplc="89529E22">
      <w:start w:val="1"/>
      <w:numFmt w:val="lowerLetter"/>
      <w:lvlText w:val="%1)"/>
      <w:lvlJc w:val="left"/>
      <w:pPr>
        <w:ind w:left="392" w:hanging="360"/>
      </w:pPr>
      <w:rPr>
        <w:rFonts w:hint="default"/>
      </w:rPr>
    </w:lvl>
    <w:lvl w:ilvl="1" w:tplc="04100019" w:tentative="1">
      <w:start w:val="1"/>
      <w:numFmt w:val="lowerLetter"/>
      <w:lvlText w:val="%2."/>
      <w:lvlJc w:val="left"/>
      <w:pPr>
        <w:ind w:left="1112" w:hanging="360"/>
      </w:pPr>
    </w:lvl>
    <w:lvl w:ilvl="2" w:tplc="0410001B" w:tentative="1">
      <w:start w:val="1"/>
      <w:numFmt w:val="lowerRoman"/>
      <w:lvlText w:val="%3."/>
      <w:lvlJc w:val="right"/>
      <w:pPr>
        <w:ind w:left="1832" w:hanging="180"/>
      </w:pPr>
    </w:lvl>
    <w:lvl w:ilvl="3" w:tplc="0410000F" w:tentative="1">
      <w:start w:val="1"/>
      <w:numFmt w:val="decimal"/>
      <w:lvlText w:val="%4."/>
      <w:lvlJc w:val="left"/>
      <w:pPr>
        <w:ind w:left="2552" w:hanging="360"/>
      </w:pPr>
    </w:lvl>
    <w:lvl w:ilvl="4" w:tplc="04100019" w:tentative="1">
      <w:start w:val="1"/>
      <w:numFmt w:val="lowerLetter"/>
      <w:lvlText w:val="%5."/>
      <w:lvlJc w:val="left"/>
      <w:pPr>
        <w:ind w:left="3272" w:hanging="360"/>
      </w:pPr>
    </w:lvl>
    <w:lvl w:ilvl="5" w:tplc="0410001B" w:tentative="1">
      <w:start w:val="1"/>
      <w:numFmt w:val="lowerRoman"/>
      <w:lvlText w:val="%6."/>
      <w:lvlJc w:val="right"/>
      <w:pPr>
        <w:ind w:left="3992" w:hanging="180"/>
      </w:pPr>
    </w:lvl>
    <w:lvl w:ilvl="6" w:tplc="0410000F" w:tentative="1">
      <w:start w:val="1"/>
      <w:numFmt w:val="decimal"/>
      <w:lvlText w:val="%7."/>
      <w:lvlJc w:val="left"/>
      <w:pPr>
        <w:ind w:left="4712" w:hanging="360"/>
      </w:pPr>
    </w:lvl>
    <w:lvl w:ilvl="7" w:tplc="04100019" w:tentative="1">
      <w:start w:val="1"/>
      <w:numFmt w:val="lowerLetter"/>
      <w:lvlText w:val="%8."/>
      <w:lvlJc w:val="left"/>
      <w:pPr>
        <w:ind w:left="5432" w:hanging="360"/>
      </w:pPr>
    </w:lvl>
    <w:lvl w:ilvl="8" w:tplc="0410001B" w:tentative="1">
      <w:start w:val="1"/>
      <w:numFmt w:val="lowerRoman"/>
      <w:lvlText w:val="%9."/>
      <w:lvlJc w:val="right"/>
      <w:pPr>
        <w:ind w:left="6152" w:hanging="180"/>
      </w:pPr>
    </w:lvl>
  </w:abstractNum>
  <w:abstractNum w:abstractNumId="51">
    <w:nsid w:val="5B923BB5"/>
    <w:multiLevelType w:val="hybridMultilevel"/>
    <w:tmpl w:val="6C569C2C"/>
    <w:lvl w:ilvl="0" w:tplc="28965996">
      <w:start w:val="1"/>
      <w:numFmt w:val="lowerLetter"/>
      <w:lvlText w:val="%1)"/>
      <w:lvlJc w:val="left"/>
      <w:pPr>
        <w:ind w:left="582" w:hanging="360"/>
      </w:pPr>
      <w:rPr>
        <w:rFonts w:hint="default"/>
      </w:rPr>
    </w:lvl>
    <w:lvl w:ilvl="1" w:tplc="04090019" w:tentative="1">
      <w:start w:val="1"/>
      <w:numFmt w:val="lowerLetter"/>
      <w:lvlText w:val="%2."/>
      <w:lvlJc w:val="left"/>
      <w:pPr>
        <w:ind w:left="1302" w:hanging="360"/>
      </w:pPr>
    </w:lvl>
    <w:lvl w:ilvl="2" w:tplc="0409001B" w:tentative="1">
      <w:start w:val="1"/>
      <w:numFmt w:val="lowerRoman"/>
      <w:lvlText w:val="%3."/>
      <w:lvlJc w:val="right"/>
      <w:pPr>
        <w:ind w:left="2022" w:hanging="180"/>
      </w:pPr>
    </w:lvl>
    <w:lvl w:ilvl="3" w:tplc="0409000F" w:tentative="1">
      <w:start w:val="1"/>
      <w:numFmt w:val="decimal"/>
      <w:lvlText w:val="%4."/>
      <w:lvlJc w:val="left"/>
      <w:pPr>
        <w:ind w:left="2742" w:hanging="360"/>
      </w:pPr>
    </w:lvl>
    <w:lvl w:ilvl="4" w:tplc="04090019" w:tentative="1">
      <w:start w:val="1"/>
      <w:numFmt w:val="lowerLetter"/>
      <w:lvlText w:val="%5."/>
      <w:lvlJc w:val="left"/>
      <w:pPr>
        <w:ind w:left="3462" w:hanging="360"/>
      </w:pPr>
    </w:lvl>
    <w:lvl w:ilvl="5" w:tplc="0409001B" w:tentative="1">
      <w:start w:val="1"/>
      <w:numFmt w:val="lowerRoman"/>
      <w:lvlText w:val="%6."/>
      <w:lvlJc w:val="right"/>
      <w:pPr>
        <w:ind w:left="4182" w:hanging="180"/>
      </w:pPr>
    </w:lvl>
    <w:lvl w:ilvl="6" w:tplc="0409000F" w:tentative="1">
      <w:start w:val="1"/>
      <w:numFmt w:val="decimal"/>
      <w:lvlText w:val="%7."/>
      <w:lvlJc w:val="left"/>
      <w:pPr>
        <w:ind w:left="4902" w:hanging="360"/>
      </w:pPr>
    </w:lvl>
    <w:lvl w:ilvl="7" w:tplc="04090019" w:tentative="1">
      <w:start w:val="1"/>
      <w:numFmt w:val="lowerLetter"/>
      <w:lvlText w:val="%8."/>
      <w:lvlJc w:val="left"/>
      <w:pPr>
        <w:ind w:left="5622" w:hanging="360"/>
      </w:pPr>
    </w:lvl>
    <w:lvl w:ilvl="8" w:tplc="0409001B" w:tentative="1">
      <w:start w:val="1"/>
      <w:numFmt w:val="lowerRoman"/>
      <w:lvlText w:val="%9."/>
      <w:lvlJc w:val="right"/>
      <w:pPr>
        <w:ind w:left="6342" w:hanging="180"/>
      </w:pPr>
    </w:lvl>
  </w:abstractNum>
  <w:abstractNum w:abstractNumId="52">
    <w:nsid w:val="5C892B00"/>
    <w:multiLevelType w:val="hybridMultilevel"/>
    <w:tmpl w:val="2AC66A12"/>
    <w:lvl w:ilvl="0" w:tplc="A67ED300">
      <w:start w:val="1"/>
      <w:numFmt w:val="bullet"/>
      <w:lvlText w:val="-"/>
      <w:lvlJc w:val="left"/>
      <w:pPr>
        <w:ind w:left="536" w:hanging="360"/>
      </w:pPr>
      <w:rPr>
        <w:rFonts w:ascii="Arial Narrow" w:eastAsia="Times New Roman" w:hAnsi="Arial Narrow"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53">
    <w:nsid w:val="613202F6"/>
    <w:multiLevelType w:val="hybridMultilevel"/>
    <w:tmpl w:val="7A044A9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66BD1B89"/>
    <w:multiLevelType w:val="hybridMultilevel"/>
    <w:tmpl w:val="B1B0357E"/>
    <w:lvl w:ilvl="0" w:tplc="B73E3B4E">
      <w:start w:val="1"/>
      <w:numFmt w:val="lowerLetter"/>
      <w:lvlText w:val="%1)"/>
      <w:lvlJc w:val="left"/>
      <w:pPr>
        <w:ind w:left="392" w:hanging="360"/>
      </w:pPr>
      <w:rPr>
        <w:rFonts w:hint="default"/>
      </w:rPr>
    </w:lvl>
    <w:lvl w:ilvl="1" w:tplc="04100019" w:tentative="1">
      <w:start w:val="1"/>
      <w:numFmt w:val="lowerLetter"/>
      <w:lvlText w:val="%2."/>
      <w:lvlJc w:val="left"/>
      <w:pPr>
        <w:ind w:left="1112" w:hanging="360"/>
      </w:pPr>
    </w:lvl>
    <w:lvl w:ilvl="2" w:tplc="0410001B" w:tentative="1">
      <w:start w:val="1"/>
      <w:numFmt w:val="lowerRoman"/>
      <w:lvlText w:val="%3."/>
      <w:lvlJc w:val="right"/>
      <w:pPr>
        <w:ind w:left="1832" w:hanging="180"/>
      </w:pPr>
    </w:lvl>
    <w:lvl w:ilvl="3" w:tplc="0410000F" w:tentative="1">
      <w:start w:val="1"/>
      <w:numFmt w:val="decimal"/>
      <w:lvlText w:val="%4."/>
      <w:lvlJc w:val="left"/>
      <w:pPr>
        <w:ind w:left="2552" w:hanging="360"/>
      </w:pPr>
    </w:lvl>
    <w:lvl w:ilvl="4" w:tplc="04100019" w:tentative="1">
      <w:start w:val="1"/>
      <w:numFmt w:val="lowerLetter"/>
      <w:lvlText w:val="%5."/>
      <w:lvlJc w:val="left"/>
      <w:pPr>
        <w:ind w:left="3272" w:hanging="360"/>
      </w:pPr>
    </w:lvl>
    <w:lvl w:ilvl="5" w:tplc="0410001B" w:tentative="1">
      <w:start w:val="1"/>
      <w:numFmt w:val="lowerRoman"/>
      <w:lvlText w:val="%6."/>
      <w:lvlJc w:val="right"/>
      <w:pPr>
        <w:ind w:left="3992" w:hanging="180"/>
      </w:pPr>
    </w:lvl>
    <w:lvl w:ilvl="6" w:tplc="0410000F" w:tentative="1">
      <w:start w:val="1"/>
      <w:numFmt w:val="decimal"/>
      <w:lvlText w:val="%7."/>
      <w:lvlJc w:val="left"/>
      <w:pPr>
        <w:ind w:left="4712" w:hanging="360"/>
      </w:pPr>
    </w:lvl>
    <w:lvl w:ilvl="7" w:tplc="04100019" w:tentative="1">
      <w:start w:val="1"/>
      <w:numFmt w:val="lowerLetter"/>
      <w:lvlText w:val="%8."/>
      <w:lvlJc w:val="left"/>
      <w:pPr>
        <w:ind w:left="5432" w:hanging="360"/>
      </w:pPr>
    </w:lvl>
    <w:lvl w:ilvl="8" w:tplc="0410001B" w:tentative="1">
      <w:start w:val="1"/>
      <w:numFmt w:val="lowerRoman"/>
      <w:lvlText w:val="%9."/>
      <w:lvlJc w:val="right"/>
      <w:pPr>
        <w:ind w:left="6152" w:hanging="180"/>
      </w:pPr>
    </w:lvl>
  </w:abstractNum>
  <w:abstractNum w:abstractNumId="55">
    <w:nsid w:val="676B37E9"/>
    <w:multiLevelType w:val="hybridMultilevel"/>
    <w:tmpl w:val="60ECB14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nsid w:val="680F61B8"/>
    <w:multiLevelType w:val="hybridMultilevel"/>
    <w:tmpl w:val="975E7F1C"/>
    <w:lvl w:ilvl="0" w:tplc="C61A863E">
      <w:start w:val="1"/>
      <w:numFmt w:val="lowerLetter"/>
      <w:lvlText w:val="%1)"/>
      <w:lvlJc w:val="left"/>
      <w:pPr>
        <w:ind w:left="536" w:hanging="360"/>
      </w:pPr>
      <w:rPr>
        <w:rFonts w:hint="default"/>
      </w:rPr>
    </w:lvl>
    <w:lvl w:ilvl="1" w:tplc="04100019" w:tentative="1">
      <w:start w:val="1"/>
      <w:numFmt w:val="lowerLetter"/>
      <w:lvlText w:val="%2."/>
      <w:lvlJc w:val="left"/>
      <w:pPr>
        <w:ind w:left="1256" w:hanging="360"/>
      </w:pPr>
    </w:lvl>
    <w:lvl w:ilvl="2" w:tplc="0410001B" w:tentative="1">
      <w:start w:val="1"/>
      <w:numFmt w:val="lowerRoman"/>
      <w:lvlText w:val="%3."/>
      <w:lvlJc w:val="right"/>
      <w:pPr>
        <w:ind w:left="1976" w:hanging="180"/>
      </w:pPr>
    </w:lvl>
    <w:lvl w:ilvl="3" w:tplc="0410000F" w:tentative="1">
      <w:start w:val="1"/>
      <w:numFmt w:val="decimal"/>
      <w:lvlText w:val="%4."/>
      <w:lvlJc w:val="left"/>
      <w:pPr>
        <w:ind w:left="2696" w:hanging="360"/>
      </w:pPr>
    </w:lvl>
    <w:lvl w:ilvl="4" w:tplc="04100019" w:tentative="1">
      <w:start w:val="1"/>
      <w:numFmt w:val="lowerLetter"/>
      <w:lvlText w:val="%5."/>
      <w:lvlJc w:val="left"/>
      <w:pPr>
        <w:ind w:left="3416" w:hanging="360"/>
      </w:pPr>
    </w:lvl>
    <w:lvl w:ilvl="5" w:tplc="0410001B" w:tentative="1">
      <w:start w:val="1"/>
      <w:numFmt w:val="lowerRoman"/>
      <w:lvlText w:val="%6."/>
      <w:lvlJc w:val="right"/>
      <w:pPr>
        <w:ind w:left="4136" w:hanging="180"/>
      </w:pPr>
    </w:lvl>
    <w:lvl w:ilvl="6" w:tplc="0410000F" w:tentative="1">
      <w:start w:val="1"/>
      <w:numFmt w:val="decimal"/>
      <w:lvlText w:val="%7."/>
      <w:lvlJc w:val="left"/>
      <w:pPr>
        <w:ind w:left="4856" w:hanging="360"/>
      </w:pPr>
    </w:lvl>
    <w:lvl w:ilvl="7" w:tplc="04100019" w:tentative="1">
      <w:start w:val="1"/>
      <w:numFmt w:val="lowerLetter"/>
      <w:lvlText w:val="%8."/>
      <w:lvlJc w:val="left"/>
      <w:pPr>
        <w:ind w:left="5576" w:hanging="360"/>
      </w:pPr>
    </w:lvl>
    <w:lvl w:ilvl="8" w:tplc="0410001B" w:tentative="1">
      <w:start w:val="1"/>
      <w:numFmt w:val="lowerRoman"/>
      <w:lvlText w:val="%9."/>
      <w:lvlJc w:val="right"/>
      <w:pPr>
        <w:ind w:left="6296" w:hanging="180"/>
      </w:pPr>
    </w:lvl>
  </w:abstractNum>
  <w:abstractNum w:abstractNumId="57">
    <w:nsid w:val="69274F67"/>
    <w:multiLevelType w:val="hybridMultilevel"/>
    <w:tmpl w:val="544EC3F4"/>
    <w:lvl w:ilvl="0" w:tplc="B27E313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6A481B6B"/>
    <w:multiLevelType w:val="hybridMultilevel"/>
    <w:tmpl w:val="E1DC783E"/>
    <w:lvl w:ilvl="0" w:tplc="4202A210">
      <w:start w:val="1"/>
      <w:numFmt w:val="lowerLetter"/>
      <w:lvlText w:val="%1)"/>
      <w:lvlJc w:val="left"/>
      <w:pPr>
        <w:ind w:left="392" w:hanging="360"/>
      </w:pPr>
      <w:rPr>
        <w:rFonts w:hint="default"/>
      </w:rPr>
    </w:lvl>
    <w:lvl w:ilvl="1" w:tplc="04100019" w:tentative="1">
      <w:start w:val="1"/>
      <w:numFmt w:val="lowerLetter"/>
      <w:lvlText w:val="%2."/>
      <w:lvlJc w:val="left"/>
      <w:pPr>
        <w:ind w:left="1112" w:hanging="360"/>
      </w:pPr>
    </w:lvl>
    <w:lvl w:ilvl="2" w:tplc="0410001B" w:tentative="1">
      <w:start w:val="1"/>
      <w:numFmt w:val="lowerRoman"/>
      <w:lvlText w:val="%3."/>
      <w:lvlJc w:val="right"/>
      <w:pPr>
        <w:ind w:left="1832" w:hanging="180"/>
      </w:pPr>
    </w:lvl>
    <w:lvl w:ilvl="3" w:tplc="0410000F" w:tentative="1">
      <w:start w:val="1"/>
      <w:numFmt w:val="decimal"/>
      <w:lvlText w:val="%4."/>
      <w:lvlJc w:val="left"/>
      <w:pPr>
        <w:ind w:left="2552" w:hanging="360"/>
      </w:pPr>
    </w:lvl>
    <w:lvl w:ilvl="4" w:tplc="04100019" w:tentative="1">
      <w:start w:val="1"/>
      <w:numFmt w:val="lowerLetter"/>
      <w:lvlText w:val="%5."/>
      <w:lvlJc w:val="left"/>
      <w:pPr>
        <w:ind w:left="3272" w:hanging="360"/>
      </w:pPr>
    </w:lvl>
    <w:lvl w:ilvl="5" w:tplc="0410001B" w:tentative="1">
      <w:start w:val="1"/>
      <w:numFmt w:val="lowerRoman"/>
      <w:lvlText w:val="%6."/>
      <w:lvlJc w:val="right"/>
      <w:pPr>
        <w:ind w:left="3992" w:hanging="180"/>
      </w:pPr>
    </w:lvl>
    <w:lvl w:ilvl="6" w:tplc="0410000F" w:tentative="1">
      <w:start w:val="1"/>
      <w:numFmt w:val="decimal"/>
      <w:lvlText w:val="%7."/>
      <w:lvlJc w:val="left"/>
      <w:pPr>
        <w:ind w:left="4712" w:hanging="360"/>
      </w:pPr>
    </w:lvl>
    <w:lvl w:ilvl="7" w:tplc="04100019" w:tentative="1">
      <w:start w:val="1"/>
      <w:numFmt w:val="lowerLetter"/>
      <w:lvlText w:val="%8."/>
      <w:lvlJc w:val="left"/>
      <w:pPr>
        <w:ind w:left="5432" w:hanging="360"/>
      </w:pPr>
    </w:lvl>
    <w:lvl w:ilvl="8" w:tplc="0410001B" w:tentative="1">
      <w:start w:val="1"/>
      <w:numFmt w:val="lowerRoman"/>
      <w:lvlText w:val="%9."/>
      <w:lvlJc w:val="right"/>
      <w:pPr>
        <w:ind w:left="6152" w:hanging="180"/>
      </w:pPr>
    </w:lvl>
  </w:abstractNum>
  <w:abstractNum w:abstractNumId="59">
    <w:nsid w:val="6B7F243F"/>
    <w:multiLevelType w:val="hybridMultilevel"/>
    <w:tmpl w:val="7B46C5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nsid w:val="6E965143"/>
    <w:multiLevelType w:val="hybridMultilevel"/>
    <w:tmpl w:val="623E6672"/>
    <w:lvl w:ilvl="0" w:tplc="B62C33E6">
      <w:start w:val="1"/>
      <w:numFmt w:val="lowerLetter"/>
      <w:lvlText w:val="(%1)"/>
      <w:lvlJc w:val="left"/>
      <w:pPr>
        <w:ind w:left="536" w:hanging="360"/>
      </w:pPr>
      <w:rPr>
        <w:rFonts w:hint="default"/>
      </w:rPr>
    </w:lvl>
    <w:lvl w:ilvl="1" w:tplc="04100019" w:tentative="1">
      <w:start w:val="1"/>
      <w:numFmt w:val="lowerLetter"/>
      <w:lvlText w:val="%2."/>
      <w:lvlJc w:val="left"/>
      <w:pPr>
        <w:ind w:left="1256" w:hanging="360"/>
      </w:pPr>
    </w:lvl>
    <w:lvl w:ilvl="2" w:tplc="0410001B" w:tentative="1">
      <w:start w:val="1"/>
      <w:numFmt w:val="lowerRoman"/>
      <w:lvlText w:val="%3."/>
      <w:lvlJc w:val="right"/>
      <w:pPr>
        <w:ind w:left="1976" w:hanging="180"/>
      </w:pPr>
    </w:lvl>
    <w:lvl w:ilvl="3" w:tplc="0410000F" w:tentative="1">
      <w:start w:val="1"/>
      <w:numFmt w:val="decimal"/>
      <w:lvlText w:val="%4."/>
      <w:lvlJc w:val="left"/>
      <w:pPr>
        <w:ind w:left="2696" w:hanging="360"/>
      </w:pPr>
    </w:lvl>
    <w:lvl w:ilvl="4" w:tplc="04100019" w:tentative="1">
      <w:start w:val="1"/>
      <w:numFmt w:val="lowerLetter"/>
      <w:lvlText w:val="%5."/>
      <w:lvlJc w:val="left"/>
      <w:pPr>
        <w:ind w:left="3416" w:hanging="360"/>
      </w:pPr>
    </w:lvl>
    <w:lvl w:ilvl="5" w:tplc="0410001B" w:tentative="1">
      <w:start w:val="1"/>
      <w:numFmt w:val="lowerRoman"/>
      <w:lvlText w:val="%6."/>
      <w:lvlJc w:val="right"/>
      <w:pPr>
        <w:ind w:left="4136" w:hanging="180"/>
      </w:pPr>
    </w:lvl>
    <w:lvl w:ilvl="6" w:tplc="0410000F" w:tentative="1">
      <w:start w:val="1"/>
      <w:numFmt w:val="decimal"/>
      <w:lvlText w:val="%7."/>
      <w:lvlJc w:val="left"/>
      <w:pPr>
        <w:ind w:left="4856" w:hanging="360"/>
      </w:pPr>
    </w:lvl>
    <w:lvl w:ilvl="7" w:tplc="04100019" w:tentative="1">
      <w:start w:val="1"/>
      <w:numFmt w:val="lowerLetter"/>
      <w:lvlText w:val="%8."/>
      <w:lvlJc w:val="left"/>
      <w:pPr>
        <w:ind w:left="5576" w:hanging="360"/>
      </w:pPr>
    </w:lvl>
    <w:lvl w:ilvl="8" w:tplc="0410001B" w:tentative="1">
      <w:start w:val="1"/>
      <w:numFmt w:val="lowerRoman"/>
      <w:lvlText w:val="%9."/>
      <w:lvlJc w:val="right"/>
      <w:pPr>
        <w:ind w:left="6296" w:hanging="180"/>
      </w:pPr>
    </w:lvl>
  </w:abstractNum>
  <w:abstractNum w:abstractNumId="61">
    <w:nsid w:val="77037A8B"/>
    <w:multiLevelType w:val="hybridMultilevel"/>
    <w:tmpl w:val="27FC318A"/>
    <w:lvl w:ilvl="0" w:tplc="62223F78">
      <w:start w:val="1"/>
      <w:numFmt w:val="lowerLetter"/>
      <w:lvlText w:val="%1)"/>
      <w:lvlJc w:val="left"/>
      <w:pPr>
        <w:ind w:left="536" w:hanging="360"/>
      </w:pPr>
      <w:rPr>
        <w:rFonts w:hint="default"/>
      </w:rPr>
    </w:lvl>
    <w:lvl w:ilvl="1" w:tplc="04100019" w:tentative="1">
      <w:start w:val="1"/>
      <w:numFmt w:val="lowerLetter"/>
      <w:lvlText w:val="%2."/>
      <w:lvlJc w:val="left"/>
      <w:pPr>
        <w:ind w:left="1256" w:hanging="360"/>
      </w:pPr>
    </w:lvl>
    <w:lvl w:ilvl="2" w:tplc="0410001B" w:tentative="1">
      <w:start w:val="1"/>
      <w:numFmt w:val="lowerRoman"/>
      <w:lvlText w:val="%3."/>
      <w:lvlJc w:val="right"/>
      <w:pPr>
        <w:ind w:left="1976" w:hanging="180"/>
      </w:pPr>
    </w:lvl>
    <w:lvl w:ilvl="3" w:tplc="0410000F" w:tentative="1">
      <w:start w:val="1"/>
      <w:numFmt w:val="decimal"/>
      <w:lvlText w:val="%4."/>
      <w:lvlJc w:val="left"/>
      <w:pPr>
        <w:ind w:left="2696" w:hanging="360"/>
      </w:pPr>
    </w:lvl>
    <w:lvl w:ilvl="4" w:tplc="04100019" w:tentative="1">
      <w:start w:val="1"/>
      <w:numFmt w:val="lowerLetter"/>
      <w:lvlText w:val="%5."/>
      <w:lvlJc w:val="left"/>
      <w:pPr>
        <w:ind w:left="3416" w:hanging="360"/>
      </w:pPr>
    </w:lvl>
    <w:lvl w:ilvl="5" w:tplc="0410001B" w:tentative="1">
      <w:start w:val="1"/>
      <w:numFmt w:val="lowerRoman"/>
      <w:lvlText w:val="%6."/>
      <w:lvlJc w:val="right"/>
      <w:pPr>
        <w:ind w:left="4136" w:hanging="180"/>
      </w:pPr>
    </w:lvl>
    <w:lvl w:ilvl="6" w:tplc="0410000F" w:tentative="1">
      <w:start w:val="1"/>
      <w:numFmt w:val="decimal"/>
      <w:lvlText w:val="%7."/>
      <w:lvlJc w:val="left"/>
      <w:pPr>
        <w:ind w:left="4856" w:hanging="360"/>
      </w:pPr>
    </w:lvl>
    <w:lvl w:ilvl="7" w:tplc="04100019" w:tentative="1">
      <w:start w:val="1"/>
      <w:numFmt w:val="lowerLetter"/>
      <w:lvlText w:val="%8."/>
      <w:lvlJc w:val="left"/>
      <w:pPr>
        <w:ind w:left="5576" w:hanging="360"/>
      </w:pPr>
    </w:lvl>
    <w:lvl w:ilvl="8" w:tplc="0410001B" w:tentative="1">
      <w:start w:val="1"/>
      <w:numFmt w:val="lowerRoman"/>
      <w:lvlText w:val="%9."/>
      <w:lvlJc w:val="right"/>
      <w:pPr>
        <w:ind w:left="6296" w:hanging="180"/>
      </w:pPr>
    </w:lvl>
  </w:abstractNum>
  <w:abstractNum w:abstractNumId="62">
    <w:nsid w:val="77D44A7B"/>
    <w:multiLevelType w:val="hybridMultilevel"/>
    <w:tmpl w:val="38A0CEEE"/>
    <w:lvl w:ilvl="0" w:tplc="DEC00F52">
      <w:start w:val="1"/>
      <w:numFmt w:val="lowerLetter"/>
      <w:lvlText w:val="%1)"/>
      <w:lvlJc w:val="left"/>
      <w:pPr>
        <w:ind w:left="392" w:hanging="360"/>
      </w:pPr>
      <w:rPr>
        <w:rFonts w:hint="default"/>
      </w:rPr>
    </w:lvl>
    <w:lvl w:ilvl="1" w:tplc="04100019" w:tentative="1">
      <w:start w:val="1"/>
      <w:numFmt w:val="lowerLetter"/>
      <w:lvlText w:val="%2."/>
      <w:lvlJc w:val="left"/>
      <w:pPr>
        <w:ind w:left="1112" w:hanging="360"/>
      </w:pPr>
    </w:lvl>
    <w:lvl w:ilvl="2" w:tplc="0410001B" w:tentative="1">
      <w:start w:val="1"/>
      <w:numFmt w:val="lowerRoman"/>
      <w:lvlText w:val="%3."/>
      <w:lvlJc w:val="right"/>
      <w:pPr>
        <w:ind w:left="1832" w:hanging="180"/>
      </w:pPr>
    </w:lvl>
    <w:lvl w:ilvl="3" w:tplc="0410000F" w:tentative="1">
      <w:start w:val="1"/>
      <w:numFmt w:val="decimal"/>
      <w:lvlText w:val="%4."/>
      <w:lvlJc w:val="left"/>
      <w:pPr>
        <w:ind w:left="2552" w:hanging="360"/>
      </w:pPr>
    </w:lvl>
    <w:lvl w:ilvl="4" w:tplc="04100019" w:tentative="1">
      <w:start w:val="1"/>
      <w:numFmt w:val="lowerLetter"/>
      <w:lvlText w:val="%5."/>
      <w:lvlJc w:val="left"/>
      <w:pPr>
        <w:ind w:left="3272" w:hanging="360"/>
      </w:pPr>
    </w:lvl>
    <w:lvl w:ilvl="5" w:tplc="0410001B" w:tentative="1">
      <w:start w:val="1"/>
      <w:numFmt w:val="lowerRoman"/>
      <w:lvlText w:val="%6."/>
      <w:lvlJc w:val="right"/>
      <w:pPr>
        <w:ind w:left="3992" w:hanging="180"/>
      </w:pPr>
    </w:lvl>
    <w:lvl w:ilvl="6" w:tplc="0410000F" w:tentative="1">
      <w:start w:val="1"/>
      <w:numFmt w:val="decimal"/>
      <w:lvlText w:val="%7."/>
      <w:lvlJc w:val="left"/>
      <w:pPr>
        <w:ind w:left="4712" w:hanging="360"/>
      </w:pPr>
    </w:lvl>
    <w:lvl w:ilvl="7" w:tplc="04100019" w:tentative="1">
      <w:start w:val="1"/>
      <w:numFmt w:val="lowerLetter"/>
      <w:lvlText w:val="%8."/>
      <w:lvlJc w:val="left"/>
      <w:pPr>
        <w:ind w:left="5432" w:hanging="360"/>
      </w:pPr>
    </w:lvl>
    <w:lvl w:ilvl="8" w:tplc="0410001B" w:tentative="1">
      <w:start w:val="1"/>
      <w:numFmt w:val="lowerRoman"/>
      <w:lvlText w:val="%9."/>
      <w:lvlJc w:val="right"/>
      <w:pPr>
        <w:ind w:left="6152" w:hanging="180"/>
      </w:pPr>
    </w:lvl>
  </w:abstractNum>
  <w:abstractNum w:abstractNumId="63">
    <w:nsid w:val="7E351421"/>
    <w:multiLevelType w:val="hybridMultilevel"/>
    <w:tmpl w:val="78F0F032"/>
    <w:lvl w:ilvl="0" w:tplc="CFC2D31C">
      <w:start w:val="1"/>
      <w:numFmt w:val="lowerLetter"/>
      <w:lvlText w:val="%1)"/>
      <w:lvlJc w:val="left"/>
      <w:pPr>
        <w:ind w:left="536" w:hanging="360"/>
      </w:pPr>
      <w:rPr>
        <w:rFonts w:hint="default"/>
      </w:rPr>
    </w:lvl>
    <w:lvl w:ilvl="1" w:tplc="04100019" w:tentative="1">
      <w:start w:val="1"/>
      <w:numFmt w:val="lowerLetter"/>
      <w:lvlText w:val="%2."/>
      <w:lvlJc w:val="left"/>
      <w:pPr>
        <w:ind w:left="1256" w:hanging="360"/>
      </w:pPr>
    </w:lvl>
    <w:lvl w:ilvl="2" w:tplc="0410001B" w:tentative="1">
      <w:start w:val="1"/>
      <w:numFmt w:val="lowerRoman"/>
      <w:lvlText w:val="%3."/>
      <w:lvlJc w:val="right"/>
      <w:pPr>
        <w:ind w:left="1976" w:hanging="180"/>
      </w:pPr>
    </w:lvl>
    <w:lvl w:ilvl="3" w:tplc="0410000F" w:tentative="1">
      <w:start w:val="1"/>
      <w:numFmt w:val="decimal"/>
      <w:lvlText w:val="%4."/>
      <w:lvlJc w:val="left"/>
      <w:pPr>
        <w:ind w:left="2696" w:hanging="360"/>
      </w:pPr>
    </w:lvl>
    <w:lvl w:ilvl="4" w:tplc="04100019" w:tentative="1">
      <w:start w:val="1"/>
      <w:numFmt w:val="lowerLetter"/>
      <w:lvlText w:val="%5."/>
      <w:lvlJc w:val="left"/>
      <w:pPr>
        <w:ind w:left="3416" w:hanging="360"/>
      </w:pPr>
    </w:lvl>
    <w:lvl w:ilvl="5" w:tplc="0410001B" w:tentative="1">
      <w:start w:val="1"/>
      <w:numFmt w:val="lowerRoman"/>
      <w:lvlText w:val="%6."/>
      <w:lvlJc w:val="right"/>
      <w:pPr>
        <w:ind w:left="4136" w:hanging="180"/>
      </w:pPr>
    </w:lvl>
    <w:lvl w:ilvl="6" w:tplc="0410000F" w:tentative="1">
      <w:start w:val="1"/>
      <w:numFmt w:val="decimal"/>
      <w:lvlText w:val="%7."/>
      <w:lvlJc w:val="left"/>
      <w:pPr>
        <w:ind w:left="4856" w:hanging="360"/>
      </w:pPr>
    </w:lvl>
    <w:lvl w:ilvl="7" w:tplc="04100019" w:tentative="1">
      <w:start w:val="1"/>
      <w:numFmt w:val="lowerLetter"/>
      <w:lvlText w:val="%8."/>
      <w:lvlJc w:val="left"/>
      <w:pPr>
        <w:ind w:left="5576" w:hanging="360"/>
      </w:pPr>
    </w:lvl>
    <w:lvl w:ilvl="8" w:tplc="0410001B" w:tentative="1">
      <w:start w:val="1"/>
      <w:numFmt w:val="lowerRoman"/>
      <w:lvlText w:val="%9."/>
      <w:lvlJc w:val="right"/>
      <w:pPr>
        <w:ind w:left="6296" w:hanging="180"/>
      </w:pPr>
    </w:lvl>
  </w:abstractNum>
  <w:num w:numId="1">
    <w:abstractNumId w:val="4"/>
  </w:num>
  <w:num w:numId="2">
    <w:abstractNumId w:val="0"/>
  </w:num>
  <w:num w:numId="3">
    <w:abstractNumId w:val="37"/>
  </w:num>
  <w:num w:numId="4">
    <w:abstractNumId w:val="37"/>
    <w:lvlOverride w:ilvl="0">
      <w:startOverride w:val="1"/>
    </w:lvlOverride>
  </w:num>
  <w:num w:numId="5">
    <w:abstractNumId w:val="37"/>
    <w:lvlOverride w:ilvl="0">
      <w:startOverride w:val="1"/>
    </w:lvlOverride>
  </w:num>
  <w:num w:numId="6">
    <w:abstractNumId w:val="37"/>
    <w:lvlOverride w:ilvl="0">
      <w:startOverride w:val="1"/>
    </w:lvlOverride>
  </w:num>
  <w:num w:numId="7">
    <w:abstractNumId w:val="37"/>
  </w:num>
  <w:num w:numId="8">
    <w:abstractNumId w:val="37"/>
    <w:lvlOverride w:ilvl="0">
      <w:startOverride w:val="1"/>
    </w:lvlOverride>
  </w:num>
  <w:num w:numId="9">
    <w:abstractNumId w:val="37"/>
    <w:lvlOverride w:ilvl="0">
      <w:startOverride w:val="1"/>
    </w:lvlOverride>
  </w:num>
  <w:num w:numId="10">
    <w:abstractNumId w:val="37"/>
    <w:lvlOverride w:ilvl="0">
      <w:startOverride w:val="1"/>
    </w:lvlOverride>
  </w:num>
  <w:num w:numId="11">
    <w:abstractNumId w:val="37"/>
    <w:lvlOverride w:ilvl="0">
      <w:startOverride w:val="1"/>
    </w:lvlOverride>
  </w:num>
  <w:num w:numId="12">
    <w:abstractNumId w:val="37"/>
    <w:lvlOverride w:ilvl="0">
      <w:startOverride w:val="1"/>
    </w:lvlOverride>
  </w:num>
  <w:num w:numId="13">
    <w:abstractNumId w:val="37"/>
    <w:lvlOverride w:ilvl="0">
      <w:startOverride w:val="1"/>
    </w:lvlOverride>
  </w:num>
  <w:num w:numId="14">
    <w:abstractNumId w:val="37"/>
    <w:lvlOverride w:ilvl="0">
      <w:startOverride w:val="1"/>
    </w:lvlOverride>
  </w:num>
  <w:num w:numId="15">
    <w:abstractNumId w:val="37"/>
    <w:lvlOverride w:ilvl="0">
      <w:startOverride w:val="1"/>
    </w:lvlOverride>
  </w:num>
  <w:num w:numId="16">
    <w:abstractNumId w:val="37"/>
    <w:lvlOverride w:ilvl="0">
      <w:startOverride w:val="1"/>
    </w:lvlOverride>
  </w:num>
  <w:num w:numId="17">
    <w:abstractNumId w:val="37"/>
    <w:lvlOverride w:ilvl="0">
      <w:startOverride w:val="1"/>
    </w:lvlOverride>
  </w:num>
  <w:num w:numId="18">
    <w:abstractNumId w:val="37"/>
    <w:lvlOverride w:ilvl="0">
      <w:startOverride w:val="1"/>
    </w:lvlOverride>
  </w:num>
  <w:num w:numId="19">
    <w:abstractNumId w:val="37"/>
    <w:lvlOverride w:ilvl="0">
      <w:startOverride w:val="1"/>
    </w:lvlOverride>
  </w:num>
  <w:num w:numId="20">
    <w:abstractNumId w:val="37"/>
    <w:lvlOverride w:ilvl="0">
      <w:startOverride w:val="1"/>
    </w:lvlOverride>
  </w:num>
  <w:num w:numId="21">
    <w:abstractNumId w:val="37"/>
    <w:lvlOverride w:ilvl="0">
      <w:startOverride w:val="1"/>
    </w:lvlOverride>
  </w:num>
  <w:num w:numId="22">
    <w:abstractNumId w:val="37"/>
    <w:lvlOverride w:ilvl="0">
      <w:startOverride w:val="1"/>
    </w:lvlOverride>
  </w:num>
  <w:num w:numId="23">
    <w:abstractNumId w:val="37"/>
    <w:lvlOverride w:ilvl="0">
      <w:startOverride w:val="1"/>
    </w:lvlOverride>
  </w:num>
  <w:num w:numId="24">
    <w:abstractNumId w:val="37"/>
    <w:lvlOverride w:ilvl="0">
      <w:startOverride w:val="1"/>
    </w:lvlOverride>
  </w:num>
  <w:num w:numId="25">
    <w:abstractNumId w:val="37"/>
    <w:lvlOverride w:ilvl="0">
      <w:startOverride w:val="1"/>
    </w:lvlOverride>
  </w:num>
  <w:num w:numId="26">
    <w:abstractNumId w:val="37"/>
    <w:lvlOverride w:ilvl="0">
      <w:startOverride w:val="1"/>
    </w:lvlOverride>
  </w:num>
  <w:num w:numId="27">
    <w:abstractNumId w:val="37"/>
    <w:lvlOverride w:ilvl="0">
      <w:startOverride w:val="1"/>
    </w:lvlOverride>
  </w:num>
  <w:num w:numId="28">
    <w:abstractNumId w:val="37"/>
    <w:lvlOverride w:ilvl="0">
      <w:startOverride w:val="1"/>
    </w:lvlOverride>
  </w:num>
  <w:num w:numId="29">
    <w:abstractNumId w:val="37"/>
    <w:lvlOverride w:ilvl="0">
      <w:startOverride w:val="1"/>
    </w:lvlOverride>
  </w:num>
  <w:num w:numId="30">
    <w:abstractNumId w:val="37"/>
    <w:lvlOverride w:ilvl="0">
      <w:startOverride w:val="1"/>
    </w:lvlOverride>
  </w:num>
  <w:num w:numId="31">
    <w:abstractNumId w:val="37"/>
    <w:lvlOverride w:ilvl="0">
      <w:startOverride w:val="1"/>
    </w:lvlOverride>
  </w:num>
  <w:num w:numId="32">
    <w:abstractNumId w:val="37"/>
    <w:lvlOverride w:ilvl="0">
      <w:startOverride w:val="1"/>
    </w:lvlOverride>
  </w:num>
  <w:num w:numId="33">
    <w:abstractNumId w:val="37"/>
    <w:lvlOverride w:ilvl="0">
      <w:startOverride w:val="1"/>
    </w:lvlOverride>
  </w:num>
  <w:num w:numId="34">
    <w:abstractNumId w:val="37"/>
    <w:lvlOverride w:ilvl="0">
      <w:startOverride w:val="1"/>
    </w:lvlOverride>
  </w:num>
  <w:num w:numId="35">
    <w:abstractNumId w:val="37"/>
    <w:lvlOverride w:ilvl="0">
      <w:startOverride w:val="1"/>
    </w:lvlOverride>
  </w:num>
  <w:num w:numId="36">
    <w:abstractNumId w:val="37"/>
    <w:lvlOverride w:ilvl="0">
      <w:startOverride w:val="1"/>
    </w:lvlOverride>
  </w:num>
  <w:num w:numId="37">
    <w:abstractNumId w:val="37"/>
    <w:lvlOverride w:ilvl="0">
      <w:startOverride w:val="1"/>
    </w:lvlOverride>
  </w:num>
  <w:num w:numId="38">
    <w:abstractNumId w:val="37"/>
    <w:lvlOverride w:ilvl="0">
      <w:startOverride w:val="1"/>
    </w:lvlOverride>
  </w:num>
  <w:num w:numId="39">
    <w:abstractNumId w:val="37"/>
    <w:lvlOverride w:ilvl="0">
      <w:startOverride w:val="1"/>
    </w:lvlOverride>
  </w:num>
  <w:num w:numId="40">
    <w:abstractNumId w:val="37"/>
    <w:lvlOverride w:ilvl="0">
      <w:startOverride w:val="1"/>
    </w:lvlOverride>
  </w:num>
  <w:num w:numId="41">
    <w:abstractNumId w:val="37"/>
    <w:lvlOverride w:ilvl="0">
      <w:startOverride w:val="1"/>
    </w:lvlOverride>
  </w:num>
  <w:num w:numId="42">
    <w:abstractNumId w:val="37"/>
    <w:lvlOverride w:ilvl="0">
      <w:startOverride w:val="1"/>
    </w:lvlOverride>
  </w:num>
  <w:num w:numId="43">
    <w:abstractNumId w:val="37"/>
    <w:lvlOverride w:ilvl="0">
      <w:startOverride w:val="1"/>
    </w:lvlOverride>
  </w:num>
  <w:num w:numId="44">
    <w:abstractNumId w:val="37"/>
    <w:lvlOverride w:ilvl="0">
      <w:startOverride w:val="1"/>
    </w:lvlOverride>
  </w:num>
  <w:num w:numId="45">
    <w:abstractNumId w:val="37"/>
    <w:lvlOverride w:ilvl="0">
      <w:startOverride w:val="1"/>
    </w:lvlOverride>
  </w:num>
  <w:num w:numId="46">
    <w:abstractNumId w:val="37"/>
    <w:lvlOverride w:ilvl="0">
      <w:startOverride w:val="1"/>
    </w:lvlOverride>
  </w:num>
  <w:num w:numId="47">
    <w:abstractNumId w:val="37"/>
    <w:lvlOverride w:ilvl="0">
      <w:startOverride w:val="1"/>
    </w:lvlOverride>
  </w:num>
  <w:num w:numId="48">
    <w:abstractNumId w:val="37"/>
    <w:lvlOverride w:ilvl="0">
      <w:startOverride w:val="1"/>
    </w:lvlOverride>
  </w:num>
  <w:num w:numId="49">
    <w:abstractNumId w:val="37"/>
    <w:lvlOverride w:ilvl="0">
      <w:startOverride w:val="1"/>
    </w:lvlOverride>
  </w:num>
  <w:num w:numId="50">
    <w:abstractNumId w:val="37"/>
    <w:lvlOverride w:ilvl="0">
      <w:startOverride w:val="1"/>
    </w:lvlOverride>
  </w:num>
  <w:num w:numId="51">
    <w:abstractNumId w:val="37"/>
    <w:lvlOverride w:ilvl="0">
      <w:startOverride w:val="1"/>
    </w:lvlOverride>
  </w:num>
  <w:num w:numId="52">
    <w:abstractNumId w:val="37"/>
    <w:lvlOverride w:ilvl="0">
      <w:startOverride w:val="1"/>
    </w:lvlOverride>
  </w:num>
  <w:num w:numId="53">
    <w:abstractNumId w:val="37"/>
    <w:lvlOverride w:ilvl="0">
      <w:startOverride w:val="1"/>
    </w:lvlOverride>
  </w:num>
  <w:num w:numId="54">
    <w:abstractNumId w:val="37"/>
    <w:lvlOverride w:ilvl="0">
      <w:startOverride w:val="1"/>
    </w:lvlOverride>
  </w:num>
  <w:num w:numId="55">
    <w:abstractNumId w:val="37"/>
    <w:lvlOverride w:ilvl="0">
      <w:startOverride w:val="1"/>
    </w:lvlOverride>
  </w:num>
  <w:num w:numId="56">
    <w:abstractNumId w:val="37"/>
    <w:lvlOverride w:ilvl="0">
      <w:startOverride w:val="1"/>
    </w:lvlOverride>
  </w:num>
  <w:num w:numId="57">
    <w:abstractNumId w:val="37"/>
    <w:lvlOverride w:ilvl="0">
      <w:startOverride w:val="1"/>
    </w:lvlOverride>
  </w:num>
  <w:num w:numId="58">
    <w:abstractNumId w:val="37"/>
    <w:lvlOverride w:ilvl="0">
      <w:startOverride w:val="1"/>
    </w:lvlOverride>
  </w:num>
  <w:num w:numId="59">
    <w:abstractNumId w:val="37"/>
    <w:lvlOverride w:ilvl="0">
      <w:startOverride w:val="1"/>
    </w:lvlOverride>
  </w:num>
  <w:num w:numId="60">
    <w:abstractNumId w:val="37"/>
    <w:lvlOverride w:ilvl="0">
      <w:startOverride w:val="1"/>
    </w:lvlOverride>
  </w:num>
  <w:num w:numId="61">
    <w:abstractNumId w:val="37"/>
    <w:lvlOverride w:ilvl="0">
      <w:startOverride w:val="1"/>
    </w:lvlOverride>
  </w:num>
  <w:num w:numId="62">
    <w:abstractNumId w:val="37"/>
    <w:lvlOverride w:ilvl="0">
      <w:startOverride w:val="1"/>
    </w:lvlOverride>
  </w:num>
  <w:num w:numId="63">
    <w:abstractNumId w:val="37"/>
    <w:lvlOverride w:ilvl="0">
      <w:startOverride w:val="1"/>
    </w:lvlOverride>
  </w:num>
  <w:num w:numId="64">
    <w:abstractNumId w:val="37"/>
    <w:lvlOverride w:ilvl="0">
      <w:startOverride w:val="1"/>
    </w:lvlOverride>
  </w:num>
  <w:num w:numId="65">
    <w:abstractNumId w:val="37"/>
    <w:lvlOverride w:ilvl="0">
      <w:startOverride w:val="1"/>
    </w:lvlOverride>
  </w:num>
  <w:num w:numId="66">
    <w:abstractNumId w:val="37"/>
    <w:lvlOverride w:ilvl="0">
      <w:startOverride w:val="1"/>
    </w:lvlOverride>
  </w:num>
  <w:num w:numId="67">
    <w:abstractNumId w:val="37"/>
    <w:lvlOverride w:ilvl="0">
      <w:startOverride w:val="1"/>
    </w:lvlOverride>
  </w:num>
  <w:num w:numId="68">
    <w:abstractNumId w:val="37"/>
    <w:lvlOverride w:ilvl="0">
      <w:startOverride w:val="1"/>
    </w:lvlOverride>
  </w:num>
  <w:num w:numId="69">
    <w:abstractNumId w:val="37"/>
    <w:lvlOverride w:ilvl="0">
      <w:startOverride w:val="1"/>
    </w:lvlOverride>
  </w:num>
  <w:num w:numId="70">
    <w:abstractNumId w:val="37"/>
    <w:lvlOverride w:ilvl="0">
      <w:startOverride w:val="1"/>
    </w:lvlOverride>
  </w:num>
  <w:num w:numId="71">
    <w:abstractNumId w:val="37"/>
    <w:lvlOverride w:ilvl="0">
      <w:startOverride w:val="1"/>
    </w:lvlOverride>
  </w:num>
  <w:num w:numId="72">
    <w:abstractNumId w:val="37"/>
    <w:lvlOverride w:ilvl="0">
      <w:startOverride w:val="1"/>
    </w:lvlOverride>
  </w:num>
  <w:num w:numId="73">
    <w:abstractNumId w:val="37"/>
    <w:lvlOverride w:ilvl="0">
      <w:startOverride w:val="1"/>
    </w:lvlOverride>
  </w:num>
  <w:num w:numId="74">
    <w:abstractNumId w:val="37"/>
    <w:lvlOverride w:ilvl="0">
      <w:startOverride w:val="1"/>
    </w:lvlOverride>
  </w:num>
  <w:num w:numId="75">
    <w:abstractNumId w:val="37"/>
    <w:lvlOverride w:ilvl="0">
      <w:startOverride w:val="1"/>
    </w:lvlOverride>
  </w:num>
  <w:num w:numId="76">
    <w:abstractNumId w:val="37"/>
    <w:lvlOverride w:ilvl="0">
      <w:startOverride w:val="1"/>
    </w:lvlOverride>
  </w:num>
  <w:num w:numId="77">
    <w:abstractNumId w:val="37"/>
    <w:lvlOverride w:ilvl="0">
      <w:startOverride w:val="1"/>
    </w:lvlOverride>
  </w:num>
  <w:num w:numId="78">
    <w:abstractNumId w:val="37"/>
    <w:lvlOverride w:ilvl="0">
      <w:startOverride w:val="1"/>
    </w:lvlOverride>
  </w:num>
  <w:num w:numId="79">
    <w:abstractNumId w:val="37"/>
    <w:lvlOverride w:ilvl="0">
      <w:startOverride w:val="1"/>
    </w:lvlOverride>
  </w:num>
  <w:num w:numId="80">
    <w:abstractNumId w:val="37"/>
    <w:lvlOverride w:ilvl="0">
      <w:startOverride w:val="1"/>
    </w:lvlOverride>
  </w:num>
  <w:num w:numId="81">
    <w:abstractNumId w:val="37"/>
    <w:lvlOverride w:ilvl="0">
      <w:startOverride w:val="1"/>
    </w:lvlOverride>
  </w:num>
  <w:num w:numId="82">
    <w:abstractNumId w:val="37"/>
    <w:lvlOverride w:ilvl="0">
      <w:startOverride w:val="1"/>
    </w:lvlOverride>
  </w:num>
  <w:num w:numId="83">
    <w:abstractNumId w:val="37"/>
    <w:lvlOverride w:ilvl="0">
      <w:startOverride w:val="1"/>
    </w:lvlOverride>
  </w:num>
  <w:num w:numId="84">
    <w:abstractNumId w:val="37"/>
    <w:lvlOverride w:ilvl="0">
      <w:startOverride w:val="1"/>
    </w:lvlOverride>
  </w:num>
  <w:num w:numId="85">
    <w:abstractNumId w:val="37"/>
    <w:lvlOverride w:ilvl="0">
      <w:startOverride w:val="1"/>
    </w:lvlOverride>
  </w:num>
  <w:num w:numId="86">
    <w:abstractNumId w:val="37"/>
    <w:lvlOverride w:ilvl="0">
      <w:startOverride w:val="1"/>
    </w:lvlOverride>
  </w:num>
  <w:num w:numId="87">
    <w:abstractNumId w:val="37"/>
    <w:lvlOverride w:ilvl="0">
      <w:startOverride w:val="1"/>
    </w:lvlOverride>
  </w:num>
  <w:num w:numId="88">
    <w:abstractNumId w:val="37"/>
    <w:lvlOverride w:ilvl="0">
      <w:startOverride w:val="1"/>
    </w:lvlOverride>
  </w:num>
  <w:num w:numId="89">
    <w:abstractNumId w:val="37"/>
    <w:lvlOverride w:ilvl="0">
      <w:startOverride w:val="1"/>
    </w:lvlOverride>
  </w:num>
  <w:num w:numId="90">
    <w:abstractNumId w:val="37"/>
    <w:lvlOverride w:ilvl="0">
      <w:startOverride w:val="1"/>
    </w:lvlOverride>
  </w:num>
  <w:num w:numId="91">
    <w:abstractNumId w:val="37"/>
    <w:lvlOverride w:ilvl="0">
      <w:startOverride w:val="1"/>
    </w:lvlOverride>
  </w:num>
  <w:num w:numId="92">
    <w:abstractNumId w:val="37"/>
    <w:lvlOverride w:ilvl="0">
      <w:startOverride w:val="1"/>
    </w:lvlOverride>
  </w:num>
  <w:num w:numId="93">
    <w:abstractNumId w:val="37"/>
    <w:lvlOverride w:ilvl="0">
      <w:startOverride w:val="1"/>
    </w:lvlOverride>
  </w:num>
  <w:num w:numId="94">
    <w:abstractNumId w:val="37"/>
    <w:lvlOverride w:ilvl="0">
      <w:startOverride w:val="1"/>
    </w:lvlOverride>
  </w:num>
  <w:num w:numId="95">
    <w:abstractNumId w:val="37"/>
    <w:lvlOverride w:ilvl="0">
      <w:startOverride w:val="1"/>
    </w:lvlOverride>
  </w:num>
  <w:num w:numId="96">
    <w:abstractNumId w:val="37"/>
    <w:lvlOverride w:ilvl="0">
      <w:startOverride w:val="1"/>
    </w:lvlOverride>
  </w:num>
  <w:num w:numId="97">
    <w:abstractNumId w:val="37"/>
    <w:lvlOverride w:ilvl="0">
      <w:startOverride w:val="1"/>
    </w:lvlOverride>
  </w:num>
  <w:num w:numId="98">
    <w:abstractNumId w:val="37"/>
    <w:lvlOverride w:ilvl="0">
      <w:startOverride w:val="1"/>
    </w:lvlOverride>
  </w:num>
  <w:num w:numId="99">
    <w:abstractNumId w:val="37"/>
    <w:lvlOverride w:ilvl="0">
      <w:startOverride w:val="1"/>
    </w:lvlOverride>
  </w:num>
  <w:num w:numId="100">
    <w:abstractNumId w:val="37"/>
    <w:lvlOverride w:ilvl="0">
      <w:startOverride w:val="1"/>
    </w:lvlOverride>
  </w:num>
  <w:num w:numId="101">
    <w:abstractNumId w:val="37"/>
    <w:lvlOverride w:ilvl="0">
      <w:startOverride w:val="1"/>
    </w:lvlOverride>
  </w:num>
  <w:num w:numId="102">
    <w:abstractNumId w:val="37"/>
    <w:lvlOverride w:ilvl="0">
      <w:startOverride w:val="1"/>
    </w:lvlOverride>
  </w:num>
  <w:num w:numId="103">
    <w:abstractNumId w:val="37"/>
    <w:lvlOverride w:ilvl="0">
      <w:startOverride w:val="1"/>
    </w:lvlOverride>
  </w:num>
  <w:num w:numId="104">
    <w:abstractNumId w:val="37"/>
    <w:lvlOverride w:ilvl="0">
      <w:startOverride w:val="1"/>
    </w:lvlOverride>
  </w:num>
  <w:num w:numId="105">
    <w:abstractNumId w:val="37"/>
    <w:lvlOverride w:ilvl="0">
      <w:startOverride w:val="1"/>
    </w:lvlOverride>
  </w:num>
  <w:num w:numId="106">
    <w:abstractNumId w:val="37"/>
    <w:lvlOverride w:ilvl="0">
      <w:startOverride w:val="1"/>
    </w:lvlOverride>
  </w:num>
  <w:num w:numId="107">
    <w:abstractNumId w:val="37"/>
    <w:lvlOverride w:ilvl="0">
      <w:startOverride w:val="1"/>
    </w:lvlOverride>
  </w:num>
  <w:num w:numId="108">
    <w:abstractNumId w:val="37"/>
    <w:lvlOverride w:ilvl="0">
      <w:startOverride w:val="1"/>
    </w:lvlOverride>
  </w:num>
  <w:num w:numId="109">
    <w:abstractNumId w:val="37"/>
    <w:lvlOverride w:ilvl="0">
      <w:startOverride w:val="1"/>
    </w:lvlOverride>
  </w:num>
  <w:num w:numId="110">
    <w:abstractNumId w:val="37"/>
    <w:lvlOverride w:ilvl="0">
      <w:startOverride w:val="1"/>
    </w:lvlOverride>
  </w:num>
  <w:num w:numId="111">
    <w:abstractNumId w:val="37"/>
    <w:lvlOverride w:ilvl="0">
      <w:startOverride w:val="1"/>
    </w:lvlOverride>
  </w:num>
  <w:num w:numId="112">
    <w:abstractNumId w:val="37"/>
    <w:lvlOverride w:ilvl="0">
      <w:startOverride w:val="1"/>
    </w:lvlOverride>
  </w:num>
  <w:num w:numId="113">
    <w:abstractNumId w:val="37"/>
    <w:lvlOverride w:ilvl="0">
      <w:startOverride w:val="1"/>
    </w:lvlOverride>
  </w:num>
  <w:num w:numId="114">
    <w:abstractNumId w:val="37"/>
    <w:lvlOverride w:ilvl="0">
      <w:startOverride w:val="1"/>
    </w:lvlOverride>
  </w:num>
  <w:num w:numId="115">
    <w:abstractNumId w:val="37"/>
    <w:lvlOverride w:ilvl="0">
      <w:startOverride w:val="1"/>
    </w:lvlOverride>
  </w:num>
  <w:num w:numId="116">
    <w:abstractNumId w:val="37"/>
    <w:lvlOverride w:ilvl="0">
      <w:startOverride w:val="1"/>
    </w:lvlOverride>
  </w:num>
  <w:num w:numId="117">
    <w:abstractNumId w:val="37"/>
    <w:lvlOverride w:ilvl="0">
      <w:startOverride w:val="1"/>
    </w:lvlOverride>
  </w:num>
  <w:num w:numId="118">
    <w:abstractNumId w:val="37"/>
    <w:lvlOverride w:ilvl="0">
      <w:startOverride w:val="1"/>
    </w:lvlOverride>
  </w:num>
  <w:num w:numId="119">
    <w:abstractNumId w:val="37"/>
    <w:lvlOverride w:ilvl="0">
      <w:startOverride w:val="1"/>
    </w:lvlOverride>
  </w:num>
  <w:num w:numId="120">
    <w:abstractNumId w:val="37"/>
    <w:lvlOverride w:ilvl="0">
      <w:startOverride w:val="1"/>
    </w:lvlOverride>
  </w:num>
  <w:num w:numId="121">
    <w:abstractNumId w:val="37"/>
    <w:lvlOverride w:ilvl="0">
      <w:startOverride w:val="1"/>
    </w:lvlOverride>
  </w:num>
  <w:num w:numId="122">
    <w:abstractNumId w:val="37"/>
    <w:lvlOverride w:ilvl="0">
      <w:startOverride w:val="1"/>
    </w:lvlOverride>
  </w:num>
  <w:num w:numId="123">
    <w:abstractNumId w:val="37"/>
    <w:lvlOverride w:ilvl="0">
      <w:startOverride w:val="1"/>
    </w:lvlOverride>
  </w:num>
  <w:num w:numId="124">
    <w:abstractNumId w:val="37"/>
    <w:lvlOverride w:ilvl="0">
      <w:startOverride w:val="1"/>
    </w:lvlOverride>
  </w:num>
  <w:num w:numId="125">
    <w:abstractNumId w:val="37"/>
    <w:lvlOverride w:ilvl="0">
      <w:startOverride w:val="1"/>
    </w:lvlOverride>
  </w:num>
  <w:num w:numId="126">
    <w:abstractNumId w:val="37"/>
    <w:lvlOverride w:ilvl="0">
      <w:startOverride w:val="1"/>
    </w:lvlOverride>
  </w:num>
  <w:num w:numId="127">
    <w:abstractNumId w:val="37"/>
    <w:lvlOverride w:ilvl="0">
      <w:startOverride w:val="1"/>
    </w:lvlOverride>
  </w:num>
  <w:num w:numId="128">
    <w:abstractNumId w:val="37"/>
    <w:lvlOverride w:ilvl="0">
      <w:startOverride w:val="1"/>
    </w:lvlOverride>
  </w:num>
  <w:num w:numId="129">
    <w:abstractNumId w:val="37"/>
    <w:lvlOverride w:ilvl="0">
      <w:startOverride w:val="1"/>
    </w:lvlOverride>
  </w:num>
  <w:num w:numId="130">
    <w:abstractNumId w:val="37"/>
    <w:lvlOverride w:ilvl="0">
      <w:startOverride w:val="1"/>
    </w:lvlOverride>
  </w:num>
  <w:num w:numId="131">
    <w:abstractNumId w:val="37"/>
    <w:lvlOverride w:ilvl="0">
      <w:startOverride w:val="1"/>
    </w:lvlOverride>
  </w:num>
  <w:num w:numId="132">
    <w:abstractNumId w:val="37"/>
    <w:lvlOverride w:ilvl="0">
      <w:startOverride w:val="1"/>
    </w:lvlOverride>
  </w:num>
  <w:num w:numId="133">
    <w:abstractNumId w:val="37"/>
    <w:lvlOverride w:ilvl="0">
      <w:startOverride w:val="1"/>
    </w:lvlOverride>
  </w:num>
  <w:num w:numId="134">
    <w:abstractNumId w:val="37"/>
    <w:lvlOverride w:ilvl="0">
      <w:startOverride w:val="1"/>
    </w:lvlOverride>
  </w:num>
  <w:num w:numId="135">
    <w:abstractNumId w:val="37"/>
    <w:lvlOverride w:ilvl="0">
      <w:startOverride w:val="1"/>
    </w:lvlOverride>
  </w:num>
  <w:num w:numId="136">
    <w:abstractNumId w:val="37"/>
    <w:lvlOverride w:ilvl="0">
      <w:startOverride w:val="1"/>
    </w:lvlOverride>
  </w:num>
  <w:num w:numId="137">
    <w:abstractNumId w:val="37"/>
    <w:lvlOverride w:ilvl="0">
      <w:startOverride w:val="1"/>
    </w:lvlOverride>
  </w:num>
  <w:num w:numId="138">
    <w:abstractNumId w:val="37"/>
    <w:lvlOverride w:ilvl="0">
      <w:startOverride w:val="1"/>
    </w:lvlOverride>
  </w:num>
  <w:num w:numId="139">
    <w:abstractNumId w:val="37"/>
    <w:lvlOverride w:ilvl="0">
      <w:startOverride w:val="1"/>
    </w:lvlOverride>
  </w:num>
  <w:num w:numId="140">
    <w:abstractNumId w:val="37"/>
    <w:lvlOverride w:ilvl="0">
      <w:startOverride w:val="1"/>
    </w:lvlOverride>
  </w:num>
  <w:num w:numId="141">
    <w:abstractNumId w:val="37"/>
    <w:lvlOverride w:ilvl="0">
      <w:startOverride w:val="1"/>
    </w:lvlOverride>
  </w:num>
  <w:num w:numId="142">
    <w:abstractNumId w:val="37"/>
    <w:lvlOverride w:ilvl="0">
      <w:startOverride w:val="1"/>
    </w:lvlOverride>
  </w:num>
  <w:num w:numId="143">
    <w:abstractNumId w:val="37"/>
    <w:lvlOverride w:ilvl="0">
      <w:startOverride w:val="1"/>
    </w:lvlOverride>
  </w:num>
  <w:num w:numId="144">
    <w:abstractNumId w:val="37"/>
    <w:lvlOverride w:ilvl="0">
      <w:startOverride w:val="1"/>
    </w:lvlOverride>
  </w:num>
  <w:num w:numId="145">
    <w:abstractNumId w:val="37"/>
    <w:lvlOverride w:ilvl="0">
      <w:startOverride w:val="1"/>
    </w:lvlOverride>
  </w:num>
  <w:num w:numId="146">
    <w:abstractNumId w:val="37"/>
    <w:lvlOverride w:ilvl="0">
      <w:startOverride w:val="1"/>
    </w:lvlOverride>
  </w:num>
  <w:num w:numId="147">
    <w:abstractNumId w:val="37"/>
    <w:lvlOverride w:ilvl="0">
      <w:startOverride w:val="1"/>
    </w:lvlOverride>
  </w:num>
  <w:num w:numId="148">
    <w:abstractNumId w:val="37"/>
    <w:lvlOverride w:ilvl="0">
      <w:startOverride w:val="1"/>
    </w:lvlOverride>
  </w:num>
  <w:num w:numId="149">
    <w:abstractNumId w:val="37"/>
    <w:lvlOverride w:ilvl="0">
      <w:startOverride w:val="1"/>
    </w:lvlOverride>
  </w:num>
  <w:num w:numId="150">
    <w:abstractNumId w:val="37"/>
    <w:lvlOverride w:ilvl="0">
      <w:startOverride w:val="1"/>
    </w:lvlOverride>
  </w:num>
  <w:num w:numId="151">
    <w:abstractNumId w:val="37"/>
    <w:lvlOverride w:ilvl="0">
      <w:startOverride w:val="1"/>
    </w:lvlOverride>
  </w:num>
  <w:num w:numId="152">
    <w:abstractNumId w:val="37"/>
    <w:lvlOverride w:ilvl="0">
      <w:startOverride w:val="1"/>
    </w:lvlOverride>
  </w:num>
  <w:num w:numId="153">
    <w:abstractNumId w:val="37"/>
    <w:lvlOverride w:ilvl="0">
      <w:startOverride w:val="1"/>
    </w:lvlOverride>
  </w:num>
  <w:num w:numId="154">
    <w:abstractNumId w:val="37"/>
    <w:lvlOverride w:ilvl="0">
      <w:startOverride w:val="1"/>
    </w:lvlOverride>
  </w:num>
  <w:num w:numId="155">
    <w:abstractNumId w:val="37"/>
    <w:lvlOverride w:ilvl="0">
      <w:startOverride w:val="1"/>
    </w:lvlOverride>
  </w:num>
  <w:num w:numId="156">
    <w:abstractNumId w:val="37"/>
    <w:lvlOverride w:ilvl="0">
      <w:startOverride w:val="1"/>
    </w:lvlOverride>
  </w:num>
  <w:num w:numId="157">
    <w:abstractNumId w:val="37"/>
    <w:lvlOverride w:ilvl="0">
      <w:startOverride w:val="1"/>
    </w:lvlOverride>
  </w:num>
  <w:num w:numId="158">
    <w:abstractNumId w:val="37"/>
    <w:lvlOverride w:ilvl="0">
      <w:startOverride w:val="1"/>
    </w:lvlOverride>
  </w:num>
  <w:num w:numId="159">
    <w:abstractNumId w:val="37"/>
    <w:lvlOverride w:ilvl="0">
      <w:startOverride w:val="1"/>
    </w:lvlOverride>
  </w:num>
  <w:num w:numId="160">
    <w:abstractNumId w:val="37"/>
    <w:lvlOverride w:ilvl="0">
      <w:startOverride w:val="1"/>
    </w:lvlOverride>
  </w:num>
  <w:num w:numId="161">
    <w:abstractNumId w:val="37"/>
    <w:lvlOverride w:ilvl="0">
      <w:startOverride w:val="1"/>
    </w:lvlOverride>
  </w:num>
  <w:num w:numId="162">
    <w:abstractNumId w:val="37"/>
    <w:lvlOverride w:ilvl="0">
      <w:startOverride w:val="1"/>
    </w:lvlOverride>
  </w:num>
  <w:num w:numId="163">
    <w:abstractNumId w:val="37"/>
    <w:lvlOverride w:ilvl="0">
      <w:startOverride w:val="1"/>
    </w:lvlOverride>
  </w:num>
  <w:num w:numId="164">
    <w:abstractNumId w:val="37"/>
    <w:lvlOverride w:ilvl="0">
      <w:startOverride w:val="1"/>
    </w:lvlOverride>
  </w:num>
  <w:num w:numId="165">
    <w:abstractNumId w:val="37"/>
    <w:lvlOverride w:ilvl="0">
      <w:startOverride w:val="1"/>
    </w:lvlOverride>
  </w:num>
  <w:num w:numId="166">
    <w:abstractNumId w:val="37"/>
    <w:lvlOverride w:ilvl="0">
      <w:startOverride w:val="1"/>
    </w:lvlOverride>
  </w:num>
  <w:num w:numId="167">
    <w:abstractNumId w:val="37"/>
    <w:lvlOverride w:ilvl="0">
      <w:startOverride w:val="1"/>
    </w:lvlOverride>
  </w:num>
  <w:num w:numId="168">
    <w:abstractNumId w:val="37"/>
    <w:lvlOverride w:ilvl="0">
      <w:startOverride w:val="1"/>
    </w:lvlOverride>
  </w:num>
  <w:num w:numId="169">
    <w:abstractNumId w:val="37"/>
    <w:lvlOverride w:ilvl="0">
      <w:startOverride w:val="1"/>
    </w:lvlOverride>
  </w:num>
  <w:num w:numId="170">
    <w:abstractNumId w:val="37"/>
    <w:lvlOverride w:ilvl="0">
      <w:startOverride w:val="1"/>
    </w:lvlOverride>
  </w:num>
  <w:num w:numId="171">
    <w:abstractNumId w:val="37"/>
    <w:lvlOverride w:ilvl="0">
      <w:startOverride w:val="1"/>
    </w:lvlOverride>
  </w:num>
  <w:num w:numId="172">
    <w:abstractNumId w:val="37"/>
    <w:lvlOverride w:ilvl="0">
      <w:startOverride w:val="1"/>
    </w:lvlOverride>
  </w:num>
  <w:num w:numId="173">
    <w:abstractNumId w:val="37"/>
    <w:lvlOverride w:ilvl="0">
      <w:startOverride w:val="1"/>
    </w:lvlOverride>
  </w:num>
  <w:num w:numId="174">
    <w:abstractNumId w:val="37"/>
    <w:lvlOverride w:ilvl="0">
      <w:startOverride w:val="1"/>
    </w:lvlOverride>
  </w:num>
  <w:num w:numId="175">
    <w:abstractNumId w:val="37"/>
    <w:lvlOverride w:ilvl="0">
      <w:startOverride w:val="1"/>
    </w:lvlOverride>
  </w:num>
  <w:num w:numId="176">
    <w:abstractNumId w:val="37"/>
    <w:lvlOverride w:ilvl="0">
      <w:startOverride w:val="1"/>
    </w:lvlOverride>
  </w:num>
  <w:num w:numId="177">
    <w:abstractNumId w:val="37"/>
    <w:lvlOverride w:ilvl="0">
      <w:startOverride w:val="1"/>
    </w:lvlOverride>
  </w:num>
  <w:num w:numId="178">
    <w:abstractNumId w:val="37"/>
    <w:lvlOverride w:ilvl="0">
      <w:startOverride w:val="1"/>
    </w:lvlOverride>
  </w:num>
  <w:num w:numId="179">
    <w:abstractNumId w:val="37"/>
    <w:lvlOverride w:ilvl="0">
      <w:startOverride w:val="1"/>
    </w:lvlOverride>
  </w:num>
  <w:num w:numId="180">
    <w:abstractNumId w:val="37"/>
    <w:lvlOverride w:ilvl="0">
      <w:startOverride w:val="1"/>
    </w:lvlOverride>
  </w:num>
  <w:num w:numId="181">
    <w:abstractNumId w:val="37"/>
    <w:lvlOverride w:ilvl="0">
      <w:startOverride w:val="1"/>
    </w:lvlOverride>
  </w:num>
  <w:num w:numId="182">
    <w:abstractNumId w:val="44"/>
  </w:num>
  <w:num w:numId="183">
    <w:abstractNumId w:val="33"/>
  </w:num>
  <w:num w:numId="184">
    <w:abstractNumId w:val="56"/>
  </w:num>
  <w:num w:numId="185">
    <w:abstractNumId w:val="27"/>
  </w:num>
  <w:num w:numId="186">
    <w:abstractNumId w:val="36"/>
  </w:num>
  <w:num w:numId="187">
    <w:abstractNumId w:val="63"/>
  </w:num>
  <w:num w:numId="188">
    <w:abstractNumId w:val="37"/>
    <w:lvlOverride w:ilvl="0">
      <w:startOverride w:val="1"/>
    </w:lvlOverride>
  </w:num>
  <w:num w:numId="189">
    <w:abstractNumId w:val="37"/>
    <w:lvlOverride w:ilvl="0">
      <w:startOverride w:val="2"/>
    </w:lvlOverride>
  </w:num>
  <w:num w:numId="190">
    <w:abstractNumId w:val="37"/>
    <w:lvlOverride w:ilvl="0">
      <w:startOverride w:val="2"/>
    </w:lvlOverride>
  </w:num>
  <w:num w:numId="191">
    <w:abstractNumId w:val="37"/>
    <w:lvlOverride w:ilvl="0">
      <w:startOverride w:val="1"/>
    </w:lvlOverride>
  </w:num>
  <w:num w:numId="192">
    <w:abstractNumId w:val="37"/>
    <w:lvlOverride w:ilvl="0">
      <w:startOverride w:val="1"/>
    </w:lvlOverride>
  </w:num>
  <w:num w:numId="193">
    <w:abstractNumId w:val="37"/>
    <w:lvlOverride w:ilvl="0">
      <w:startOverride w:val="1"/>
    </w:lvlOverride>
  </w:num>
  <w:num w:numId="194">
    <w:abstractNumId w:val="37"/>
    <w:lvlOverride w:ilvl="0">
      <w:startOverride w:val="1"/>
    </w:lvlOverride>
  </w:num>
  <w:num w:numId="195">
    <w:abstractNumId w:val="37"/>
    <w:lvlOverride w:ilvl="0">
      <w:startOverride w:val="1"/>
    </w:lvlOverride>
  </w:num>
  <w:num w:numId="196">
    <w:abstractNumId w:val="37"/>
    <w:lvlOverride w:ilvl="0">
      <w:startOverride w:val="1"/>
    </w:lvlOverride>
  </w:num>
  <w:num w:numId="197">
    <w:abstractNumId w:val="49"/>
  </w:num>
  <w:num w:numId="198">
    <w:abstractNumId w:val="37"/>
    <w:lvlOverride w:ilvl="0">
      <w:startOverride w:val="2"/>
    </w:lvlOverride>
  </w:num>
  <w:num w:numId="199">
    <w:abstractNumId w:val="7"/>
  </w:num>
  <w:num w:numId="200">
    <w:abstractNumId w:val="1"/>
  </w:num>
  <w:num w:numId="201">
    <w:abstractNumId w:val="43"/>
  </w:num>
  <w:num w:numId="202">
    <w:abstractNumId w:val="23"/>
  </w:num>
  <w:num w:numId="203">
    <w:abstractNumId w:val="37"/>
    <w:lvlOverride w:ilvl="0">
      <w:startOverride w:val="2"/>
    </w:lvlOverride>
  </w:num>
  <w:num w:numId="204">
    <w:abstractNumId w:val="51"/>
  </w:num>
  <w:num w:numId="205">
    <w:abstractNumId w:val="37"/>
    <w:lvlOverride w:ilvl="0">
      <w:startOverride w:val="2"/>
    </w:lvlOverride>
  </w:num>
  <w:num w:numId="206">
    <w:abstractNumId w:val="37"/>
    <w:lvlOverride w:ilvl="0">
      <w:startOverride w:val="1"/>
    </w:lvlOverride>
  </w:num>
  <w:num w:numId="207">
    <w:abstractNumId w:val="37"/>
    <w:lvlOverride w:ilvl="0">
      <w:startOverride w:val="1"/>
    </w:lvlOverride>
  </w:num>
  <w:num w:numId="208">
    <w:abstractNumId w:val="37"/>
    <w:lvlOverride w:ilvl="0">
      <w:startOverride w:val="1"/>
    </w:lvlOverride>
  </w:num>
  <w:num w:numId="209">
    <w:abstractNumId w:val="37"/>
    <w:lvlOverride w:ilvl="0">
      <w:startOverride w:val="1"/>
    </w:lvlOverride>
  </w:num>
  <w:num w:numId="210">
    <w:abstractNumId w:val="37"/>
    <w:lvlOverride w:ilvl="0">
      <w:startOverride w:val="1"/>
    </w:lvlOverride>
  </w:num>
  <w:num w:numId="211">
    <w:abstractNumId w:val="37"/>
    <w:lvlOverride w:ilvl="0">
      <w:startOverride w:val="1"/>
    </w:lvlOverride>
  </w:num>
  <w:num w:numId="212">
    <w:abstractNumId w:val="37"/>
    <w:lvlOverride w:ilvl="0">
      <w:startOverride w:val="3"/>
    </w:lvlOverride>
  </w:num>
  <w:num w:numId="213">
    <w:abstractNumId w:val="53"/>
  </w:num>
  <w:num w:numId="214">
    <w:abstractNumId w:val="59"/>
  </w:num>
  <w:num w:numId="215">
    <w:abstractNumId w:val="13"/>
  </w:num>
  <w:num w:numId="216">
    <w:abstractNumId w:val="18"/>
  </w:num>
  <w:num w:numId="217">
    <w:abstractNumId w:val="47"/>
  </w:num>
  <w:num w:numId="218">
    <w:abstractNumId w:val="52"/>
  </w:num>
  <w:num w:numId="219">
    <w:abstractNumId w:val="41"/>
  </w:num>
  <w:num w:numId="220">
    <w:abstractNumId w:val="8"/>
  </w:num>
  <w:num w:numId="221">
    <w:abstractNumId w:val="14"/>
  </w:num>
  <w:num w:numId="222">
    <w:abstractNumId w:val="31"/>
  </w:num>
  <w:num w:numId="223">
    <w:abstractNumId w:val="26"/>
  </w:num>
  <w:num w:numId="224">
    <w:abstractNumId w:val="5"/>
  </w:num>
  <w:num w:numId="225">
    <w:abstractNumId w:val="40"/>
  </w:num>
  <w:num w:numId="226">
    <w:abstractNumId w:val="37"/>
    <w:lvlOverride w:ilvl="0">
      <w:startOverride w:val="1"/>
    </w:lvlOverride>
  </w:num>
  <w:num w:numId="227">
    <w:abstractNumId w:val="39"/>
  </w:num>
  <w:num w:numId="228">
    <w:abstractNumId w:val="37"/>
    <w:lvlOverride w:ilvl="0">
      <w:startOverride w:val="1"/>
    </w:lvlOverride>
  </w:num>
  <w:num w:numId="229">
    <w:abstractNumId w:val="60"/>
  </w:num>
  <w:num w:numId="230">
    <w:abstractNumId w:val="37"/>
    <w:lvlOverride w:ilvl="0">
      <w:startOverride w:val="1"/>
    </w:lvlOverride>
  </w:num>
  <w:num w:numId="231">
    <w:abstractNumId w:val="37"/>
    <w:lvlOverride w:ilvl="0">
      <w:startOverride w:val="1"/>
    </w:lvlOverride>
  </w:num>
  <w:num w:numId="232">
    <w:abstractNumId w:val="46"/>
  </w:num>
  <w:num w:numId="233">
    <w:abstractNumId w:val="55"/>
  </w:num>
  <w:num w:numId="234">
    <w:abstractNumId w:val="45"/>
  </w:num>
  <w:num w:numId="235">
    <w:abstractNumId w:val="35"/>
  </w:num>
  <w:num w:numId="236">
    <w:abstractNumId w:val="29"/>
  </w:num>
  <w:num w:numId="237">
    <w:abstractNumId w:val="19"/>
  </w:num>
  <w:num w:numId="238">
    <w:abstractNumId w:val="15"/>
  </w:num>
  <w:num w:numId="239">
    <w:abstractNumId w:val="22"/>
  </w:num>
  <w:num w:numId="240">
    <w:abstractNumId w:val="42"/>
  </w:num>
  <w:num w:numId="241">
    <w:abstractNumId w:val="11"/>
  </w:num>
  <w:num w:numId="242">
    <w:abstractNumId w:val="17"/>
  </w:num>
  <w:num w:numId="243">
    <w:abstractNumId w:val="38"/>
  </w:num>
  <w:num w:numId="244">
    <w:abstractNumId w:val="2"/>
  </w:num>
  <w:num w:numId="245">
    <w:abstractNumId w:val="48"/>
  </w:num>
  <w:num w:numId="246">
    <w:abstractNumId w:val="21"/>
  </w:num>
  <w:num w:numId="247">
    <w:abstractNumId w:val="16"/>
  </w:num>
  <w:num w:numId="248">
    <w:abstractNumId w:val="37"/>
  </w:num>
  <w:num w:numId="249">
    <w:abstractNumId w:val="37"/>
  </w:num>
  <w:num w:numId="250">
    <w:abstractNumId w:val="37"/>
  </w:num>
  <w:num w:numId="251">
    <w:abstractNumId w:val="37"/>
  </w:num>
  <w:num w:numId="252">
    <w:abstractNumId w:val="57"/>
  </w:num>
  <w:num w:numId="253">
    <w:abstractNumId w:val="32"/>
  </w:num>
  <w:num w:numId="254">
    <w:abstractNumId w:val="0"/>
  </w:num>
  <w:num w:numId="255">
    <w:abstractNumId w:val="0"/>
  </w:num>
  <w:num w:numId="256">
    <w:abstractNumId w:val="0"/>
  </w:num>
  <w:num w:numId="257">
    <w:abstractNumId w:val="61"/>
  </w:num>
  <w:num w:numId="258">
    <w:abstractNumId w:val="0"/>
    <w:lvlOverride w:ilvl="0">
      <w:startOverride w:val="1"/>
    </w:lvlOverride>
  </w:num>
  <w:num w:numId="259">
    <w:abstractNumId w:val="0"/>
  </w:num>
  <w:num w:numId="260">
    <w:abstractNumId w:val="28"/>
  </w:num>
  <w:num w:numId="261">
    <w:abstractNumId w:val="37"/>
  </w:num>
  <w:num w:numId="262">
    <w:abstractNumId w:val="0"/>
  </w:num>
  <w:num w:numId="263">
    <w:abstractNumId w:val="0"/>
  </w:num>
  <w:num w:numId="264">
    <w:abstractNumId w:val="0"/>
  </w:num>
  <w:num w:numId="265">
    <w:abstractNumId w:val="0"/>
  </w:num>
  <w:num w:numId="266">
    <w:abstractNumId w:val="0"/>
  </w:num>
  <w:num w:numId="267">
    <w:abstractNumId w:val="0"/>
  </w:num>
  <w:num w:numId="268">
    <w:abstractNumId w:val="37"/>
  </w:num>
  <w:num w:numId="269">
    <w:abstractNumId w:val="37"/>
  </w:num>
  <w:num w:numId="270">
    <w:abstractNumId w:val="37"/>
  </w:num>
  <w:num w:numId="271">
    <w:abstractNumId w:val="37"/>
  </w:num>
  <w:num w:numId="272">
    <w:abstractNumId w:val="37"/>
  </w:num>
  <w:num w:numId="273">
    <w:abstractNumId w:val="37"/>
  </w:num>
  <w:num w:numId="274">
    <w:abstractNumId w:val="0"/>
  </w:num>
  <w:num w:numId="275">
    <w:abstractNumId w:val="37"/>
  </w:num>
  <w:num w:numId="276">
    <w:abstractNumId w:val="37"/>
  </w:num>
  <w:num w:numId="277">
    <w:abstractNumId w:val="0"/>
  </w:num>
  <w:num w:numId="278">
    <w:abstractNumId w:val="0"/>
  </w:num>
  <w:num w:numId="279">
    <w:abstractNumId w:val="37"/>
  </w:num>
  <w:num w:numId="280">
    <w:abstractNumId w:val="0"/>
  </w:num>
  <w:num w:numId="281">
    <w:abstractNumId w:val="37"/>
  </w:num>
  <w:num w:numId="282">
    <w:abstractNumId w:val="0"/>
  </w:num>
  <w:num w:numId="283">
    <w:abstractNumId w:val="0"/>
  </w:num>
  <w:num w:numId="284">
    <w:abstractNumId w:val="37"/>
  </w:num>
  <w:num w:numId="285">
    <w:abstractNumId w:val="3"/>
  </w:num>
  <w:num w:numId="286">
    <w:abstractNumId w:val="54"/>
  </w:num>
  <w:num w:numId="287">
    <w:abstractNumId w:val="37"/>
  </w:num>
  <w:num w:numId="288">
    <w:abstractNumId w:val="6"/>
  </w:num>
  <w:num w:numId="289">
    <w:abstractNumId w:val="30"/>
  </w:num>
  <w:num w:numId="290">
    <w:abstractNumId w:val="58"/>
  </w:num>
  <w:num w:numId="291">
    <w:abstractNumId w:val="9"/>
  </w:num>
  <w:num w:numId="292">
    <w:abstractNumId w:val="12"/>
  </w:num>
  <w:num w:numId="293">
    <w:abstractNumId w:val="34"/>
  </w:num>
  <w:num w:numId="294">
    <w:abstractNumId w:val="0"/>
  </w:num>
  <w:num w:numId="295">
    <w:abstractNumId w:val="37"/>
  </w:num>
  <w:num w:numId="296">
    <w:abstractNumId w:val="37"/>
  </w:num>
  <w:num w:numId="297">
    <w:abstractNumId w:val="10"/>
  </w:num>
  <w:num w:numId="298">
    <w:abstractNumId w:val="37"/>
  </w:num>
  <w:num w:numId="299">
    <w:abstractNumId w:val="24"/>
  </w:num>
  <w:num w:numId="300">
    <w:abstractNumId w:val="0"/>
  </w:num>
  <w:num w:numId="301">
    <w:abstractNumId w:val="0"/>
  </w:num>
  <w:num w:numId="302">
    <w:abstractNumId w:val="37"/>
  </w:num>
  <w:num w:numId="303">
    <w:abstractNumId w:val="50"/>
  </w:num>
  <w:num w:numId="304">
    <w:abstractNumId w:val="0"/>
  </w:num>
  <w:num w:numId="305">
    <w:abstractNumId w:val="0"/>
  </w:num>
  <w:num w:numId="306">
    <w:abstractNumId w:val="37"/>
  </w:num>
  <w:num w:numId="307">
    <w:abstractNumId w:val="20"/>
  </w:num>
  <w:num w:numId="308">
    <w:abstractNumId w:val="62"/>
  </w:num>
  <w:num w:numId="309">
    <w:abstractNumId w:val="25"/>
  </w:num>
  <w:num w:numId="310">
    <w:abstractNumId w:val="0"/>
  </w:num>
  <w:numIdMacAtCleanup w:val="3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embedSystemFonts/>
  <w:saveSubsetFonts/>
  <w:hideSpellingErrors/>
  <w:hideGrammaticalErrors/>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en-ZW" w:vendorID="64" w:dllVersion="131078" w:nlCheck="1" w:checkStyle="1"/>
  <w:activeWritingStyle w:appName="MSWord" w:lang="fr-LU"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it-IT" w:vendorID="64" w:dllVersion="131078" w:nlCheck="1" w:checkStyle="0"/>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t/rvK4SrGYq0caOJFev3QyXTw40=" w:salt="uV1DvhLAxrTNcIXDVHVEmA=="/>
  <w:defaultTabStop w:val="227"/>
  <w:hyphenationZone w:val="283"/>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7AC"/>
    <w:rsid w:val="000002BC"/>
    <w:rsid w:val="000011DF"/>
    <w:rsid w:val="000014A0"/>
    <w:rsid w:val="000015C6"/>
    <w:rsid w:val="00001777"/>
    <w:rsid w:val="00001EE7"/>
    <w:rsid w:val="00002A4D"/>
    <w:rsid w:val="00002AE3"/>
    <w:rsid w:val="00002AF7"/>
    <w:rsid w:val="00002EF4"/>
    <w:rsid w:val="000032B9"/>
    <w:rsid w:val="00003592"/>
    <w:rsid w:val="000038B2"/>
    <w:rsid w:val="00003C7E"/>
    <w:rsid w:val="00003D7F"/>
    <w:rsid w:val="00003FC1"/>
    <w:rsid w:val="00004502"/>
    <w:rsid w:val="00004D95"/>
    <w:rsid w:val="00005609"/>
    <w:rsid w:val="000056C6"/>
    <w:rsid w:val="00005EB3"/>
    <w:rsid w:val="00006B95"/>
    <w:rsid w:val="000105CF"/>
    <w:rsid w:val="000106DC"/>
    <w:rsid w:val="000119BE"/>
    <w:rsid w:val="00011E8E"/>
    <w:rsid w:val="00012B44"/>
    <w:rsid w:val="00012BED"/>
    <w:rsid w:val="0001301C"/>
    <w:rsid w:val="00013200"/>
    <w:rsid w:val="00013795"/>
    <w:rsid w:val="00013CFD"/>
    <w:rsid w:val="00013D53"/>
    <w:rsid w:val="0001400E"/>
    <w:rsid w:val="0001430F"/>
    <w:rsid w:val="0001437D"/>
    <w:rsid w:val="00014899"/>
    <w:rsid w:val="00014F5F"/>
    <w:rsid w:val="000153AE"/>
    <w:rsid w:val="00015917"/>
    <w:rsid w:val="00015DEC"/>
    <w:rsid w:val="0001601F"/>
    <w:rsid w:val="000169AB"/>
    <w:rsid w:val="00016E89"/>
    <w:rsid w:val="000170F3"/>
    <w:rsid w:val="0002186C"/>
    <w:rsid w:val="0002208E"/>
    <w:rsid w:val="0002227D"/>
    <w:rsid w:val="00022451"/>
    <w:rsid w:val="000226E9"/>
    <w:rsid w:val="000229CF"/>
    <w:rsid w:val="00022F7E"/>
    <w:rsid w:val="00023A68"/>
    <w:rsid w:val="00023D7B"/>
    <w:rsid w:val="00023E10"/>
    <w:rsid w:val="000242D8"/>
    <w:rsid w:val="000246A1"/>
    <w:rsid w:val="00024A9C"/>
    <w:rsid w:val="00024FAD"/>
    <w:rsid w:val="000251BC"/>
    <w:rsid w:val="000255B6"/>
    <w:rsid w:val="00025981"/>
    <w:rsid w:val="00025E1D"/>
    <w:rsid w:val="00026587"/>
    <w:rsid w:val="00026C03"/>
    <w:rsid w:val="000274B1"/>
    <w:rsid w:val="00027CD4"/>
    <w:rsid w:val="00030207"/>
    <w:rsid w:val="0003055F"/>
    <w:rsid w:val="000306F6"/>
    <w:rsid w:val="0003081D"/>
    <w:rsid w:val="00032188"/>
    <w:rsid w:val="00032290"/>
    <w:rsid w:val="00032398"/>
    <w:rsid w:val="00032BB2"/>
    <w:rsid w:val="00032CA4"/>
    <w:rsid w:val="00033270"/>
    <w:rsid w:val="000339EB"/>
    <w:rsid w:val="0003405B"/>
    <w:rsid w:val="0003448E"/>
    <w:rsid w:val="00035B49"/>
    <w:rsid w:val="00035D80"/>
    <w:rsid w:val="000364DC"/>
    <w:rsid w:val="00036F0B"/>
    <w:rsid w:val="0003749F"/>
    <w:rsid w:val="00037845"/>
    <w:rsid w:val="000378B6"/>
    <w:rsid w:val="00037CDB"/>
    <w:rsid w:val="00040C22"/>
    <w:rsid w:val="00040D1C"/>
    <w:rsid w:val="00040D7E"/>
    <w:rsid w:val="00041401"/>
    <w:rsid w:val="000421BF"/>
    <w:rsid w:val="000428E3"/>
    <w:rsid w:val="00042A99"/>
    <w:rsid w:val="0004301F"/>
    <w:rsid w:val="000430AF"/>
    <w:rsid w:val="000431B7"/>
    <w:rsid w:val="0004321A"/>
    <w:rsid w:val="000434D8"/>
    <w:rsid w:val="00043732"/>
    <w:rsid w:val="0004394B"/>
    <w:rsid w:val="00043CC9"/>
    <w:rsid w:val="000442B0"/>
    <w:rsid w:val="000443ED"/>
    <w:rsid w:val="00045089"/>
    <w:rsid w:val="0004562F"/>
    <w:rsid w:val="00045FDA"/>
    <w:rsid w:val="00046108"/>
    <w:rsid w:val="00046704"/>
    <w:rsid w:val="00046890"/>
    <w:rsid w:val="000509E0"/>
    <w:rsid w:val="00050CAC"/>
    <w:rsid w:val="00050DC2"/>
    <w:rsid w:val="000517CC"/>
    <w:rsid w:val="00051D51"/>
    <w:rsid w:val="000523C1"/>
    <w:rsid w:val="000527D2"/>
    <w:rsid w:val="00052AE7"/>
    <w:rsid w:val="000533D8"/>
    <w:rsid w:val="00053BAE"/>
    <w:rsid w:val="000540E9"/>
    <w:rsid w:val="000541CB"/>
    <w:rsid w:val="0005422C"/>
    <w:rsid w:val="000543EC"/>
    <w:rsid w:val="00054452"/>
    <w:rsid w:val="00054A36"/>
    <w:rsid w:val="00054B4E"/>
    <w:rsid w:val="000551AC"/>
    <w:rsid w:val="0005561D"/>
    <w:rsid w:val="000557E1"/>
    <w:rsid w:val="00055B57"/>
    <w:rsid w:val="00055F9F"/>
    <w:rsid w:val="000562E3"/>
    <w:rsid w:val="0005724E"/>
    <w:rsid w:val="00057684"/>
    <w:rsid w:val="00057C21"/>
    <w:rsid w:val="00060951"/>
    <w:rsid w:val="00060F48"/>
    <w:rsid w:val="00061FCC"/>
    <w:rsid w:val="000625C4"/>
    <w:rsid w:val="00062A74"/>
    <w:rsid w:val="00063199"/>
    <w:rsid w:val="0006320C"/>
    <w:rsid w:val="00063296"/>
    <w:rsid w:val="00063645"/>
    <w:rsid w:val="00064021"/>
    <w:rsid w:val="000641C5"/>
    <w:rsid w:val="0006452A"/>
    <w:rsid w:val="00064610"/>
    <w:rsid w:val="000646D9"/>
    <w:rsid w:val="0006556D"/>
    <w:rsid w:val="00065B82"/>
    <w:rsid w:val="00066B85"/>
    <w:rsid w:val="00066BA5"/>
    <w:rsid w:val="00066E91"/>
    <w:rsid w:val="00066F3F"/>
    <w:rsid w:val="0006778C"/>
    <w:rsid w:val="00067CE7"/>
    <w:rsid w:val="00070C8F"/>
    <w:rsid w:val="00070F2D"/>
    <w:rsid w:val="0007168C"/>
    <w:rsid w:val="000719FB"/>
    <w:rsid w:val="00071D6E"/>
    <w:rsid w:val="00071DEC"/>
    <w:rsid w:val="00071EFB"/>
    <w:rsid w:val="00072272"/>
    <w:rsid w:val="00072C0E"/>
    <w:rsid w:val="00072E60"/>
    <w:rsid w:val="000737E8"/>
    <w:rsid w:val="00073F4F"/>
    <w:rsid w:val="00074284"/>
    <w:rsid w:val="000747A7"/>
    <w:rsid w:val="000750E2"/>
    <w:rsid w:val="0007511D"/>
    <w:rsid w:val="000751A3"/>
    <w:rsid w:val="000751BA"/>
    <w:rsid w:val="0007520B"/>
    <w:rsid w:val="00075536"/>
    <w:rsid w:val="000758EC"/>
    <w:rsid w:val="00075AF6"/>
    <w:rsid w:val="00075D24"/>
    <w:rsid w:val="0007634A"/>
    <w:rsid w:val="00076365"/>
    <w:rsid w:val="00076D19"/>
    <w:rsid w:val="00076DA0"/>
    <w:rsid w:val="00076DF9"/>
    <w:rsid w:val="00076E4A"/>
    <w:rsid w:val="00076FF5"/>
    <w:rsid w:val="0007779A"/>
    <w:rsid w:val="00077918"/>
    <w:rsid w:val="00077993"/>
    <w:rsid w:val="00077A17"/>
    <w:rsid w:val="00080517"/>
    <w:rsid w:val="00080674"/>
    <w:rsid w:val="00080DE8"/>
    <w:rsid w:val="00080F91"/>
    <w:rsid w:val="0008107F"/>
    <w:rsid w:val="000815CF"/>
    <w:rsid w:val="00081766"/>
    <w:rsid w:val="00081AB0"/>
    <w:rsid w:val="00081B19"/>
    <w:rsid w:val="00081C9A"/>
    <w:rsid w:val="00082229"/>
    <w:rsid w:val="00083086"/>
    <w:rsid w:val="0008357A"/>
    <w:rsid w:val="000837D5"/>
    <w:rsid w:val="00083947"/>
    <w:rsid w:val="00083F16"/>
    <w:rsid w:val="00083FD1"/>
    <w:rsid w:val="00084006"/>
    <w:rsid w:val="0008408A"/>
    <w:rsid w:val="000846DC"/>
    <w:rsid w:val="00084AFE"/>
    <w:rsid w:val="000851A7"/>
    <w:rsid w:val="0008528D"/>
    <w:rsid w:val="0008534F"/>
    <w:rsid w:val="00085454"/>
    <w:rsid w:val="000858F0"/>
    <w:rsid w:val="00085B40"/>
    <w:rsid w:val="00085C1B"/>
    <w:rsid w:val="00085C21"/>
    <w:rsid w:val="00085C2E"/>
    <w:rsid w:val="00085DDD"/>
    <w:rsid w:val="000864C6"/>
    <w:rsid w:val="00086588"/>
    <w:rsid w:val="00087432"/>
    <w:rsid w:val="00087AA8"/>
    <w:rsid w:val="000904D0"/>
    <w:rsid w:val="0009080C"/>
    <w:rsid w:val="00090AE5"/>
    <w:rsid w:val="00090BE7"/>
    <w:rsid w:val="00091463"/>
    <w:rsid w:val="00091934"/>
    <w:rsid w:val="00091D84"/>
    <w:rsid w:val="00091E22"/>
    <w:rsid w:val="00091FC5"/>
    <w:rsid w:val="00092472"/>
    <w:rsid w:val="00092504"/>
    <w:rsid w:val="00092FF8"/>
    <w:rsid w:val="00093139"/>
    <w:rsid w:val="0009350D"/>
    <w:rsid w:val="00093963"/>
    <w:rsid w:val="00093C7C"/>
    <w:rsid w:val="00094718"/>
    <w:rsid w:val="00094936"/>
    <w:rsid w:val="00094E08"/>
    <w:rsid w:val="00094FDE"/>
    <w:rsid w:val="00095B50"/>
    <w:rsid w:val="00096A70"/>
    <w:rsid w:val="00096D5A"/>
    <w:rsid w:val="00097292"/>
    <w:rsid w:val="00097DD2"/>
    <w:rsid w:val="000A1191"/>
    <w:rsid w:val="000A173E"/>
    <w:rsid w:val="000A2CFB"/>
    <w:rsid w:val="000A2F89"/>
    <w:rsid w:val="000A2FFC"/>
    <w:rsid w:val="000A3100"/>
    <w:rsid w:val="000A3626"/>
    <w:rsid w:val="000A3B0D"/>
    <w:rsid w:val="000A47A3"/>
    <w:rsid w:val="000A4CFF"/>
    <w:rsid w:val="000A5D56"/>
    <w:rsid w:val="000A6580"/>
    <w:rsid w:val="000A6C14"/>
    <w:rsid w:val="000A6D2A"/>
    <w:rsid w:val="000A71FC"/>
    <w:rsid w:val="000A7581"/>
    <w:rsid w:val="000A7C3E"/>
    <w:rsid w:val="000A7CE7"/>
    <w:rsid w:val="000A7EDF"/>
    <w:rsid w:val="000A7F8D"/>
    <w:rsid w:val="000B093C"/>
    <w:rsid w:val="000B0A8A"/>
    <w:rsid w:val="000B0C8B"/>
    <w:rsid w:val="000B0DC9"/>
    <w:rsid w:val="000B0EF1"/>
    <w:rsid w:val="000B10C5"/>
    <w:rsid w:val="000B1640"/>
    <w:rsid w:val="000B1A19"/>
    <w:rsid w:val="000B2070"/>
    <w:rsid w:val="000B29A9"/>
    <w:rsid w:val="000B29D7"/>
    <w:rsid w:val="000B2D80"/>
    <w:rsid w:val="000B2E76"/>
    <w:rsid w:val="000B31C3"/>
    <w:rsid w:val="000B330C"/>
    <w:rsid w:val="000B342C"/>
    <w:rsid w:val="000B3A45"/>
    <w:rsid w:val="000B5389"/>
    <w:rsid w:val="000B5798"/>
    <w:rsid w:val="000B583A"/>
    <w:rsid w:val="000B5976"/>
    <w:rsid w:val="000B60FC"/>
    <w:rsid w:val="000B66FD"/>
    <w:rsid w:val="000B67D2"/>
    <w:rsid w:val="000B6E9A"/>
    <w:rsid w:val="000B76BF"/>
    <w:rsid w:val="000B79BB"/>
    <w:rsid w:val="000B7FB1"/>
    <w:rsid w:val="000C061C"/>
    <w:rsid w:val="000C082B"/>
    <w:rsid w:val="000C0DFA"/>
    <w:rsid w:val="000C123C"/>
    <w:rsid w:val="000C16B1"/>
    <w:rsid w:val="000C1F4F"/>
    <w:rsid w:val="000C21ED"/>
    <w:rsid w:val="000C2263"/>
    <w:rsid w:val="000C24FC"/>
    <w:rsid w:val="000C2746"/>
    <w:rsid w:val="000C36F9"/>
    <w:rsid w:val="000C3E96"/>
    <w:rsid w:val="000C4633"/>
    <w:rsid w:val="000C4E7E"/>
    <w:rsid w:val="000C588B"/>
    <w:rsid w:val="000C5A37"/>
    <w:rsid w:val="000C5B17"/>
    <w:rsid w:val="000C5BB5"/>
    <w:rsid w:val="000C665D"/>
    <w:rsid w:val="000C678A"/>
    <w:rsid w:val="000C6A63"/>
    <w:rsid w:val="000C6F84"/>
    <w:rsid w:val="000C7768"/>
    <w:rsid w:val="000D015F"/>
    <w:rsid w:val="000D0560"/>
    <w:rsid w:val="000D05A3"/>
    <w:rsid w:val="000D0654"/>
    <w:rsid w:val="000D06E7"/>
    <w:rsid w:val="000D09C8"/>
    <w:rsid w:val="000D0A78"/>
    <w:rsid w:val="000D13EE"/>
    <w:rsid w:val="000D1769"/>
    <w:rsid w:val="000D1802"/>
    <w:rsid w:val="000D216E"/>
    <w:rsid w:val="000D25D4"/>
    <w:rsid w:val="000D2A06"/>
    <w:rsid w:val="000D333E"/>
    <w:rsid w:val="000D34DF"/>
    <w:rsid w:val="000D3CEA"/>
    <w:rsid w:val="000D3E5D"/>
    <w:rsid w:val="000D4591"/>
    <w:rsid w:val="000D4F2C"/>
    <w:rsid w:val="000D4FDE"/>
    <w:rsid w:val="000D5A92"/>
    <w:rsid w:val="000D5D91"/>
    <w:rsid w:val="000D5F9B"/>
    <w:rsid w:val="000D6240"/>
    <w:rsid w:val="000D62EB"/>
    <w:rsid w:val="000D7118"/>
    <w:rsid w:val="000D7357"/>
    <w:rsid w:val="000D7662"/>
    <w:rsid w:val="000D7B89"/>
    <w:rsid w:val="000D7F96"/>
    <w:rsid w:val="000E0A25"/>
    <w:rsid w:val="000E0DC6"/>
    <w:rsid w:val="000E0F87"/>
    <w:rsid w:val="000E150B"/>
    <w:rsid w:val="000E1523"/>
    <w:rsid w:val="000E1D12"/>
    <w:rsid w:val="000E1EDA"/>
    <w:rsid w:val="000E1EF8"/>
    <w:rsid w:val="000E2224"/>
    <w:rsid w:val="000E2839"/>
    <w:rsid w:val="000E2C36"/>
    <w:rsid w:val="000E2F76"/>
    <w:rsid w:val="000E3037"/>
    <w:rsid w:val="000E3489"/>
    <w:rsid w:val="000E382A"/>
    <w:rsid w:val="000E38CC"/>
    <w:rsid w:val="000E3A36"/>
    <w:rsid w:val="000E3B1E"/>
    <w:rsid w:val="000E443C"/>
    <w:rsid w:val="000E46F4"/>
    <w:rsid w:val="000E4F28"/>
    <w:rsid w:val="000E56EF"/>
    <w:rsid w:val="000E57F0"/>
    <w:rsid w:val="000E63A4"/>
    <w:rsid w:val="000E65B9"/>
    <w:rsid w:val="000E73A5"/>
    <w:rsid w:val="000E740A"/>
    <w:rsid w:val="000E7495"/>
    <w:rsid w:val="000E7861"/>
    <w:rsid w:val="000E7D77"/>
    <w:rsid w:val="000E7E34"/>
    <w:rsid w:val="000F0A4E"/>
    <w:rsid w:val="000F103E"/>
    <w:rsid w:val="000F1ABA"/>
    <w:rsid w:val="000F1DDE"/>
    <w:rsid w:val="000F1ED7"/>
    <w:rsid w:val="000F2C21"/>
    <w:rsid w:val="000F3607"/>
    <w:rsid w:val="000F3913"/>
    <w:rsid w:val="000F3D15"/>
    <w:rsid w:val="000F3FC7"/>
    <w:rsid w:val="000F47D0"/>
    <w:rsid w:val="000F4DCA"/>
    <w:rsid w:val="000F4E78"/>
    <w:rsid w:val="000F505C"/>
    <w:rsid w:val="000F5584"/>
    <w:rsid w:val="000F56BA"/>
    <w:rsid w:val="000F578B"/>
    <w:rsid w:val="000F5A10"/>
    <w:rsid w:val="000F6531"/>
    <w:rsid w:val="000F6899"/>
    <w:rsid w:val="000F7008"/>
    <w:rsid w:val="000F7080"/>
    <w:rsid w:val="001002D4"/>
    <w:rsid w:val="00100B95"/>
    <w:rsid w:val="00101D27"/>
    <w:rsid w:val="0010391C"/>
    <w:rsid w:val="0010559C"/>
    <w:rsid w:val="0010618A"/>
    <w:rsid w:val="00106308"/>
    <w:rsid w:val="001064D0"/>
    <w:rsid w:val="00106521"/>
    <w:rsid w:val="00106A75"/>
    <w:rsid w:val="00106F2F"/>
    <w:rsid w:val="00107636"/>
    <w:rsid w:val="0010779E"/>
    <w:rsid w:val="00107ADB"/>
    <w:rsid w:val="00107CCD"/>
    <w:rsid w:val="001106B7"/>
    <w:rsid w:val="001108D4"/>
    <w:rsid w:val="00110E17"/>
    <w:rsid w:val="00110E67"/>
    <w:rsid w:val="0011118C"/>
    <w:rsid w:val="0011131D"/>
    <w:rsid w:val="0011168C"/>
    <w:rsid w:val="001116A9"/>
    <w:rsid w:val="00112039"/>
    <w:rsid w:val="00112A86"/>
    <w:rsid w:val="001130C5"/>
    <w:rsid w:val="00113C82"/>
    <w:rsid w:val="00113D17"/>
    <w:rsid w:val="00113D61"/>
    <w:rsid w:val="00113FCE"/>
    <w:rsid w:val="00114273"/>
    <w:rsid w:val="001143F5"/>
    <w:rsid w:val="00114A43"/>
    <w:rsid w:val="00114F75"/>
    <w:rsid w:val="00115795"/>
    <w:rsid w:val="00116478"/>
    <w:rsid w:val="0011663F"/>
    <w:rsid w:val="00116A12"/>
    <w:rsid w:val="00116C46"/>
    <w:rsid w:val="00117850"/>
    <w:rsid w:val="00117A04"/>
    <w:rsid w:val="00120B6B"/>
    <w:rsid w:val="0012114C"/>
    <w:rsid w:val="00123177"/>
    <w:rsid w:val="001234B6"/>
    <w:rsid w:val="00123B0B"/>
    <w:rsid w:val="00123E46"/>
    <w:rsid w:val="00124642"/>
    <w:rsid w:val="0012469E"/>
    <w:rsid w:val="001248AF"/>
    <w:rsid w:val="00124B85"/>
    <w:rsid w:val="00124BA0"/>
    <w:rsid w:val="00124F58"/>
    <w:rsid w:val="00125082"/>
    <w:rsid w:val="00125313"/>
    <w:rsid w:val="0012570F"/>
    <w:rsid w:val="00125D0F"/>
    <w:rsid w:val="001265E6"/>
    <w:rsid w:val="001273C3"/>
    <w:rsid w:val="00130026"/>
    <w:rsid w:val="0013005D"/>
    <w:rsid w:val="00131392"/>
    <w:rsid w:val="001317DE"/>
    <w:rsid w:val="00131896"/>
    <w:rsid w:val="00131914"/>
    <w:rsid w:val="00132998"/>
    <w:rsid w:val="00132EB4"/>
    <w:rsid w:val="001330E6"/>
    <w:rsid w:val="00133640"/>
    <w:rsid w:val="00133896"/>
    <w:rsid w:val="00134671"/>
    <w:rsid w:val="001347FC"/>
    <w:rsid w:val="00134A0B"/>
    <w:rsid w:val="00134A98"/>
    <w:rsid w:val="001361E4"/>
    <w:rsid w:val="00136A38"/>
    <w:rsid w:val="00136A8B"/>
    <w:rsid w:val="00136DFB"/>
    <w:rsid w:val="00136F72"/>
    <w:rsid w:val="0013713A"/>
    <w:rsid w:val="0013736D"/>
    <w:rsid w:val="00137B56"/>
    <w:rsid w:val="00137D48"/>
    <w:rsid w:val="00137FDD"/>
    <w:rsid w:val="00140863"/>
    <w:rsid w:val="00140EFB"/>
    <w:rsid w:val="0014161A"/>
    <w:rsid w:val="00141A66"/>
    <w:rsid w:val="00141F57"/>
    <w:rsid w:val="001422E7"/>
    <w:rsid w:val="00142D92"/>
    <w:rsid w:val="001431D4"/>
    <w:rsid w:val="0014352F"/>
    <w:rsid w:val="0014379E"/>
    <w:rsid w:val="001437D1"/>
    <w:rsid w:val="001440BB"/>
    <w:rsid w:val="0014428F"/>
    <w:rsid w:val="00144634"/>
    <w:rsid w:val="00144A32"/>
    <w:rsid w:val="00144ADC"/>
    <w:rsid w:val="00145377"/>
    <w:rsid w:val="001455A4"/>
    <w:rsid w:val="00145876"/>
    <w:rsid w:val="00145D89"/>
    <w:rsid w:val="0014651C"/>
    <w:rsid w:val="00146973"/>
    <w:rsid w:val="00147788"/>
    <w:rsid w:val="00147F06"/>
    <w:rsid w:val="001505EB"/>
    <w:rsid w:val="00150B74"/>
    <w:rsid w:val="00151560"/>
    <w:rsid w:val="00151C76"/>
    <w:rsid w:val="00152393"/>
    <w:rsid w:val="001523E4"/>
    <w:rsid w:val="001523EF"/>
    <w:rsid w:val="00152664"/>
    <w:rsid w:val="00152DD9"/>
    <w:rsid w:val="00152EB7"/>
    <w:rsid w:val="00152FDF"/>
    <w:rsid w:val="001537AD"/>
    <w:rsid w:val="00153AEF"/>
    <w:rsid w:val="001544E2"/>
    <w:rsid w:val="001545EC"/>
    <w:rsid w:val="00154885"/>
    <w:rsid w:val="00155A69"/>
    <w:rsid w:val="001564DD"/>
    <w:rsid w:val="001567F1"/>
    <w:rsid w:val="00156852"/>
    <w:rsid w:val="0015687F"/>
    <w:rsid w:val="0015693D"/>
    <w:rsid w:val="00156A83"/>
    <w:rsid w:val="00156F56"/>
    <w:rsid w:val="00157BBC"/>
    <w:rsid w:val="00160981"/>
    <w:rsid w:val="00160AA0"/>
    <w:rsid w:val="00160D9B"/>
    <w:rsid w:val="00160DF3"/>
    <w:rsid w:val="00160FE3"/>
    <w:rsid w:val="00161AF6"/>
    <w:rsid w:val="00161F85"/>
    <w:rsid w:val="00162259"/>
    <w:rsid w:val="0016229C"/>
    <w:rsid w:val="00162C07"/>
    <w:rsid w:val="00162CC6"/>
    <w:rsid w:val="00162ED2"/>
    <w:rsid w:val="00162F26"/>
    <w:rsid w:val="00163356"/>
    <w:rsid w:val="00163445"/>
    <w:rsid w:val="0016344C"/>
    <w:rsid w:val="001635DD"/>
    <w:rsid w:val="00163890"/>
    <w:rsid w:val="00163A8B"/>
    <w:rsid w:val="00163C04"/>
    <w:rsid w:val="00165644"/>
    <w:rsid w:val="00165BFB"/>
    <w:rsid w:val="00165E87"/>
    <w:rsid w:val="001662AA"/>
    <w:rsid w:val="001666F5"/>
    <w:rsid w:val="00166912"/>
    <w:rsid w:val="001669B1"/>
    <w:rsid w:val="00166E2C"/>
    <w:rsid w:val="00167923"/>
    <w:rsid w:val="00167994"/>
    <w:rsid w:val="00167F2C"/>
    <w:rsid w:val="0017085A"/>
    <w:rsid w:val="00170C8D"/>
    <w:rsid w:val="00171350"/>
    <w:rsid w:val="00171A9E"/>
    <w:rsid w:val="00171E71"/>
    <w:rsid w:val="001721AE"/>
    <w:rsid w:val="001723C8"/>
    <w:rsid w:val="001728AA"/>
    <w:rsid w:val="00172AE6"/>
    <w:rsid w:val="00172D6F"/>
    <w:rsid w:val="00173109"/>
    <w:rsid w:val="001735FF"/>
    <w:rsid w:val="00173CDF"/>
    <w:rsid w:val="00173ED0"/>
    <w:rsid w:val="001751B6"/>
    <w:rsid w:val="0017538B"/>
    <w:rsid w:val="0017540A"/>
    <w:rsid w:val="00175655"/>
    <w:rsid w:val="00176843"/>
    <w:rsid w:val="00176A08"/>
    <w:rsid w:val="00176ECC"/>
    <w:rsid w:val="00176F65"/>
    <w:rsid w:val="00177486"/>
    <w:rsid w:val="00177990"/>
    <w:rsid w:val="00177B4E"/>
    <w:rsid w:val="001801B2"/>
    <w:rsid w:val="001809ED"/>
    <w:rsid w:val="00181347"/>
    <w:rsid w:val="00181BAE"/>
    <w:rsid w:val="00181CAB"/>
    <w:rsid w:val="00181FF6"/>
    <w:rsid w:val="0018307A"/>
    <w:rsid w:val="001838D8"/>
    <w:rsid w:val="00183C09"/>
    <w:rsid w:val="001841F2"/>
    <w:rsid w:val="001843A2"/>
    <w:rsid w:val="00184D9A"/>
    <w:rsid w:val="00184E53"/>
    <w:rsid w:val="00184ECC"/>
    <w:rsid w:val="0018528F"/>
    <w:rsid w:val="001853F4"/>
    <w:rsid w:val="0018543D"/>
    <w:rsid w:val="001855AC"/>
    <w:rsid w:val="001856CC"/>
    <w:rsid w:val="00186484"/>
    <w:rsid w:val="00186E4A"/>
    <w:rsid w:val="00187454"/>
    <w:rsid w:val="001874F8"/>
    <w:rsid w:val="00190223"/>
    <w:rsid w:val="001912AA"/>
    <w:rsid w:val="0019137C"/>
    <w:rsid w:val="00191428"/>
    <w:rsid w:val="00191513"/>
    <w:rsid w:val="00191661"/>
    <w:rsid w:val="001917B2"/>
    <w:rsid w:val="00191AA7"/>
    <w:rsid w:val="00191F34"/>
    <w:rsid w:val="00192879"/>
    <w:rsid w:val="001929DC"/>
    <w:rsid w:val="00192A92"/>
    <w:rsid w:val="00192E10"/>
    <w:rsid w:val="00192F24"/>
    <w:rsid w:val="00193107"/>
    <w:rsid w:val="0019347A"/>
    <w:rsid w:val="00193AC9"/>
    <w:rsid w:val="00193B8F"/>
    <w:rsid w:val="00193C7D"/>
    <w:rsid w:val="0019408A"/>
    <w:rsid w:val="001943AD"/>
    <w:rsid w:val="001950D1"/>
    <w:rsid w:val="001950E0"/>
    <w:rsid w:val="001953BE"/>
    <w:rsid w:val="001954F3"/>
    <w:rsid w:val="001955B0"/>
    <w:rsid w:val="00195743"/>
    <w:rsid w:val="00195C58"/>
    <w:rsid w:val="00195CF8"/>
    <w:rsid w:val="001966C0"/>
    <w:rsid w:val="00196FE2"/>
    <w:rsid w:val="00197581"/>
    <w:rsid w:val="00197673"/>
    <w:rsid w:val="00197C00"/>
    <w:rsid w:val="00197E18"/>
    <w:rsid w:val="001A056C"/>
    <w:rsid w:val="001A0B93"/>
    <w:rsid w:val="001A0F99"/>
    <w:rsid w:val="001A132B"/>
    <w:rsid w:val="001A33F4"/>
    <w:rsid w:val="001A4411"/>
    <w:rsid w:val="001A4F30"/>
    <w:rsid w:val="001A5C7C"/>
    <w:rsid w:val="001A5D06"/>
    <w:rsid w:val="001A6739"/>
    <w:rsid w:val="001A691E"/>
    <w:rsid w:val="001A6A24"/>
    <w:rsid w:val="001A6C42"/>
    <w:rsid w:val="001A7235"/>
    <w:rsid w:val="001A7696"/>
    <w:rsid w:val="001A7776"/>
    <w:rsid w:val="001A7B2C"/>
    <w:rsid w:val="001A7BD3"/>
    <w:rsid w:val="001A7D56"/>
    <w:rsid w:val="001B026F"/>
    <w:rsid w:val="001B0B09"/>
    <w:rsid w:val="001B0CC4"/>
    <w:rsid w:val="001B118A"/>
    <w:rsid w:val="001B1EA5"/>
    <w:rsid w:val="001B224C"/>
    <w:rsid w:val="001B2F03"/>
    <w:rsid w:val="001B31B8"/>
    <w:rsid w:val="001B31B9"/>
    <w:rsid w:val="001B34F6"/>
    <w:rsid w:val="001B3C9F"/>
    <w:rsid w:val="001B3DE5"/>
    <w:rsid w:val="001B4D7A"/>
    <w:rsid w:val="001B4FFF"/>
    <w:rsid w:val="001B5333"/>
    <w:rsid w:val="001B5653"/>
    <w:rsid w:val="001B5C76"/>
    <w:rsid w:val="001B606D"/>
    <w:rsid w:val="001B6C59"/>
    <w:rsid w:val="001B6D36"/>
    <w:rsid w:val="001B7E22"/>
    <w:rsid w:val="001B7F90"/>
    <w:rsid w:val="001C0BBF"/>
    <w:rsid w:val="001C13B9"/>
    <w:rsid w:val="001C13D3"/>
    <w:rsid w:val="001C1785"/>
    <w:rsid w:val="001C26BD"/>
    <w:rsid w:val="001C28C7"/>
    <w:rsid w:val="001C2ED7"/>
    <w:rsid w:val="001C3001"/>
    <w:rsid w:val="001C3A18"/>
    <w:rsid w:val="001C3D28"/>
    <w:rsid w:val="001C3E3B"/>
    <w:rsid w:val="001C42D7"/>
    <w:rsid w:val="001C479D"/>
    <w:rsid w:val="001C5BCC"/>
    <w:rsid w:val="001C5E81"/>
    <w:rsid w:val="001C65A7"/>
    <w:rsid w:val="001C6724"/>
    <w:rsid w:val="001C6813"/>
    <w:rsid w:val="001C6A96"/>
    <w:rsid w:val="001C6F69"/>
    <w:rsid w:val="001C6FE3"/>
    <w:rsid w:val="001C7272"/>
    <w:rsid w:val="001C734C"/>
    <w:rsid w:val="001C7596"/>
    <w:rsid w:val="001C7940"/>
    <w:rsid w:val="001C7A2B"/>
    <w:rsid w:val="001C7D69"/>
    <w:rsid w:val="001C7FD5"/>
    <w:rsid w:val="001D064E"/>
    <w:rsid w:val="001D0F31"/>
    <w:rsid w:val="001D10AB"/>
    <w:rsid w:val="001D1528"/>
    <w:rsid w:val="001D1DCF"/>
    <w:rsid w:val="001D2168"/>
    <w:rsid w:val="001D29D2"/>
    <w:rsid w:val="001D3205"/>
    <w:rsid w:val="001D3438"/>
    <w:rsid w:val="001D35CA"/>
    <w:rsid w:val="001D38CD"/>
    <w:rsid w:val="001D42D1"/>
    <w:rsid w:val="001D43E0"/>
    <w:rsid w:val="001D4A49"/>
    <w:rsid w:val="001D4E61"/>
    <w:rsid w:val="001D4FA0"/>
    <w:rsid w:val="001D5BAF"/>
    <w:rsid w:val="001D5DC2"/>
    <w:rsid w:val="001D649A"/>
    <w:rsid w:val="001D68D8"/>
    <w:rsid w:val="001D6E2E"/>
    <w:rsid w:val="001D6EAD"/>
    <w:rsid w:val="001D7283"/>
    <w:rsid w:val="001D755C"/>
    <w:rsid w:val="001E0668"/>
    <w:rsid w:val="001E1544"/>
    <w:rsid w:val="001E1654"/>
    <w:rsid w:val="001E18EC"/>
    <w:rsid w:val="001E1C40"/>
    <w:rsid w:val="001E1D01"/>
    <w:rsid w:val="001E1ED4"/>
    <w:rsid w:val="001E21AC"/>
    <w:rsid w:val="001E2366"/>
    <w:rsid w:val="001E266D"/>
    <w:rsid w:val="001E299F"/>
    <w:rsid w:val="001E33FB"/>
    <w:rsid w:val="001E4005"/>
    <w:rsid w:val="001E4262"/>
    <w:rsid w:val="001E4480"/>
    <w:rsid w:val="001E44A4"/>
    <w:rsid w:val="001E4D2F"/>
    <w:rsid w:val="001E4DDA"/>
    <w:rsid w:val="001E57ED"/>
    <w:rsid w:val="001E5C54"/>
    <w:rsid w:val="001E6272"/>
    <w:rsid w:val="001E62A8"/>
    <w:rsid w:val="001E659F"/>
    <w:rsid w:val="001E66FD"/>
    <w:rsid w:val="001E6CAB"/>
    <w:rsid w:val="001E704C"/>
    <w:rsid w:val="001E717E"/>
    <w:rsid w:val="001E7EA6"/>
    <w:rsid w:val="001F01AF"/>
    <w:rsid w:val="001F0904"/>
    <w:rsid w:val="001F1311"/>
    <w:rsid w:val="001F17F8"/>
    <w:rsid w:val="001F1E22"/>
    <w:rsid w:val="001F220E"/>
    <w:rsid w:val="001F2D5A"/>
    <w:rsid w:val="001F3356"/>
    <w:rsid w:val="001F39B3"/>
    <w:rsid w:val="001F413B"/>
    <w:rsid w:val="001F489F"/>
    <w:rsid w:val="001F51CA"/>
    <w:rsid w:val="001F5746"/>
    <w:rsid w:val="001F5AD9"/>
    <w:rsid w:val="001F5EF5"/>
    <w:rsid w:val="001F6947"/>
    <w:rsid w:val="001F6B3B"/>
    <w:rsid w:val="001F6D74"/>
    <w:rsid w:val="001F6E99"/>
    <w:rsid w:val="001F6F33"/>
    <w:rsid w:val="001F6F55"/>
    <w:rsid w:val="00200766"/>
    <w:rsid w:val="00201001"/>
    <w:rsid w:val="00201089"/>
    <w:rsid w:val="00201C8F"/>
    <w:rsid w:val="00201D72"/>
    <w:rsid w:val="00202509"/>
    <w:rsid w:val="002025D0"/>
    <w:rsid w:val="002040D3"/>
    <w:rsid w:val="00204660"/>
    <w:rsid w:val="00204820"/>
    <w:rsid w:val="00204842"/>
    <w:rsid w:val="002052D6"/>
    <w:rsid w:val="002056F3"/>
    <w:rsid w:val="002058AD"/>
    <w:rsid w:val="00205B18"/>
    <w:rsid w:val="00205CE3"/>
    <w:rsid w:val="00206C74"/>
    <w:rsid w:val="00206CBB"/>
    <w:rsid w:val="00207437"/>
    <w:rsid w:val="002077E9"/>
    <w:rsid w:val="00207803"/>
    <w:rsid w:val="00210244"/>
    <w:rsid w:val="00211EA3"/>
    <w:rsid w:val="00212AE7"/>
    <w:rsid w:val="00212B0C"/>
    <w:rsid w:val="00212F22"/>
    <w:rsid w:val="0021304E"/>
    <w:rsid w:val="00213436"/>
    <w:rsid w:val="00213542"/>
    <w:rsid w:val="002139B9"/>
    <w:rsid w:val="002139D4"/>
    <w:rsid w:val="002143E9"/>
    <w:rsid w:val="0021473B"/>
    <w:rsid w:val="00214F03"/>
    <w:rsid w:val="00215197"/>
    <w:rsid w:val="00215760"/>
    <w:rsid w:val="00215853"/>
    <w:rsid w:val="00215952"/>
    <w:rsid w:val="002159F5"/>
    <w:rsid w:val="00215BC3"/>
    <w:rsid w:val="00215CC4"/>
    <w:rsid w:val="0021614E"/>
    <w:rsid w:val="002164CE"/>
    <w:rsid w:val="00216A8B"/>
    <w:rsid w:val="00216BCE"/>
    <w:rsid w:val="002171AE"/>
    <w:rsid w:val="00217F05"/>
    <w:rsid w:val="0022021F"/>
    <w:rsid w:val="00220431"/>
    <w:rsid w:val="00220491"/>
    <w:rsid w:val="0022053D"/>
    <w:rsid w:val="00220D51"/>
    <w:rsid w:val="00220F82"/>
    <w:rsid w:val="0022111A"/>
    <w:rsid w:val="00221364"/>
    <w:rsid w:val="0022140C"/>
    <w:rsid w:val="002219B3"/>
    <w:rsid w:val="00221EBF"/>
    <w:rsid w:val="00221F0B"/>
    <w:rsid w:val="00222182"/>
    <w:rsid w:val="0022292F"/>
    <w:rsid w:val="00222A06"/>
    <w:rsid w:val="002230DC"/>
    <w:rsid w:val="00223109"/>
    <w:rsid w:val="00223160"/>
    <w:rsid w:val="0022327B"/>
    <w:rsid w:val="002232E0"/>
    <w:rsid w:val="00223518"/>
    <w:rsid w:val="00224173"/>
    <w:rsid w:val="00224753"/>
    <w:rsid w:val="00224A20"/>
    <w:rsid w:val="00225B72"/>
    <w:rsid w:val="0022635F"/>
    <w:rsid w:val="002272AB"/>
    <w:rsid w:val="002273C2"/>
    <w:rsid w:val="00227A43"/>
    <w:rsid w:val="00227AEC"/>
    <w:rsid w:val="00230119"/>
    <w:rsid w:val="00230279"/>
    <w:rsid w:val="00230806"/>
    <w:rsid w:val="00230C30"/>
    <w:rsid w:val="002313D2"/>
    <w:rsid w:val="0023150F"/>
    <w:rsid w:val="002326E0"/>
    <w:rsid w:val="00232725"/>
    <w:rsid w:val="00232899"/>
    <w:rsid w:val="00232E4A"/>
    <w:rsid w:val="00233789"/>
    <w:rsid w:val="002339C8"/>
    <w:rsid w:val="00233CB6"/>
    <w:rsid w:val="002344CF"/>
    <w:rsid w:val="00234B4A"/>
    <w:rsid w:val="00235392"/>
    <w:rsid w:val="002354D0"/>
    <w:rsid w:val="00235528"/>
    <w:rsid w:val="00235AE7"/>
    <w:rsid w:val="00235BBC"/>
    <w:rsid w:val="00235F6A"/>
    <w:rsid w:val="00235FEC"/>
    <w:rsid w:val="00236378"/>
    <w:rsid w:val="0023681A"/>
    <w:rsid w:val="00236916"/>
    <w:rsid w:val="0023773A"/>
    <w:rsid w:val="002377B2"/>
    <w:rsid w:val="00237C56"/>
    <w:rsid w:val="00237DC2"/>
    <w:rsid w:val="00237EFA"/>
    <w:rsid w:val="00237F96"/>
    <w:rsid w:val="0024003D"/>
    <w:rsid w:val="00240557"/>
    <w:rsid w:val="00240661"/>
    <w:rsid w:val="002409E7"/>
    <w:rsid w:val="00240AFA"/>
    <w:rsid w:val="00241783"/>
    <w:rsid w:val="00241A46"/>
    <w:rsid w:val="00241A82"/>
    <w:rsid w:val="00241D71"/>
    <w:rsid w:val="0024201C"/>
    <w:rsid w:val="00242327"/>
    <w:rsid w:val="00242E83"/>
    <w:rsid w:val="002438BD"/>
    <w:rsid w:val="00243ABC"/>
    <w:rsid w:val="00244630"/>
    <w:rsid w:val="00244A7B"/>
    <w:rsid w:val="00244F01"/>
    <w:rsid w:val="0024503B"/>
    <w:rsid w:val="00245B19"/>
    <w:rsid w:val="00245E80"/>
    <w:rsid w:val="00246DE5"/>
    <w:rsid w:val="00246DE6"/>
    <w:rsid w:val="00247E4D"/>
    <w:rsid w:val="00250FB2"/>
    <w:rsid w:val="00251122"/>
    <w:rsid w:val="00251240"/>
    <w:rsid w:val="00251283"/>
    <w:rsid w:val="002512DB"/>
    <w:rsid w:val="00251BB1"/>
    <w:rsid w:val="00252167"/>
    <w:rsid w:val="002522CA"/>
    <w:rsid w:val="00252435"/>
    <w:rsid w:val="002527FE"/>
    <w:rsid w:val="0025299A"/>
    <w:rsid w:val="00252B91"/>
    <w:rsid w:val="00252DFA"/>
    <w:rsid w:val="002534A6"/>
    <w:rsid w:val="00253BB7"/>
    <w:rsid w:val="00254084"/>
    <w:rsid w:val="002541F0"/>
    <w:rsid w:val="00254657"/>
    <w:rsid w:val="00254E0A"/>
    <w:rsid w:val="002551A6"/>
    <w:rsid w:val="00256706"/>
    <w:rsid w:val="00257209"/>
    <w:rsid w:val="002578A0"/>
    <w:rsid w:val="0026089C"/>
    <w:rsid w:val="00260D34"/>
    <w:rsid w:val="002614E2"/>
    <w:rsid w:val="00261FAE"/>
    <w:rsid w:val="00262078"/>
    <w:rsid w:val="002624B5"/>
    <w:rsid w:val="0026257E"/>
    <w:rsid w:val="0026317C"/>
    <w:rsid w:val="0026344F"/>
    <w:rsid w:val="002635D5"/>
    <w:rsid w:val="00263782"/>
    <w:rsid w:val="00263BC7"/>
    <w:rsid w:val="00263C36"/>
    <w:rsid w:val="002652CC"/>
    <w:rsid w:val="002652D3"/>
    <w:rsid w:val="00265825"/>
    <w:rsid w:val="00265A69"/>
    <w:rsid w:val="00266D1B"/>
    <w:rsid w:val="00267634"/>
    <w:rsid w:val="002679B7"/>
    <w:rsid w:val="00267C52"/>
    <w:rsid w:val="00267E9A"/>
    <w:rsid w:val="00270D7E"/>
    <w:rsid w:val="00270F22"/>
    <w:rsid w:val="00271DDE"/>
    <w:rsid w:val="0027214A"/>
    <w:rsid w:val="002723E7"/>
    <w:rsid w:val="00272466"/>
    <w:rsid w:val="00272DE5"/>
    <w:rsid w:val="00273409"/>
    <w:rsid w:val="0027377E"/>
    <w:rsid w:val="00273908"/>
    <w:rsid w:val="00273A95"/>
    <w:rsid w:val="00273E24"/>
    <w:rsid w:val="00273E57"/>
    <w:rsid w:val="00273FE0"/>
    <w:rsid w:val="0027404D"/>
    <w:rsid w:val="00274B96"/>
    <w:rsid w:val="00274F2E"/>
    <w:rsid w:val="0027574D"/>
    <w:rsid w:val="002758B3"/>
    <w:rsid w:val="0027674B"/>
    <w:rsid w:val="00276A3C"/>
    <w:rsid w:val="00276B24"/>
    <w:rsid w:val="00277080"/>
    <w:rsid w:val="002772EE"/>
    <w:rsid w:val="002773A2"/>
    <w:rsid w:val="002805DD"/>
    <w:rsid w:val="002811EC"/>
    <w:rsid w:val="0028136E"/>
    <w:rsid w:val="00281505"/>
    <w:rsid w:val="002817C4"/>
    <w:rsid w:val="00281980"/>
    <w:rsid w:val="00281A00"/>
    <w:rsid w:val="00281D3B"/>
    <w:rsid w:val="002820BA"/>
    <w:rsid w:val="0028214F"/>
    <w:rsid w:val="002822ED"/>
    <w:rsid w:val="002829C1"/>
    <w:rsid w:val="00283012"/>
    <w:rsid w:val="00283017"/>
    <w:rsid w:val="002855C3"/>
    <w:rsid w:val="00285A3D"/>
    <w:rsid w:val="00285E57"/>
    <w:rsid w:val="00285F90"/>
    <w:rsid w:val="00286562"/>
    <w:rsid w:val="002867AC"/>
    <w:rsid w:val="00286A04"/>
    <w:rsid w:val="00286A89"/>
    <w:rsid w:val="00286C05"/>
    <w:rsid w:val="00286EF5"/>
    <w:rsid w:val="00287737"/>
    <w:rsid w:val="00287C80"/>
    <w:rsid w:val="002900DD"/>
    <w:rsid w:val="00290153"/>
    <w:rsid w:val="00290436"/>
    <w:rsid w:val="0029069C"/>
    <w:rsid w:val="00290891"/>
    <w:rsid w:val="00290D59"/>
    <w:rsid w:val="002915E2"/>
    <w:rsid w:val="00291679"/>
    <w:rsid w:val="0029174F"/>
    <w:rsid w:val="002917EF"/>
    <w:rsid w:val="00291B41"/>
    <w:rsid w:val="00291BA2"/>
    <w:rsid w:val="0029230E"/>
    <w:rsid w:val="00292F31"/>
    <w:rsid w:val="00293473"/>
    <w:rsid w:val="002939FB"/>
    <w:rsid w:val="00293BDC"/>
    <w:rsid w:val="00294447"/>
    <w:rsid w:val="002944B8"/>
    <w:rsid w:val="00294B2F"/>
    <w:rsid w:val="002953E0"/>
    <w:rsid w:val="00295C00"/>
    <w:rsid w:val="0029622A"/>
    <w:rsid w:val="002966F4"/>
    <w:rsid w:val="00297775"/>
    <w:rsid w:val="00297AB8"/>
    <w:rsid w:val="002A018F"/>
    <w:rsid w:val="002A036A"/>
    <w:rsid w:val="002A0AC1"/>
    <w:rsid w:val="002A140A"/>
    <w:rsid w:val="002A20CC"/>
    <w:rsid w:val="002A2107"/>
    <w:rsid w:val="002A22B4"/>
    <w:rsid w:val="002A2BD9"/>
    <w:rsid w:val="002A2DFB"/>
    <w:rsid w:val="002A3A6B"/>
    <w:rsid w:val="002A4664"/>
    <w:rsid w:val="002A4AEA"/>
    <w:rsid w:val="002A4BBF"/>
    <w:rsid w:val="002A5009"/>
    <w:rsid w:val="002A5E43"/>
    <w:rsid w:val="002A6148"/>
    <w:rsid w:val="002A674F"/>
    <w:rsid w:val="002A6C9D"/>
    <w:rsid w:val="002A71D5"/>
    <w:rsid w:val="002A7CAF"/>
    <w:rsid w:val="002B0116"/>
    <w:rsid w:val="002B0C57"/>
    <w:rsid w:val="002B0DF4"/>
    <w:rsid w:val="002B0F98"/>
    <w:rsid w:val="002B19BC"/>
    <w:rsid w:val="002B1A11"/>
    <w:rsid w:val="002B1BA1"/>
    <w:rsid w:val="002B1DE7"/>
    <w:rsid w:val="002B2357"/>
    <w:rsid w:val="002B2562"/>
    <w:rsid w:val="002B2C9D"/>
    <w:rsid w:val="002B315D"/>
    <w:rsid w:val="002B31D3"/>
    <w:rsid w:val="002B47EB"/>
    <w:rsid w:val="002B4A04"/>
    <w:rsid w:val="002B5840"/>
    <w:rsid w:val="002B590E"/>
    <w:rsid w:val="002B5B50"/>
    <w:rsid w:val="002B6200"/>
    <w:rsid w:val="002B6D17"/>
    <w:rsid w:val="002B6FFF"/>
    <w:rsid w:val="002B704A"/>
    <w:rsid w:val="002B72FE"/>
    <w:rsid w:val="002B7A07"/>
    <w:rsid w:val="002B7E99"/>
    <w:rsid w:val="002C0118"/>
    <w:rsid w:val="002C0C34"/>
    <w:rsid w:val="002C1433"/>
    <w:rsid w:val="002C152C"/>
    <w:rsid w:val="002C16CF"/>
    <w:rsid w:val="002C2161"/>
    <w:rsid w:val="002C28FF"/>
    <w:rsid w:val="002C29AB"/>
    <w:rsid w:val="002C377E"/>
    <w:rsid w:val="002C398A"/>
    <w:rsid w:val="002C40F3"/>
    <w:rsid w:val="002C42B2"/>
    <w:rsid w:val="002C50CC"/>
    <w:rsid w:val="002C5455"/>
    <w:rsid w:val="002C57D5"/>
    <w:rsid w:val="002C6A4D"/>
    <w:rsid w:val="002C6A52"/>
    <w:rsid w:val="002C74AE"/>
    <w:rsid w:val="002C76AB"/>
    <w:rsid w:val="002C7789"/>
    <w:rsid w:val="002C7B2D"/>
    <w:rsid w:val="002C7BC7"/>
    <w:rsid w:val="002C7DF6"/>
    <w:rsid w:val="002D0032"/>
    <w:rsid w:val="002D0289"/>
    <w:rsid w:val="002D02B7"/>
    <w:rsid w:val="002D03B8"/>
    <w:rsid w:val="002D040C"/>
    <w:rsid w:val="002D0D0E"/>
    <w:rsid w:val="002D1061"/>
    <w:rsid w:val="002D2E4F"/>
    <w:rsid w:val="002D3570"/>
    <w:rsid w:val="002D37CA"/>
    <w:rsid w:val="002D3E5F"/>
    <w:rsid w:val="002D3E74"/>
    <w:rsid w:val="002D481D"/>
    <w:rsid w:val="002D58AB"/>
    <w:rsid w:val="002D5F4C"/>
    <w:rsid w:val="002D6256"/>
    <w:rsid w:val="002D66CC"/>
    <w:rsid w:val="002D6B3D"/>
    <w:rsid w:val="002D7310"/>
    <w:rsid w:val="002D7311"/>
    <w:rsid w:val="002E01D4"/>
    <w:rsid w:val="002E02C9"/>
    <w:rsid w:val="002E0306"/>
    <w:rsid w:val="002E07B0"/>
    <w:rsid w:val="002E0C1F"/>
    <w:rsid w:val="002E138F"/>
    <w:rsid w:val="002E1422"/>
    <w:rsid w:val="002E1BCC"/>
    <w:rsid w:val="002E2065"/>
    <w:rsid w:val="002E2123"/>
    <w:rsid w:val="002E2E17"/>
    <w:rsid w:val="002E3E87"/>
    <w:rsid w:val="002E41EE"/>
    <w:rsid w:val="002E4355"/>
    <w:rsid w:val="002E46B0"/>
    <w:rsid w:val="002E495A"/>
    <w:rsid w:val="002E4A26"/>
    <w:rsid w:val="002E546B"/>
    <w:rsid w:val="002E5F26"/>
    <w:rsid w:val="002E6552"/>
    <w:rsid w:val="002E6785"/>
    <w:rsid w:val="002E6D15"/>
    <w:rsid w:val="002E7092"/>
    <w:rsid w:val="002E7097"/>
    <w:rsid w:val="002E711D"/>
    <w:rsid w:val="002E7532"/>
    <w:rsid w:val="002E7E9E"/>
    <w:rsid w:val="002F0332"/>
    <w:rsid w:val="002F0516"/>
    <w:rsid w:val="002F0733"/>
    <w:rsid w:val="002F0D48"/>
    <w:rsid w:val="002F2564"/>
    <w:rsid w:val="002F2B92"/>
    <w:rsid w:val="002F3C87"/>
    <w:rsid w:val="002F41F3"/>
    <w:rsid w:val="002F43DD"/>
    <w:rsid w:val="002F4529"/>
    <w:rsid w:val="002F4711"/>
    <w:rsid w:val="002F4782"/>
    <w:rsid w:val="002F4AE3"/>
    <w:rsid w:val="002F4BFC"/>
    <w:rsid w:val="002F4C4D"/>
    <w:rsid w:val="002F5839"/>
    <w:rsid w:val="002F5B3F"/>
    <w:rsid w:val="002F6064"/>
    <w:rsid w:val="002F6470"/>
    <w:rsid w:val="002F6627"/>
    <w:rsid w:val="002F6F04"/>
    <w:rsid w:val="002F7249"/>
    <w:rsid w:val="002F72B2"/>
    <w:rsid w:val="002F745D"/>
    <w:rsid w:val="002F7783"/>
    <w:rsid w:val="002F793B"/>
    <w:rsid w:val="002F79FE"/>
    <w:rsid w:val="002F7A0D"/>
    <w:rsid w:val="0030051F"/>
    <w:rsid w:val="0030054B"/>
    <w:rsid w:val="00300579"/>
    <w:rsid w:val="0030116E"/>
    <w:rsid w:val="0030120F"/>
    <w:rsid w:val="0030133B"/>
    <w:rsid w:val="00301770"/>
    <w:rsid w:val="00301A75"/>
    <w:rsid w:val="00301ADD"/>
    <w:rsid w:val="00302859"/>
    <w:rsid w:val="00302D39"/>
    <w:rsid w:val="00303A9E"/>
    <w:rsid w:val="00303BFF"/>
    <w:rsid w:val="00303D70"/>
    <w:rsid w:val="0030427B"/>
    <w:rsid w:val="003053E1"/>
    <w:rsid w:val="00306132"/>
    <w:rsid w:val="0030657B"/>
    <w:rsid w:val="00306683"/>
    <w:rsid w:val="00306CA8"/>
    <w:rsid w:val="00306FD3"/>
    <w:rsid w:val="003074AF"/>
    <w:rsid w:val="003076E6"/>
    <w:rsid w:val="00307777"/>
    <w:rsid w:val="0030798B"/>
    <w:rsid w:val="00307BFB"/>
    <w:rsid w:val="00310D1A"/>
    <w:rsid w:val="0031102F"/>
    <w:rsid w:val="0031179D"/>
    <w:rsid w:val="00311DAA"/>
    <w:rsid w:val="00311E76"/>
    <w:rsid w:val="00312B6A"/>
    <w:rsid w:val="00312CC7"/>
    <w:rsid w:val="00312F75"/>
    <w:rsid w:val="0031371A"/>
    <w:rsid w:val="00313AF4"/>
    <w:rsid w:val="00314035"/>
    <w:rsid w:val="003146BA"/>
    <w:rsid w:val="00315D52"/>
    <w:rsid w:val="0031646F"/>
    <w:rsid w:val="003165D3"/>
    <w:rsid w:val="00316E94"/>
    <w:rsid w:val="003171FD"/>
    <w:rsid w:val="003200AA"/>
    <w:rsid w:val="003204CC"/>
    <w:rsid w:val="00320C56"/>
    <w:rsid w:val="00321C75"/>
    <w:rsid w:val="00321EF8"/>
    <w:rsid w:val="003220D6"/>
    <w:rsid w:val="0032269B"/>
    <w:rsid w:val="00322F8B"/>
    <w:rsid w:val="003239E9"/>
    <w:rsid w:val="00323DC8"/>
    <w:rsid w:val="00323E03"/>
    <w:rsid w:val="00323E7A"/>
    <w:rsid w:val="0032428E"/>
    <w:rsid w:val="003243A1"/>
    <w:rsid w:val="00324598"/>
    <w:rsid w:val="0032470E"/>
    <w:rsid w:val="00324CA4"/>
    <w:rsid w:val="003256F8"/>
    <w:rsid w:val="00325C09"/>
    <w:rsid w:val="0032645D"/>
    <w:rsid w:val="003270FB"/>
    <w:rsid w:val="00327583"/>
    <w:rsid w:val="00327600"/>
    <w:rsid w:val="003303B2"/>
    <w:rsid w:val="003304CB"/>
    <w:rsid w:val="003304CF"/>
    <w:rsid w:val="00330AED"/>
    <w:rsid w:val="0033114B"/>
    <w:rsid w:val="00331374"/>
    <w:rsid w:val="00331954"/>
    <w:rsid w:val="00331FD2"/>
    <w:rsid w:val="00332696"/>
    <w:rsid w:val="00332F1F"/>
    <w:rsid w:val="00332F7B"/>
    <w:rsid w:val="003338D6"/>
    <w:rsid w:val="00333B00"/>
    <w:rsid w:val="003344A4"/>
    <w:rsid w:val="00334C5B"/>
    <w:rsid w:val="00334CDA"/>
    <w:rsid w:val="003352E9"/>
    <w:rsid w:val="00335327"/>
    <w:rsid w:val="00335AD8"/>
    <w:rsid w:val="00336D34"/>
    <w:rsid w:val="00336EC9"/>
    <w:rsid w:val="0033748F"/>
    <w:rsid w:val="00337E8F"/>
    <w:rsid w:val="003401C5"/>
    <w:rsid w:val="00340BF6"/>
    <w:rsid w:val="00340DA6"/>
    <w:rsid w:val="00341237"/>
    <w:rsid w:val="003417F6"/>
    <w:rsid w:val="00341B6E"/>
    <w:rsid w:val="00341F77"/>
    <w:rsid w:val="003420D9"/>
    <w:rsid w:val="003422F2"/>
    <w:rsid w:val="003426BA"/>
    <w:rsid w:val="0034292E"/>
    <w:rsid w:val="0034294C"/>
    <w:rsid w:val="00342961"/>
    <w:rsid w:val="00342BC1"/>
    <w:rsid w:val="00343098"/>
    <w:rsid w:val="003436F1"/>
    <w:rsid w:val="00343D02"/>
    <w:rsid w:val="00344793"/>
    <w:rsid w:val="00344963"/>
    <w:rsid w:val="00344DA6"/>
    <w:rsid w:val="00344E2D"/>
    <w:rsid w:val="00344EAF"/>
    <w:rsid w:val="0034512C"/>
    <w:rsid w:val="003451DA"/>
    <w:rsid w:val="00345513"/>
    <w:rsid w:val="0034630B"/>
    <w:rsid w:val="0034688F"/>
    <w:rsid w:val="00346BEE"/>
    <w:rsid w:val="00346DAE"/>
    <w:rsid w:val="00347042"/>
    <w:rsid w:val="00347343"/>
    <w:rsid w:val="003474F6"/>
    <w:rsid w:val="00347581"/>
    <w:rsid w:val="003476FA"/>
    <w:rsid w:val="00347E99"/>
    <w:rsid w:val="00347FAC"/>
    <w:rsid w:val="0035009F"/>
    <w:rsid w:val="00350513"/>
    <w:rsid w:val="00350FE0"/>
    <w:rsid w:val="00351411"/>
    <w:rsid w:val="00351982"/>
    <w:rsid w:val="0035200D"/>
    <w:rsid w:val="0035259E"/>
    <w:rsid w:val="00352641"/>
    <w:rsid w:val="003526C1"/>
    <w:rsid w:val="00353381"/>
    <w:rsid w:val="0035356A"/>
    <w:rsid w:val="00353A67"/>
    <w:rsid w:val="00353A7B"/>
    <w:rsid w:val="00353B90"/>
    <w:rsid w:val="00353E07"/>
    <w:rsid w:val="00353F3B"/>
    <w:rsid w:val="003540A6"/>
    <w:rsid w:val="00354AC6"/>
    <w:rsid w:val="00354ED6"/>
    <w:rsid w:val="00355200"/>
    <w:rsid w:val="00355BA7"/>
    <w:rsid w:val="00355C90"/>
    <w:rsid w:val="00355F7A"/>
    <w:rsid w:val="00356436"/>
    <w:rsid w:val="00356D8B"/>
    <w:rsid w:val="00356EE1"/>
    <w:rsid w:val="00357FC5"/>
    <w:rsid w:val="0036003E"/>
    <w:rsid w:val="003603AB"/>
    <w:rsid w:val="0036067C"/>
    <w:rsid w:val="00360AA0"/>
    <w:rsid w:val="00361183"/>
    <w:rsid w:val="003611ED"/>
    <w:rsid w:val="0036175A"/>
    <w:rsid w:val="003621FA"/>
    <w:rsid w:val="00362E86"/>
    <w:rsid w:val="00363B56"/>
    <w:rsid w:val="0036406C"/>
    <w:rsid w:val="00364162"/>
    <w:rsid w:val="0036434C"/>
    <w:rsid w:val="00364506"/>
    <w:rsid w:val="00364600"/>
    <w:rsid w:val="00364FDA"/>
    <w:rsid w:val="003655D1"/>
    <w:rsid w:val="003665F1"/>
    <w:rsid w:val="00366A8A"/>
    <w:rsid w:val="00366D0B"/>
    <w:rsid w:val="00367501"/>
    <w:rsid w:val="00367D63"/>
    <w:rsid w:val="00371270"/>
    <w:rsid w:val="00371370"/>
    <w:rsid w:val="00371DFC"/>
    <w:rsid w:val="00371E19"/>
    <w:rsid w:val="00371EC2"/>
    <w:rsid w:val="00372009"/>
    <w:rsid w:val="003725B2"/>
    <w:rsid w:val="00372BAB"/>
    <w:rsid w:val="00372D51"/>
    <w:rsid w:val="00372DE1"/>
    <w:rsid w:val="00372EFF"/>
    <w:rsid w:val="003731A4"/>
    <w:rsid w:val="00373348"/>
    <w:rsid w:val="00373B1D"/>
    <w:rsid w:val="00373C5B"/>
    <w:rsid w:val="00375123"/>
    <w:rsid w:val="00375B2C"/>
    <w:rsid w:val="00376098"/>
    <w:rsid w:val="0037744A"/>
    <w:rsid w:val="003774C0"/>
    <w:rsid w:val="00377AF9"/>
    <w:rsid w:val="003806F1"/>
    <w:rsid w:val="0038079B"/>
    <w:rsid w:val="00380957"/>
    <w:rsid w:val="00380EBD"/>
    <w:rsid w:val="00380F14"/>
    <w:rsid w:val="00380FEF"/>
    <w:rsid w:val="003819B9"/>
    <w:rsid w:val="0038251F"/>
    <w:rsid w:val="0038265C"/>
    <w:rsid w:val="003826FC"/>
    <w:rsid w:val="00382C4B"/>
    <w:rsid w:val="00382C67"/>
    <w:rsid w:val="0038383B"/>
    <w:rsid w:val="00383F6A"/>
    <w:rsid w:val="003843AA"/>
    <w:rsid w:val="00385041"/>
    <w:rsid w:val="003855AE"/>
    <w:rsid w:val="00385796"/>
    <w:rsid w:val="0038636F"/>
    <w:rsid w:val="00386B61"/>
    <w:rsid w:val="00387979"/>
    <w:rsid w:val="00387A53"/>
    <w:rsid w:val="00387AA5"/>
    <w:rsid w:val="003900EC"/>
    <w:rsid w:val="003901E3"/>
    <w:rsid w:val="003903BC"/>
    <w:rsid w:val="00390569"/>
    <w:rsid w:val="0039061C"/>
    <w:rsid w:val="00390734"/>
    <w:rsid w:val="003908C6"/>
    <w:rsid w:val="00390E82"/>
    <w:rsid w:val="00390F5D"/>
    <w:rsid w:val="00391CC7"/>
    <w:rsid w:val="0039264A"/>
    <w:rsid w:val="003928C8"/>
    <w:rsid w:val="003930F2"/>
    <w:rsid w:val="00393603"/>
    <w:rsid w:val="00394180"/>
    <w:rsid w:val="0039430E"/>
    <w:rsid w:val="003945F3"/>
    <w:rsid w:val="00394645"/>
    <w:rsid w:val="0039473F"/>
    <w:rsid w:val="00395042"/>
    <w:rsid w:val="00395733"/>
    <w:rsid w:val="00395C06"/>
    <w:rsid w:val="003967FF"/>
    <w:rsid w:val="003968E8"/>
    <w:rsid w:val="00397CC9"/>
    <w:rsid w:val="003A009D"/>
    <w:rsid w:val="003A02A2"/>
    <w:rsid w:val="003A04A3"/>
    <w:rsid w:val="003A0A6A"/>
    <w:rsid w:val="003A0B3A"/>
    <w:rsid w:val="003A0D5A"/>
    <w:rsid w:val="003A0F85"/>
    <w:rsid w:val="003A1811"/>
    <w:rsid w:val="003A214B"/>
    <w:rsid w:val="003A2888"/>
    <w:rsid w:val="003A293C"/>
    <w:rsid w:val="003A2959"/>
    <w:rsid w:val="003A2B8D"/>
    <w:rsid w:val="003A2CEF"/>
    <w:rsid w:val="003A2D8E"/>
    <w:rsid w:val="003A3226"/>
    <w:rsid w:val="003A352A"/>
    <w:rsid w:val="003A39E4"/>
    <w:rsid w:val="003A3CC8"/>
    <w:rsid w:val="003A3D2A"/>
    <w:rsid w:val="003A43ED"/>
    <w:rsid w:val="003A4628"/>
    <w:rsid w:val="003A49A7"/>
    <w:rsid w:val="003A4A4E"/>
    <w:rsid w:val="003A4CB9"/>
    <w:rsid w:val="003A4EAA"/>
    <w:rsid w:val="003A5432"/>
    <w:rsid w:val="003A5461"/>
    <w:rsid w:val="003A5BB7"/>
    <w:rsid w:val="003A6452"/>
    <w:rsid w:val="003A64D5"/>
    <w:rsid w:val="003A6CB6"/>
    <w:rsid w:val="003A70B4"/>
    <w:rsid w:val="003A717B"/>
    <w:rsid w:val="003A75AC"/>
    <w:rsid w:val="003A7886"/>
    <w:rsid w:val="003A7B32"/>
    <w:rsid w:val="003A7CD6"/>
    <w:rsid w:val="003A7F8A"/>
    <w:rsid w:val="003B072C"/>
    <w:rsid w:val="003B137E"/>
    <w:rsid w:val="003B1848"/>
    <w:rsid w:val="003B1ED6"/>
    <w:rsid w:val="003B1FB3"/>
    <w:rsid w:val="003B209A"/>
    <w:rsid w:val="003B234B"/>
    <w:rsid w:val="003B2CA7"/>
    <w:rsid w:val="003B2EA9"/>
    <w:rsid w:val="003B3038"/>
    <w:rsid w:val="003B33BF"/>
    <w:rsid w:val="003B3784"/>
    <w:rsid w:val="003B392A"/>
    <w:rsid w:val="003B3BBA"/>
    <w:rsid w:val="003B403C"/>
    <w:rsid w:val="003B4450"/>
    <w:rsid w:val="003B4493"/>
    <w:rsid w:val="003B4498"/>
    <w:rsid w:val="003B4962"/>
    <w:rsid w:val="003B49D8"/>
    <w:rsid w:val="003B4ABA"/>
    <w:rsid w:val="003B4F3B"/>
    <w:rsid w:val="003B50C7"/>
    <w:rsid w:val="003B54A3"/>
    <w:rsid w:val="003B55DB"/>
    <w:rsid w:val="003B63CA"/>
    <w:rsid w:val="003B704A"/>
    <w:rsid w:val="003B7ACB"/>
    <w:rsid w:val="003B7B37"/>
    <w:rsid w:val="003B7C70"/>
    <w:rsid w:val="003B7CCE"/>
    <w:rsid w:val="003B7F40"/>
    <w:rsid w:val="003C02F8"/>
    <w:rsid w:val="003C0506"/>
    <w:rsid w:val="003C06AE"/>
    <w:rsid w:val="003C0844"/>
    <w:rsid w:val="003C11A8"/>
    <w:rsid w:val="003C15D2"/>
    <w:rsid w:val="003C18D9"/>
    <w:rsid w:val="003C1D09"/>
    <w:rsid w:val="003C202C"/>
    <w:rsid w:val="003C2118"/>
    <w:rsid w:val="003C352B"/>
    <w:rsid w:val="003C3642"/>
    <w:rsid w:val="003C39AE"/>
    <w:rsid w:val="003C4A12"/>
    <w:rsid w:val="003C4B2E"/>
    <w:rsid w:val="003C4E6E"/>
    <w:rsid w:val="003C4ECD"/>
    <w:rsid w:val="003C5106"/>
    <w:rsid w:val="003C5110"/>
    <w:rsid w:val="003C5419"/>
    <w:rsid w:val="003C5454"/>
    <w:rsid w:val="003C57C9"/>
    <w:rsid w:val="003C57EA"/>
    <w:rsid w:val="003C5AF5"/>
    <w:rsid w:val="003C5DB0"/>
    <w:rsid w:val="003C5E21"/>
    <w:rsid w:val="003C5F61"/>
    <w:rsid w:val="003C631B"/>
    <w:rsid w:val="003C6432"/>
    <w:rsid w:val="003C674B"/>
    <w:rsid w:val="003C6AAF"/>
    <w:rsid w:val="003C73C1"/>
    <w:rsid w:val="003C7541"/>
    <w:rsid w:val="003C7CF3"/>
    <w:rsid w:val="003D03CC"/>
    <w:rsid w:val="003D0569"/>
    <w:rsid w:val="003D05FE"/>
    <w:rsid w:val="003D07F9"/>
    <w:rsid w:val="003D0C3F"/>
    <w:rsid w:val="003D1104"/>
    <w:rsid w:val="003D1530"/>
    <w:rsid w:val="003D1737"/>
    <w:rsid w:val="003D1B4F"/>
    <w:rsid w:val="003D1D78"/>
    <w:rsid w:val="003D2A12"/>
    <w:rsid w:val="003D2AAB"/>
    <w:rsid w:val="003D2BC2"/>
    <w:rsid w:val="003D2D02"/>
    <w:rsid w:val="003D30C5"/>
    <w:rsid w:val="003D333B"/>
    <w:rsid w:val="003D360D"/>
    <w:rsid w:val="003D3C51"/>
    <w:rsid w:val="003D3D25"/>
    <w:rsid w:val="003D3FF6"/>
    <w:rsid w:val="003D465F"/>
    <w:rsid w:val="003D4EFB"/>
    <w:rsid w:val="003D4FF3"/>
    <w:rsid w:val="003D53EF"/>
    <w:rsid w:val="003D5D2E"/>
    <w:rsid w:val="003D5D84"/>
    <w:rsid w:val="003D5EF0"/>
    <w:rsid w:val="003D6188"/>
    <w:rsid w:val="003D63CB"/>
    <w:rsid w:val="003D641E"/>
    <w:rsid w:val="003D695F"/>
    <w:rsid w:val="003D72EE"/>
    <w:rsid w:val="003D74BB"/>
    <w:rsid w:val="003D7641"/>
    <w:rsid w:val="003D7991"/>
    <w:rsid w:val="003D7A04"/>
    <w:rsid w:val="003D7A6B"/>
    <w:rsid w:val="003E025F"/>
    <w:rsid w:val="003E0712"/>
    <w:rsid w:val="003E0B7B"/>
    <w:rsid w:val="003E0BA6"/>
    <w:rsid w:val="003E12BC"/>
    <w:rsid w:val="003E137E"/>
    <w:rsid w:val="003E1BFC"/>
    <w:rsid w:val="003E1E94"/>
    <w:rsid w:val="003E2031"/>
    <w:rsid w:val="003E22B2"/>
    <w:rsid w:val="003E267E"/>
    <w:rsid w:val="003E2C83"/>
    <w:rsid w:val="003E3A61"/>
    <w:rsid w:val="003E3B0E"/>
    <w:rsid w:val="003E3E83"/>
    <w:rsid w:val="003E4158"/>
    <w:rsid w:val="003E42A0"/>
    <w:rsid w:val="003E482E"/>
    <w:rsid w:val="003E4893"/>
    <w:rsid w:val="003E49A6"/>
    <w:rsid w:val="003E55F6"/>
    <w:rsid w:val="003E60DF"/>
    <w:rsid w:val="003E6210"/>
    <w:rsid w:val="003E649E"/>
    <w:rsid w:val="003E658F"/>
    <w:rsid w:val="003E6CC1"/>
    <w:rsid w:val="003E7858"/>
    <w:rsid w:val="003F00D0"/>
    <w:rsid w:val="003F06E1"/>
    <w:rsid w:val="003F0820"/>
    <w:rsid w:val="003F122C"/>
    <w:rsid w:val="003F1352"/>
    <w:rsid w:val="003F17AC"/>
    <w:rsid w:val="003F1ABA"/>
    <w:rsid w:val="003F1D04"/>
    <w:rsid w:val="003F1E46"/>
    <w:rsid w:val="003F2074"/>
    <w:rsid w:val="003F21C3"/>
    <w:rsid w:val="003F288C"/>
    <w:rsid w:val="003F2D93"/>
    <w:rsid w:val="003F2DC7"/>
    <w:rsid w:val="003F2F7A"/>
    <w:rsid w:val="003F353F"/>
    <w:rsid w:val="003F3B45"/>
    <w:rsid w:val="003F40F3"/>
    <w:rsid w:val="003F4A50"/>
    <w:rsid w:val="003F5272"/>
    <w:rsid w:val="003F58A1"/>
    <w:rsid w:val="003F5C1E"/>
    <w:rsid w:val="003F6194"/>
    <w:rsid w:val="003F68A6"/>
    <w:rsid w:val="003F6A45"/>
    <w:rsid w:val="003F7376"/>
    <w:rsid w:val="003F79FB"/>
    <w:rsid w:val="00400335"/>
    <w:rsid w:val="0040104D"/>
    <w:rsid w:val="004010FE"/>
    <w:rsid w:val="0040218C"/>
    <w:rsid w:val="004021C0"/>
    <w:rsid w:val="00402853"/>
    <w:rsid w:val="00402F3B"/>
    <w:rsid w:val="0040337C"/>
    <w:rsid w:val="0040370B"/>
    <w:rsid w:val="00403EDB"/>
    <w:rsid w:val="004040C1"/>
    <w:rsid w:val="00404214"/>
    <w:rsid w:val="004045CB"/>
    <w:rsid w:val="0040494C"/>
    <w:rsid w:val="00404D1C"/>
    <w:rsid w:val="00404FA6"/>
    <w:rsid w:val="00404FC3"/>
    <w:rsid w:val="00405729"/>
    <w:rsid w:val="004070F5"/>
    <w:rsid w:val="0040767B"/>
    <w:rsid w:val="00407B2E"/>
    <w:rsid w:val="004101EE"/>
    <w:rsid w:val="0041029F"/>
    <w:rsid w:val="0041036A"/>
    <w:rsid w:val="004105E9"/>
    <w:rsid w:val="00410DDF"/>
    <w:rsid w:val="00410FF3"/>
    <w:rsid w:val="00411465"/>
    <w:rsid w:val="004114E6"/>
    <w:rsid w:val="0041165D"/>
    <w:rsid w:val="0041165F"/>
    <w:rsid w:val="00411D97"/>
    <w:rsid w:val="004128F3"/>
    <w:rsid w:val="004129B0"/>
    <w:rsid w:val="00412B74"/>
    <w:rsid w:val="00412CCC"/>
    <w:rsid w:val="00412DD7"/>
    <w:rsid w:val="00412EEC"/>
    <w:rsid w:val="004130FA"/>
    <w:rsid w:val="004131C0"/>
    <w:rsid w:val="00413244"/>
    <w:rsid w:val="004132FA"/>
    <w:rsid w:val="004133BD"/>
    <w:rsid w:val="004135D7"/>
    <w:rsid w:val="00413689"/>
    <w:rsid w:val="00413CC8"/>
    <w:rsid w:val="00413DAE"/>
    <w:rsid w:val="00414FE7"/>
    <w:rsid w:val="0041576B"/>
    <w:rsid w:val="00416977"/>
    <w:rsid w:val="00416E9F"/>
    <w:rsid w:val="00416EBC"/>
    <w:rsid w:val="0041701D"/>
    <w:rsid w:val="00417213"/>
    <w:rsid w:val="004175C0"/>
    <w:rsid w:val="00417BA7"/>
    <w:rsid w:val="00420860"/>
    <w:rsid w:val="00420CB6"/>
    <w:rsid w:val="00420D78"/>
    <w:rsid w:val="00420F73"/>
    <w:rsid w:val="0042122C"/>
    <w:rsid w:val="0042198D"/>
    <w:rsid w:val="00421A44"/>
    <w:rsid w:val="004222DC"/>
    <w:rsid w:val="00422617"/>
    <w:rsid w:val="00422830"/>
    <w:rsid w:val="004229ED"/>
    <w:rsid w:val="00422B4B"/>
    <w:rsid w:val="00422C3F"/>
    <w:rsid w:val="00422CEA"/>
    <w:rsid w:val="00423665"/>
    <w:rsid w:val="00423AB9"/>
    <w:rsid w:val="0042404B"/>
    <w:rsid w:val="0042412B"/>
    <w:rsid w:val="004241F2"/>
    <w:rsid w:val="004244E2"/>
    <w:rsid w:val="00424697"/>
    <w:rsid w:val="0042607B"/>
    <w:rsid w:val="00426146"/>
    <w:rsid w:val="00426155"/>
    <w:rsid w:val="004261E9"/>
    <w:rsid w:val="00426597"/>
    <w:rsid w:val="004269AB"/>
    <w:rsid w:val="00427205"/>
    <w:rsid w:val="004275B1"/>
    <w:rsid w:val="00427A01"/>
    <w:rsid w:val="00427B17"/>
    <w:rsid w:val="00427B1A"/>
    <w:rsid w:val="00427D19"/>
    <w:rsid w:val="004300E2"/>
    <w:rsid w:val="004303A3"/>
    <w:rsid w:val="00431130"/>
    <w:rsid w:val="00431EE3"/>
    <w:rsid w:val="00432532"/>
    <w:rsid w:val="004326A6"/>
    <w:rsid w:val="00432D42"/>
    <w:rsid w:val="00432D44"/>
    <w:rsid w:val="00433DA8"/>
    <w:rsid w:val="00434247"/>
    <w:rsid w:val="00434A63"/>
    <w:rsid w:val="00434E8F"/>
    <w:rsid w:val="00435107"/>
    <w:rsid w:val="0043527D"/>
    <w:rsid w:val="004352C0"/>
    <w:rsid w:val="0043587C"/>
    <w:rsid w:val="004359E0"/>
    <w:rsid w:val="00435B3C"/>
    <w:rsid w:val="00435EF9"/>
    <w:rsid w:val="00436397"/>
    <w:rsid w:val="0043648B"/>
    <w:rsid w:val="00436792"/>
    <w:rsid w:val="0043708A"/>
    <w:rsid w:val="0043760A"/>
    <w:rsid w:val="004377CD"/>
    <w:rsid w:val="00437D7F"/>
    <w:rsid w:val="00437E3A"/>
    <w:rsid w:val="00440FEF"/>
    <w:rsid w:val="004412D9"/>
    <w:rsid w:val="0044170A"/>
    <w:rsid w:val="004422F6"/>
    <w:rsid w:val="00442912"/>
    <w:rsid w:val="00442BCD"/>
    <w:rsid w:val="00442CF2"/>
    <w:rsid w:val="004430B4"/>
    <w:rsid w:val="00443369"/>
    <w:rsid w:val="0044511C"/>
    <w:rsid w:val="00445D17"/>
    <w:rsid w:val="00446B84"/>
    <w:rsid w:val="0044780D"/>
    <w:rsid w:val="00447BAF"/>
    <w:rsid w:val="004504BC"/>
    <w:rsid w:val="00450FEC"/>
    <w:rsid w:val="004518B9"/>
    <w:rsid w:val="004518FC"/>
    <w:rsid w:val="00451A0D"/>
    <w:rsid w:val="00451B65"/>
    <w:rsid w:val="00451DE8"/>
    <w:rsid w:val="00451E1C"/>
    <w:rsid w:val="004525D2"/>
    <w:rsid w:val="0045272F"/>
    <w:rsid w:val="00452DB5"/>
    <w:rsid w:val="00453CE2"/>
    <w:rsid w:val="0045450A"/>
    <w:rsid w:val="004545FD"/>
    <w:rsid w:val="00454EC0"/>
    <w:rsid w:val="00454EFB"/>
    <w:rsid w:val="0045525F"/>
    <w:rsid w:val="00455BEC"/>
    <w:rsid w:val="00455F82"/>
    <w:rsid w:val="00456006"/>
    <w:rsid w:val="00456504"/>
    <w:rsid w:val="00456A24"/>
    <w:rsid w:val="00456DFF"/>
    <w:rsid w:val="00457419"/>
    <w:rsid w:val="00457735"/>
    <w:rsid w:val="00460032"/>
    <w:rsid w:val="00460328"/>
    <w:rsid w:val="004603DA"/>
    <w:rsid w:val="00460418"/>
    <w:rsid w:val="00460BCC"/>
    <w:rsid w:val="004610C9"/>
    <w:rsid w:val="00461A04"/>
    <w:rsid w:val="004625A6"/>
    <w:rsid w:val="00462990"/>
    <w:rsid w:val="00463C4C"/>
    <w:rsid w:val="00464CFB"/>
    <w:rsid w:val="00464D3A"/>
    <w:rsid w:val="00464E73"/>
    <w:rsid w:val="00465089"/>
    <w:rsid w:val="0046547E"/>
    <w:rsid w:val="00465649"/>
    <w:rsid w:val="00466208"/>
    <w:rsid w:val="0046687E"/>
    <w:rsid w:val="00466A4B"/>
    <w:rsid w:val="00466D32"/>
    <w:rsid w:val="00466D90"/>
    <w:rsid w:val="00466F66"/>
    <w:rsid w:val="0046721A"/>
    <w:rsid w:val="004679B4"/>
    <w:rsid w:val="00467F83"/>
    <w:rsid w:val="0047014F"/>
    <w:rsid w:val="0047043A"/>
    <w:rsid w:val="0047099C"/>
    <w:rsid w:val="00470BD2"/>
    <w:rsid w:val="0047115F"/>
    <w:rsid w:val="00471682"/>
    <w:rsid w:val="00471C74"/>
    <w:rsid w:val="0047245C"/>
    <w:rsid w:val="0047247F"/>
    <w:rsid w:val="00472CE2"/>
    <w:rsid w:val="00473116"/>
    <w:rsid w:val="004733EF"/>
    <w:rsid w:val="004735F4"/>
    <w:rsid w:val="00473B90"/>
    <w:rsid w:val="004740B9"/>
    <w:rsid w:val="0047434F"/>
    <w:rsid w:val="0047444D"/>
    <w:rsid w:val="00474FBC"/>
    <w:rsid w:val="00475F2E"/>
    <w:rsid w:val="004763D2"/>
    <w:rsid w:val="0047657A"/>
    <w:rsid w:val="004768FC"/>
    <w:rsid w:val="00477CBC"/>
    <w:rsid w:val="004801DE"/>
    <w:rsid w:val="0048057D"/>
    <w:rsid w:val="00480AB9"/>
    <w:rsid w:val="00481333"/>
    <w:rsid w:val="00481468"/>
    <w:rsid w:val="00481908"/>
    <w:rsid w:val="00482603"/>
    <w:rsid w:val="0048274D"/>
    <w:rsid w:val="0048280F"/>
    <w:rsid w:val="00482821"/>
    <w:rsid w:val="00482D89"/>
    <w:rsid w:val="00482DA0"/>
    <w:rsid w:val="00483190"/>
    <w:rsid w:val="00483337"/>
    <w:rsid w:val="0048419D"/>
    <w:rsid w:val="00484C52"/>
    <w:rsid w:val="00484E53"/>
    <w:rsid w:val="00484E86"/>
    <w:rsid w:val="00484F1D"/>
    <w:rsid w:val="00485140"/>
    <w:rsid w:val="004859DE"/>
    <w:rsid w:val="00485E98"/>
    <w:rsid w:val="00485FD1"/>
    <w:rsid w:val="004861C0"/>
    <w:rsid w:val="004862EF"/>
    <w:rsid w:val="00486B96"/>
    <w:rsid w:val="004873E3"/>
    <w:rsid w:val="00487E67"/>
    <w:rsid w:val="00487F14"/>
    <w:rsid w:val="00491731"/>
    <w:rsid w:val="00491914"/>
    <w:rsid w:val="00491FE5"/>
    <w:rsid w:val="004926D7"/>
    <w:rsid w:val="00492CD5"/>
    <w:rsid w:val="00492E0F"/>
    <w:rsid w:val="00493591"/>
    <w:rsid w:val="0049382C"/>
    <w:rsid w:val="00493A77"/>
    <w:rsid w:val="00493AE4"/>
    <w:rsid w:val="00493B41"/>
    <w:rsid w:val="004943F6"/>
    <w:rsid w:val="00494D5B"/>
    <w:rsid w:val="00495898"/>
    <w:rsid w:val="00495DF3"/>
    <w:rsid w:val="00496186"/>
    <w:rsid w:val="00496363"/>
    <w:rsid w:val="0049694B"/>
    <w:rsid w:val="0049774E"/>
    <w:rsid w:val="004979D5"/>
    <w:rsid w:val="00497D32"/>
    <w:rsid w:val="004A0C34"/>
    <w:rsid w:val="004A1746"/>
    <w:rsid w:val="004A1AE7"/>
    <w:rsid w:val="004A1B87"/>
    <w:rsid w:val="004A269D"/>
    <w:rsid w:val="004A3BC3"/>
    <w:rsid w:val="004A3CD5"/>
    <w:rsid w:val="004A45AC"/>
    <w:rsid w:val="004A4A3D"/>
    <w:rsid w:val="004A4CDE"/>
    <w:rsid w:val="004A52DA"/>
    <w:rsid w:val="004A566A"/>
    <w:rsid w:val="004A576D"/>
    <w:rsid w:val="004A579A"/>
    <w:rsid w:val="004A5A09"/>
    <w:rsid w:val="004A6651"/>
    <w:rsid w:val="004A678D"/>
    <w:rsid w:val="004A67AA"/>
    <w:rsid w:val="004A6BF2"/>
    <w:rsid w:val="004A757B"/>
    <w:rsid w:val="004A79BD"/>
    <w:rsid w:val="004B043A"/>
    <w:rsid w:val="004B0580"/>
    <w:rsid w:val="004B0823"/>
    <w:rsid w:val="004B14E1"/>
    <w:rsid w:val="004B1D3E"/>
    <w:rsid w:val="004B1E5F"/>
    <w:rsid w:val="004B233E"/>
    <w:rsid w:val="004B241F"/>
    <w:rsid w:val="004B3116"/>
    <w:rsid w:val="004B3393"/>
    <w:rsid w:val="004B3854"/>
    <w:rsid w:val="004B40EC"/>
    <w:rsid w:val="004B4815"/>
    <w:rsid w:val="004B6085"/>
    <w:rsid w:val="004B6189"/>
    <w:rsid w:val="004B6408"/>
    <w:rsid w:val="004B66DF"/>
    <w:rsid w:val="004B6756"/>
    <w:rsid w:val="004B686B"/>
    <w:rsid w:val="004B6EEA"/>
    <w:rsid w:val="004B6FFD"/>
    <w:rsid w:val="004B796F"/>
    <w:rsid w:val="004B79DE"/>
    <w:rsid w:val="004C0391"/>
    <w:rsid w:val="004C0FC2"/>
    <w:rsid w:val="004C1498"/>
    <w:rsid w:val="004C15D0"/>
    <w:rsid w:val="004C1818"/>
    <w:rsid w:val="004C2267"/>
    <w:rsid w:val="004C3EC7"/>
    <w:rsid w:val="004C4218"/>
    <w:rsid w:val="004C45E2"/>
    <w:rsid w:val="004C4A98"/>
    <w:rsid w:val="004C5CF6"/>
    <w:rsid w:val="004C5E28"/>
    <w:rsid w:val="004C5E29"/>
    <w:rsid w:val="004C6251"/>
    <w:rsid w:val="004C6967"/>
    <w:rsid w:val="004C69D0"/>
    <w:rsid w:val="004C72FD"/>
    <w:rsid w:val="004D05C1"/>
    <w:rsid w:val="004D0791"/>
    <w:rsid w:val="004D095D"/>
    <w:rsid w:val="004D0B92"/>
    <w:rsid w:val="004D0BE2"/>
    <w:rsid w:val="004D1307"/>
    <w:rsid w:val="004D13D9"/>
    <w:rsid w:val="004D1583"/>
    <w:rsid w:val="004D19F0"/>
    <w:rsid w:val="004D1ECE"/>
    <w:rsid w:val="004D2134"/>
    <w:rsid w:val="004D2408"/>
    <w:rsid w:val="004D27AD"/>
    <w:rsid w:val="004D2A51"/>
    <w:rsid w:val="004D2B68"/>
    <w:rsid w:val="004D2C48"/>
    <w:rsid w:val="004D2D2C"/>
    <w:rsid w:val="004D30B3"/>
    <w:rsid w:val="004D38E0"/>
    <w:rsid w:val="004D3E65"/>
    <w:rsid w:val="004D3EED"/>
    <w:rsid w:val="004D3EFC"/>
    <w:rsid w:val="004D41FC"/>
    <w:rsid w:val="004D4439"/>
    <w:rsid w:val="004D480A"/>
    <w:rsid w:val="004D49EA"/>
    <w:rsid w:val="004D4A70"/>
    <w:rsid w:val="004D5317"/>
    <w:rsid w:val="004D5816"/>
    <w:rsid w:val="004D5ABD"/>
    <w:rsid w:val="004D5FC5"/>
    <w:rsid w:val="004D61EB"/>
    <w:rsid w:val="004D68ED"/>
    <w:rsid w:val="004D7A43"/>
    <w:rsid w:val="004E03FD"/>
    <w:rsid w:val="004E04A2"/>
    <w:rsid w:val="004E0615"/>
    <w:rsid w:val="004E1264"/>
    <w:rsid w:val="004E1AF4"/>
    <w:rsid w:val="004E201D"/>
    <w:rsid w:val="004E2361"/>
    <w:rsid w:val="004E298F"/>
    <w:rsid w:val="004E2AD2"/>
    <w:rsid w:val="004E3607"/>
    <w:rsid w:val="004E3C66"/>
    <w:rsid w:val="004E453E"/>
    <w:rsid w:val="004E45F2"/>
    <w:rsid w:val="004E50FC"/>
    <w:rsid w:val="004E52A1"/>
    <w:rsid w:val="004E5317"/>
    <w:rsid w:val="004E53BD"/>
    <w:rsid w:val="004E54B7"/>
    <w:rsid w:val="004E57CF"/>
    <w:rsid w:val="004E5D43"/>
    <w:rsid w:val="004E5F82"/>
    <w:rsid w:val="004E6952"/>
    <w:rsid w:val="004F0915"/>
    <w:rsid w:val="004F167B"/>
    <w:rsid w:val="004F17E0"/>
    <w:rsid w:val="004F27DB"/>
    <w:rsid w:val="004F29B2"/>
    <w:rsid w:val="004F2B12"/>
    <w:rsid w:val="004F2E53"/>
    <w:rsid w:val="004F378B"/>
    <w:rsid w:val="004F3BFB"/>
    <w:rsid w:val="004F3C19"/>
    <w:rsid w:val="004F3E17"/>
    <w:rsid w:val="004F407E"/>
    <w:rsid w:val="004F41E6"/>
    <w:rsid w:val="004F431C"/>
    <w:rsid w:val="004F4825"/>
    <w:rsid w:val="004F4CBF"/>
    <w:rsid w:val="004F4FB5"/>
    <w:rsid w:val="004F522B"/>
    <w:rsid w:val="004F54FE"/>
    <w:rsid w:val="004F573E"/>
    <w:rsid w:val="004F57D1"/>
    <w:rsid w:val="004F5A62"/>
    <w:rsid w:val="004F5F38"/>
    <w:rsid w:val="004F6336"/>
    <w:rsid w:val="004F7A9A"/>
    <w:rsid w:val="004F7F6F"/>
    <w:rsid w:val="0050004F"/>
    <w:rsid w:val="00500135"/>
    <w:rsid w:val="0050039C"/>
    <w:rsid w:val="00500C7A"/>
    <w:rsid w:val="0050130B"/>
    <w:rsid w:val="0050159F"/>
    <w:rsid w:val="00502472"/>
    <w:rsid w:val="005027B8"/>
    <w:rsid w:val="005027F2"/>
    <w:rsid w:val="005029AC"/>
    <w:rsid w:val="00503010"/>
    <w:rsid w:val="00503278"/>
    <w:rsid w:val="005037BB"/>
    <w:rsid w:val="0050397F"/>
    <w:rsid w:val="00504527"/>
    <w:rsid w:val="00504E40"/>
    <w:rsid w:val="00504EC6"/>
    <w:rsid w:val="005053E5"/>
    <w:rsid w:val="0050562F"/>
    <w:rsid w:val="00505834"/>
    <w:rsid w:val="00505899"/>
    <w:rsid w:val="00505A6E"/>
    <w:rsid w:val="00505B94"/>
    <w:rsid w:val="00505E5A"/>
    <w:rsid w:val="005062DC"/>
    <w:rsid w:val="0050671D"/>
    <w:rsid w:val="00506739"/>
    <w:rsid w:val="00506AD9"/>
    <w:rsid w:val="00506E72"/>
    <w:rsid w:val="005070F4"/>
    <w:rsid w:val="00507AC4"/>
    <w:rsid w:val="00507E09"/>
    <w:rsid w:val="005106D4"/>
    <w:rsid w:val="00511935"/>
    <w:rsid w:val="00511C2D"/>
    <w:rsid w:val="00511CCB"/>
    <w:rsid w:val="00511CDF"/>
    <w:rsid w:val="005122EB"/>
    <w:rsid w:val="005125E1"/>
    <w:rsid w:val="00512E37"/>
    <w:rsid w:val="00512F31"/>
    <w:rsid w:val="0051334C"/>
    <w:rsid w:val="0051361F"/>
    <w:rsid w:val="0051398E"/>
    <w:rsid w:val="00513BD6"/>
    <w:rsid w:val="00514174"/>
    <w:rsid w:val="005148C3"/>
    <w:rsid w:val="0051492C"/>
    <w:rsid w:val="00514A7F"/>
    <w:rsid w:val="00514B31"/>
    <w:rsid w:val="005157F3"/>
    <w:rsid w:val="00515B34"/>
    <w:rsid w:val="00515C65"/>
    <w:rsid w:val="00516311"/>
    <w:rsid w:val="005164B5"/>
    <w:rsid w:val="00516999"/>
    <w:rsid w:val="005173B4"/>
    <w:rsid w:val="00517895"/>
    <w:rsid w:val="0052012E"/>
    <w:rsid w:val="0052023D"/>
    <w:rsid w:val="00520532"/>
    <w:rsid w:val="00520897"/>
    <w:rsid w:val="005209BD"/>
    <w:rsid w:val="00520A23"/>
    <w:rsid w:val="00520F02"/>
    <w:rsid w:val="005211C7"/>
    <w:rsid w:val="005214F4"/>
    <w:rsid w:val="0052182A"/>
    <w:rsid w:val="00522048"/>
    <w:rsid w:val="00522377"/>
    <w:rsid w:val="005223A5"/>
    <w:rsid w:val="0052241E"/>
    <w:rsid w:val="00522480"/>
    <w:rsid w:val="00522686"/>
    <w:rsid w:val="00522DE9"/>
    <w:rsid w:val="00523502"/>
    <w:rsid w:val="0052383B"/>
    <w:rsid w:val="00523923"/>
    <w:rsid w:val="0052392C"/>
    <w:rsid w:val="00523D35"/>
    <w:rsid w:val="00524721"/>
    <w:rsid w:val="0052472B"/>
    <w:rsid w:val="0052511B"/>
    <w:rsid w:val="00525218"/>
    <w:rsid w:val="00525442"/>
    <w:rsid w:val="00525525"/>
    <w:rsid w:val="00525BCF"/>
    <w:rsid w:val="00525E7A"/>
    <w:rsid w:val="005262D8"/>
    <w:rsid w:val="00526305"/>
    <w:rsid w:val="00526639"/>
    <w:rsid w:val="00526F76"/>
    <w:rsid w:val="005273E3"/>
    <w:rsid w:val="005302D9"/>
    <w:rsid w:val="005312F8"/>
    <w:rsid w:val="00531BEC"/>
    <w:rsid w:val="00531D13"/>
    <w:rsid w:val="005321B1"/>
    <w:rsid w:val="00532695"/>
    <w:rsid w:val="00532B2A"/>
    <w:rsid w:val="0053309B"/>
    <w:rsid w:val="005333EB"/>
    <w:rsid w:val="00533625"/>
    <w:rsid w:val="0053367D"/>
    <w:rsid w:val="00533DFC"/>
    <w:rsid w:val="00533EE2"/>
    <w:rsid w:val="00534C1B"/>
    <w:rsid w:val="00534C1D"/>
    <w:rsid w:val="00534D5E"/>
    <w:rsid w:val="0053515B"/>
    <w:rsid w:val="00535292"/>
    <w:rsid w:val="005355A1"/>
    <w:rsid w:val="005355F1"/>
    <w:rsid w:val="00535972"/>
    <w:rsid w:val="00535E7E"/>
    <w:rsid w:val="00536501"/>
    <w:rsid w:val="00536699"/>
    <w:rsid w:val="00536BEB"/>
    <w:rsid w:val="00536EF5"/>
    <w:rsid w:val="00536F37"/>
    <w:rsid w:val="00536FE4"/>
    <w:rsid w:val="00537014"/>
    <w:rsid w:val="00537889"/>
    <w:rsid w:val="0053791E"/>
    <w:rsid w:val="00540662"/>
    <w:rsid w:val="00540A22"/>
    <w:rsid w:val="00541B44"/>
    <w:rsid w:val="005420D3"/>
    <w:rsid w:val="005423DC"/>
    <w:rsid w:val="00542639"/>
    <w:rsid w:val="00542C06"/>
    <w:rsid w:val="0054373E"/>
    <w:rsid w:val="0054384F"/>
    <w:rsid w:val="0054426B"/>
    <w:rsid w:val="00544DF4"/>
    <w:rsid w:val="00545CB6"/>
    <w:rsid w:val="00545F8F"/>
    <w:rsid w:val="00546A18"/>
    <w:rsid w:val="005473F0"/>
    <w:rsid w:val="00547946"/>
    <w:rsid w:val="0055001F"/>
    <w:rsid w:val="00550047"/>
    <w:rsid w:val="00550131"/>
    <w:rsid w:val="00550A84"/>
    <w:rsid w:val="00550C8D"/>
    <w:rsid w:val="005511A2"/>
    <w:rsid w:val="005515EF"/>
    <w:rsid w:val="0055244B"/>
    <w:rsid w:val="00552589"/>
    <w:rsid w:val="005528BC"/>
    <w:rsid w:val="00553326"/>
    <w:rsid w:val="00553534"/>
    <w:rsid w:val="0055355C"/>
    <w:rsid w:val="00553610"/>
    <w:rsid w:val="005536F2"/>
    <w:rsid w:val="005537BC"/>
    <w:rsid w:val="0055436A"/>
    <w:rsid w:val="00554499"/>
    <w:rsid w:val="00554528"/>
    <w:rsid w:val="00554B9E"/>
    <w:rsid w:val="005552FF"/>
    <w:rsid w:val="00555547"/>
    <w:rsid w:val="00555D8D"/>
    <w:rsid w:val="0055650C"/>
    <w:rsid w:val="00556BD6"/>
    <w:rsid w:val="005573CA"/>
    <w:rsid w:val="0056015B"/>
    <w:rsid w:val="005601A1"/>
    <w:rsid w:val="00561076"/>
    <w:rsid w:val="0056122A"/>
    <w:rsid w:val="005615E6"/>
    <w:rsid w:val="00561C2E"/>
    <w:rsid w:val="00561C3B"/>
    <w:rsid w:val="0056262F"/>
    <w:rsid w:val="00562E47"/>
    <w:rsid w:val="00562FFC"/>
    <w:rsid w:val="00563486"/>
    <w:rsid w:val="00563658"/>
    <w:rsid w:val="00563C02"/>
    <w:rsid w:val="00563D94"/>
    <w:rsid w:val="00564604"/>
    <w:rsid w:val="00564FA1"/>
    <w:rsid w:val="00565437"/>
    <w:rsid w:val="005655CD"/>
    <w:rsid w:val="0056572F"/>
    <w:rsid w:val="00565E7C"/>
    <w:rsid w:val="005661D8"/>
    <w:rsid w:val="00566232"/>
    <w:rsid w:val="00566983"/>
    <w:rsid w:val="00566F0C"/>
    <w:rsid w:val="00567104"/>
    <w:rsid w:val="0056775B"/>
    <w:rsid w:val="00567A01"/>
    <w:rsid w:val="00567CA5"/>
    <w:rsid w:val="00570251"/>
    <w:rsid w:val="005717FA"/>
    <w:rsid w:val="005719E8"/>
    <w:rsid w:val="00571B65"/>
    <w:rsid w:val="00572ACD"/>
    <w:rsid w:val="00572D1E"/>
    <w:rsid w:val="00572DAB"/>
    <w:rsid w:val="00572EE2"/>
    <w:rsid w:val="005730F4"/>
    <w:rsid w:val="005731F3"/>
    <w:rsid w:val="00573C39"/>
    <w:rsid w:val="00573DF5"/>
    <w:rsid w:val="00573E14"/>
    <w:rsid w:val="005740BC"/>
    <w:rsid w:val="00574C98"/>
    <w:rsid w:val="005752F7"/>
    <w:rsid w:val="005754B1"/>
    <w:rsid w:val="0057637D"/>
    <w:rsid w:val="00576C4F"/>
    <w:rsid w:val="00577842"/>
    <w:rsid w:val="005802B4"/>
    <w:rsid w:val="00580410"/>
    <w:rsid w:val="00580766"/>
    <w:rsid w:val="005815F3"/>
    <w:rsid w:val="00581646"/>
    <w:rsid w:val="00581692"/>
    <w:rsid w:val="0058170A"/>
    <w:rsid w:val="00583410"/>
    <w:rsid w:val="00583763"/>
    <w:rsid w:val="00583BDC"/>
    <w:rsid w:val="00583FF9"/>
    <w:rsid w:val="00584153"/>
    <w:rsid w:val="00584681"/>
    <w:rsid w:val="0058472F"/>
    <w:rsid w:val="00584F9D"/>
    <w:rsid w:val="00585224"/>
    <w:rsid w:val="0058580E"/>
    <w:rsid w:val="00585CD6"/>
    <w:rsid w:val="00585E85"/>
    <w:rsid w:val="00585EE4"/>
    <w:rsid w:val="005863B5"/>
    <w:rsid w:val="00587E37"/>
    <w:rsid w:val="00587F59"/>
    <w:rsid w:val="005906D8"/>
    <w:rsid w:val="005907B2"/>
    <w:rsid w:val="00590C80"/>
    <w:rsid w:val="0059144A"/>
    <w:rsid w:val="00591CE2"/>
    <w:rsid w:val="0059228A"/>
    <w:rsid w:val="005928B4"/>
    <w:rsid w:val="00592B28"/>
    <w:rsid w:val="00593867"/>
    <w:rsid w:val="0059441F"/>
    <w:rsid w:val="00594476"/>
    <w:rsid w:val="005944E7"/>
    <w:rsid w:val="005949E1"/>
    <w:rsid w:val="00594ACE"/>
    <w:rsid w:val="005950D5"/>
    <w:rsid w:val="0059522A"/>
    <w:rsid w:val="00595488"/>
    <w:rsid w:val="0059566F"/>
    <w:rsid w:val="00595687"/>
    <w:rsid w:val="00595E6E"/>
    <w:rsid w:val="0059658E"/>
    <w:rsid w:val="005969F6"/>
    <w:rsid w:val="00596E53"/>
    <w:rsid w:val="005971FD"/>
    <w:rsid w:val="00597215"/>
    <w:rsid w:val="005972BE"/>
    <w:rsid w:val="00597317"/>
    <w:rsid w:val="00597C05"/>
    <w:rsid w:val="00597E6A"/>
    <w:rsid w:val="005A00D1"/>
    <w:rsid w:val="005A0184"/>
    <w:rsid w:val="005A112A"/>
    <w:rsid w:val="005A1B16"/>
    <w:rsid w:val="005A2DBB"/>
    <w:rsid w:val="005A2E67"/>
    <w:rsid w:val="005A3134"/>
    <w:rsid w:val="005A317D"/>
    <w:rsid w:val="005A3242"/>
    <w:rsid w:val="005A34CD"/>
    <w:rsid w:val="005A35FA"/>
    <w:rsid w:val="005A39EF"/>
    <w:rsid w:val="005A3CEF"/>
    <w:rsid w:val="005A402D"/>
    <w:rsid w:val="005A40CB"/>
    <w:rsid w:val="005A4198"/>
    <w:rsid w:val="005A4CC7"/>
    <w:rsid w:val="005A50B1"/>
    <w:rsid w:val="005A5349"/>
    <w:rsid w:val="005A556F"/>
    <w:rsid w:val="005A5885"/>
    <w:rsid w:val="005A6151"/>
    <w:rsid w:val="005A6350"/>
    <w:rsid w:val="005A68ED"/>
    <w:rsid w:val="005A6D45"/>
    <w:rsid w:val="005A6DC5"/>
    <w:rsid w:val="005B01CB"/>
    <w:rsid w:val="005B04C8"/>
    <w:rsid w:val="005B0F94"/>
    <w:rsid w:val="005B10E2"/>
    <w:rsid w:val="005B13D8"/>
    <w:rsid w:val="005B14E2"/>
    <w:rsid w:val="005B1C9A"/>
    <w:rsid w:val="005B1CD8"/>
    <w:rsid w:val="005B2014"/>
    <w:rsid w:val="005B2217"/>
    <w:rsid w:val="005B2528"/>
    <w:rsid w:val="005B28AC"/>
    <w:rsid w:val="005B2ACB"/>
    <w:rsid w:val="005B2BA5"/>
    <w:rsid w:val="005B2C1E"/>
    <w:rsid w:val="005B2FAA"/>
    <w:rsid w:val="005B3170"/>
    <w:rsid w:val="005B323D"/>
    <w:rsid w:val="005B3A28"/>
    <w:rsid w:val="005B3E0F"/>
    <w:rsid w:val="005B3F15"/>
    <w:rsid w:val="005B43C3"/>
    <w:rsid w:val="005B48D7"/>
    <w:rsid w:val="005B532F"/>
    <w:rsid w:val="005B5355"/>
    <w:rsid w:val="005B565F"/>
    <w:rsid w:val="005B5938"/>
    <w:rsid w:val="005B69DC"/>
    <w:rsid w:val="005B6B20"/>
    <w:rsid w:val="005B6B2D"/>
    <w:rsid w:val="005B7255"/>
    <w:rsid w:val="005B7410"/>
    <w:rsid w:val="005B77C8"/>
    <w:rsid w:val="005B7B8F"/>
    <w:rsid w:val="005B7FD9"/>
    <w:rsid w:val="005C0FD5"/>
    <w:rsid w:val="005C1AA1"/>
    <w:rsid w:val="005C2187"/>
    <w:rsid w:val="005C2205"/>
    <w:rsid w:val="005C28D2"/>
    <w:rsid w:val="005C319A"/>
    <w:rsid w:val="005C31AA"/>
    <w:rsid w:val="005C3598"/>
    <w:rsid w:val="005C36B9"/>
    <w:rsid w:val="005C36C5"/>
    <w:rsid w:val="005C3882"/>
    <w:rsid w:val="005C3BB7"/>
    <w:rsid w:val="005C3CA1"/>
    <w:rsid w:val="005C4163"/>
    <w:rsid w:val="005C4448"/>
    <w:rsid w:val="005C46DC"/>
    <w:rsid w:val="005C4B62"/>
    <w:rsid w:val="005C5317"/>
    <w:rsid w:val="005C5419"/>
    <w:rsid w:val="005C5B4A"/>
    <w:rsid w:val="005C5CA4"/>
    <w:rsid w:val="005C5F37"/>
    <w:rsid w:val="005C6A57"/>
    <w:rsid w:val="005C6F4E"/>
    <w:rsid w:val="005C6F52"/>
    <w:rsid w:val="005C705B"/>
    <w:rsid w:val="005C720E"/>
    <w:rsid w:val="005C722A"/>
    <w:rsid w:val="005C764E"/>
    <w:rsid w:val="005C7A99"/>
    <w:rsid w:val="005C7BEB"/>
    <w:rsid w:val="005D02D2"/>
    <w:rsid w:val="005D0325"/>
    <w:rsid w:val="005D0388"/>
    <w:rsid w:val="005D0610"/>
    <w:rsid w:val="005D0ECF"/>
    <w:rsid w:val="005D104B"/>
    <w:rsid w:val="005D126B"/>
    <w:rsid w:val="005D1C48"/>
    <w:rsid w:val="005D234F"/>
    <w:rsid w:val="005D257C"/>
    <w:rsid w:val="005D2E21"/>
    <w:rsid w:val="005D2FC6"/>
    <w:rsid w:val="005D3745"/>
    <w:rsid w:val="005D483C"/>
    <w:rsid w:val="005D4945"/>
    <w:rsid w:val="005D494B"/>
    <w:rsid w:val="005D6561"/>
    <w:rsid w:val="005D6725"/>
    <w:rsid w:val="005D6ADF"/>
    <w:rsid w:val="005D6D18"/>
    <w:rsid w:val="005D6FFD"/>
    <w:rsid w:val="005D70C5"/>
    <w:rsid w:val="005D7472"/>
    <w:rsid w:val="005D7E22"/>
    <w:rsid w:val="005E09F8"/>
    <w:rsid w:val="005E0C2F"/>
    <w:rsid w:val="005E0EC1"/>
    <w:rsid w:val="005E17B1"/>
    <w:rsid w:val="005E1985"/>
    <w:rsid w:val="005E1D27"/>
    <w:rsid w:val="005E1E0A"/>
    <w:rsid w:val="005E1F48"/>
    <w:rsid w:val="005E27D0"/>
    <w:rsid w:val="005E2A6F"/>
    <w:rsid w:val="005E2BB3"/>
    <w:rsid w:val="005E2BC9"/>
    <w:rsid w:val="005E3446"/>
    <w:rsid w:val="005E35BE"/>
    <w:rsid w:val="005E37DA"/>
    <w:rsid w:val="005E3ADA"/>
    <w:rsid w:val="005E3AF5"/>
    <w:rsid w:val="005E3C96"/>
    <w:rsid w:val="005E3CF9"/>
    <w:rsid w:val="005E3E7C"/>
    <w:rsid w:val="005E4E3C"/>
    <w:rsid w:val="005E4EA2"/>
    <w:rsid w:val="005E525B"/>
    <w:rsid w:val="005E6901"/>
    <w:rsid w:val="005E6E38"/>
    <w:rsid w:val="005E7356"/>
    <w:rsid w:val="005E7466"/>
    <w:rsid w:val="005E75A9"/>
    <w:rsid w:val="005E7775"/>
    <w:rsid w:val="005E7D21"/>
    <w:rsid w:val="005F09C5"/>
    <w:rsid w:val="005F1389"/>
    <w:rsid w:val="005F2912"/>
    <w:rsid w:val="005F3644"/>
    <w:rsid w:val="005F3AA6"/>
    <w:rsid w:val="005F3C5E"/>
    <w:rsid w:val="005F3CF8"/>
    <w:rsid w:val="005F3F22"/>
    <w:rsid w:val="005F4049"/>
    <w:rsid w:val="005F44D6"/>
    <w:rsid w:val="005F4560"/>
    <w:rsid w:val="005F4E61"/>
    <w:rsid w:val="005F4F86"/>
    <w:rsid w:val="005F5235"/>
    <w:rsid w:val="005F589C"/>
    <w:rsid w:val="005F58B5"/>
    <w:rsid w:val="005F5AAD"/>
    <w:rsid w:val="005F5AF0"/>
    <w:rsid w:val="005F5BA3"/>
    <w:rsid w:val="005F5CAC"/>
    <w:rsid w:val="005F6307"/>
    <w:rsid w:val="005F6487"/>
    <w:rsid w:val="005F6918"/>
    <w:rsid w:val="005F6B70"/>
    <w:rsid w:val="005F7325"/>
    <w:rsid w:val="00600208"/>
    <w:rsid w:val="006002FC"/>
    <w:rsid w:val="006013CE"/>
    <w:rsid w:val="0060256B"/>
    <w:rsid w:val="00602A96"/>
    <w:rsid w:val="00602BE0"/>
    <w:rsid w:val="00602BF2"/>
    <w:rsid w:val="00602DA2"/>
    <w:rsid w:val="00603348"/>
    <w:rsid w:val="006036D5"/>
    <w:rsid w:val="006037BF"/>
    <w:rsid w:val="00603A05"/>
    <w:rsid w:val="00604134"/>
    <w:rsid w:val="00604278"/>
    <w:rsid w:val="00604807"/>
    <w:rsid w:val="00604F23"/>
    <w:rsid w:val="006051D6"/>
    <w:rsid w:val="0060532D"/>
    <w:rsid w:val="006054E0"/>
    <w:rsid w:val="00606869"/>
    <w:rsid w:val="00606B0B"/>
    <w:rsid w:val="00606C10"/>
    <w:rsid w:val="00606DFC"/>
    <w:rsid w:val="00606F2B"/>
    <w:rsid w:val="00607127"/>
    <w:rsid w:val="00607182"/>
    <w:rsid w:val="00607314"/>
    <w:rsid w:val="006073EF"/>
    <w:rsid w:val="00607470"/>
    <w:rsid w:val="00607FD0"/>
    <w:rsid w:val="00610168"/>
    <w:rsid w:val="0061026A"/>
    <w:rsid w:val="00610856"/>
    <w:rsid w:val="00610B8C"/>
    <w:rsid w:val="00610E89"/>
    <w:rsid w:val="00611960"/>
    <w:rsid w:val="00611B4F"/>
    <w:rsid w:val="00611C2B"/>
    <w:rsid w:val="00612758"/>
    <w:rsid w:val="006128AD"/>
    <w:rsid w:val="00612919"/>
    <w:rsid w:val="00612D4A"/>
    <w:rsid w:val="00612D9D"/>
    <w:rsid w:val="00613659"/>
    <w:rsid w:val="006136AE"/>
    <w:rsid w:val="00613D1C"/>
    <w:rsid w:val="006144A4"/>
    <w:rsid w:val="00614C10"/>
    <w:rsid w:val="00614CBB"/>
    <w:rsid w:val="00615CEC"/>
    <w:rsid w:val="00615D3C"/>
    <w:rsid w:val="006164BD"/>
    <w:rsid w:val="00616ACF"/>
    <w:rsid w:val="00616B4F"/>
    <w:rsid w:val="00616BB7"/>
    <w:rsid w:val="00617973"/>
    <w:rsid w:val="00617AF0"/>
    <w:rsid w:val="00617F3C"/>
    <w:rsid w:val="006204F5"/>
    <w:rsid w:val="00620DEC"/>
    <w:rsid w:val="00620F19"/>
    <w:rsid w:val="006214A1"/>
    <w:rsid w:val="00621C50"/>
    <w:rsid w:val="00621EF1"/>
    <w:rsid w:val="006224E8"/>
    <w:rsid w:val="006225BA"/>
    <w:rsid w:val="00622633"/>
    <w:rsid w:val="00622D7D"/>
    <w:rsid w:val="0062334A"/>
    <w:rsid w:val="006234D8"/>
    <w:rsid w:val="0062374C"/>
    <w:rsid w:val="00623917"/>
    <w:rsid w:val="00624DED"/>
    <w:rsid w:val="006252C9"/>
    <w:rsid w:val="00625337"/>
    <w:rsid w:val="0062535E"/>
    <w:rsid w:val="00625985"/>
    <w:rsid w:val="00627D99"/>
    <w:rsid w:val="00627FD4"/>
    <w:rsid w:val="00630100"/>
    <w:rsid w:val="00630505"/>
    <w:rsid w:val="006306DD"/>
    <w:rsid w:val="006322BE"/>
    <w:rsid w:val="00632C85"/>
    <w:rsid w:val="00632E32"/>
    <w:rsid w:val="00633C3A"/>
    <w:rsid w:val="00634317"/>
    <w:rsid w:val="00634CEB"/>
    <w:rsid w:val="006359BF"/>
    <w:rsid w:val="00635C53"/>
    <w:rsid w:val="00635E07"/>
    <w:rsid w:val="00636CE2"/>
    <w:rsid w:val="00636D46"/>
    <w:rsid w:val="00636F58"/>
    <w:rsid w:val="00637331"/>
    <w:rsid w:val="00637A45"/>
    <w:rsid w:val="00637FD9"/>
    <w:rsid w:val="006408F8"/>
    <w:rsid w:val="00640990"/>
    <w:rsid w:val="00640C49"/>
    <w:rsid w:val="00642004"/>
    <w:rsid w:val="00642222"/>
    <w:rsid w:val="0064231A"/>
    <w:rsid w:val="00642454"/>
    <w:rsid w:val="006427ED"/>
    <w:rsid w:val="00642A65"/>
    <w:rsid w:val="00642B47"/>
    <w:rsid w:val="00642C0E"/>
    <w:rsid w:val="00642E15"/>
    <w:rsid w:val="00642EC5"/>
    <w:rsid w:val="00642EE2"/>
    <w:rsid w:val="006433C5"/>
    <w:rsid w:val="0064342B"/>
    <w:rsid w:val="00643C5B"/>
    <w:rsid w:val="00643E2C"/>
    <w:rsid w:val="00643E72"/>
    <w:rsid w:val="00644790"/>
    <w:rsid w:val="006451B1"/>
    <w:rsid w:val="00645C23"/>
    <w:rsid w:val="00645CAB"/>
    <w:rsid w:val="00645DFD"/>
    <w:rsid w:val="0064658C"/>
    <w:rsid w:val="00646FB7"/>
    <w:rsid w:val="006473B0"/>
    <w:rsid w:val="006501B9"/>
    <w:rsid w:val="00650746"/>
    <w:rsid w:val="00651ABB"/>
    <w:rsid w:val="00652758"/>
    <w:rsid w:val="00654185"/>
    <w:rsid w:val="00654F17"/>
    <w:rsid w:val="00655102"/>
    <w:rsid w:val="00655111"/>
    <w:rsid w:val="0065570F"/>
    <w:rsid w:val="00655D20"/>
    <w:rsid w:val="00656968"/>
    <w:rsid w:val="00657245"/>
    <w:rsid w:val="00660674"/>
    <w:rsid w:val="006607D9"/>
    <w:rsid w:val="006608D1"/>
    <w:rsid w:val="00660FA7"/>
    <w:rsid w:val="00661319"/>
    <w:rsid w:val="00661438"/>
    <w:rsid w:val="0066150B"/>
    <w:rsid w:val="00661538"/>
    <w:rsid w:val="006618BD"/>
    <w:rsid w:val="00661C21"/>
    <w:rsid w:val="00662626"/>
    <w:rsid w:val="006626CE"/>
    <w:rsid w:val="00663431"/>
    <w:rsid w:val="0066351D"/>
    <w:rsid w:val="00663646"/>
    <w:rsid w:val="00663C02"/>
    <w:rsid w:val="00663EC8"/>
    <w:rsid w:val="00663FDB"/>
    <w:rsid w:val="006640C9"/>
    <w:rsid w:val="0066483E"/>
    <w:rsid w:val="00664D77"/>
    <w:rsid w:val="00664E56"/>
    <w:rsid w:val="00665965"/>
    <w:rsid w:val="00665992"/>
    <w:rsid w:val="00665DA0"/>
    <w:rsid w:val="0066613F"/>
    <w:rsid w:val="00666B93"/>
    <w:rsid w:val="00666C7E"/>
    <w:rsid w:val="006670E0"/>
    <w:rsid w:val="0066750A"/>
    <w:rsid w:val="006675DD"/>
    <w:rsid w:val="006676FA"/>
    <w:rsid w:val="00670083"/>
    <w:rsid w:val="006702A3"/>
    <w:rsid w:val="00670DF2"/>
    <w:rsid w:val="006713EB"/>
    <w:rsid w:val="00671807"/>
    <w:rsid w:val="00671872"/>
    <w:rsid w:val="00671A04"/>
    <w:rsid w:val="00671C44"/>
    <w:rsid w:val="00672B89"/>
    <w:rsid w:val="0067303E"/>
    <w:rsid w:val="00674818"/>
    <w:rsid w:val="00674EBF"/>
    <w:rsid w:val="00675BBF"/>
    <w:rsid w:val="00675BE4"/>
    <w:rsid w:val="006761E1"/>
    <w:rsid w:val="006766F0"/>
    <w:rsid w:val="00676CA0"/>
    <w:rsid w:val="00676D3B"/>
    <w:rsid w:val="00676DE6"/>
    <w:rsid w:val="0067707C"/>
    <w:rsid w:val="006772A8"/>
    <w:rsid w:val="0067778B"/>
    <w:rsid w:val="006778CE"/>
    <w:rsid w:val="00677FA2"/>
    <w:rsid w:val="00680711"/>
    <w:rsid w:val="00680DCB"/>
    <w:rsid w:val="006810AE"/>
    <w:rsid w:val="006810C6"/>
    <w:rsid w:val="006810CA"/>
    <w:rsid w:val="00681136"/>
    <w:rsid w:val="006817E9"/>
    <w:rsid w:val="0068195B"/>
    <w:rsid w:val="00681D98"/>
    <w:rsid w:val="006823EF"/>
    <w:rsid w:val="006827F4"/>
    <w:rsid w:val="00682857"/>
    <w:rsid w:val="00682BB5"/>
    <w:rsid w:val="00682F05"/>
    <w:rsid w:val="006839EC"/>
    <w:rsid w:val="00684D71"/>
    <w:rsid w:val="00684F6E"/>
    <w:rsid w:val="0068504C"/>
    <w:rsid w:val="006866C2"/>
    <w:rsid w:val="00686FD4"/>
    <w:rsid w:val="0068723C"/>
    <w:rsid w:val="00687E08"/>
    <w:rsid w:val="00687E5E"/>
    <w:rsid w:val="006908B3"/>
    <w:rsid w:val="00691061"/>
    <w:rsid w:val="0069168F"/>
    <w:rsid w:val="00691A5E"/>
    <w:rsid w:val="00692513"/>
    <w:rsid w:val="0069258A"/>
    <w:rsid w:val="00692E06"/>
    <w:rsid w:val="00693178"/>
    <w:rsid w:val="00693526"/>
    <w:rsid w:val="00693611"/>
    <w:rsid w:val="0069365D"/>
    <w:rsid w:val="00693811"/>
    <w:rsid w:val="0069397D"/>
    <w:rsid w:val="006945C8"/>
    <w:rsid w:val="00694B12"/>
    <w:rsid w:val="00694B62"/>
    <w:rsid w:val="0069539E"/>
    <w:rsid w:val="0069588D"/>
    <w:rsid w:val="00695C6A"/>
    <w:rsid w:val="00695F8B"/>
    <w:rsid w:val="0069652A"/>
    <w:rsid w:val="00696A27"/>
    <w:rsid w:val="00696E75"/>
    <w:rsid w:val="0069736E"/>
    <w:rsid w:val="00697815"/>
    <w:rsid w:val="006A0137"/>
    <w:rsid w:val="006A04FE"/>
    <w:rsid w:val="006A18CC"/>
    <w:rsid w:val="006A1CCE"/>
    <w:rsid w:val="006A1EDE"/>
    <w:rsid w:val="006A22B4"/>
    <w:rsid w:val="006A27DA"/>
    <w:rsid w:val="006A3040"/>
    <w:rsid w:val="006A320D"/>
    <w:rsid w:val="006A36C9"/>
    <w:rsid w:val="006A4C96"/>
    <w:rsid w:val="006A5127"/>
    <w:rsid w:val="006A5150"/>
    <w:rsid w:val="006A5C22"/>
    <w:rsid w:val="006A65C2"/>
    <w:rsid w:val="006A674D"/>
    <w:rsid w:val="006A6B92"/>
    <w:rsid w:val="006A6EA0"/>
    <w:rsid w:val="006A7378"/>
    <w:rsid w:val="006A73D5"/>
    <w:rsid w:val="006A7586"/>
    <w:rsid w:val="006A7697"/>
    <w:rsid w:val="006A79B6"/>
    <w:rsid w:val="006A7D0E"/>
    <w:rsid w:val="006A7F47"/>
    <w:rsid w:val="006B031B"/>
    <w:rsid w:val="006B0AA6"/>
    <w:rsid w:val="006B0D96"/>
    <w:rsid w:val="006B0FCF"/>
    <w:rsid w:val="006B10AD"/>
    <w:rsid w:val="006B1AD6"/>
    <w:rsid w:val="006B29DE"/>
    <w:rsid w:val="006B2B04"/>
    <w:rsid w:val="006B2FD5"/>
    <w:rsid w:val="006B3825"/>
    <w:rsid w:val="006B4C46"/>
    <w:rsid w:val="006B4DA0"/>
    <w:rsid w:val="006B4F69"/>
    <w:rsid w:val="006B57C7"/>
    <w:rsid w:val="006B580A"/>
    <w:rsid w:val="006B5C64"/>
    <w:rsid w:val="006B61AB"/>
    <w:rsid w:val="006B6817"/>
    <w:rsid w:val="006B715B"/>
    <w:rsid w:val="006B72D2"/>
    <w:rsid w:val="006B72DB"/>
    <w:rsid w:val="006B73B3"/>
    <w:rsid w:val="006B7522"/>
    <w:rsid w:val="006C0454"/>
    <w:rsid w:val="006C0C45"/>
    <w:rsid w:val="006C15DC"/>
    <w:rsid w:val="006C16D9"/>
    <w:rsid w:val="006C1C36"/>
    <w:rsid w:val="006C237B"/>
    <w:rsid w:val="006C246D"/>
    <w:rsid w:val="006C2535"/>
    <w:rsid w:val="006C25E5"/>
    <w:rsid w:val="006C2983"/>
    <w:rsid w:val="006C2B1A"/>
    <w:rsid w:val="006C3639"/>
    <w:rsid w:val="006C37DE"/>
    <w:rsid w:val="006C3817"/>
    <w:rsid w:val="006C39B3"/>
    <w:rsid w:val="006C3CEA"/>
    <w:rsid w:val="006C4073"/>
    <w:rsid w:val="006C488A"/>
    <w:rsid w:val="006C4A6B"/>
    <w:rsid w:val="006C4C4E"/>
    <w:rsid w:val="006C4F6E"/>
    <w:rsid w:val="006C6009"/>
    <w:rsid w:val="006C63E2"/>
    <w:rsid w:val="006C6BBB"/>
    <w:rsid w:val="006C6C79"/>
    <w:rsid w:val="006C6D64"/>
    <w:rsid w:val="006C7A4E"/>
    <w:rsid w:val="006C7BEF"/>
    <w:rsid w:val="006C7F98"/>
    <w:rsid w:val="006D0152"/>
    <w:rsid w:val="006D0409"/>
    <w:rsid w:val="006D078B"/>
    <w:rsid w:val="006D07E5"/>
    <w:rsid w:val="006D0ABF"/>
    <w:rsid w:val="006D1103"/>
    <w:rsid w:val="006D116C"/>
    <w:rsid w:val="006D1448"/>
    <w:rsid w:val="006D14B6"/>
    <w:rsid w:val="006D14F5"/>
    <w:rsid w:val="006D1607"/>
    <w:rsid w:val="006D1BB5"/>
    <w:rsid w:val="006D1E57"/>
    <w:rsid w:val="006D2B36"/>
    <w:rsid w:val="006D2B80"/>
    <w:rsid w:val="006D2F20"/>
    <w:rsid w:val="006D3626"/>
    <w:rsid w:val="006D3A10"/>
    <w:rsid w:val="006D3AE2"/>
    <w:rsid w:val="006D3DF6"/>
    <w:rsid w:val="006D3F4E"/>
    <w:rsid w:val="006D410B"/>
    <w:rsid w:val="006D43F3"/>
    <w:rsid w:val="006D487A"/>
    <w:rsid w:val="006D5E82"/>
    <w:rsid w:val="006D5F12"/>
    <w:rsid w:val="006D7665"/>
    <w:rsid w:val="006D7C18"/>
    <w:rsid w:val="006E0ED1"/>
    <w:rsid w:val="006E1040"/>
    <w:rsid w:val="006E11FB"/>
    <w:rsid w:val="006E1389"/>
    <w:rsid w:val="006E1591"/>
    <w:rsid w:val="006E18D8"/>
    <w:rsid w:val="006E27C9"/>
    <w:rsid w:val="006E2DD6"/>
    <w:rsid w:val="006E3756"/>
    <w:rsid w:val="006E4529"/>
    <w:rsid w:val="006E4549"/>
    <w:rsid w:val="006E4CC5"/>
    <w:rsid w:val="006E56FF"/>
    <w:rsid w:val="006E582F"/>
    <w:rsid w:val="006E6C7C"/>
    <w:rsid w:val="006E70AF"/>
    <w:rsid w:val="006E71AB"/>
    <w:rsid w:val="006E7444"/>
    <w:rsid w:val="006E7D34"/>
    <w:rsid w:val="006E7E56"/>
    <w:rsid w:val="006F09D9"/>
    <w:rsid w:val="006F0DAC"/>
    <w:rsid w:val="006F0EB4"/>
    <w:rsid w:val="006F1120"/>
    <w:rsid w:val="006F132F"/>
    <w:rsid w:val="006F1476"/>
    <w:rsid w:val="006F1ECA"/>
    <w:rsid w:val="006F1EF4"/>
    <w:rsid w:val="006F229A"/>
    <w:rsid w:val="006F2E1D"/>
    <w:rsid w:val="006F572D"/>
    <w:rsid w:val="006F5A1B"/>
    <w:rsid w:val="006F5BE9"/>
    <w:rsid w:val="006F60F3"/>
    <w:rsid w:val="006F650F"/>
    <w:rsid w:val="006F682B"/>
    <w:rsid w:val="006F6FCF"/>
    <w:rsid w:val="006F76F8"/>
    <w:rsid w:val="006F78F5"/>
    <w:rsid w:val="00700079"/>
    <w:rsid w:val="00700D5B"/>
    <w:rsid w:val="00700EA9"/>
    <w:rsid w:val="00701153"/>
    <w:rsid w:val="007012A6"/>
    <w:rsid w:val="00702808"/>
    <w:rsid w:val="00702DF4"/>
    <w:rsid w:val="00703287"/>
    <w:rsid w:val="00703A5C"/>
    <w:rsid w:val="00703D6D"/>
    <w:rsid w:val="007043F1"/>
    <w:rsid w:val="00705108"/>
    <w:rsid w:val="007051CF"/>
    <w:rsid w:val="0070525C"/>
    <w:rsid w:val="00705423"/>
    <w:rsid w:val="0070547D"/>
    <w:rsid w:val="0070562A"/>
    <w:rsid w:val="007062C1"/>
    <w:rsid w:val="007067F9"/>
    <w:rsid w:val="00706CD6"/>
    <w:rsid w:val="00707406"/>
    <w:rsid w:val="00707411"/>
    <w:rsid w:val="007075AB"/>
    <w:rsid w:val="00707C1A"/>
    <w:rsid w:val="00710555"/>
    <w:rsid w:val="0071080B"/>
    <w:rsid w:val="00710C5F"/>
    <w:rsid w:val="00710CD5"/>
    <w:rsid w:val="00710D1A"/>
    <w:rsid w:val="00711809"/>
    <w:rsid w:val="0071204E"/>
    <w:rsid w:val="007124A5"/>
    <w:rsid w:val="007125F9"/>
    <w:rsid w:val="00713499"/>
    <w:rsid w:val="00713592"/>
    <w:rsid w:val="007138BA"/>
    <w:rsid w:val="007138D5"/>
    <w:rsid w:val="00713C94"/>
    <w:rsid w:val="00713E97"/>
    <w:rsid w:val="00714035"/>
    <w:rsid w:val="00714F9C"/>
    <w:rsid w:val="0071594A"/>
    <w:rsid w:val="00715969"/>
    <w:rsid w:val="007164C8"/>
    <w:rsid w:val="007172DF"/>
    <w:rsid w:val="007201A3"/>
    <w:rsid w:val="00720608"/>
    <w:rsid w:val="00721039"/>
    <w:rsid w:val="007211B1"/>
    <w:rsid w:val="007224C8"/>
    <w:rsid w:val="00722DE0"/>
    <w:rsid w:val="00722E62"/>
    <w:rsid w:val="007237B7"/>
    <w:rsid w:val="00723E60"/>
    <w:rsid w:val="00723E66"/>
    <w:rsid w:val="007249B8"/>
    <w:rsid w:val="00724EC5"/>
    <w:rsid w:val="00725691"/>
    <w:rsid w:val="00725E5F"/>
    <w:rsid w:val="00726031"/>
    <w:rsid w:val="00726736"/>
    <w:rsid w:val="00726DE9"/>
    <w:rsid w:val="00730A49"/>
    <w:rsid w:val="00731147"/>
    <w:rsid w:val="00731313"/>
    <w:rsid w:val="00731601"/>
    <w:rsid w:val="0073162F"/>
    <w:rsid w:val="0073175B"/>
    <w:rsid w:val="00732B2D"/>
    <w:rsid w:val="00732CF9"/>
    <w:rsid w:val="00732D23"/>
    <w:rsid w:val="00733A32"/>
    <w:rsid w:val="0073440A"/>
    <w:rsid w:val="00734AC0"/>
    <w:rsid w:val="007352DC"/>
    <w:rsid w:val="007355E3"/>
    <w:rsid w:val="00735AE6"/>
    <w:rsid w:val="00735D0A"/>
    <w:rsid w:val="007361DD"/>
    <w:rsid w:val="00736260"/>
    <w:rsid w:val="00736C4A"/>
    <w:rsid w:val="00736C59"/>
    <w:rsid w:val="00736EB1"/>
    <w:rsid w:val="00736F7C"/>
    <w:rsid w:val="0073718E"/>
    <w:rsid w:val="007378A8"/>
    <w:rsid w:val="0073794E"/>
    <w:rsid w:val="00737D47"/>
    <w:rsid w:val="00737D60"/>
    <w:rsid w:val="00737E3C"/>
    <w:rsid w:val="00740D22"/>
    <w:rsid w:val="00741724"/>
    <w:rsid w:val="00741731"/>
    <w:rsid w:val="007417C3"/>
    <w:rsid w:val="007421BD"/>
    <w:rsid w:val="00742324"/>
    <w:rsid w:val="00742E16"/>
    <w:rsid w:val="00742F87"/>
    <w:rsid w:val="00742FC0"/>
    <w:rsid w:val="00743BD3"/>
    <w:rsid w:val="00743D5B"/>
    <w:rsid w:val="007440C2"/>
    <w:rsid w:val="007440F4"/>
    <w:rsid w:val="0074459E"/>
    <w:rsid w:val="00744E44"/>
    <w:rsid w:val="00744E5A"/>
    <w:rsid w:val="00744FCA"/>
    <w:rsid w:val="00745A83"/>
    <w:rsid w:val="00745E60"/>
    <w:rsid w:val="00746872"/>
    <w:rsid w:val="00746B96"/>
    <w:rsid w:val="00746C46"/>
    <w:rsid w:val="00746E04"/>
    <w:rsid w:val="00747045"/>
    <w:rsid w:val="0074740F"/>
    <w:rsid w:val="00747499"/>
    <w:rsid w:val="00747726"/>
    <w:rsid w:val="007478BB"/>
    <w:rsid w:val="0075048A"/>
    <w:rsid w:val="00750808"/>
    <w:rsid w:val="0075087B"/>
    <w:rsid w:val="00750B37"/>
    <w:rsid w:val="00750FAB"/>
    <w:rsid w:val="00750FB3"/>
    <w:rsid w:val="007513E4"/>
    <w:rsid w:val="0075145B"/>
    <w:rsid w:val="00751AEB"/>
    <w:rsid w:val="00751C18"/>
    <w:rsid w:val="00751E3F"/>
    <w:rsid w:val="007523ED"/>
    <w:rsid w:val="007525A8"/>
    <w:rsid w:val="0075277A"/>
    <w:rsid w:val="007528A2"/>
    <w:rsid w:val="00752F6F"/>
    <w:rsid w:val="00753086"/>
    <w:rsid w:val="007531BD"/>
    <w:rsid w:val="0075326F"/>
    <w:rsid w:val="007532DC"/>
    <w:rsid w:val="007537ED"/>
    <w:rsid w:val="00754047"/>
    <w:rsid w:val="00754729"/>
    <w:rsid w:val="00754918"/>
    <w:rsid w:val="00754F08"/>
    <w:rsid w:val="0075508B"/>
    <w:rsid w:val="00755372"/>
    <w:rsid w:val="00756005"/>
    <w:rsid w:val="00756199"/>
    <w:rsid w:val="007565AC"/>
    <w:rsid w:val="00756DCD"/>
    <w:rsid w:val="00756F85"/>
    <w:rsid w:val="00757448"/>
    <w:rsid w:val="00757616"/>
    <w:rsid w:val="00757680"/>
    <w:rsid w:val="007605B3"/>
    <w:rsid w:val="007605C8"/>
    <w:rsid w:val="0076101E"/>
    <w:rsid w:val="007611B4"/>
    <w:rsid w:val="007612FD"/>
    <w:rsid w:val="007613AB"/>
    <w:rsid w:val="0076141D"/>
    <w:rsid w:val="0076144E"/>
    <w:rsid w:val="00761454"/>
    <w:rsid w:val="007620DD"/>
    <w:rsid w:val="0076270D"/>
    <w:rsid w:val="00762866"/>
    <w:rsid w:val="007629BF"/>
    <w:rsid w:val="00762B80"/>
    <w:rsid w:val="007632A5"/>
    <w:rsid w:val="00763B79"/>
    <w:rsid w:val="00764109"/>
    <w:rsid w:val="00764A22"/>
    <w:rsid w:val="00764D20"/>
    <w:rsid w:val="00764E0B"/>
    <w:rsid w:val="00765AED"/>
    <w:rsid w:val="00765CA4"/>
    <w:rsid w:val="0076659D"/>
    <w:rsid w:val="00766697"/>
    <w:rsid w:val="00766FFF"/>
    <w:rsid w:val="00767043"/>
    <w:rsid w:val="007677E9"/>
    <w:rsid w:val="0077002C"/>
    <w:rsid w:val="0077092A"/>
    <w:rsid w:val="007709BC"/>
    <w:rsid w:val="00770A87"/>
    <w:rsid w:val="00770B8A"/>
    <w:rsid w:val="00770DB5"/>
    <w:rsid w:val="00770DEB"/>
    <w:rsid w:val="0077130A"/>
    <w:rsid w:val="00771868"/>
    <w:rsid w:val="00771DEA"/>
    <w:rsid w:val="00772139"/>
    <w:rsid w:val="00772AE8"/>
    <w:rsid w:val="007731B0"/>
    <w:rsid w:val="00773255"/>
    <w:rsid w:val="007735ED"/>
    <w:rsid w:val="00774852"/>
    <w:rsid w:val="00774CE2"/>
    <w:rsid w:val="007763BD"/>
    <w:rsid w:val="00776442"/>
    <w:rsid w:val="00776603"/>
    <w:rsid w:val="00776902"/>
    <w:rsid w:val="00776B03"/>
    <w:rsid w:val="00777335"/>
    <w:rsid w:val="007775CD"/>
    <w:rsid w:val="00777746"/>
    <w:rsid w:val="00777DB0"/>
    <w:rsid w:val="007803D9"/>
    <w:rsid w:val="00780826"/>
    <w:rsid w:val="00780A26"/>
    <w:rsid w:val="007815B6"/>
    <w:rsid w:val="00781B6F"/>
    <w:rsid w:val="00782211"/>
    <w:rsid w:val="0078235F"/>
    <w:rsid w:val="007823A5"/>
    <w:rsid w:val="00782999"/>
    <w:rsid w:val="00783B38"/>
    <w:rsid w:val="00783C3B"/>
    <w:rsid w:val="00783D4F"/>
    <w:rsid w:val="00783EBD"/>
    <w:rsid w:val="007843B1"/>
    <w:rsid w:val="0078479F"/>
    <w:rsid w:val="00784B66"/>
    <w:rsid w:val="00784FAB"/>
    <w:rsid w:val="00785757"/>
    <w:rsid w:val="0078757B"/>
    <w:rsid w:val="007875F9"/>
    <w:rsid w:val="00787608"/>
    <w:rsid w:val="0078772D"/>
    <w:rsid w:val="00787B9C"/>
    <w:rsid w:val="00787C54"/>
    <w:rsid w:val="00787D38"/>
    <w:rsid w:val="00790885"/>
    <w:rsid w:val="007908F1"/>
    <w:rsid w:val="00790A23"/>
    <w:rsid w:val="00790A81"/>
    <w:rsid w:val="00790B08"/>
    <w:rsid w:val="00790E28"/>
    <w:rsid w:val="00790F90"/>
    <w:rsid w:val="007911F8"/>
    <w:rsid w:val="007914E5"/>
    <w:rsid w:val="00791DBE"/>
    <w:rsid w:val="00791E8E"/>
    <w:rsid w:val="00792C75"/>
    <w:rsid w:val="007930B9"/>
    <w:rsid w:val="00793527"/>
    <w:rsid w:val="00793F09"/>
    <w:rsid w:val="00793F13"/>
    <w:rsid w:val="0079405B"/>
    <w:rsid w:val="0079442F"/>
    <w:rsid w:val="007945DE"/>
    <w:rsid w:val="007947E3"/>
    <w:rsid w:val="0079488C"/>
    <w:rsid w:val="007948EE"/>
    <w:rsid w:val="00794B43"/>
    <w:rsid w:val="00794E04"/>
    <w:rsid w:val="00794E1A"/>
    <w:rsid w:val="0079517C"/>
    <w:rsid w:val="007952FD"/>
    <w:rsid w:val="00795329"/>
    <w:rsid w:val="00795B72"/>
    <w:rsid w:val="00795F58"/>
    <w:rsid w:val="007964CF"/>
    <w:rsid w:val="00796637"/>
    <w:rsid w:val="00796785"/>
    <w:rsid w:val="007974E1"/>
    <w:rsid w:val="00797D43"/>
    <w:rsid w:val="007A0346"/>
    <w:rsid w:val="007A07BC"/>
    <w:rsid w:val="007A090B"/>
    <w:rsid w:val="007A09BB"/>
    <w:rsid w:val="007A0E11"/>
    <w:rsid w:val="007A13A5"/>
    <w:rsid w:val="007A14BC"/>
    <w:rsid w:val="007A1B88"/>
    <w:rsid w:val="007A2311"/>
    <w:rsid w:val="007A26E0"/>
    <w:rsid w:val="007A2D63"/>
    <w:rsid w:val="007A2D9A"/>
    <w:rsid w:val="007A2FE3"/>
    <w:rsid w:val="007A305E"/>
    <w:rsid w:val="007A3354"/>
    <w:rsid w:val="007A33BF"/>
    <w:rsid w:val="007A3550"/>
    <w:rsid w:val="007A3A26"/>
    <w:rsid w:val="007A4D97"/>
    <w:rsid w:val="007A5B21"/>
    <w:rsid w:val="007A5B8A"/>
    <w:rsid w:val="007A5E2D"/>
    <w:rsid w:val="007A6524"/>
    <w:rsid w:val="007A69B3"/>
    <w:rsid w:val="007A6BE4"/>
    <w:rsid w:val="007A6D37"/>
    <w:rsid w:val="007A6D39"/>
    <w:rsid w:val="007A6E15"/>
    <w:rsid w:val="007A723E"/>
    <w:rsid w:val="007A7565"/>
    <w:rsid w:val="007A793F"/>
    <w:rsid w:val="007A7A94"/>
    <w:rsid w:val="007A7B4C"/>
    <w:rsid w:val="007B000D"/>
    <w:rsid w:val="007B015A"/>
    <w:rsid w:val="007B060B"/>
    <w:rsid w:val="007B0D41"/>
    <w:rsid w:val="007B147D"/>
    <w:rsid w:val="007B1C07"/>
    <w:rsid w:val="007B1C9A"/>
    <w:rsid w:val="007B21BC"/>
    <w:rsid w:val="007B2573"/>
    <w:rsid w:val="007B2854"/>
    <w:rsid w:val="007B2E88"/>
    <w:rsid w:val="007B3194"/>
    <w:rsid w:val="007B364E"/>
    <w:rsid w:val="007B3B0B"/>
    <w:rsid w:val="007B478A"/>
    <w:rsid w:val="007B5E00"/>
    <w:rsid w:val="007B63C2"/>
    <w:rsid w:val="007B656D"/>
    <w:rsid w:val="007B6DDF"/>
    <w:rsid w:val="007C0531"/>
    <w:rsid w:val="007C05E0"/>
    <w:rsid w:val="007C08F9"/>
    <w:rsid w:val="007C0F7B"/>
    <w:rsid w:val="007C1855"/>
    <w:rsid w:val="007C1BA6"/>
    <w:rsid w:val="007C1E66"/>
    <w:rsid w:val="007C28A7"/>
    <w:rsid w:val="007C304B"/>
    <w:rsid w:val="007C38E4"/>
    <w:rsid w:val="007C39BE"/>
    <w:rsid w:val="007C3BB1"/>
    <w:rsid w:val="007C3F61"/>
    <w:rsid w:val="007C4600"/>
    <w:rsid w:val="007C4C94"/>
    <w:rsid w:val="007C50DC"/>
    <w:rsid w:val="007C59ED"/>
    <w:rsid w:val="007C676A"/>
    <w:rsid w:val="007C6C72"/>
    <w:rsid w:val="007C74C7"/>
    <w:rsid w:val="007D02CB"/>
    <w:rsid w:val="007D04AE"/>
    <w:rsid w:val="007D0DD2"/>
    <w:rsid w:val="007D0EE0"/>
    <w:rsid w:val="007D0FF1"/>
    <w:rsid w:val="007D149B"/>
    <w:rsid w:val="007D14E1"/>
    <w:rsid w:val="007D1968"/>
    <w:rsid w:val="007D1B63"/>
    <w:rsid w:val="007D281B"/>
    <w:rsid w:val="007D3B0E"/>
    <w:rsid w:val="007D412A"/>
    <w:rsid w:val="007D5664"/>
    <w:rsid w:val="007D56BC"/>
    <w:rsid w:val="007D5E12"/>
    <w:rsid w:val="007D6250"/>
    <w:rsid w:val="007D6557"/>
    <w:rsid w:val="007D6DEE"/>
    <w:rsid w:val="007D6FBA"/>
    <w:rsid w:val="007D7549"/>
    <w:rsid w:val="007D798F"/>
    <w:rsid w:val="007D79E3"/>
    <w:rsid w:val="007D7DE8"/>
    <w:rsid w:val="007D7E53"/>
    <w:rsid w:val="007E15B4"/>
    <w:rsid w:val="007E15D2"/>
    <w:rsid w:val="007E17BB"/>
    <w:rsid w:val="007E2A7D"/>
    <w:rsid w:val="007E2B98"/>
    <w:rsid w:val="007E323E"/>
    <w:rsid w:val="007E3830"/>
    <w:rsid w:val="007E4B9D"/>
    <w:rsid w:val="007E4F4C"/>
    <w:rsid w:val="007E567E"/>
    <w:rsid w:val="007E62B7"/>
    <w:rsid w:val="007E6415"/>
    <w:rsid w:val="007E64AE"/>
    <w:rsid w:val="007E6FE0"/>
    <w:rsid w:val="007E7935"/>
    <w:rsid w:val="007F08EC"/>
    <w:rsid w:val="007F0E84"/>
    <w:rsid w:val="007F117E"/>
    <w:rsid w:val="007F117F"/>
    <w:rsid w:val="007F146C"/>
    <w:rsid w:val="007F1A41"/>
    <w:rsid w:val="007F1A78"/>
    <w:rsid w:val="007F1AFB"/>
    <w:rsid w:val="007F1C6C"/>
    <w:rsid w:val="007F1C8F"/>
    <w:rsid w:val="007F32A4"/>
    <w:rsid w:val="007F342D"/>
    <w:rsid w:val="007F36FC"/>
    <w:rsid w:val="007F3ABC"/>
    <w:rsid w:val="007F3CA4"/>
    <w:rsid w:val="007F3EDA"/>
    <w:rsid w:val="007F3F87"/>
    <w:rsid w:val="007F4D07"/>
    <w:rsid w:val="007F5034"/>
    <w:rsid w:val="007F5564"/>
    <w:rsid w:val="007F5A29"/>
    <w:rsid w:val="007F5EB4"/>
    <w:rsid w:val="007F5EC3"/>
    <w:rsid w:val="007F616E"/>
    <w:rsid w:val="007F6BBD"/>
    <w:rsid w:val="007F6D96"/>
    <w:rsid w:val="007F75EF"/>
    <w:rsid w:val="007F76E7"/>
    <w:rsid w:val="007F7B4A"/>
    <w:rsid w:val="007F7F36"/>
    <w:rsid w:val="0080033F"/>
    <w:rsid w:val="008003E5"/>
    <w:rsid w:val="0080056D"/>
    <w:rsid w:val="008005C6"/>
    <w:rsid w:val="00800D71"/>
    <w:rsid w:val="00800DB8"/>
    <w:rsid w:val="00801257"/>
    <w:rsid w:val="0080142D"/>
    <w:rsid w:val="00801494"/>
    <w:rsid w:val="00801989"/>
    <w:rsid w:val="00801BD8"/>
    <w:rsid w:val="00801EB6"/>
    <w:rsid w:val="008021FD"/>
    <w:rsid w:val="0080229D"/>
    <w:rsid w:val="008024B3"/>
    <w:rsid w:val="00802FB6"/>
    <w:rsid w:val="00803417"/>
    <w:rsid w:val="00803AF4"/>
    <w:rsid w:val="00803DB0"/>
    <w:rsid w:val="00804527"/>
    <w:rsid w:val="008047FB"/>
    <w:rsid w:val="00804BDD"/>
    <w:rsid w:val="00805315"/>
    <w:rsid w:val="00805571"/>
    <w:rsid w:val="008065E8"/>
    <w:rsid w:val="008066DE"/>
    <w:rsid w:val="00806944"/>
    <w:rsid w:val="00806ADC"/>
    <w:rsid w:val="008109B3"/>
    <w:rsid w:val="00810A57"/>
    <w:rsid w:val="00811866"/>
    <w:rsid w:val="008118A1"/>
    <w:rsid w:val="00811FA9"/>
    <w:rsid w:val="00812646"/>
    <w:rsid w:val="00812937"/>
    <w:rsid w:val="008129DA"/>
    <w:rsid w:val="00813A8B"/>
    <w:rsid w:val="00813B58"/>
    <w:rsid w:val="00814253"/>
    <w:rsid w:val="00815A0C"/>
    <w:rsid w:val="00815A61"/>
    <w:rsid w:val="00815B7B"/>
    <w:rsid w:val="008166FB"/>
    <w:rsid w:val="00817AEC"/>
    <w:rsid w:val="0082015D"/>
    <w:rsid w:val="00820182"/>
    <w:rsid w:val="008203B7"/>
    <w:rsid w:val="00820880"/>
    <w:rsid w:val="00820B16"/>
    <w:rsid w:val="0082111E"/>
    <w:rsid w:val="00821386"/>
    <w:rsid w:val="0082139D"/>
    <w:rsid w:val="008218CA"/>
    <w:rsid w:val="00821F25"/>
    <w:rsid w:val="00821FD1"/>
    <w:rsid w:val="008221BB"/>
    <w:rsid w:val="00822312"/>
    <w:rsid w:val="00822969"/>
    <w:rsid w:val="00822A77"/>
    <w:rsid w:val="00823BB6"/>
    <w:rsid w:val="00823FC6"/>
    <w:rsid w:val="008242F3"/>
    <w:rsid w:val="008243E2"/>
    <w:rsid w:val="00825628"/>
    <w:rsid w:val="00825C84"/>
    <w:rsid w:val="00826018"/>
    <w:rsid w:val="008263B2"/>
    <w:rsid w:val="00826644"/>
    <w:rsid w:val="00826E24"/>
    <w:rsid w:val="0082778E"/>
    <w:rsid w:val="008277CF"/>
    <w:rsid w:val="0082780B"/>
    <w:rsid w:val="00827A03"/>
    <w:rsid w:val="00830167"/>
    <w:rsid w:val="00830288"/>
    <w:rsid w:val="00830702"/>
    <w:rsid w:val="008307BB"/>
    <w:rsid w:val="00831DDF"/>
    <w:rsid w:val="00831F1A"/>
    <w:rsid w:val="00832917"/>
    <w:rsid w:val="00833271"/>
    <w:rsid w:val="008333D0"/>
    <w:rsid w:val="00833CEB"/>
    <w:rsid w:val="008361A3"/>
    <w:rsid w:val="00836686"/>
    <w:rsid w:val="00836BC9"/>
    <w:rsid w:val="00836DA2"/>
    <w:rsid w:val="00836EC5"/>
    <w:rsid w:val="00837270"/>
    <w:rsid w:val="008401B3"/>
    <w:rsid w:val="008402C3"/>
    <w:rsid w:val="008404FC"/>
    <w:rsid w:val="00840CD0"/>
    <w:rsid w:val="00841770"/>
    <w:rsid w:val="00841820"/>
    <w:rsid w:val="008431D8"/>
    <w:rsid w:val="0084388B"/>
    <w:rsid w:val="00843B57"/>
    <w:rsid w:val="0084459C"/>
    <w:rsid w:val="00844CA5"/>
    <w:rsid w:val="00846297"/>
    <w:rsid w:val="0084640A"/>
    <w:rsid w:val="00846874"/>
    <w:rsid w:val="00846937"/>
    <w:rsid w:val="00846B80"/>
    <w:rsid w:val="00846C9C"/>
    <w:rsid w:val="00846E95"/>
    <w:rsid w:val="008470C7"/>
    <w:rsid w:val="00847491"/>
    <w:rsid w:val="00847D6E"/>
    <w:rsid w:val="00847DC8"/>
    <w:rsid w:val="008509E0"/>
    <w:rsid w:val="008516E3"/>
    <w:rsid w:val="00851898"/>
    <w:rsid w:val="00852189"/>
    <w:rsid w:val="008523ED"/>
    <w:rsid w:val="008527A3"/>
    <w:rsid w:val="00852CC6"/>
    <w:rsid w:val="00852CF7"/>
    <w:rsid w:val="00853315"/>
    <w:rsid w:val="00853BC6"/>
    <w:rsid w:val="00853C8F"/>
    <w:rsid w:val="008544EB"/>
    <w:rsid w:val="0085529D"/>
    <w:rsid w:val="0085588B"/>
    <w:rsid w:val="0085593A"/>
    <w:rsid w:val="00855C16"/>
    <w:rsid w:val="00855F30"/>
    <w:rsid w:val="008563FF"/>
    <w:rsid w:val="00856625"/>
    <w:rsid w:val="0085665C"/>
    <w:rsid w:val="008567DA"/>
    <w:rsid w:val="00856C11"/>
    <w:rsid w:val="00856E88"/>
    <w:rsid w:val="00857410"/>
    <w:rsid w:val="008574DE"/>
    <w:rsid w:val="00857519"/>
    <w:rsid w:val="00860209"/>
    <w:rsid w:val="008609E9"/>
    <w:rsid w:val="00860D27"/>
    <w:rsid w:val="008614CA"/>
    <w:rsid w:val="008615F2"/>
    <w:rsid w:val="00861A28"/>
    <w:rsid w:val="0086225B"/>
    <w:rsid w:val="00862ACB"/>
    <w:rsid w:val="00862CFC"/>
    <w:rsid w:val="00862EF3"/>
    <w:rsid w:val="008632B6"/>
    <w:rsid w:val="00863485"/>
    <w:rsid w:val="00863A5F"/>
    <w:rsid w:val="008640F8"/>
    <w:rsid w:val="008647AB"/>
    <w:rsid w:val="00864F83"/>
    <w:rsid w:val="00865DB7"/>
    <w:rsid w:val="0086615A"/>
    <w:rsid w:val="008664C7"/>
    <w:rsid w:val="00867381"/>
    <w:rsid w:val="0086754B"/>
    <w:rsid w:val="008675A2"/>
    <w:rsid w:val="008679A5"/>
    <w:rsid w:val="00867E29"/>
    <w:rsid w:val="00870C8D"/>
    <w:rsid w:val="00870D23"/>
    <w:rsid w:val="00871F20"/>
    <w:rsid w:val="00872AFF"/>
    <w:rsid w:val="00872EF8"/>
    <w:rsid w:val="008732E7"/>
    <w:rsid w:val="00873FF1"/>
    <w:rsid w:val="008740B9"/>
    <w:rsid w:val="008742A9"/>
    <w:rsid w:val="00874EA5"/>
    <w:rsid w:val="008751BA"/>
    <w:rsid w:val="00875663"/>
    <w:rsid w:val="00875E20"/>
    <w:rsid w:val="00875EFD"/>
    <w:rsid w:val="00876489"/>
    <w:rsid w:val="00876663"/>
    <w:rsid w:val="00876C09"/>
    <w:rsid w:val="00877506"/>
    <w:rsid w:val="00877B77"/>
    <w:rsid w:val="008801CB"/>
    <w:rsid w:val="008806CA"/>
    <w:rsid w:val="00880DA0"/>
    <w:rsid w:val="008810C1"/>
    <w:rsid w:val="0088177B"/>
    <w:rsid w:val="00881C90"/>
    <w:rsid w:val="00881D05"/>
    <w:rsid w:val="00882030"/>
    <w:rsid w:val="0088247F"/>
    <w:rsid w:val="0088259B"/>
    <w:rsid w:val="00882C79"/>
    <w:rsid w:val="008833F3"/>
    <w:rsid w:val="00883D3D"/>
    <w:rsid w:val="00883E66"/>
    <w:rsid w:val="0088414F"/>
    <w:rsid w:val="0088434D"/>
    <w:rsid w:val="008845CF"/>
    <w:rsid w:val="008846FB"/>
    <w:rsid w:val="00884FF7"/>
    <w:rsid w:val="008851DD"/>
    <w:rsid w:val="008855BF"/>
    <w:rsid w:val="0088562B"/>
    <w:rsid w:val="00885712"/>
    <w:rsid w:val="00885902"/>
    <w:rsid w:val="00885D39"/>
    <w:rsid w:val="00885E11"/>
    <w:rsid w:val="00885EA5"/>
    <w:rsid w:val="00887010"/>
    <w:rsid w:val="00887431"/>
    <w:rsid w:val="00887586"/>
    <w:rsid w:val="008877F2"/>
    <w:rsid w:val="00887968"/>
    <w:rsid w:val="00887BC2"/>
    <w:rsid w:val="00890291"/>
    <w:rsid w:val="0089073E"/>
    <w:rsid w:val="00890776"/>
    <w:rsid w:val="00890D58"/>
    <w:rsid w:val="00891BB1"/>
    <w:rsid w:val="00891D5E"/>
    <w:rsid w:val="00891E24"/>
    <w:rsid w:val="0089204E"/>
    <w:rsid w:val="008924B3"/>
    <w:rsid w:val="00892984"/>
    <w:rsid w:val="00892B49"/>
    <w:rsid w:val="00892FE4"/>
    <w:rsid w:val="008931E9"/>
    <w:rsid w:val="008933F7"/>
    <w:rsid w:val="0089371C"/>
    <w:rsid w:val="0089379A"/>
    <w:rsid w:val="00893D57"/>
    <w:rsid w:val="00893F4F"/>
    <w:rsid w:val="00894D3B"/>
    <w:rsid w:val="00894D48"/>
    <w:rsid w:val="008951F0"/>
    <w:rsid w:val="008953B2"/>
    <w:rsid w:val="0089573C"/>
    <w:rsid w:val="0089627E"/>
    <w:rsid w:val="008962F3"/>
    <w:rsid w:val="00897039"/>
    <w:rsid w:val="00897169"/>
    <w:rsid w:val="0089797C"/>
    <w:rsid w:val="008A02AC"/>
    <w:rsid w:val="008A07BD"/>
    <w:rsid w:val="008A089C"/>
    <w:rsid w:val="008A0BAC"/>
    <w:rsid w:val="008A0F36"/>
    <w:rsid w:val="008A100B"/>
    <w:rsid w:val="008A11EF"/>
    <w:rsid w:val="008A13F0"/>
    <w:rsid w:val="008A1619"/>
    <w:rsid w:val="008A1B05"/>
    <w:rsid w:val="008A1DA1"/>
    <w:rsid w:val="008A20A2"/>
    <w:rsid w:val="008A23DB"/>
    <w:rsid w:val="008A28C2"/>
    <w:rsid w:val="008A309F"/>
    <w:rsid w:val="008A3291"/>
    <w:rsid w:val="008A3308"/>
    <w:rsid w:val="008A369E"/>
    <w:rsid w:val="008A3E9D"/>
    <w:rsid w:val="008A4251"/>
    <w:rsid w:val="008A502D"/>
    <w:rsid w:val="008A5402"/>
    <w:rsid w:val="008A5B80"/>
    <w:rsid w:val="008A5B8E"/>
    <w:rsid w:val="008A5C06"/>
    <w:rsid w:val="008A63F7"/>
    <w:rsid w:val="008A65F9"/>
    <w:rsid w:val="008A696B"/>
    <w:rsid w:val="008A69BF"/>
    <w:rsid w:val="008A7551"/>
    <w:rsid w:val="008A76D1"/>
    <w:rsid w:val="008A79ED"/>
    <w:rsid w:val="008A7D50"/>
    <w:rsid w:val="008B03DD"/>
    <w:rsid w:val="008B0A2D"/>
    <w:rsid w:val="008B0FAB"/>
    <w:rsid w:val="008B18AB"/>
    <w:rsid w:val="008B1A7E"/>
    <w:rsid w:val="008B1B9D"/>
    <w:rsid w:val="008B2162"/>
    <w:rsid w:val="008B293B"/>
    <w:rsid w:val="008B3020"/>
    <w:rsid w:val="008B41E1"/>
    <w:rsid w:val="008B433F"/>
    <w:rsid w:val="008B44F5"/>
    <w:rsid w:val="008B47A4"/>
    <w:rsid w:val="008B4EE5"/>
    <w:rsid w:val="008B66EA"/>
    <w:rsid w:val="008B7784"/>
    <w:rsid w:val="008B77F5"/>
    <w:rsid w:val="008B7966"/>
    <w:rsid w:val="008C021D"/>
    <w:rsid w:val="008C0B61"/>
    <w:rsid w:val="008C0EED"/>
    <w:rsid w:val="008C0FFB"/>
    <w:rsid w:val="008C13A5"/>
    <w:rsid w:val="008C14D8"/>
    <w:rsid w:val="008C16B9"/>
    <w:rsid w:val="008C1C15"/>
    <w:rsid w:val="008C1C59"/>
    <w:rsid w:val="008C2056"/>
    <w:rsid w:val="008C29C1"/>
    <w:rsid w:val="008C2A4A"/>
    <w:rsid w:val="008C2D57"/>
    <w:rsid w:val="008C35DC"/>
    <w:rsid w:val="008C42C7"/>
    <w:rsid w:val="008C4371"/>
    <w:rsid w:val="008C4919"/>
    <w:rsid w:val="008C50BF"/>
    <w:rsid w:val="008C5705"/>
    <w:rsid w:val="008C5C79"/>
    <w:rsid w:val="008C5F4A"/>
    <w:rsid w:val="008C65D7"/>
    <w:rsid w:val="008C6B6F"/>
    <w:rsid w:val="008C706C"/>
    <w:rsid w:val="008C71CA"/>
    <w:rsid w:val="008C7B21"/>
    <w:rsid w:val="008D0566"/>
    <w:rsid w:val="008D09E4"/>
    <w:rsid w:val="008D17A7"/>
    <w:rsid w:val="008D183C"/>
    <w:rsid w:val="008D19F9"/>
    <w:rsid w:val="008D1A28"/>
    <w:rsid w:val="008D1A72"/>
    <w:rsid w:val="008D1DB2"/>
    <w:rsid w:val="008D1E00"/>
    <w:rsid w:val="008D1EEC"/>
    <w:rsid w:val="008D2620"/>
    <w:rsid w:val="008D32AA"/>
    <w:rsid w:val="008D3986"/>
    <w:rsid w:val="008D3A7F"/>
    <w:rsid w:val="008D4445"/>
    <w:rsid w:val="008D4564"/>
    <w:rsid w:val="008D4635"/>
    <w:rsid w:val="008D4DC7"/>
    <w:rsid w:val="008D4FE0"/>
    <w:rsid w:val="008D5371"/>
    <w:rsid w:val="008D54EC"/>
    <w:rsid w:val="008D6009"/>
    <w:rsid w:val="008D6DFB"/>
    <w:rsid w:val="008D7063"/>
    <w:rsid w:val="008D7110"/>
    <w:rsid w:val="008D765B"/>
    <w:rsid w:val="008D799F"/>
    <w:rsid w:val="008D79C7"/>
    <w:rsid w:val="008E00F4"/>
    <w:rsid w:val="008E0746"/>
    <w:rsid w:val="008E0AF9"/>
    <w:rsid w:val="008E0CB4"/>
    <w:rsid w:val="008E133F"/>
    <w:rsid w:val="008E1AE4"/>
    <w:rsid w:val="008E212B"/>
    <w:rsid w:val="008E23DE"/>
    <w:rsid w:val="008E2765"/>
    <w:rsid w:val="008E2AAE"/>
    <w:rsid w:val="008E2CF9"/>
    <w:rsid w:val="008E2E79"/>
    <w:rsid w:val="008E3015"/>
    <w:rsid w:val="008E3235"/>
    <w:rsid w:val="008E3372"/>
    <w:rsid w:val="008E337E"/>
    <w:rsid w:val="008E3D7B"/>
    <w:rsid w:val="008E43A3"/>
    <w:rsid w:val="008E452F"/>
    <w:rsid w:val="008E4B4F"/>
    <w:rsid w:val="008E4EC1"/>
    <w:rsid w:val="008E5064"/>
    <w:rsid w:val="008E53DF"/>
    <w:rsid w:val="008E54D8"/>
    <w:rsid w:val="008E5F3E"/>
    <w:rsid w:val="008E6478"/>
    <w:rsid w:val="008E6D3C"/>
    <w:rsid w:val="008E6DA0"/>
    <w:rsid w:val="008E710C"/>
    <w:rsid w:val="008E754C"/>
    <w:rsid w:val="008E757B"/>
    <w:rsid w:val="008E75F3"/>
    <w:rsid w:val="008E78A5"/>
    <w:rsid w:val="008E7D9F"/>
    <w:rsid w:val="008E7E14"/>
    <w:rsid w:val="008F09EB"/>
    <w:rsid w:val="008F0E0A"/>
    <w:rsid w:val="008F1467"/>
    <w:rsid w:val="008F215B"/>
    <w:rsid w:val="008F231D"/>
    <w:rsid w:val="008F2998"/>
    <w:rsid w:val="008F2E84"/>
    <w:rsid w:val="008F32F6"/>
    <w:rsid w:val="008F3559"/>
    <w:rsid w:val="008F3D95"/>
    <w:rsid w:val="008F3EEA"/>
    <w:rsid w:val="008F4038"/>
    <w:rsid w:val="008F427B"/>
    <w:rsid w:val="008F4B84"/>
    <w:rsid w:val="008F4F5D"/>
    <w:rsid w:val="008F55B1"/>
    <w:rsid w:val="008F5FA0"/>
    <w:rsid w:val="008F61ED"/>
    <w:rsid w:val="008F6323"/>
    <w:rsid w:val="008F6324"/>
    <w:rsid w:val="008F6695"/>
    <w:rsid w:val="008F67D1"/>
    <w:rsid w:val="008F73E5"/>
    <w:rsid w:val="008F758F"/>
    <w:rsid w:val="008F7B5C"/>
    <w:rsid w:val="009001EF"/>
    <w:rsid w:val="00900606"/>
    <w:rsid w:val="00900608"/>
    <w:rsid w:val="00900811"/>
    <w:rsid w:val="009011DE"/>
    <w:rsid w:val="009014A0"/>
    <w:rsid w:val="00901A3E"/>
    <w:rsid w:val="00902121"/>
    <w:rsid w:val="00902AE3"/>
    <w:rsid w:val="00902B99"/>
    <w:rsid w:val="009033B8"/>
    <w:rsid w:val="00903793"/>
    <w:rsid w:val="00903851"/>
    <w:rsid w:val="009039B5"/>
    <w:rsid w:val="00903E25"/>
    <w:rsid w:val="00903EAA"/>
    <w:rsid w:val="00904277"/>
    <w:rsid w:val="00904364"/>
    <w:rsid w:val="00904869"/>
    <w:rsid w:val="00904932"/>
    <w:rsid w:val="00904AD9"/>
    <w:rsid w:val="00904FCD"/>
    <w:rsid w:val="00905E1A"/>
    <w:rsid w:val="00905EF5"/>
    <w:rsid w:val="00906677"/>
    <w:rsid w:val="00906767"/>
    <w:rsid w:val="00906BDD"/>
    <w:rsid w:val="00906D79"/>
    <w:rsid w:val="00906EEB"/>
    <w:rsid w:val="0090767F"/>
    <w:rsid w:val="0090784B"/>
    <w:rsid w:val="00907AAE"/>
    <w:rsid w:val="00907EAE"/>
    <w:rsid w:val="009101B7"/>
    <w:rsid w:val="0091087C"/>
    <w:rsid w:val="00910ACB"/>
    <w:rsid w:val="00910FDD"/>
    <w:rsid w:val="00911347"/>
    <w:rsid w:val="0091143A"/>
    <w:rsid w:val="00912602"/>
    <w:rsid w:val="00912809"/>
    <w:rsid w:val="00912A0F"/>
    <w:rsid w:val="00913043"/>
    <w:rsid w:val="0091351E"/>
    <w:rsid w:val="009137C6"/>
    <w:rsid w:val="00914662"/>
    <w:rsid w:val="009149F1"/>
    <w:rsid w:val="00914C3F"/>
    <w:rsid w:val="00914FF0"/>
    <w:rsid w:val="00915239"/>
    <w:rsid w:val="00915328"/>
    <w:rsid w:val="00915BB4"/>
    <w:rsid w:val="00915F4D"/>
    <w:rsid w:val="009168AC"/>
    <w:rsid w:val="00916AA7"/>
    <w:rsid w:val="00916F63"/>
    <w:rsid w:val="00916FA5"/>
    <w:rsid w:val="00917024"/>
    <w:rsid w:val="0091730C"/>
    <w:rsid w:val="009178CB"/>
    <w:rsid w:val="00917B99"/>
    <w:rsid w:val="00917FD9"/>
    <w:rsid w:val="009202AB"/>
    <w:rsid w:val="0092044B"/>
    <w:rsid w:val="00920AF3"/>
    <w:rsid w:val="00920C38"/>
    <w:rsid w:val="00920CCB"/>
    <w:rsid w:val="00920FC8"/>
    <w:rsid w:val="00921049"/>
    <w:rsid w:val="009213BE"/>
    <w:rsid w:val="00921C57"/>
    <w:rsid w:val="00921DFC"/>
    <w:rsid w:val="0092229A"/>
    <w:rsid w:val="009222A3"/>
    <w:rsid w:val="00922D1F"/>
    <w:rsid w:val="00922E31"/>
    <w:rsid w:val="00923918"/>
    <w:rsid w:val="00923B08"/>
    <w:rsid w:val="00923BDD"/>
    <w:rsid w:val="00923DEA"/>
    <w:rsid w:val="0092568D"/>
    <w:rsid w:val="00925BA4"/>
    <w:rsid w:val="00925C19"/>
    <w:rsid w:val="00925C69"/>
    <w:rsid w:val="00925F80"/>
    <w:rsid w:val="00926031"/>
    <w:rsid w:val="00926155"/>
    <w:rsid w:val="0092681E"/>
    <w:rsid w:val="00926B01"/>
    <w:rsid w:val="00926CB1"/>
    <w:rsid w:val="009271D2"/>
    <w:rsid w:val="0093024F"/>
    <w:rsid w:val="00930269"/>
    <w:rsid w:val="009305F6"/>
    <w:rsid w:val="009307B0"/>
    <w:rsid w:val="00930A35"/>
    <w:rsid w:val="00930A47"/>
    <w:rsid w:val="00930D49"/>
    <w:rsid w:val="00931532"/>
    <w:rsid w:val="0093158D"/>
    <w:rsid w:val="00932965"/>
    <w:rsid w:val="009331B7"/>
    <w:rsid w:val="009332B9"/>
    <w:rsid w:val="009339AF"/>
    <w:rsid w:val="0093446E"/>
    <w:rsid w:val="009344A2"/>
    <w:rsid w:val="00935B83"/>
    <w:rsid w:val="00935E5C"/>
    <w:rsid w:val="009362FA"/>
    <w:rsid w:val="0093663E"/>
    <w:rsid w:val="0093679D"/>
    <w:rsid w:val="00936BA0"/>
    <w:rsid w:val="00937ED0"/>
    <w:rsid w:val="00937F72"/>
    <w:rsid w:val="00940A30"/>
    <w:rsid w:val="00940A6F"/>
    <w:rsid w:val="00941122"/>
    <w:rsid w:val="00941377"/>
    <w:rsid w:val="00941803"/>
    <w:rsid w:val="009424E5"/>
    <w:rsid w:val="009427EC"/>
    <w:rsid w:val="009428CA"/>
    <w:rsid w:val="00942B07"/>
    <w:rsid w:val="00943DFD"/>
    <w:rsid w:val="00944489"/>
    <w:rsid w:val="009445C9"/>
    <w:rsid w:val="0094489C"/>
    <w:rsid w:val="00944E23"/>
    <w:rsid w:val="00944E52"/>
    <w:rsid w:val="0094515A"/>
    <w:rsid w:val="009457DE"/>
    <w:rsid w:val="009461DC"/>
    <w:rsid w:val="0094634B"/>
    <w:rsid w:val="00946421"/>
    <w:rsid w:val="00946702"/>
    <w:rsid w:val="00947317"/>
    <w:rsid w:val="009473C5"/>
    <w:rsid w:val="009479BC"/>
    <w:rsid w:val="00947B3D"/>
    <w:rsid w:val="00950556"/>
    <w:rsid w:val="009506B3"/>
    <w:rsid w:val="009510AF"/>
    <w:rsid w:val="00951AA6"/>
    <w:rsid w:val="00951F60"/>
    <w:rsid w:val="009529C3"/>
    <w:rsid w:val="009529D7"/>
    <w:rsid w:val="00952BB1"/>
    <w:rsid w:val="00952D9F"/>
    <w:rsid w:val="009532C5"/>
    <w:rsid w:val="00953474"/>
    <w:rsid w:val="00955377"/>
    <w:rsid w:val="0095559D"/>
    <w:rsid w:val="00955850"/>
    <w:rsid w:val="00955DAE"/>
    <w:rsid w:val="0095631C"/>
    <w:rsid w:val="009563C0"/>
    <w:rsid w:val="009564A2"/>
    <w:rsid w:val="00956863"/>
    <w:rsid w:val="00956D29"/>
    <w:rsid w:val="00956E8C"/>
    <w:rsid w:val="00956FC0"/>
    <w:rsid w:val="0095748D"/>
    <w:rsid w:val="009574CA"/>
    <w:rsid w:val="00957717"/>
    <w:rsid w:val="00957C0E"/>
    <w:rsid w:val="00957C63"/>
    <w:rsid w:val="00960E65"/>
    <w:rsid w:val="00961B0C"/>
    <w:rsid w:val="00962AEA"/>
    <w:rsid w:val="00962B59"/>
    <w:rsid w:val="00962E57"/>
    <w:rsid w:val="00962FF5"/>
    <w:rsid w:val="00963136"/>
    <w:rsid w:val="009638EA"/>
    <w:rsid w:val="00964623"/>
    <w:rsid w:val="00964A57"/>
    <w:rsid w:val="00964C12"/>
    <w:rsid w:val="00964CFC"/>
    <w:rsid w:val="00965263"/>
    <w:rsid w:val="009654B2"/>
    <w:rsid w:val="00965620"/>
    <w:rsid w:val="00965C5E"/>
    <w:rsid w:val="009662B7"/>
    <w:rsid w:val="0096706B"/>
    <w:rsid w:val="0096715F"/>
    <w:rsid w:val="009672F2"/>
    <w:rsid w:val="0096747A"/>
    <w:rsid w:val="00967C31"/>
    <w:rsid w:val="00970A6B"/>
    <w:rsid w:val="00970C03"/>
    <w:rsid w:val="00970D63"/>
    <w:rsid w:val="00970F1F"/>
    <w:rsid w:val="00970FA7"/>
    <w:rsid w:val="0097153D"/>
    <w:rsid w:val="009715F6"/>
    <w:rsid w:val="00971F2F"/>
    <w:rsid w:val="009728F8"/>
    <w:rsid w:val="009729E1"/>
    <w:rsid w:val="0097325A"/>
    <w:rsid w:val="00973364"/>
    <w:rsid w:val="0097342A"/>
    <w:rsid w:val="0097349B"/>
    <w:rsid w:val="00973889"/>
    <w:rsid w:val="009738F3"/>
    <w:rsid w:val="00973DD3"/>
    <w:rsid w:val="00974920"/>
    <w:rsid w:val="00974969"/>
    <w:rsid w:val="00974E1D"/>
    <w:rsid w:val="00975184"/>
    <w:rsid w:val="00975419"/>
    <w:rsid w:val="00975A88"/>
    <w:rsid w:val="00975CAB"/>
    <w:rsid w:val="00977BC8"/>
    <w:rsid w:val="00977BE7"/>
    <w:rsid w:val="00980A12"/>
    <w:rsid w:val="009810AF"/>
    <w:rsid w:val="00981259"/>
    <w:rsid w:val="00981403"/>
    <w:rsid w:val="009816C3"/>
    <w:rsid w:val="00981BC2"/>
    <w:rsid w:val="009822CD"/>
    <w:rsid w:val="00982769"/>
    <w:rsid w:val="00982AAA"/>
    <w:rsid w:val="00982DD1"/>
    <w:rsid w:val="00982E27"/>
    <w:rsid w:val="00982EE8"/>
    <w:rsid w:val="009836C3"/>
    <w:rsid w:val="00983A62"/>
    <w:rsid w:val="00983C11"/>
    <w:rsid w:val="00983D95"/>
    <w:rsid w:val="009840D1"/>
    <w:rsid w:val="00986144"/>
    <w:rsid w:val="00986CC1"/>
    <w:rsid w:val="00986CED"/>
    <w:rsid w:val="0098740F"/>
    <w:rsid w:val="00987470"/>
    <w:rsid w:val="00987624"/>
    <w:rsid w:val="00987E12"/>
    <w:rsid w:val="009906D6"/>
    <w:rsid w:val="00990BED"/>
    <w:rsid w:val="00990D18"/>
    <w:rsid w:val="00990D70"/>
    <w:rsid w:val="00990F66"/>
    <w:rsid w:val="009913C8"/>
    <w:rsid w:val="0099154A"/>
    <w:rsid w:val="0099154E"/>
    <w:rsid w:val="009916C1"/>
    <w:rsid w:val="00991E41"/>
    <w:rsid w:val="00992118"/>
    <w:rsid w:val="009927D9"/>
    <w:rsid w:val="00992990"/>
    <w:rsid w:val="00992F11"/>
    <w:rsid w:val="00993D82"/>
    <w:rsid w:val="0099409E"/>
    <w:rsid w:val="009944F8"/>
    <w:rsid w:val="00994BF5"/>
    <w:rsid w:val="00994C75"/>
    <w:rsid w:val="009952FE"/>
    <w:rsid w:val="00995C78"/>
    <w:rsid w:val="00995EC0"/>
    <w:rsid w:val="00995EEC"/>
    <w:rsid w:val="009963E4"/>
    <w:rsid w:val="0099658F"/>
    <w:rsid w:val="00996840"/>
    <w:rsid w:val="009968F5"/>
    <w:rsid w:val="0099742F"/>
    <w:rsid w:val="00997DF7"/>
    <w:rsid w:val="00997E36"/>
    <w:rsid w:val="00997E7B"/>
    <w:rsid w:val="00997F27"/>
    <w:rsid w:val="009A090C"/>
    <w:rsid w:val="009A0B98"/>
    <w:rsid w:val="009A118D"/>
    <w:rsid w:val="009A1962"/>
    <w:rsid w:val="009A26EE"/>
    <w:rsid w:val="009A2E6D"/>
    <w:rsid w:val="009A3C30"/>
    <w:rsid w:val="009A433C"/>
    <w:rsid w:val="009A475F"/>
    <w:rsid w:val="009A4AD4"/>
    <w:rsid w:val="009A605F"/>
    <w:rsid w:val="009A623F"/>
    <w:rsid w:val="009A7B71"/>
    <w:rsid w:val="009B00BF"/>
    <w:rsid w:val="009B00DB"/>
    <w:rsid w:val="009B05F8"/>
    <w:rsid w:val="009B0C2E"/>
    <w:rsid w:val="009B161E"/>
    <w:rsid w:val="009B1B9A"/>
    <w:rsid w:val="009B1ECA"/>
    <w:rsid w:val="009B2603"/>
    <w:rsid w:val="009B2673"/>
    <w:rsid w:val="009B312F"/>
    <w:rsid w:val="009B3157"/>
    <w:rsid w:val="009B415D"/>
    <w:rsid w:val="009B41D5"/>
    <w:rsid w:val="009B45F0"/>
    <w:rsid w:val="009B4735"/>
    <w:rsid w:val="009B47D0"/>
    <w:rsid w:val="009B47F5"/>
    <w:rsid w:val="009B4DAA"/>
    <w:rsid w:val="009B5152"/>
    <w:rsid w:val="009B5CB7"/>
    <w:rsid w:val="009B5DB5"/>
    <w:rsid w:val="009B5F1A"/>
    <w:rsid w:val="009B60B9"/>
    <w:rsid w:val="009B673E"/>
    <w:rsid w:val="009C0B0D"/>
    <w:rsid w:val="009C1130"/>
    <w:rsid w:val="009C1577"/>
    <w:rsid w:val="009C1D52"/>
    <w:rsid w:val="009C2C6F"/>
    <w:rsid w:val="009C2D70"/>
    <w:rsid w:val="009C39EC"/>
    <w:rsid w:val="009C3A66"/>
    <w:rsid w:val="009C3BDC"/>
    <w:rsid w:val="009C4236"/>
    <w:rsid w:val="009C4557"/>
    <w:rsid w:val="009C462E"/>
    <w:rsid w:val="009C49DF"/>
    <w:rsid w:val="009C4B64"/>
    <w:rsid w:val="009C4D97"/>
    <w:rsid w:val="009C5211"/>
    <w:rsid w:val="009C56EF"/>
    <w:rsid w:val="009C5C48"/>
    <w:rsid w:val="009C5E66"/>
    <w:rsid w:val="009C629B"/>
    <w:rsid w:val="009C6744"/>
    <w:rsid w:val="009C6F31"/>
    <w:rsid w:val="009C7110"/>
    <w:rsid w:val="009C7C05"/>
    <w:rsid w:val="009C7C7B"/>
    <w:rsid w:val="009C7FF1"/>
    <w:rsid w:val="009D02EA"/>
    <w:rsid w:val="009D0881"/>
    <w:rsid w:val="009D09D1"/>
    <w:rsid w:val="009D0E97"/>
    <w:rsid w:val="009D124A"/>
    <w:rsid w:val="009D12E9"/>
    <w:rsid w:val="009D1557"/>
    <w:rsid w:val="009D3417"/>
    <w:rsid w:val="009D3767"/>
    <w:rsid w:val="009D3AEA"/>
    <w:rsid w:val="009D44D9"/>
    <w:rsid w:val="009D4807"/>
    <w:rsid w:val="009D513F"/>
    <w:rsid w:val="009D576D"/>
    <w:rsid w:val="009D5CC3"/>
    <w:rsid w:val="009D6859"/>
    <w:rsid w:val="009D6AE4"/>
    <w:rsid w:val="009D730F"/>
    <w:rsid w:val="009D7736"/>
    <w:rsid w:val="009D7855"/>
    <w:rsid w:val="009D7892"/>
    <w:rsid w:val="009D7C27"/>
    <w:rsid w:val="009D7C47"/>
    <w:rsid w:val="009E0E91"/>
    <w:rsid w:val="009E149D"/>
    <w:rsid w:val="009E1935"/>
    <w:rsid w:val="009E1A93"/>
    <w:rsid w:val="009E1D81"/>
    <w:rsid w:val="009E1FFE"/>
    <w:rsid w:val="009E2256"/>
    <w:rsid w:val="009E29A1"/>
    <w:rsid w:val="009E30F7"/>
    <w:rsid w:val="009E3261"/>
    <w:rsid w:val="009E34AB"/>
    <w:rsid w:val="009E3526"/>
    <w:rsid w:val="009E3620"/>
    <w:rsid w:val="009E36A5"/>
    <w:rsid w:val="009E39C1"/>
    <w:rsid w:val="009E3AB1"/>
    <w:rsid w:val="009E3AC2"/>
    <w:rsid w:val="009E3DBB"/>
    <w:rsid w:val="009E3F33"/>
    <w:rsid w:val="009E468D"/>
    <w:rsid w:val="009E5234"/>
    <w:rsid w:val="009E5244"/>
    <w:rsid w:val="009E5BF8"/>
    <w:rsid w:val="009E5E11"/>
    <w:rsid w:val="009E695B"/>
    <w:rsid w:val="009E6AFB"/>
    <w:rsid w:val="009E6BCD"/>
    <w:rsid w:val="009E6EEA"/>
    <w:rsid w:val="009E7019"/>
    <w:rsid w:val="009E75AA"/>
    <w:rsid w:val="009F0867"/>
    <w:rsid w:val="009F0C11"/>
    <w:rsid w:val="009F1511"/>
    <w:rsid w:val="009F154A"/>
    <w:rsid w:val="009F166F"/>
    <w:rsid w:val="009F1915"/>
    <w:rsid w:val="009F19A3"/>
    <w:rsid w:val="009F27AA"/>
    <w:rsid w:val="009F2F8B"/>
    <w:rsid w:val="009F3D08"/>
    <w:rsid w:val="009F4A7C"/>
    <w:rsid w:val="009F5506"/>
    <w:rsid w:val="009F576E"/>
    <w:rsid w:val="009F59CE"/>
    <w:rsid w:val="009F5AB7"/>
    <w:rsid w:val="009F6A10"/>
    <w:rsid w:val="009F6BC1"/>
    <w:rsid w:val="009F6BD7"/>
    <w:rsid w:val="009F6C99"/>
    <w:rsid w:val="009F6CE6"/>
    <w:rsid w:val="009F6D47"/>
    <w:rsid w:val="009F6F79"/>
    <w:rsid w:val="009F70EF"/>
    <w:rsid w:val="009F7A94"/>
    <w:rsid w:val="009F7B89"/>
    <w:rsid w:val="009F7BFE"/>
    <w:rsid w:val="009F7F03"/>
    <w:rsid w:val="00A00ABF"/>
    <w:rsid w:val="00A013D2"/>
    <w:rsid w:val="00A01781"/>
    <w:rsid w:val="00A019A2"/>
    <w:rsid w:val="00A01EF5"/>
    <w:rsid w:val="00A01F3C"/>
    <w:rsid w:val="00A0203C"/>
    <w:rsid w:val="00A02C03"/>
    <w:rsid w:val="00A02F2A"/>
    <w:rsid w:val="00A03506"/>
    <w:rsid w:val="00A035D5"/>
    <w:rsid w:val="00A03F3F"/>
    <w:rsid w:val="00A040E8"/>
    <w:rsid w:val="00A0454E"/>
    <w:rsid w:val="00A04A1A"/>
    <w:rsid w:val="00A04E11"/>
    <w:rsid w:val="00A04ECB"/>
    <w:rsid w:val="00A050FA"/>
    <w:rsid w:val="00A05178"/>
    <w:rsid w:val="00A05206"/>
    <w:rsid w:val="00A056BF"/>
    <w:rsid w:val="00A05B0F"/>
    <w:rsid w:val="00A06475"/>
    <w:rsid w:val="00A06A1A"/>
    <w:rsid w:val="00A07CF9"/>
    <w:rsid w:val="00A105D4"/>
    <w:rsid w:val="00A108EB"/>
    <w:rsid w:val="00A112EB"/>
    <w:rsid w:val="00A11670"/>
    <w:rsid w:val="00A117DC"/>
    <w:rsid w:val="00A120C5"/>
    <w:rsid w:val="00A121A1"/>
    <w:rsid w:val="00A1232C"/>
    <w:rsid w:val="00A12366"/>
    <w:rsid w:val="00A124FB"/>
    <w:rsid w:val="00A12A9F"/>
    <w:rsid w:val="00A12D66"/>
    <w:rsid w:val="00A12E14"/>
    <w:rsid w:val="00A136EE"/>
    <w:rsid w:val="00A14A91"/>
    <w:rsid w:val="00A14EE0"/>
    <w:rsid w:val="00A153AB"/>
    <w:rsid w:val="00A156BF"/>
    <w:rsid w:val="00A15936"/>
    <w:rsid w:val="00A165B1"/>
    <w:rsid w:val="00A16688"/>
    <w:rsid w:val="00A17109"/>
    <w:rsid w:val="00A179C2"/>
    <w:rsid w:val="00A201F7"/>
    <w:rsid w:val="00A20313"/>
    <w:rsid w:val="00A20805"/>
    <w:rsid w:val="00A2090A"/>
    <w:rsid w:val="00A20F96"/>
    <w:rsid w:val="00A21004"/>
    <w:rsid w:val="00A2109F"/>
    <w:rsid w:val="00A210AF"/>
    <w:rsid w:val="00A21145"/>
    <w:rsid w:val="00A2124F"/>
    <w:rsid w:val="00A214B1"/>
    <w:rsid w:val="00A2195E"/>
    <w:rsid w:val="00A21CE1"/>
    <w:rsid w:val="00A21E91"/>
    <w:rsid w:val="00A21F8F"/>
    <w:rsid w:val="00A22D44"/>
    <w:rsid w:val="00A23AAF"/>
    <w:rsid w:val="00A23C2F"/>
    <w:rsid w:val="00A240A1"/>
    <w:rsid w:val="00A240D5"/>
    <w:rsid w:val="00A2411A"/>
    <w:rsid w:val="00A2510D"/>
    <w:rsid w:val="00A25159"/>
    <w:rsid w:val="00A251BE"/>
    <w:rsid w:val="00A25DA9"/>
    <w:rsid w:val="00A27049"/>
    <w:rsid w:val="00A270E6"/>
    <w:rsid w:val="00A27103"/>
    <w:rsid w:val="00A2750D"/>
    <w:rsid w:val="00A27662"/>
    <w:rsid w:val="00A27FE9"/>
    <w:rsid w:val="00A30896"/>
    <w:rsid w:val="00A31545"/>
    <w:rsid w:val="00A31795"/>
    <w:rsid w:val="00A31E7B"/>
    <w:rsid w:val="00A328E1"/>
    <w:rsid w:val="00A32A16"/>
    <w:rsid w:val="00A330E8"/>
    <w:rsid w:val="00A3321E"/>
    <w:rsid w:val="00A332F5"/>
    <w:rsid w:val="00A336B4"/>
    <w:rsid w:val="00A33776"/>
    <w:rsid w:val="00A33862"/>
    <w:rsid w:val="00A33E98"/>
    <w:rsid w:val="00A33F94"/>
    <w:rsid w:val="00A34CDC"/>
    <w:rsid w:val="00A34F64"/>
    <w:rsid w:val="00A3529F"/>
    <w:rsid w:val="00A3565F"/>
    <w:rsid w:val="00A35B8A"/>
    <w:rsid w:val="00A363C4"/>
    <w:rsid w:val="00A36782"/>
    <w:rsid w:val="00A36AA7"/>
    <w:rsid w:val="00A36AC4"/>
    <w:rsid w:val="00A36DA0"/>
    <w:rsid w:val="00A374A9"/>
    <w:rsid w:val="00A4028C"/>
    <w:rsid w:val="00A402FF"/>
    <w:rsid w:val="00A40518"/>
    <w:rsid w:val="00A40898"/>
    <w:rsid w:val="00A4160E"/>
    <w:rsid w:val="00A41929"/>
    <w:rsid w:val="00A41D33"/>
    <w:rsid w:val="00A41D65"/>
    <w:rsid w:val="00A42150"/>
    <w:rsid w:val="00A42506"/>
    <w:rsid w:val="00A42F0B"/>
    <w:rsid w:val="00A42F4B"/>
    <w:rsid w:val="00A43A3D"/>
    <w:rsid w:val="00A43C5A"/>
    <w:rsid w:val="00A43E10"/>
    <w:rsid w:val="00A43E28"/>
    <w:rsid w:val="00A4435B"/>
    <w:rsid w:val="00A44474"/>
    <w:rsid w:val="00A44902"/>
    <w:rsid w:val="00A44914"/>
    <w:rsid w:val="00A44E9A"/>
    <w:rsid w:val="00A44ECD"/>
    <w:rsid w:val="00A451B0"/>
    <w:rsid w:val="00A458C9"/>
    <w:rsid w:val="00A45A70"/>
    <w:rsid w:val="00A45B11"/>
    <w:rsid w:val="00A45DB8"/>
    <w:rsid w:val="00A45FED"/>
    <w:rsid w:val="00A46191"/>
    <w:rsid w:val="00A46773"/>
    <w:rsid w:val="00A47203"/>
    <w:rsid w:val="00A474F1"/>
    <w:rsid w:val="00A4755F"/>
    <w:rsid w:val="00A47A25"/>
    <w:rsid w:val="00A47C80"/>
    <w:rsid w:val="00A47DE0"/>
    <w:rsid w:val="00A50659"/>
    <w:rsid w:val="00A50E35"/>
    <w:rsid w:val="00A51AC0"/>
    <w:rsid w:val="00A51B70"/>
    <w:rsid w:val="00A51D1E"/>
    <w:rsid w:val="00A51DE4"/>
    <w:rsid w:val="00A51E57"/>
    <w:rsid w:val="00A52896"/>
    <w:rsid w:val="00A53460"/>
    <w:rsid w:val="00A534DA"/>
    <w:rsid w:val="00A53567"/>
    <w:rsid w:val="00A539AC"/>
    <w:rsid w:val="00A54810"/>
    <w:rsid w:val="00A549EC"/>
    <w:rsid w:val="00A54EA0"/>
    <w:rsid w:val="00A54F8A"/>
    <w:rsid w:val="00A55253"/>
    <w:rsid w:val="00A556E5"/>
    <w:rsid w:val="00A55A79"/>
    <w:rsid w:val="00A55DF3"/>
    <w:rsid w:val="00A562F2"/>
    <w:rsid w:val="00A56EAB"/>
    <w:rsid w:val="00A56F6F"/>
    <w:rsid w:val="00A56F88"/>
    <w:rsid w:val="00A56FBE"/>
    <w:rsid w:val="00A5725B"/>
    <w:rsid w:val="00A577F6"/>
    <w:rsid w:val="00A600FD"/>
    <w:rsid w:val="00A601AB"/>
    <w:rsid w:val="00A60581"/>
    <w:rsid w:val="00A60AB0"/>
    <w:rsid w:val="00A613CF"/>
    <w:rsid w:val="00A615B6"/>
    <w:rsid w:val="00A6224A"/>
    <w:rsid w:val="00A62480"/>
    <w:rsid w:val="00A626E4"/>
    <w:rsid w:val="00A62900"/>
    <w:rsid w:val="00A635DF"/>
    <w:rsid w:val="00A64994"/>
    <w:rsid w:val="00A656F6"/>
    <w:rsid w:val="00A663E7"/>
    <w:rsid w:val="00A66B79"/>
    <w:rsid w:val="00A66B7C"/>
    <w:rsid w:val="00A66ED1"/>
    <w:rsid w:val="00A66F96"/>
    <w:rsid w:val="00A67099"/>
    <w:rsid w:val="00A673BF"/>
    <w:rsid w:val="00A67D7F"/>
    <w:rsid w:val="00A70B4B"/>
    <w:rsid w:val="00A70B81"/>
    <w:rsid w:val="00A70CD1"/>
    <w:rsid w:val="00A713F3"/>
    <w:rsid w:val="00A71740"/>
    <w:rsid w:val="00A71787"/>
    <w:rsid w:val="00A71E72"/>
    <w:rsid w:val="00A7218C"/>
    <w:rsid w:val="00A7286B"/>
    <w:rsid w:val="00A72A1A"/>
    <w:rsid w:val="00A72E54"/>
    <w:rsid w:val="00A72E59"/>
    <w:rsid w:val="00A72F25"/>
    <w:rsid w:val="00A731A8"/>
    <w:rsid w:val="00A7357F"/>
    <w:rsid w:val="00A739F6"/>
    <w:rsid w:val="00A73A8F"/>
    <w:rsid w:val="00A7414C"/>
    <w:rsid w:val="00A74489"/>
    <w:rsid w:val="00A74BCD"/>
    <w:rsid w:val="00A75268"/>
    <w:rsid w:val="00A75843"/>
    <w:rsid w:val="00A75E60"/>
    <w:rsid w:val="00A7675C"/>
    <w:rsid w:val="00A76AA9"/>
    <w:rsid w:val="00A76E1A"/>
    <w:rsid w:val="00A7723C"/>
    <w:rsid w:val="00A776B7"/>
    <w:rsid w:val="00A77D98"/>
    <w:rsid w:val="00A80512"/>
    <w:rsid w:val="00A80DCB"/>
    <w:rsid w:val="00A81420"/>
    <w:rsid w:val="00A81587"/>
    <w:rsid w:val="00A8186B"/>
    <w:rsid w:val="00A82238"/>
    <w:rsid w:val="00A8355F"/>
    <w:rsid w:val="00A8357B"/>
    <w:rsid w:val="00A8388F"/>
    <w:rsid w:val="00A83985"/>
    <w:rsid w:val="00A83E01"/>
    <w:rsid w:val="00A840BF"/>
    <w:rsid w:val="00A84848"/>
    <w:rsid w:val="00A84EB2"/>
    <w:rsid w:val="00A85081"/>
    <w:rsid w:val="00A852CE"/>
    <w:rsid w:val="00A853F8"/>
    <w:rsid w:val="00A85DEF"/>
    <w:rsid w:val="00A85ED5"/>
    <w:rsid w:val="00A85FF9"/>
    <w:rsid w:val="00A86F8E"/>
    <w:rsid w:val="00A870DC"/>
    <w:rsid w:val="00A9054A"/>
    <w:rsid w:val="00A90914"/>
    <w:rsid w:val="00A91887"/>
    <w:rsid w:val="00A9196F"/>
    <w:rsid w:val="00A91C3A"/>
    <w:rsid w:val="00A91CE8"/>
    <w:rsid w:val="00A921F0"/>
    <w:rsid w:val="00A9281C"/>
    <w:rsid w:val="00A93E81"/>
    <w:rsid w:val="00A941CE"/>
    <w:rsid w:val="00A9435A"/>
    <w:rsid w:val="00A94DEA"/>
    <w:rsid w:val="00A95047"/>
    <w:rsid w:val="00A955E8"/>
    <w:rsid w:val="00A95B2F"/>
    <w:rsid w:val="00A96087"/>
    <w:rsid w:val="00A96316"/>
    <w:rsid w:val="00A96371"/>
    <w:rsid w:val="00A96A2D"/>
    <w:rsid w:val="00A96B6A"/>
    <w:rsid w:val="00A96BE5"/>
    <w:rsid w:val="00A96E84"/>
    <w:rsid w:val="00A9715F"/>
    <w:rsid w:val="00A97270"/>
    <w:rsid w:val="00A97736"/>
    <w:rsid w:val="00A979DA"/>
    <w:rsid w:val="00A97ADB"/>
    <w:rsid w:val="00A97F11"/>
    <w:rsid w:val="00AA0111"/>
    <w:rsid w:val="00AA024E"/>
    <w:rsid w:val="00AA0859"/>
    <w:rsid w:val="00AA0A6F"/>
    <w:rsid w:val="00AA1560"/>
    <w:rsid w:val="00AA1C43"/>
    <w:rsid w:val="00AA1D03"/>
    <w:rsid w:val="00AA23EA"/>
    <w:rsid w:val="00AA2AB9"/>
    <w:rsid w:val="00AA2FA3"/>
    <w:rsid w:val="00AA308C"/>
    <w:rsid w:val="00AA3448"/>
    <w:rsid w:val="00AA378D"/>
    <w:rsid w:val="00AA3879"/>
    <w:rsid w:val="00AA45AF"/>
    <w:rsid w:val="00AA561A"/>
    <w:rsid w:val="00AA571A"/>
    <w:rsid w:val="00AA78EB"/>
    <w:rsid w:val="00AA7A8C"/>
    <w:rsid w:val="00AB035B"/>
    <w:rsid w:val="00AB0433"/>
    <w:rsid w:val="00AB092C"/>
    <w:rsid w:val="00AB1129"/>
    <w:rsid w:val="00AB11E3"/>
    <w:rsid w:val="00AB1884"/>
    <w:rsid w:val="00AB1A85"/>
    <w:rsid w:val="00AB1C3D"/>
    <w:rsid w:val="00AB26FE"/>
    <w:rsid w:val="00AB2896"/>
    <w:rsid w:val="00AB2C1C"/>
    <w:rsid w:val="00AB2DED"/>
    <w:rsid w:val="00AB318E"/>
    <w:rsid w:val="00AB3EEE"/>
    <w:rsid w:val="00AB40C8"/>
    <w:rsid w:val="00AB4193"/>
    <w:rsid w:val="00AB44C9"/>
    <w:rsid w:val="00AB452F"/>
    <w:rsid w:val="00AB4F35"/>
    <w:rsid w:val="00AB4F7A"/>
    <w:rsid w:val="00AB56EC"/>
    <w:rsid w:val="00AB5AB4"/>
    <w:rsid w:val="00AB5B00"/>
    <w:rsid w:val="00AB5D89"/>
    <w:rsid w:val="00AB5F63"/>
    <w:rsid w:val="00AB6637"/>
    <w:rsid w:val="00AB6AF5"/>
    <w:rsid w:val="00AB758A"/>
    <w:rsid w:val="00AB7773"/>
    <w:rsid w:val="00AB7B6A"/>
    <w:rsid w:val="00AB7CEC"/>
    <w:rsid w:val="00AC0115"/>
    <w:rsid w:val="00AC06C3"/>
    <w:rsid w:val="00AC0E37"/>
    <w:rsid w:val="00AC0FA9"/>
    <w:rsid w:val="00AC13EE"/>
    <w:rsid w:val="00AC1618"/>
    <w:rsid w:val="00AC2231"/>
    <w:rsid w:val="00AC2901"/>
    <w:rsid w:val="00AC293A"/>
    <w:rsid w:val="00AC2B8E"/>
    <w:rsid w:val="00AC3A35"/>
    <w:rsid w:val="00AC41A1"/>
    <w:rsid w:val="00AC46DB"/>
    <w:rsid w:val="00AC4A0C"/>
    <w:rsid w:val="00AC4B0D"/>
    <w:rsid w:val="00AC4CCA"/>
    <w:rsid w:val="00AC4EBE"/>
    <w:rsid w:val="00AC4EE6"/>
    <w:rsid w:val="00AC504E"/>
    <w:rsid w:val="00AC52E1"/>
    <w:rsid w:val="00AC5547"/>
    <w:rsid w:val="00AC5E6A"/>
    <w:rsid w:val="00AC5EC1"/>
    <w:rsid w:val="00AC6B55"/>
    <w:rsid w:val="00AC6FB6"/>
    <w:rsid w:val="00AC719A"/>
    <w:rsid w:val="00AC79A6"/>
    <w:rsid w:val="00AC7D45"/>
    <w:rsid w:val="00AD01F2"/>
    <w:rsid w:val="00AD07AA"/>
    <w:rsid w:val="00AD0FB1"/>
    <w:rsid w:val="00AD10C4"/>
    <w:rsid w:val="00AD1520"/>
    <w:rsid w:val="00AD1537"/>
    <w:rsid w:val="00AD1B9A"/>
    <w:rsid w:val="00AD1FD3"/>
    <w:rsid w:val="00AD2026"/>
    <w:rsid w:val="00AD27F0"/>
    <w:rsid w:val="00AD2A89"/>
    <w:rsid w:val="00AD2B1B"/>
    <w:rsid w:val="00AD30EB"/>
    <w:rsid w:val="00AD358F"/>
    <w:rsid w:val="00AD35A6"/>
    <w:rsid w:val="00AD3A87"/>
    <w:rsid w:val="00AD45B8"/>
    <w:rsid w:val="00AD45FD"/>
    <w:rsid w:val="00AD4675"/>
    <w:rsid w:val="00AD4B8D"/>
    <w:rsid w:val="00AD58CA"/>
    <w:rsid w:val="00AD6180"/>
    <w:rsid w:val="00AD6262"/>
    <w:rsid w:val="00AD6286"/>
    <w:rsid w:val="00AD6299"/>
    <w:rsid w:val="00AD6BD3"/>
    <w:rsid w:val="00AD7069"/>
    <w:rsid w:val="00AD7426"/>
    <w:rsid w:val="00AD7BBE"/>
    <w:rsid w:val="00AE00EC"/>
    <w:rsid w:val="00AE05A2"/>
    <w:rsid w:val="00AE06A8"/>
    <w:rsid w:val="00AE131D"/>
    <w:rsid w:val="00AE199D"/>
    <w:rsid w:val="00AE19E1"/>
    <w:rsid w:val="00AE24B0"/>
    <w:rsid w:val="00AE2773"/>
    <w:rsid w:val="00AE2993"/>
    <w:rsid w:val="00AE2DAF"/>
    <w:rsid w:val="00AE2F79"/>
    <w:rsid w:val="00AE30DB"/>
    <w:rsid w:val="00AE3474"/>
    <w:rsid w:val="00AE3C84"/>
    <w:rsid w:val="00AE3D30"/>
    <w:rsid w:val="00AE425B"/>
    <w:rsid w:val="00AE4721"/>
    <w:rsid w:val="00AE4E0F"/>
    <w:rsid w:val="00AE4E7A"/>
    <w:rsid w:val="00AE6CEA"/>
    <w:rsid w:val="00AE71A5"/>
    <w:rsid w:val="00AF0B20"/>
    <w:rsid w:val="00AF0D37"/>
    <w:rsid w:val="00AF0DDA"/>
    <w:rsid w:val="00AF1AB0"/>
    <w:rsid w:val="00AF1AC1"/>
    <w:rsid w:val="00AF1F46"/>
    <w:rsid w:val="00AF23C8"/>
    <w:rsid w:val="00AF297D"/>
    <w:rsid w:val="00AF3153"/>
    <w:rsid w:val="00AF459A"/>
    <w:rsid w:val="00AF4CA9"/>
    <w:rsid w:val="00AF5036"/>
    <w:rsid w:val="00AF5793"/>
    <w:rsid w:val="00AF5CDC"/>
    <w:rsid w:val="00AF5F3E"/>
    <w:rsid w:val="00AF681F"/>
    <w:rsid w:val="00AF6861"/>
    <w:rsid w:val="00AF6A7D"/>
    <w:rsid w:val="00AF6B6A"/>
    <w:rsid w:val="00AF6E00"/>
    <w:rsid w:val="00AF735E"/>
    <w:rsid w:val="00AF78B1"/>
    <w:rsid w:val="00AF7E4D"/>
    <w:rsid w:val="00AF7E7D"/>
    <w:rsid w:val="00AF7E9C"/>
    <w:rsid w:val="00B00FBD"/>
    <w:rsid w:val="00B01438"/>
    <w:rsid w:val="00B01916"/>
    <w:rsid w:val="00B019F6"/>
    <w:rsid w:val="00B0206E"/>
    <w:rsid w:val="00B02234"/>
    <w:rsid w:val="00B02726"/>
    <w:rsid w:val="00B02BFD"/>
    <w:rsid w:val="00B03BAE"/>
    <w:rsid w:val="00B03E8C"/>
    <w:rsid w:val="00B04602"/>
    <w:rsid w:val="00B04655"/>
    <w:rsid w:val="00B04748"/>
    <w:rsid w:val="00B057AF"/>
    <w:rsid w:val="00B057C5"/>
    <w:rsid w:val="00B058CB"/>
    <w:rsid w:val="00B05C1F"/>
    <w:rsid w:val="00B067D6"/>
    <w:rsid w:val="00B06E98"/>
    <w:rsid w:val="00B072E4"/>
    <w:rsid w:val="00B07423"/>
    <w:rsid w:val="00B076A2"/>
    <w:rsid w:val="00B102C3"/>
    <w:rsid w:val="00B10921"/>
    <w:rsid w:val="00B1111B"/>
    <w:rsid w:val="00B11782"/>
    <w:rsid w:val="00B11DB2"/>
    <w:rsid w:val="00B11F61"/>
    <w:rsid w:val="00B12183"/>
    <w:rsid w:val="00B12679"/>
    <w:rsid w:val="00B12AF6"/>
    <w:rsid w:val="00B12CF8"/>
    <w:rsid w:val="00B12FBB"/>
    <w:rsid w:val="00B131CD"/>
    <w:rsid w:val="00B1407B"/>
    <w:rsid w:val="00B14116"/>
    <w:rsid w:val="00B14191"/>
    <w:rsid w:val="00B14738"/>
    <w:rsid w:val="00B14916"/>
    <w:rsid w:val="00B151BF"/>
    <w:rsid w:val="00B15433"/>
    <w:rsid w:val="00B15BBC"/>
    <w:rsid w:val="00B15E2D"/>
    <w:rsid w:val="00B16A80"/>
    <w:rsid w:val="00B16BC2"/>
    <w:rsid w:val="00B16EF4"/>
    <w:rsid w:val="00B17420"/>
    <w:rsid w:val="00B177EC"/>
    <w:rsid w:val="00B17816"/>
    <w:rsid w:val="00B206E1"/>
    <w:rsid w:val="00B20E82"/>
    <w:rsid w:val="00B20EB0"/>
    <w:rsid w:val="00B20F68"/>
    <w:rsid w:val="00B210DB"/>
    <w:rsid w:val="00B21520"/>
    <w:rsid w:val="00B21CE7"/>
    <w:rsid w:val="00B22AD6"/>
    <w:rsid w:val="00B22D4C"/>
    <w:rsid w:val="00B22F32"/>
    <w:rsid w:val="00B23EB5"/>
    <w:rsid w:val="00B24029"/>
    <w:rsid w:val="00B24280"/>
    <w:rsid w:val="00B24283"/>
    <w:rsid w:val="00B24FA1"/>
    <w:rsid w:val="00B25186"/>
    <w:rsid w:val="00B252F2"/>
    <w:rsid w:val="00B25E4C"/>
    <w:rsid w:val="00B266C6"/>
    <w:rsid w:val="00B267A4"/>
    <w:rsid w:val="00B26892"/>
    <w:rsid w:val="00B26EB1"/>
    <w:rsid w:val="00B2788E"/>
    <w:rsid w:val="00B30098"/>
    <w:rsid w:val="00B3093B"/>
    <w:rsid w:val="00B30C97"/>
    <w:rsid w:val="00B30D0B"/>
    <w:rsid w:val="00B3102F"/>
    <w:rsid w:val="00B314A7"/>
    <w:rsid w:val="00B31AD3"/>
    <w:rsid w:val="00B31FDD"/>
    <w:rsid w:val="00B320A2"/>
    <w:rsid w:val="00B32930"/>
    <w:rsid w:val="00B32C58"/>
    <w:rsid w:val="00B3345E"/>
    <w:rsid w:val="00B33564"/>
    <w:rsid w:val="00B3393C"/>
    <w:rsid w:val="00B339D4"/>
    <w:rsid w:val="00B33C69"/>
    <w:rsid w:val="00B34A6B"/>
    <w:rsid w:val="00B35972"/>
    <w:rsid w:val="00B3601B"/>
    <w:rsid w:val="00B36EFF"/>
    <w:rsid w:val="00B37488"/>
    <w:rsid w:val="00B37B40"/>
    <w:rsid w:val="00B406AC"/>
    <w:rsid w:val="00B410AF"/>
    <w:rsid w:val="00B41252"/>
    <w:rsid w:val="00B41494"/>
    <w:rsid w:val="00B41A11"/>
    <w:rsid w:val="00B41E1B"/>
    <w:rsid w:val="00B4336A"/>
    <w:rsid w:val="00B4344B"/>
    <w:rsid w:val="00B435A8"/>
    <w:rsid w:val="00B43D6F"/>
    <w:rsid w:val="00B4480B"/>
    <w:rsid w:val="00B44938"/>
    <w:rsid w:val="00B45556"/>
    <w:rsid w:val="00B45D4C"/>
    <w:rsid w:val="00B468C8"/>
    <w:rsid w:val="00B469E5"/>
    <w:rsid w:val="00B46FA2"/>
    <w:rsid w:val="00B4711C"/>
    <w:rsid w:val="00B47744"/>
    <w:rsid w:val="00B4790D"/>
    <w:rsid w:val="00B47CFA"/>
    <w:rsid w:val="00B50AD7"/>
    <w:rsid w:val="00B50D91"/>
    <w:rsid w:val="00B51426"/>
    <w:rsid w:val="00B5144D"/>
    <w:rsid w:val="00B514BE"/>
    <w:rsid w:val="00B521FF"/>
    <w:rsid w:val="00B53E37"/>
    <w:rsid w:val="00B54201"/>
    <w:rsid w:val="00B544F1"/>
    <w:rsid w:val="00B564D2"/>
    <w:rsid w:val="00B5650F"/>
    <w:rsid w:val="00B571CD"/>
    <w:rsid w:val="00B572F8"/>
    <w:rsid w:val="00B575B7"/>
    <w:rsid w:val="00B5786F"/>
    <w:rsid w:val="00B57F0B"/>
    <w:rsid w:val="00B60301"/>
    <w:rsid w:val="00B60A70"/>
    <w:rsid w:val="00B60C14"/>
    <w:rsid w:val="00B60C1A"/>
    <w:rsid w:val="00B61A8D"/>
    <w:rsid w:val="00B61FFE"/>
    <w:rsid w:val="00B62332"/>
    <w:rsid w:val="00B6242E"/>
    <w:rsid w:val="00B6303F"/>
    <w:rsid w:val="00B6320F"/>
    <w:rsid w:val="00B633DD"/>
    <w:rsid w:val="00B634F8"/>
    <w:rsid w:val="00B63561"/>
    <w:rsid w:val="00B6423A"/>
    <w:rsid w:val="00B6442F"/>
    <w:rsid w:val="00B6450C"/>
    <w:rsid w:val="00B64583"/>
    <w:rsid w:val="00B64E72"/>
    <w:rsid w:val="00B64F8C"/>
    <w:rsid w:val="00B65620"/>
    <w:rsid w:val="00B65712"/>
    <w:rsid w:val="00B6581F"/>
    <w:rsid w:val="00B65BFB"/>
    <w:rsid w:val="00B668CD"/>
    <w:rsid w:val="00B66956"/>
    <w:rsid w:val="00B66A8E"/>
    <w:rsid w:val="00B66DEF"/>
    <w:rsid w:val="00B66F59"/>
    <w:rsid w:val="00B671BA"/>
    <w:rsid w:val="00B672D9"/>
    <w:rsid w:val="00B67D6B"/>
    <w:rsid w:val="00B70A8A"/>
    <w:rsid w:val="00B713F9"/>
    <w:rsid w:val="00B720B7"/>
    <w:rsid w:val="00B72732"/>
    <w:rsid w:val="00B727D3"/>
    <w:rsid w:val="00B73138"/>
    <w:rsid w:val="00B737B5"/>
    <w:rsid w:val="00B737C1"/>
    <w:rsid w:val="00B74C78"/>
    <w:rsid w:val="00B74FBA"/>
    <w:rsid w:val="00B7530B"/>
    <w:rsid w:val="00B753C8"/>
    <w:rsid w:val="00B759C3"/>
    <w:rsid w:val="00B75F62"/>
    <w:rsid w:val="00B75F6D"/>
    <w:rsid w:val="00B76875"/>
    <w:rsid w:val="00B76950"/>
    <w:rsid w:val="00B76D16"/>
    <w:rsid w:val="00B76F3E"/>
    <w:rsid w:val="00B77730"/>
    <w:rsid w:val="00B778AC"/>
    <w:rsid w:val="00B77990"/>
    <w:rsid w:val="00B805A3"/>
    <w:rsid w:val="00B809B8"/>
    <w:rsid w:val="00B80BB1"/>
    <w:rsid w:val="00B80E1D"/>
    <w:rsid w:val="00B80E3D"/>
    <w:rsid w:val="00B81A89"/>
    <w:rsid w:val="00B81AD0"/>
    <w:rsid w:val="00B81B3C"/>
    <w:rsid w:val="00B82103"/>
    <w:rsid w:val="00B82A90"/>
    <w:rsid w:val="00B82AB6"/>
    <w:rsid w:val="00B8335E"/>
    <w:rsid w:val="00B83637"/>
    <w:rsid w:val="00B8376A"/>
    <w:rsid w:val="00B83819"/>
    <w:rsid w:val="00B83BCC"/>
    <w:rsid w:val="00B83F20"/>
    <w:rsid w:val="00B840F6"/>
    <w:rsid w:val="00B841B6"/>
    <w:rsid w:val="00B841DB"/>
    <w:rsid w:val="00B8426C"/>
    <w:rsid w:val="00B847D1"/>
    <w:rsid w:val="00B8500F"/>
    <w:rsid w:val="00B852F7"/>
    <w:rsid w:val="00B8541F"/>
    <w:rsid w:val="00B85757"/>
    <w:rsid w:val="00B85C91"/>
    <w:rsid w:val="00B86102"/>
    <w:rsid w:val="00B867AE"/>
    <w:rsid w:val="00B86B51"/>
    <w:rsid w:val="00B87569"/>
    <w:rsid w:val="00B87FD0"/>
    <w:rsid w:val="00B905AA"/>
    <w:rsid w:val="00B906E4"/>
    <w:rsid w:val="00B907E2"/>
    <w:rsid w:val="00B90A34"/>
    <w:rsid w:val="00B90D9C"/>
    <w:rsid w:val="00B916BE"/>
    <w:rsid w:val="00B917F4"/>
    <w:rsid w:val="00B91ECF"/>
    <w:rsid w:val="00B9235C"/>
    <w:rsid w:val="00B92477"/>
    <w:rsid w:val="00B928E0"/>
    <w:rsid w:val="00B93227"/>
    <w:rsid w:val="00B933D3"/>
    <w:rsid w:val="00B934F3"/>
    <w:rsid w:val="00B93582"/>
    <w:rsid w:val="00B93B84"/>
    <w:rsid w:val="00B9422E"/>
    <w:rsid w:val="00B946CA"/>
    <w:rsid w:val="00B94E87"/>
    <w:rsid w:val="00B94EE7"/>
    <w:rsid w:val="00B94FAD"/>
    <w:rsid w:val="00B9517B"/>
    <w:rsid w:val="00B951D4"/>
    <w:rsid w:val="00B95453"/>
    <w:rsid w:val="00B957CD"/>
    <w:rsid w:val="00B95928"/>
    <w:rsid w:val="00B95EB5"/>
    <w:rsid w:val="00B96267"/>
    <w:rsid w:val="00B96820"/>
    <w:rsid w:val="00B96C22"/>
    <w:rsid w:val="00B971BB"/>
    <w:rsid w:val="00B97309"/>
    <w:rsid w:val="00B97643"/>
    <w:rsid w:val="00B97C3D"/>
    <w:rsid w:val="00BA068E"/>
    <w:rsid w:val="00BA0964"/>
    <w:rsid w:val="00BA0AFA"/>
    <w:rsid w:val="00BA0C4B"/>
    <w:rsid w:val="00BA0D23"/>
    <w:rsid w:val="00BA1572"/>
    <w:rsid w:val="00BA1AD3"/>
    <w:rsid w:val="00BA20A3"/>
    <w:rsid w:val="00BA263E"/>
    <w:rsid w:val="00BA32A2"/>
    <w:rsid w:val="00BA341D"/>
    <w:rsid w:val="00BA385D"/>
    <w:rsid w:val="00BA3977"/>
    <w:rsid w:val="00BA52C5"/>
    <w:rsid w:val="00BA52E5"/>
    <w:rsid w:val="00BA60A8"/>
    <w:rsid w:val="00BA6135"/>
    <w:rsid w:val="00BA682F"/>
    <w:rsid w:val="00BA6F5D"/>
    <w:rsid w:val="00BA7BF5"/>
    <w:rsid w:val="00BB0047"/>
    <w:rsid w:val="00BB0E8C"/>
    <w:rsid w:val="00BB164C"/>
    <w:rsid w:val="00BB1CE8"/>
    <w:rsid w:val="00BB1EE4"/>
    <w:rsid w:val="00BB1FC1"/>
    <w:rsid w:val="00BB2975"/>
    <w:rsid w:val="00BB2B4B"/>
    <w:rsid w:val="00BB2E5C"/>
    <w:rsid w:val="00BB342D"/>
    <w:rsid w:val="00BB372B"/>
    <w:rsid w:val="00BB3B91"/>
    <w:rsid w:val="00BB49B8"/>
    <w:rsid w:val="00BB4A94"/>
    <w:rsid w:val="00BB54BE"/>
    <w:rsid w:val="00BB56C7"/>
    <w:rsid w:val="00BB60FA"/>
    <w:rsid w:val="00BB6D71"/>
    <w:rsid w:val="00BB71CC"/>
    <w:rsid w:val="00BB7375"/>
    <w:rsid w:val="00BB7442"/>
    <w:rsid w:val="00BC0194"/>
    <w:rsid w:val="00BC0346"/>
    <w:rsid w:val="00BC0F00"/>
    <w:rsid w:val="00BC1400"/>
    <w:rsid w:val="00BC1A4F"/>
    <w:rsid w:val="00BC1C42"/>
    <w:rsid w:val="00BC2146"/>
    <w:rsid w:val="00BC21FF"/>
    <w:rsid w:val="00BC2347"/>
    <w:rsid w:val="00BC2B25"/>
    <w:rsid w:val="00BC2B57"/>
    <w:rsid w:val="00BC2C23"/>
    <w:rsid w:val="00BC2CB9"/>
    <w:rsid w:val="00BC318F"/>
    <w:rsid w:val="00BC346F"/>
    <w:rsid w:val="00BC36A5"/>
    <w:rsid w:val="00BC37B4"/>
    <w:rsid w:val="00BC3817"/>
    <w:rsid w:val="00BC39D7"/>
    <w:rsid w:val="00BC3A8E"/>
    <w:rsid w:val="00BC3BCA"/>
    <w:rsid w:val="00BC3D49"/>
    <w:rsid w:val="00BC46B4"/>
    <w:rsid w:val="00BC4932"/>
    <w:rsid w:val="00BC5187"/>
    <w:rsid w:val="00BC5953"/>
    <w:rsid w:val="00BC5A0E"/>
    <w:rsid w:val="00BC5B0B"/>
    <w:rsid w:val="00BC5D57"/>
    <w:rsid w:val="00BC7990"/>
    <w:rsid w:val="00BC7A5B"/>
    <w:rsid w:val="00BC7B4E"/>
    <w:rsid w:val="00BD07F7"/>
    <w:rsid w:val="00BD0E71"/>
    <w:rsid w:val="00BD1DB1"/>
    <w:rsid w:val="00BD1FD3"/>
    <w:rsid w:val="00BD27B3"/>
    <w:rsid w:val="00BD3A5C"/>
    <w:rsid w:val="00BD3D2B"/>
    <w:rsid w:val="00BD423C"/>
    <w:rsid w:val="00BD4B79"/>
    <w:rsid w:val="00BD4C82"/>
    <w:rsid w:val="00BD51E7"/>
    <w:rsid w:val="00BD53D0"/>
    <w:rsid w:val="00BD571F"/>
    <w:rsid w:val="00BD5896"/>
    <w:rsid w:val="00BD5C87"/>
    <w:rsid w:val="00BD5DA3"/>
    <w:rsid w:val="00BD5EEF"/>
    <w:rsid w:val="00BD6072"/>
    <w:rsid w:val="00BD6250"/>
    <w:rsid w:val="00BD6385"/>
    <w:rsid w:val="00BD6A42"/>
    <w:rsid w:val="00BD6D4F"/>
    <w:rsid w:val="00BD77D4"/>
    <w:rsid w:val="00BD7CD0"/>
    <w:rsid w:val="00BE0035"/>
    <w:rsid w:val="00BE0C9A"/>
    <w:rsid w:val="00BE0DB6"/>
    <w:rsid w:val="00BE0F86"/>
    <w:rsid w:val="00BE1560"/>
    <w:rsid w:val="00BE15BD"/>
    <w:rsid w:val="00BE1E9F"/>
    <w:rsid w:val="00BE3161"/>
    <w:rsid w:val="00BE32C7"/>
    <w:rsid w:val="00BE33CF"/>
    <w:rsid w:val="00BE369F"/>
    <w:rsid w:val="00BE39C4"/>
    <w:rsid w:val="00BE453A"/>
    <w:rsid w:val="00BE4EA8"/>
    <w:rsid w:val="00BE4EAF"/>
    <w:rsid w:val="00BE5024"/>
    <w:rsid w:val="00BE57E7"/>
    <w:rsid w:val="00BE58A0"/>
    <w:rsid w:val="00BE5C30"/>
    <w:rsid w:val="00BE5D8A"/>
    <w:rsid w:val="00BE60BA"/>
    <w:rsid w:val="00BE61F6"/>
    <w:rsid w:val="00BE6321"/>
    <w:rsid w:val="00BE677F"/>
    <w:rsid w:val="00BE67A2"/>
    <w:rsid w:val="00BE73C9"/>
    <w:rsid w:val="00BE75E3"/>
    <w:rsid w:val="00BF0193"/>
    <w:rsid w:val="00BF03D1"/>
    <w:rsid w:val="00BF0607"/>
    <w:rsid w:val="00BF12C4"/>
    <w:rsid w:val="00BF144D"/>
    <w:rsid w:val="00BF1BB1"/>
    <w:rsid w:val="00BF223C"/>
    <w:rsid w:val="00BF2846"/>
    <w:rsid w:val="00BF2A6E"/>
    <w:rsid w:val="00BF35CA"/>
    <w:rsid w:val="00BF3C3F"/>
    <w:rsid w:val="00BF3C59"/>
    <w:rsid w:val="00BF3D48"/>
    <w:rsid w:val="00BF3D7D"/>
    <w:rsid w:val="00BF3EFF"/>
    <w:rsid w:val="00BF40EE"/>
    <w:rsid w:val="00BF44A4"/>
    <w:rsid w:val="00BF4CAB"/>
    <w:rsid w:val="00BF4E43"/>
    <w:rsid w:val="00BF5E5B"/>
    <w:rsid w:val="00BF6322"/>
    <w:rsid w:val="00BF6520"/>
    <w:rsid w:val="00BF676B"/>
    <w:rsid w:val="00BF6810"/>
    <w:rsid w:val="00BF6DCB"/>
    <w:rsid w:val="00BF76D5"/>
    <w:rsid w:val="00C010BE"/>
    <w:rsid w:val="00C0264D"/>
    <w:rsid w:val="00C02EF6"/>
    <w:rsid w:val="00C03829"/>
    <w:rsid w:val="00C03AF3"/>
    <w:rsid w:val="00C0421A"/>
    <w:rsid w:val="00C04C47"/>
    <w:rsid w:val="00C052D1"/>
    <w:rsid w:val="00C05960"/>
    <w:rsid w:val="00C06501"/>
    <w:rsid w:val="00C06894"/>
    <w:rsid w:val="00C068FE"/>
    <w:rsid w:val="00C071FD"/>
    <w:rsid w:val="00C0765C"/>
    <w:rsid w:val="00C0768F"/>
    <w:rsid w:val="00C100FC"/>
    <w:rsid w:val="00C10AFA"/>
    <w:rsid w:val="00C10F03"/>
    <w:rsid w:val="00C110BD"/>
    <w:rsid w:val="00C1159B"/>
    <w:rsid w:val="00C1192A"/>
    <w:rsid w:val="00C12474"/>
    <w:rsid w:val="00C12C2D"/>
    <w:rsid w:val="00C12C96"/>
    <w:rsid w:val="00C132C5"/>
    <w:rsid w:val="00C1373E"/>
    <w:rsid w:val="00C13ABF"/>
    <w:rsid w:val="00C13B0C"/>
    <w:rsid w:val="00C13D1B"/>
    <w:rsid w:val="00C13EF8"/>
    <w:rsid w:val="00C144D1"/>
    <w:rsid w:val="00C15066"/>
    <w:rsid w:val="00C150D6"/>
    <w:rsid w:val="00C15258"/>
    <w:rsid w:val="00C15295"/>
    <w:rsid w:val="00C15960"/>
    <w:rsid w:val="00C15B75"/>
    <w:rsid w:val="00C16177"/>
    <w:rsid w:val="00C168E4"/>
    <w:rsid w:val="00C16E26"/>
    <w:rsid w:val="00C1726E"/>
    <w:rsid w:val="00C2070B"/>
    <w:rsid w:val="00C20B19"/>
    <w:rsid w:val="00C20E79"/>
    <w:rsid w:val="00C20EA1"/>
    <w:rsid w:val="00C2142C"/>
    <w:rsid w:val="00C216B6"/>
    <w:rsid w:val="00C216C7"/>
    <w:rsid w:val="00C21C31"/>
    <w:rsid w:val="00C2205D"/>
    <w:rsid w:val="00C23390"/>
    <w:rsid w:val="00C23C5D"/>
    <w:rsid w:val="00C23C80"/>
    <w:rsid w:val="00C23E53"/>
    <w:rsid w:val="00C243B9"/>
    <w:rsid w:val="00C24468"/>
    <w:rsid w:val="00C24942"/>
    <w:rsid w:val="00C2519B"/>
    <w:rsid w:val="00C251A4"/>
    <w:rsid w:val="00C255ED"/>
    <w:rsid w:val="00C25B50"/>
    <w:rsid w:val="00C26AED"/>
    <w:rsid w:val="00C2726D"/>
    <w:rsid w:val="00C272C4"/>
    <w:rsid w:val="00C27FBB"/>
    <w:rsid w:val="00C305AC"/>
    <w:rsid w:val="00C3113A"/>
    <w:rsid w:val="00C311B6"/>
    <w:rsid w:val="00C3121A"/>
    <w:rsid w:val="00C31349"/>
    <w:rsid w:val="00C31566"/>
    <w:rsid w:val="00C315DA"/>
    <w:rsid w:val="00C31EBE"/>
    <w:rsid w:val="00C324AE"/>
    <w:rsid w:val="00C32AA5"/>
    <w:rsid w:val="00C3331C"/>
    <w:rsid w:val="00C33DBE"/>
    <w:rsid w:val="00C34576"/>
    <w:rsid w:val="00C34E7D"/>
    <w:rsid w:val="00C350F6"/>
    <w:rsid w:val="00C3520B"/>
    <w:rsid w:val="00C352C1"/>
    <w:rsid w:val="00C353B8"/>
    <w:rsid w:val="00C353C5"/>
    <w:rsid w:val="00C356F7"/>
    <w:rsid w:val="00C35E28"/>
    <w:rsid w:val="00C35E3D"/>
    <w:rsid w:val="00C36032"/>
    <w:rsid w:val="00C36433"/>
    <w:rsid w:val="00C36799"/>
    <w:rsid w:val="00C36983"/>
    <w:rsid w:val="00C377FA"/>
    <w:rsid w:val="00C37DDE"/>
    <w:rsid w:val="00C37EE6"/>
    <w:rsid w:val="00C402F7"/>
    <w:rsid w:val="00C40B4E"/>
    <w:rsid w:val="00C41AAF"/>
    <w:rsid w:val="00C41D4F"/>
    <w:rsid w:val="00C42232"/>
    <w:rsid w:val="00C424A6"/>
    <w:rsid w:val="00C42975"/>
    <w:rsid w:val="00C42F1B"/>
    <w:rsid w:val="00C43867"/>
    <w:rsid w:val="00C44530"/>
    <w:rsid w:val="00C44790"/>
    <w:rsid w:val="00C44BEB"/>
    <w:rsid w:val="00C4559F"/>
    <w:rsid w:val="00C459A1"/>
    <w:rsid w:val="00C45A1E"/>
    <w:rsid w:val="00C46BB1"/>
    <w:rsid w:val="00C473F6"/>
    <w:rsid w:val="00C47629"/>
    <w:rsid w:val="00C4780D"/>
    <w:rsid w:val="00C47D34"/>
    <w:rsid w:val="00C47D54"/>
    <w:rsid w:val="00C502B9"/>
    <w:rsid w:val="00C50DDE"/>
    <w:rsid w:val="00C50DFE"/>
    <w:rsid w:val="00C51E59"/>
    <w:rsid w:val="00C5242A"/>
    <w:rsid w:val="00C52B27"/>
    <w:rsid w:val="00C52D0A"/>
    <w:rsid w:val="00C53FE8"/>
    <w:rsid w:val="00C54024"/>
    <w:rsid w:val="00C54090"/>
    <w:rsid w:val="00C5410F"/>
    <w:rsid w:val="00C5441A"/>
    <w:rsid w:val="00C5473E"/>
    <w:rsid w:val="00C54AF9"/>
    <w:rsid w:val="00C54DF1"/>
    <w:rsid w:val="00C552BF"/>
    <w:rsid w:val="00C55309"/>
    <w:rsid w:val="00C55861"/>
    <w:rsid w:val="00C55ECE"/>
    <w:rsid w:val="00C5669E"/>
    <w:rsid w:val="00C56735"/>
    <w:rsid w:val="00C56D50"/>
    <w:rsid w:val="00C57123"/>
    <w:rsid w:val="00C57584"/>
    <w:rsid w:val="00C57C02"/>
    <w:rsid w:val="00C60746"/>
    <w:rsid w:val="00C608C8"/>
    <w:rsid w:val="00C60958"/>
    <w:rsid w:val="00C60BD1"/>
    <w:rsid w:val="00C61599"/>
    <w:rsid w:val="00C616DF"/>
    <w:rsid w:val="00C61D9C"/>
    <w:rsid w:val="00C623F4"/>
    <w:rsid w:val="00C6263B"/>
    <w:rsid w:val="00C62FD7"/>
    <w:rsid w:val="00C63026"/>
    <w:rsid w:val="00C631F5"/>
    <w:rsid w:val="00C63810"/>
    <w:rsid w:val="00C63917"/>
    <w:rsid w:val="00C65CD4"/>
    <w:rsid w:val="00C6601F"/>
    <w:rsid w:val="00C66310"/>
    <w:rsid w:val="00C6637C"/>
    <w:rsid w:val="00C667AE"/>
    <w:rsid w:val="00C668A2"/>
    <w:rsid w:val="00C66A0C"/>
    <w:rsid w:val="00C66AA1"/>
    <w:rsid w:val="00C66D72"/>
    <w:rsid w:val="00C66F6B"/>
    <w:rsid w:val="00C66FF4"/>
    <w:rsid w:val="00C67057"/>
    <w:rsid w:val="00C67118"/>
    <w:rsid w:val="00C679BA"/>
    <w:rsid w:val="00C700E6"/>
    <w:rsid w:val="00C70393"/>
    <w:rsid w:val="00C70AB2"/>
    <w:rsid w:val="00C713D1"/>
    <w:rsid w:val="00C71481"/>
    <w:rsid w:val="00C71D51"/>
    <w:rsid w:val="00C71F39"/>
    <w:rsid w:val="00C721C5"/>
    <w:rsid w:val="00C72623"/>
    <w:rsid w:val="00C73010"/>
    <w:rsid w:val="00C73686"/>
    <w:rsid w:val="00C73F1E"/>
    <w:rsid w:val="00C743BE"/>
    <w:rsid w:val="00C74633"/>
    <w:rsid w:val="00C74B79"/>
    <w:rsid w:val="00C74C5D"/>
    <w:rsid w:val="00C753B2"/>
    <w:rsid w:val="00C7577A"/>
    <w:rsid w:val="00C75B33"/>
    <w:rsid w:val="00C75C9B"/>
    <w:rsid w:val="00C75D6D"/>
    <w:rsid w:val="00C761FA"/>
    <w:rsid w:val="00C7628F"/>
    <w:rsid w:val="00C76528"/>
    <w:rsid w:val="00C77276"/>
    <w:rsid w:val="00C7773D"/>
    <w:rsid w:val="00C77746"/>
    <w:rsid w:val="00C777AC"/>
    <w:rsid w:val="00C77872"/>
    <w:rsid w:val="00C80133"/>
    <w:rsid w:val="00C802CC"/>
    <w:rsid w:val="00C8088E"/>
    <w:rsid w:val="00C809D7"/>
    <w:rsid w:val="00C8122E"/>
    <w:rsid w:val="00C8152E"/>
    <w:rsid w:val="00C81776"/>
    <w:rsid w:val="00C817AA"/>
    <w:rsid w:val="00C82B06"/>
    <w:rsid w:val="00C82CEE"/>
    <w:rsid w:val="00C82DEB"/>
    <w:rsid w:val="00C8395A"/>
    <w:rsid w:val="00C83C70"/>
    <w:rsid w:val="00C841F3"/>
    <w:rsid w:val="00C84810"/>
    <w:rsid w:val="00C84E82"/>
    <w:rsid w:val="00C8525B"/>
    <w:rsid w:val="00C85498"/>
    <w:rsid w:val="00C85776"/>
    <w:rsid w:val="00C8598E"/>
    <w:rsid w:val="00C867A9"/>
    <w:rsid w:val="00C9018F"/>
    <w:rsid w:val="00C902D7"/>
    <w:rsid w:val="00C9035C"/>
    <w:rsid w:val="00C90585"/>
    <w:rsid w:val="00C90839"/>
    <w:rsid w:val="00C90B3B"/>
    <w:rsid w:val="00C90C66"/>
    <w:rsid w:val="00C922E5"/>
    <w:rsid w:val="00C92806"/>
    <w:rsid w:val="00C929FF"/>
    <w:rsid w:val="00C92C85"/>
    <w:rsid w:val="00C93580"/>
    <w:rsid w:val="00C936B7"/>
    <w:rsid w:val="00C9378A"/>
    <w:rsid w:val="00C94046"/>
    <w:rsid w:val="00C941FB"/>
    <w:rsid w:val="00C94410"/>
    <w:rsid w:val="00C9455C"/>
    <w:rsid w:val="00C94B64"/>
    <w:rsid w:val="00C9506A"/>
    <w:rsid w:val="00C953FA"/>
    <w:rsid w:val="00C954F9"/>
    <w:rsid w:val="00C95A92"/>
    <w:rsid w:val="00C95B2E"/>
    <w:rsid w:val="00C95DCB"/>
    <w:rsid w:val="00C9648F"/>
    <w:rsid w:val="00C96A3B"/>
    <w:rsid w:val="00C96B2C"/>
    <w:rsid w:val="00C96DD4"/>
    <w:rsid w:val="00C972DA"/>
    <w:rsid w:val="00C9771E"/>
    <w:rsid w:val="00C97918"/>
    <w:rsid w:val="00C979AC"/>
    <w:rsid w:val="00C97B5B"/>
    <w:rsid w:val="00C97BBE"/>
    <w:rsid w:val="00CA0D82"/>
    <w:rsid w:val="00CA0D97"/>
    <w:rsid w:val="00CA1969"/>
    <w:rsid w:val="00CA19A2"/>
    <w:rsid w:val="00CA1CB7"/>
    <w:rsid w:val="00CA1EC9"/>
    <w:rsid w:val="00CA1F47"/>
    <w:rsid w:val="00CA23A1"/>
    <w:rsid w:val="00CA2AE7"/>
    <w:rsid w:val="00CA2C90"/>
    <w:rsid w:val="00CA3241"/>
    <w:rsid w:val="00CA3556"/>
    <w:rsid w:val="00CA3A67"/>
    <w:rsid w:val="00CA3DD0"/>
    <w:rsid w:val="00CA3F36"/>
    <w:rsid w:val="00CA4258"/>
    <w:rsid w:val="00CA4B44"/>
    <w:rsid w:val="00CA4F12"/>
    <w:rsid w:val="00CA50B7"/>
    <w:rsid w:val="00CA5B4F"/>
    <w:rsid w:val="00CA5C54"/>
    <w:rsid w:val="00CA6783"/>
    <w:rsid w:val="00CA6972"/>
    <w:rsid w:val="00CA699B"/>
    <w:rsid w:val="00CA6ED4"/>
    <w:rsid w:val="00CA7311"/>
    <w:rsid w:val="00CA7B69"/>
    <w:rsid w:val="00CA7DFE"/>
    <w:rsid w:val="00CA7F43"/>
    <w:rsid w:val="00CB05E3"/>
    <w:rsid w:val="00CB0778"/>
    <w:rsid w:val="00CB0F2C"/>
    <w:rsid w:val="00CB14A5"/>
    <w:rsid w:val="00CB1C9E"/>
    <w:rsid w:val="00CB1F1E"/>
    <w:rsid w:val="00CB227D"/>
    <w:rsid w:val="00CB28A1"/>
    <w:rsid w:val="00CB2C0E"/>
    <w:rsid w:val="00CB2D0B"/>
    <w:rsid w:val="00CB2E56"/>
    <w:rsid w:val="00CB31EA"/>
    <w:rsid w:val="00CB3E2C"/>
    <w:rsid w:val="00CB4068"/>
    <w:rsid w:val="00CB4277"/>
    <w:rsid w:val="00CB4EB8"/>
    <w:rsid w:val="00CB4F85"/>
    <w:rsid w:val="00CB62AF"/>
    <w:rsid w:val="00CB6618"/>
    <w:rsid w:val="00CB69F2"/>
    <w:rsid w:val="00CB6A29"/>
    <w:rsid w:val="00CB6B64"/>
    <w:rsid w:val="00CB6BDD"/>
    <w:rsid w:val="00CB6D09"/>
    <w:rsid w:val="00CB72E6"/>
    <w:rsid w:val="00CB72EE"/>
    <w:rsid w:val="00CB74B6"/>
    <w:rsid w:val="00CC03A7"/>
    <w:rsid w:val="00CC03FA"/>
    <w:rsid w:val="00CC04F6"/>
    <w:rsid w:val="00CC0908"/>
    <w:rsid w:val="00CC0F4B"/>
    <w:rsid w:val="00CC1763"/>
    <w:rsid w:val="00CC199F"/>
    <w:rsid w:val="00CC1DA7"/>
    <w:rsid w:val="00CC22D6"/>
    <w:rsid w:val="00CC234C"/>
    <w:rsid w:val="00CC2467"/>
    <w:rsid w:val="00CC253C"/>
    <w:rsid w:val="00CC269B"/>
    <w:rsid w:val="00CC2848"/>
    <w:rsid w:val="00CC30F7"/>
    <w:rsid w:val="00CC3183"/>
    <w:rsid w:val="00CC3578"/>
    <w:rsid w:val="00CC3CDD"/>
    <w:rsid w:val="00CC44CF"/>
    <w:rsid w:val="00CC47B4"/>
    <w:rsid w:val="00CC4961"/>
    <w:rsid w:val="00CC5736"/>
    <w:rsid w:val="00CC5A54"/>
    <w:rsid w:val="00CC6377"/>
    <w:rsid w:val="00CC67BE"/>
    <w:rsid w:val="00CC6950"/>
    <w:rsid w:val="00CC6CE3"/>
    <w:rsid w:val="00CC739A"/>
    <w:rsid w:val="00CC77E3"/>
    <w:rsid w:val="00CC7929"/>
    <w:rsid w:val="00CC7B96"/>
    <w:rsid w:val="00CD1487"/>
    <w:rsid w:val="00CD1705"/>
    <w:rsid w:val="00CD27A5"/>
    <w:rsid w:val="00CD2D6D"/>
    <w:rsid w:val="00CD3290"/>
    <w:rsid w:val="00CD378C"/>
    <w:rsid w:val="00CD39BD"/>
    <w:rsid w:val="00CD3BA4"/>
    <w:rsid w:val="00CD420B"/>
    <w:rsid w:val="00CD43C2"/>
    <w:rsid w:val="00CD4A5D"/>
    <w:rsid w:val="00CD4B7C"/>
    <w:rsid w:val="00CD556E"/>
    <w:rsid w:val="00CD560F"/>
    <w:rsid w:val="00CD58EF"/>
    <w:rsid w:val="00CD597B"/>
    <w:rsid w:val="00CD5A03"/>
    <w:rsid w:val="00CD5D55"/>
    <w:rsid w:val="00CD5D9A"/>
    <w:rsid w:val="00CD657D"/>
    <w:rsid w:val="00CD6C6A"/>
    <w:rsid w:val="00CD6F2B"/>
    <w:rsid w:val="00CD71F3"/>
    <w:rsid w:val="00CD72B0"/>
    <w:rsid w:val="00CD7D1B"/>
    <w:rsid w:val="00CD7D92"/>
    <w:rsid w:val="00CD7DB8"/>
    <w:rsid w:val="00CE0185"/>
    <w:rsid w:val="00CE08CD"/>
    <w:rsid w:val="00CE0D3A"/>
    <w:rsid w:val="00CE0D98"/>
    <w:rsid w:val="00CE149B"/>
    <w:rsid w:val="00CE1681"/>
    <w:rsid w:val="00CE1702"/>
    <w:rsid w:val="00CE243F"/>
    <w:rsid w:val="00CE2824"/>
    <w:rsid w:val="00CE2876"/>
    <w:rsid w:val="00CE2DC5"/>
    <w:rsid w:val="00CE32E8"/>
    <w:rsid w:val="00CE37FD"/>
    <w:rsid w:val="00CE3910"/>
    <w:rsid w:val="00CE3974"/>
    <w:rsid w:val="00CE3A8E"/>
    <w:rsid w:val="00CE3CB8"/>
    <w:rsid w:val="00CE3E4F"/>
    <w:rsid w:val="00CE41D2"/>
    <w:rsid w:val="00CE4269"/>
    <w:rsid w:val="00CE475E"/>
    <w:rsid w:val="00CE498C"/>
    <w:rsid w:val="00CE4A66"/>
    <w:rsid w:val="00CE5545"/>
    <w:rsid w:val="00CE57EE"/>
    <w:rsid w:val="00CE5886"/>
    <w:rsid w:val="00CE666C"/>
    <w:rsid w:val="00CE6AAD"/>
    <w:rsid w:val="00CE6D0A"/>
    <w:rsid w:val="00CE6D3E"/>
    <w:rsid w:val="00CE6D80"/>
    <w:rsid w:val="00CE6D8D"/>
    <w:rsid w:val="00CE709E"/>
    <w:rsid w:val="00CE7993"/>
    <w:rsid w:val="00CF0273"/>
    <w:rsid w:val="00CF0A51"/>
    <w:rsid w:val="00CF0ED3"/>
    <w:rsid w:val="00CF1A03"/>
    <w:rsid w:val="00CF1C7F"/>
    <w:rsid w:val="00CF21E3"/>
    <w:rsid w:val="00CF22A0"/>
    <w:rsid w:val="00CF2904"/>
    <w:rsid w:val="00CF32AA"/>
    <w:rsid w:val="00CF3773"/>
    <w:rsid w:val="00CF3D58"/>
    <w:rsid w:val="00CF3F87"/>
    <w:rsid w:val="00CF5A19"/>
    <w:rsid w:val="00CF5BFE"/>
    <w:rsid w:val="00CF5FBD"/>
    <w:rsid w:val="00CF694A"/>
    <w:rsid w:val="00CF6DF3"/>
    <w:rsid w:val="00CF7691"/>
    <w:rsid w:val="00CF7720"/>
    <w:rsid w:val="00CF7AFF"/>
    <w:rsid w:val="00D0037B"/>
    <w:rsid w:val="00D00931"/>
    <w:rsid w:val="00D01184"/>
    <w:rsid w:val="00D01360"/>
    <w:rsid w:val="00D01A5E"/>
    <w:rsid w:val="00D01E32"/>
    <w:rsid w:val="00D02549"/>
    <w:rsid w:val="00D03260"/>
    <w:rsid w:val="00D03B5F"/>
    <w:rsid w:val="00D03C0A"/>
    <w:rsid w:val="00D03F41"/>
    <w:rsid w:val="00D0411E"/>
    <w:rsid w:val="00D0442D"/>
    <w:rsid w:val="00D0486E"/>
    <w:rsid w:val="00D04CDD"/>
    <w:rsid w:val="00D04F6B"/>
    <w:rsid w:val="00D0509F"/>
    <w:rsid w:val="00D055CE"/>
    <w:rsid w:val="00D0673D"/>
    <w:rsid w:val="00D068A5"/>
    <w:rsid w:val="00D06B20"/>
    <w:rsid w:val="00D06F4A"/>
    <w:rsid w:val="00D079B5"/>
    <w:rsid w:val="00D07F9F"/>
    <w:rsid w:val="00D107B1"/>
    <w:rsid w:val="00D109FD"/>
    <w:rsid w:val="00D10DB3"/>
    <w:rsid w:val="00D10ED3"/>
    <w:rsid w:val="00D11807"/>
    <w:rsid w:val="00D118EB"/>
    <w:rsid w:val="00D11C35"/>
    <w:rsid w:val="00D12154"/>
    <w:rsid w:val="00D1283A"/>
    <w:rsid w:val="00D1339B"/>
    <w:rsid w:val="00D13506"/>
    <w:rsid w:val="00D13705"/>
    <w:rsid w:val="00D13872"/>
    <w:rsid w:val="00D13E88"/>
    <w:rsid w:val="00D14BD4"/>
    <w:rsid w:val="00D15617"/>
    <w:rsid w:val="00D158C1"/>
    <w:rsid w:val="00D15DFF"/>
    <w:rsid w:val="00D161C4"/>
    <w:rsid w:val="00D16804"/>
    <w:rsid w:val="00D16ABB"/>
    <w:rsid w:val="00D16DE8"/>
    <w:rsid w:val="00D16F8A"/>
    <w:rsid w:val="00D17566"/>
    <w:rsid w:val="00D20202"/>
    <w:rsid w:val="00D202B3"/>
    <w:rsid w:val="00D202D2"/>
    <w:rsid w:val="00D20665"/>
    <w:rsid w:val="00D2079B"/>
    <w:rsid w:val="00D20C70"/>
    <w:rsid w:val="00D2134D"/>
    <w:rsid w:val="00D21595"/>
    <w:rsid w:val="00D215E1"/>
    <w:rsid w:val="00D21717"/>
    <w:rsid w:val="00D21904"/>
    <w:rsid w:val="00D21DE3"/>
    <w:rsid w:val="00D21F7E"/>
    <w:rsid w:val="00D22235"/>
    <w:rsid w:val="00D2280A"/>
    <w:rsid w:val="00D23345"/>
    <w:rsid w:val="00D23429"/>
    <w:rsid w:val="00D235D8"/>
    <w:rsid w:val="00D23AAD"/>
    <w:rsid w:val="00D23DF3"/>
    <w:rsid w:val="00D23EA4"/>
    <w:rsid w:val="00D24722"/>
    <w:rsid w:val="00D2476A"/>
    <w:rsid w:val="00D24C64"/>
    <w:rsid w:val="00D2549F"/>
    <w:rsid w:val="00D25883"/>
    <w:rsid w:val="00D25FEF"/>
    <w:rsid w:val="00D26081"/>
    <w:rsid w:val="00D261E1"/>
    <w:rsid w:val="00D26424"/>
    <w:rsid w:val="00D26439"/>
    <w:rsid w:val="00D26856"/>
    <w:rsid w:val="00D27CB2"/>
    <w:rsid w:val="00D30095"/>
    <w:rsid w:val="00D30DA1"/>
    <w:rsid w:val="00D31AD3"/>
    <w:rsid w:val="00D31FF0"/>
    <w:rsid w:val="00D3211D"/>
    <w:rsid w:val="00D3212D"/>
    <w:rsid w:val="00D32C61"/>
    <w:rsid w:val="00D33B07"/>
    <w:rsid w:val="00D33BD5"/>
    <w:rsid w:val="00D33C55"/>
    <w:rsid w:val="00D33FFA"/>
    <w:rsid w:val="00D34197"/>
    <w:rsid w:val="00D3437A"/>
    <w:rsid w:val="00D343DE"/>
    <w:rsid w:val="00D3475E"/>
    <w:rsid w:val="00D34827"/>
    <w:rsid w:val="00D351BE"/>
    <w:rsid w:val="00D354E8"/>
    <w:rsid w:val="00D35609"/>
    <w:rsid w:val="00D3579A"/>
    <w:rsid w:val="00D35877"/>
    <w:rsid w:val="00D35A68"/>
    <w:rsid w:val="00D35D3F"/>
    <w:rsid w:val="00D35FDB"/>
    <w:rsid w:val="00D362D6"/>
    <w:rsid w:val="00D36BAB"/>
    <w:rsid w:val="00D36F35"/>
    <w:rsid w:val="00D376CF"/>
    <w:rsid w:val="00D37940"/>
    <w:rsid w:val="00D40AED"/>
    <w:rsid w:val="00D40FDA"/>
    <w:rsid w:val="00D412CB"/>
    <w:rsid w:val="00D418E2"/>
    <w:rsid w:val="00D41F9C"/>
    <w:rsid w:val="00D41FDA"/>
    <w:rsid w:val="00D42303"/>
    <w:rsid w:val="00D4237A"/>
    <w:rsid w:val="00D426AF"/>
    <w:rsid w:val="00D427DD"/>
    <w:rsid w:val="00D42B4A"/>
    <w:rsid w:val="00D42CF5"/>
    <w:rsid w:val="00D43215"/>
    <w:rsid w:val="00D434D8"/>
    <w:rsid w:val="00D435E6"/>
    <w:rsid w:val="00D437D3"/>
    <w:rsid w:val="00D44056"/>
    <w:rsid w:val="00D44132"/>
    <w:rsid w:val="00D44860"/>
    <w:rsid w:val="00D449F1"/>
    <w:rsid w:val="00D44A38"/>
    <w:rsid w:val="00D44FF0"/>
    <w:rsid w:val="00D45051"/>
    <w:rsid w:val="00D45090"/>
    <w:rsid w:val="00D45098"/>
    <w:rsid w:val="00D4538B"/>
    <w:rsid w:val="00D4550A"/>
    <w:rsid w:val="00D45DCD"/>
    <w:rsid w:val="00D45F5B"/>
    <w:rsid w:val="00D46393"/>
    <w:rsid w:val="00D46B35"/>
    <w:rsid w:val="00D46D02"/>
    <w:rsid w:val="00D47191"/>
    <w:rsid w:val="00D472D8"/>
    <w:rsid w:val="00D479F9"/>
    <w:rsid w:val="00D50D72"/>
    <w:rsid w:val="00D514B7"/>
    <w:rsid w:val="00D5154B"/>
    <w:rsid w:val="00D51DA9"/>
    <w:rsid w:val="00D51EF1"/>
    <w:rsid w:val="00D51F63"/>
    <w:rsid w:val="00D52506"/>
    <w:rsid w:val="00D52629"/>
    <w:rsid w:val="00D52D4F"/>
    <w:rsid w:val="00D53331"/>
    <w:rsid w:val="00D535BB"/>
    <w:rsid w:val="00D53C7F"/>
    <w:rsid w:val="00D53C93"/>
    <w:rsid w:val="00D53CE1"/>
    <w:rsid w:val="00D5402E"/>
    <w:rsid w:val="00D5439E"/>
    <w:rsid w:val="00D54765"/>
    <w:rsid w:val="00D55400"/>
    <w:rsid w:val="00D556D6"/>
    <w:rsid w:val="00D55A70"/>
    <w:rsid w:val="00D565C8"/>
    <w:rsid w:val="00D568F7"/>
    <w:rsid w:val="00D56998"/>
    <w:rsid w:val="00D56BBA"/>
    <w:rsid w:val="00D56CBC"/>
    <w:rsid w:val="00D570D3"/>
    <w:rsid w:val="00D570F6"/>
    <w:rsid w:val="00D57700"/>
    <w:rsid w:val="00D60853"/>
    <w:rsid w:val="00D60D95"/>
    <w:rsid w:val="00D61001"/>
    <w:rsid w:val="00D61122"/>
    <w:rsid w:val="00D61D10"/>
    <w:rsid w:val="00D61D68"/>
    <w:rsid w:val="00D61E81"/>
    <w:rsid w:val="00D629A5"/>
    <w:rsid w:val="00D62DFF"/>
    <w:rsid w:val="00D63019"/>
    <w:rsid w:val="00D6331F"/>
    <w:rsid w:val="00D636EC"/>
    <w:rsid w:val="00D6374F"/>
    <w:rsid w:val="00D63EA6"/>
    <w:rsid w:val="00D642AF"/>
    <w:rsid w:val="00D64420"/>
    <w:rsid w:val="00D64698"/>
    <w:rsid w:val="00D646BA"/>
    <w:rsid w:val="00D647B2"/>
    <w:rsid w:val="00D64F0B"/>
    <w:rsid w:val="00D657BB"/>
    <w:rsid w:val="00D65921"/>
    <w:rsid w:val="00D660D1"/>
    <w:rsid w:val="00D661B7"/>
    <w:rsid w:val="00D66258"/>
    <w:rsid w:val="00D666D4"/>
    <w:rsid w:val="00D66A7F"/>
    <w:rsid w:val="00D67317"/>
    <w:rsid w:val="00D67B8D"/>
    <w:rsid w:val="00D67FC3"/>
    <w:rsid w:val="00D70947"/>
    <w:rsid w:val="00D7101D"/>
    <w:rsid w:val="00D713F7"/>
    <w:rsid w:val="00D719E5"/>
    <w:rsid w:val="00D7242C"/>
    <w:rsid w:val="00D72FD4"/>
    <w:rsid w:val="00D73337"/>
    <w:rsid w:val="00D73866"/>
    <w:rsid w:val="00D74D86"/>
    <w:rsid w:val="00D74E66"/>
    <w:rsid w:val="00D76900"/>
    <w:rsid w:val="00D773BA"/>
    <w:rsid w:val="00D77993"/>
    <w:rsid w:val="00D807A8"/>
    <w:rsid w:val="00D80CE3"/>
    <w:rsid w:val="00D80D8C"/>
    <w:rsid w:val="00D80F7C"/>
    <w:rsid w:val="00D8145D"/>
    <w:rsid w:val="00D81644"/>
    <w:rsid w:val="00D81A48"/>
    <w:rsid w:val="00D81BB3"/>
    <w:rsid w:val="00D81C0C"/>
    <w:rsid w:val="00D81D4A"/>
    <w:rsid w:val="00D81DF0"/>
    <w:rsid w:val="00D81F88"/>
    <w:rsid w:val="00D8263B"/>
    <w:rsid w:val="00D82B1D"/>
    <w:rsid w:val="00D82D71"/>
    <w:rsid w:val="00D82E04"/>
    <w:rsid w:val="00D83063"/>
    <w:rsid w:val="00D831D5"/>
    <w:rsid w:val="00D83F4B"/>
    <w:rsid w:val="00D849AE"/>
    <w:rsid w:val="00D84D7C"/>
    <w:rsid w:val="00D85EC7"/>
    <w:rsid w:val="00D8642B"/>
    <w:rsid w:val="00D868DF"/>
    <w:rsid w:val="00D87330"/>
    <w:rsid w:val="00D87B50"/>
    <w:rsid w:val="00D91456"/>
    <w:rsid w:val="00D916FF"/>
    <w:rsid w:val="00D91915"/>
    <w:rsid w:val="00D91C74"/>
    <w:rsid w:val="00D91DC6"/>
    <w:rsid w:val="00D91ECE"/>
    <w:rsid w:val="00D92C6B"/>
    <w:rsid w:val="00D92D2D"/>
    <w:rsid w:val="00D9335E"/>
    <w:rsid w:val="00D9381D"/>
    <w:rsid w:val="00D942F1"/>
    <w:rsid w:val="00D949EA"/>
    <w:rsid w:val="00D94CCF"/>
    <w:rsid w:val="00D95088"/>
    <w:rsid w:val="00D951E9"/>
    <w:rsid w:val="00D95201"/>
    <w:rsid w:val="00D95682"/>
    <w:rsid w:val="00D95D37"/>
    <w:rsid w:val="00D97017"/>
    <w:rsid w:val="00D979D5"/>
    <w:rsid w:val="00D97A81"/>
    <w:rsid w:val="00D97D95"/>
    <w:rsid w:val="00D97F6B"/>
    <w:rsid w:val="00DA0558"/>
    <w:rsid w:val="00DA07C0"/>
    <w:rsid w:val="00DA0DB7"/>
    <w:rsid w:val="00DA1102"/>
    <w:rsid w:val="00DA1403"/>
    <w:rsid w:val="00DA17B8"/>
    <w:rsid w:val="00DA1C36"/>
    <w:rsid w:val="00DA1DED"/>
    <w:rsid w:val="00DA2115"/>
    <w:rsid w:val="00DA25BB"/>
    <w:rsid w:val="00DA26FE"/>
    <w:rsid w:val="00DA291A"/>
    <w:rsid w:val="00DA2EF5"/>
    <w:rsid w:val="00DA2F7F"/>
    <w:rsid w:val="00DA2FEC"/>
    <w:rsid w:val="00DA3031"/>
    <w:rsid w:val="00DA375F"/>
    <w:rsid w:val="00DA3BB2"/>
    <w:rsid w:val="00DA409B"/>
    <w:rsid w:val="00DA415D"/>
    <w:rsid w:val="00DA4553"/>
    <w:rsid w:val="00DA4860"/>
    <w:rsid w:val="00DA48F9"/>
    <w:rsid w:val="00DA4C47"/>
    <w:rsid w:val="00DA4FE6"/>
    <w:rsid w:val="00DA50E9"/>
    <w:rsid w:val="00DA5423"/>
    <w:rsid w:val="00DA639A"/>
    <w:rsid w:val="00DA6A09"/>
    <w:rsid w:val="00DA6FCB"/>
    <w:rsid w:val="00DA736E"/>
    <w:rsid w:val="00DA747B"/>
    <w:rsid w:val="00DA79B3"/>
    <w:rsid w:val="00DA7C40"/>
    <w:rsid w:val="00DA7E3C"/>
    <w:rsid w:val="00DB0608"/>
    <w:rsid w:val="00DB0761"/>
    <w:rsid w:val="00DB08C7"/>
    <w:rsid w:val="00DB0A1B"/>
    <w:rsid w:val="00DB1110"/>
    <w:rsid w:val="00DB1516"/>
    <w:rsid w:val="00DB1529"/>
    <w:rsid w:val="00DB1691"/>
    <w:rsid w:val="00DB1752"/>
    <w:rsid w:val="00DB2369"/>
    <w:rsid w:val="00DB25DE"/>
    <w:rsid w:val="00DB27CB"/>
    <w:rsid w:val="00DB2EE9"/>
    <w:rsid w:val="00DB3155"/>
    <w:rsid w:val="00DB3474"/>
    <w:rsid w:val="00DB369D"/>
    <w:rsid w:val="00DB387F"/>
    <w:rsid w:val="00DB3DEA"/>
    <w:rsid w:val="00DB403F"/>
    <w:rsid w:val="00DB423D"/>
    <w:rsid w:val="00DB4658"/>
    <w:rsid w:val="00DB48A7"/>
    <w:rsid w:val="00DB4C27"/>
    <w:rsid w:val="00DB4D9F"/>
    <w:rsid w:val="00DB5004"/>
    <w:rsid w:val="00DB5D1C"/>
    <w:rsid w:val="00DB6202"/>
    <w:rsid w:val="00DB6389"/>
    <w:rsid w:val="00DB64F2"/>
    <w:rsid w:val="00DB68E3"/>
    <w:rsid w:val="00DB69AF"/>
    <w:rsid w:val="00DB6C6B"/>
    <w:rsid w:val="00DB763A"/>
    <w:rsid w:val="00DB7E55"/>
    <w:rsid w:val="00DC0C20"/>
    <w:rsid w:val="00DC0FF2"/>
    <w:rsid w:val="00DC17B8"/>
    <w:rsid w:val="00DC1A10"/>
    <w:rsid w:val="00DC1AD6"/>
    <w:rsid w:val="00DC25AF"/>
    <w:rsid w:val="00DC2DB5"/>
    <w:rsid w:val="00DC2FF1"/>
    <w:rsid w:val="00DC3109"/>
    <w:rsid w:val="00DC3C87"/>
    <w:rsid w:val="00DC4370"/>
    <w:rsid w:val="00DC463F"/>
    <w:rsid w:val="00DC4B9B"/>
    <w:rsid w:val="00DC4FCA"/>
    <w:rsid w:val="00DC5A4D"/>
    <w:rsid w:val="00DC6244"/>
    <w:rsid w:val="00DC67A6"/>
    <w:rsid w:val="00DC6901"/>
    <w:rsid w:val="00DC69A9"/>
    <w:rsid w:val="00DC6B01"/>
    <w:rsid w:val="00DC6DBE"/>
    <w:rsid w:val="00DC711D"/>
    <w:rsid w:val="00DC7701"/>
    <w:rsid w:val="00DC784D"/>
    <w:rsid w:val="00DC7A5D"/>
    <w:rsid w:val="00DD01A6"/>
    <w:rsid w:val="00DD0845"/>
    <w:rsid w:val="00DD0AE6"/>
    <w:rsid w:val="00DD0D79"/>
    <w:rsid w:val="00DD0E8C"/>
    <w:rsid w:val="00DD1549"/>
    <w:rsid w:val="00DD1F8A"/>
    <w:rsid w:val="00DD2634"/>
    <w:rsid w:val="00DD2A58"/>
    <w:rsid w:val="00DD2D75"/>
    <w:rsid w:val="00DD3326"/>
    <w:rsid w:val="00DD3CF1"/>
    <w:rsid w:val="00DD41C4"/>
    <w:rsid w:val="00DD4303"/>
    <w:rsid w:val="00DD4980"/>
    <w:rsid w:val="00DD534C"/>
    <w:rsid w:val="00DD536E"/>
    <w:rsid w:val="00DD58AB"/>
    <w:rsid w:val="00DD5C02"/>
    <w:rsid w:val="00DD6150"/>
    <w:rsid w:val="00DD6409"/>
    <w:rsid w:val="00DD6414"/>
    <w:rsid w:val="00DD67F2"/>
    <w:rsid w:val="00DD6C55"/>
    <w:rsid w:val="00DD742B"/>
    <w:rsid w:val="00DD7832"/>
    <w:rsid w:val="00DD783C"/>
    <w:rsid w:val="00DD797D"/>
    <w:rsid w:val="00DD7B10"/>
    <w:rsid w:val="00DD7F05"/>
    <w:rsid w:val="00DD7FD1"/>
    <w:rsid w:val="00DE0134"/>
    <w:rsid w:val="00DE062C"/>
    <w:rsid w:val="00DE0D5D"/>
    <w:rsid w:val="00DE0DD1"/>
    <w:rsid w:val="00DE133D"/>
    <w:rsid w:val="00DE1348"/>
    <w:rsid w:val="00DE19C9"/>
    <w:rsid w:val="00DE1BD4"/>
    <w:rsid w:val="00DE294F"/>
    <w:rsid w:val="00DE38D0"/>
    <w:rsid w:val="00DE3C55"/>
    <w:rsid w:val="00DE40BE"/>
    <w:rsid w:val="00DE40F9"/>
    <w:rsid w:val="00DE4F5E"/>
    <w:rsid w:val="00DE5F7C"/>
    <w:rsid w:val="00DE6470"/>
    <w:rsid w:val="00DE648C"/>
    <w:rsid w:val="00DE68F2"/>
    <w:rsid w:val="00DE6B59"/>
    <w:rsid w:val="00DE6EE9"/>
    <w:rsid w:val="00DE6FE4"/>
    <w:rsid w:val="00DE715C"/>
    <w:rsid w:val="00DE73F5"/>
    <w:rsid w:val="00DE7EC4"/>
    <w:rsid w:val="00DF06AA"/>
    <w:rsid w:val="00DF083E"/>
    <w:rsid w:val="00DF0919"/>
    <w:rsid w:val="00DF09A5"/>
    <w:rsid w:val="00DF2494"/>
    <w:rsid w:val="00DF25D7"/>
    <w:rsid w:val="00DF25E4"/>
    <w:rsid w:val="00DF2D70"/>
    <w:rsid w:val="00DF321E"/>
    <w:rsid w:val="00DF3420"/>
    <w:rsid w:val="00DF382D"/>
    <w:rsid w:val="00DF3921"/>
    <w:rsid w:val="00DF3B05"/>
    <w:rsid w:val="00DF445E"/>
    <w:rsid w:val="00DF4DF0"/>
    <w:rsid w:val="00DF5667"/>
    <w:rsid w:val="00DF5ABF"/>
    <w:rsid w:val="00DF5B16"/>
    <w:rsid w:val="00DF5CE1"/>
    <w:rsid w:val="00DF64FE"/>
    <w:rsid w:val="00DF6674"/>
    <w:rsid w:val="00DF6B6D"/>
    <w:rsid w:val="00DF6D8C"/>
    <w:rsid w:val="00DF74D9"/>
    <w:rsid w:val="00DF75CD"/>
    <w:rsid w:val="00DF794B"/>
    <w:rsid w:val="00E0032F"/>
    <w:rsid w:val="00E00884"/>
    <w:rsid w:val="00E0097A"/>
    <w:rsid w:val="00E00C2A"/>
    <w:rsid w:val="00E00E36"/>
    <w:rsid w:val="00E01FF3"/>
    <w:rsid w:val="00E022E0"/>
    <w:rsid w:val="00E023B4"/>
    <w:rsid w:val="00E02F21"/>
    <w:rsid w:val="00E030E9"/>
    <w:rsid w:val="00E039B7"/>
    <w:rsid w:val="00E0454E"/>
    <w:rsid w:val="00E04FC1"/>
    <w:rsid w:val="00E0536A"/>
    <w:rsid w:val="00E05BC5"/>
    <w:rsid w:val="00E0611C"/>
    <w:rsid w:val="00E06E28"/>
    <w:rsid w:val="00E0702E"/>
    <w:rsid w:val="00E071C4"/>
    <w:rsid w:val="00E07435"/>
    <w:rsid w:val="00E07F14"/>
    <w:rsid w:val="00E10E0E"/>
    <w:rsid w:val="00E1138D"/>
    <w:rsid w:val="00E115CE"/>
    <w:rsid w:val="00E122EF"/>
    <w:rsid w:val="00E126D8"/>
    <w:rsid w:val="00E1303A"/>
    <w:rsid w:val="00E131AB"/>
    <w:rsid w:val="00E13423"/>
    <w:rsid w:val="00E1356C"/>
    <w:rsid w:val="00E13739"/>
    <w:rsid w:val="00E13778"/>
    <w:rsid w:val="00E140E2"/>
    <w:rsid w:val="00E1445C"/>
    <w:rsid w:val="00E144E6"/>
    <w:rsid w:val="00E1502E"/>
    <w:rsid w:val="00E15225"/>
    <w:rsid w:val="00E153E6"/>
    <w:rsid w:val="00E155A2"/>
    <w:rsid w:val="00E158BA"/>
    <w:rsid w:val="00E158CF"/>
    <w:rsid w:val="00E15B6F"/>
    <w:rsid w:val="00E15EDB"/>
    <w:rsid w:val="00E15FAF"/>
    <w:rsid w:val="00E16051"/>
    <w:rsid w:val="00E1617D"/>
    <w:rsid w:val="00E164C9"/>
    <w:rsid w:val="00E166A0"/>
    <w:rsid w:val="00E16B7D"/>
    <w:rsid w:val="00E16D02"/>
    <w:rsid w:val="00E171F1"/>
    <w:rsid w:val="00E174A1"/>
    <w:rsid w:val="00E201EF"/>
    <w:rsid w:val="00E202A1"/>
    <w:rsid w:val="00E2043F"/>
    <w:rsid w:val="00E21DED"/>
    <w:rsid w:val="00E22525"/>
    <w:rsid w:val="00E22A42"/>
    <w:rsid w:val="00E22B0E"/>
    <w:rsid w:val="00E22E4F"/>
    <w:rsid w:val="00E23139"/>
    <w:rsid w:val="00E2325E"/>
    <w:rsid w:val="00E23E0A"/>
    <w:rsid w:val="00E2435D"/>
    <w:rsid w:val="00E24BAE"/>
    <w:rsid w:val="00E2554B"/>
    <w:rsid w:val="00E25CFD"/>
    <w:rsid w:val="00E26066"/>
    <w:rsid w:val="00E262CA"/>
    <w:rsid w:val="00E263AF"/>
    <w:rsid w:val="00E263C5"/>
    <w:rsid w:val="00E267F8"/>
    <w:rsid w:val="00E27794"/>
    <w:rsid w:val="00E27E90"/>
    <w:rsid w:val="00E30299"/>
    <w:rsid w:val="00E3052C"/>
    <w:rsid w:val="00E3068C"/>
    <w:rsid w:val="00E308E8"/>
    <w:rsid w:val="00E32559"/>
    <w:rsid w:val="00E32A49"/>
    <w:rsid w:val="00E32F55"/>
    <w:rsid w:val="00E33500"/>
    <w:rsid w:val="00E33743"/>
    <w:rsid w:val="00E339DD"/>
    <w:rsid w:val="00E33AEA"/>
    <w:rsid w:val="00E33DDA"/>
    <w:rsid w:val="00E3429A"/>
    <w:rsid w:val="00E3438A"/>
    <w:rsid w:val="00E34A5F"/>
    <w:rsid w:val="00E34D67"/>
    <w:rsid w:val="00E34D7E"/>
    <w:rsid w:val="00E35409"/>
    <w:rsid w:val="00E3618C"/>
    <w:rsid w:val="00E36373"/>
    <w:rsid w:val="00E368C7"/>
    <w:rsid w:val="00E36D12"/>
    <w:rsid w:val="00E36D22"/>
    <w:rsid w:val="00E36E93"/>
    <w:rsid w:val="00E37F25"/>
    <w:rsid w:val="00E401B1"/>
    <w:rsid w:val="00E404B7"/>
    <w:rsid w:val="00E4088A"/>
    <w:rsid w:val="00E40E56"/>
    <w:rsid w:val="00E41648"/>
    <w:rsid w:val="00E417CA"/>
    <w:rsid w:val="00E4192E"/>
    <w:rsid w:val="00E41F75"/>
    <w:rsid w:val="00E424F2"/>
    <w:rsid w:val="00E42790"/>
    <w:rsid w:val="00E42B1A"/>
    <w:rsid w:val="00E43103"/>
    <w:rsid w:val="00E43674"/>
    <w:rsid w:val="00E436D4"/>
    <w:rsid w:val="00E43760"/>
    <w:rsid w:val="00E437A3"/>
    <w:rsid w:val="00E437EE"/>
    <w:rsid w:val="00E43926"/>
    <w:rsid w:val="00E43E7C"/>
    <w:rsid w:val="00E43FD1"/>
    <w:rsid w:val="00E448E5"/>
    <w:rsid w:val="00E44E6A"/>
    <w:rsid w:val="00E4532B"/>
    <w:rsid w:val="00E4587F"/>
    <w:rsid w:val="00E45C63"/>
    <w:rsid w:val="00E460DC"/>
    <w:rsid w:val="00E4631C"/>
    <w:rsid w:val="00E46581"/>
    <w:rsid w:val="00E46B83"/>
    <w:rsid w:val="00E47188"/>
    <w:rsid w:val="00E47FB1"/>
    <w:rsid w:val="00E50248"/>
    <w:rsid w:val="00E50B1A"/>
    <w:rsid w:val="00E50BCB"/>
    <w:rsid w:val="00E50E58"/>
    <w:rsid w:val="00E51294"/>
    <w:rsid w:val="00E51D86"/>
    <w:rsid w:val="00E52976"/>
    <w:rsid w:val="00E52DA3"/>
    <w:rsid w:val="00E53336"/>
    <w:rsid w:val="00E533BA"/>
    <w:rsid w:val="00E53B2B"/>
    <w:rsid w:val="00E54198"/>
    <w:rsid w:val="00E54787"/>
    <w:rsid w:val="00E54D12"/>
    <w:rsid w:val="00E551E0"/>
    <w:rsid w:val="00E55370"/>
    <w:rsid w:val="00E553D1"/>
    <w:rsid w:val="00E56D7E"/>
    <w:rsid w:val="00E56D8F"/>
    <w:rsid w:val="00E56E53"/>
    <w:rsid w:val="00E579FD"/>
    <w:rsid w:val="00E600AA"/>
    <w:rsid w:val="00E60874"/>
    <w:rsid w:val="00E6087F"/>
    <w:rsid w:val="00E60F39"/>
    <w:rsid w:val="00E6168E"/>
    <w:rsid w:val="00E617C8"/>
    <w:rsid w:val="00E62369"/>
    <w:rsid w:val="00E635C0"/>
    <w:rsid w:val="00E63E74"/>
    <w:rsid w:val="00E643C0"/>
    <w:rsid w:val="00E64ED7"/>
    <w:rsid w:val="00E64FFE"/>
    <w:rsid w:val="00E6586D"/>
    <w:rsid w:val="00E66381"/>
    <w:rsid w:val="00E66756"/>
    <w:rsid w:val="00E66788"/>
    <w:rsid w:val="00E67B9C"/>
    <w:rsid w:val="00E67C31"/>
    <w:rsid w:val="00E7000B"/>
    <w:rsid w:val="00E702CD"/>
    <w:rsid w:val="00E704C3"/>
    <w:rsid w:val="00E707B9"/>
    <w:rsid w:val="00E70A24"/>
    <w:rsid w:val="00E71A0F"/>
    <w:rsid w:val="00E71D82"/>
    <w:rsid w:val="00E720AF"/>
    <w:rsid w:val="00E72783"/>
    <w:rsid w:val="00E727BD"/>
    <w:rsid w:val="00E72C90"/>
    <w:rsid w:val="00E72CBA"/>
    <w:rsid w:val="00E72FD3"/>
    <w:rsid w:val="00E7314E"/>
    <w:rsid w:val="00E744E1"/>
    <w:rsid w:val="00E74619"/>
    <w:rsid w:val="00E7468F"/>
    <w:rsid w:val="00E75248"/>
    <w:rsid w:val="00E75986"/>
    <w:rsid w:val="00E76AE3"/>
    <w:rsid w:val="00E76FFF"/>
    <w:rsid w:val="00E771CA"/>
    <w:rsid w:val="00E77C8B"/>
    <w:rsid w:val="00E80DA1"/>
    <w:rsid w:val="00E8110D"/>
    <w:rsid w:val="00E8114B"/>
    <w:rsid w:val="00E81349"/>
    <w:rsid w:val="00E81869"/>
    <w:rsid w:val="00E81D51"/>
    <w:rsid w:val="00E82144"/>
    <w:rsid w:val="00E82611"/>
    <w:rsid w:val="00E83049"/>
    <w:rsid w:val="00E830F1"/>
    <w:rsid w:val="00E83188"/>
    <w:rsid w:val="00E83D15"/>
    <w:rsid w:val="00E848F1"/>
    <w:rsid w:val="00E84B58"/>
    <w:rsid w:val="00E84CCD"/>
    <w:rsid w:val="00E84D52"/>
    <w:rsid w:val="00E84DDF"/>
    <w:rsid w:val="00E853EB"/>
    <w:rsid w:val="00E8551C"/>
    <w:rsid w:val="00E85710"/>
    <w:rsid w:val="00E860FD"/>
    <w:rsid w:val="00E86392"/>
    <w:rsid w:val="00E868F2"/>
    <w:rsid w:val="00E870BF"/>
    <w:rsid w:val="00E87721"/>
    <w:rsid w:val="00E877F6"/>
    <w:rsid w:val="00E87BD3"/>
    <w:rsid w:val="00E90307"/>
    <w:rsid w:val="00E90BC1"/>
    <w:rsid w:val="00E90C18"/>
    <w:rsid w:val="00E90C97"/>
    <w:rsid w:val="00E90E25"/>
    <w:rsid w:val="00E9109C"/>
    <w:rsid w:val="00E910A1"/>
    <w:rsid w:val="00E9115E"/>
    <w:rsid w:val="00E9125A"/>
    <w:rsid w:val="00E914DD"/>
    <w:rsid w:val="00E919B0"/>
    <w:rsid w:val="00E92151"/>
    <w:rsid w:val="00E921F7"/>
    <w:rsid w:val="00E92237"/>
    <w:rsid w:val="00E9242B"/>
    <w:rsid w:val="00E92B5F"/>
    <w:rsid w:val="00E9356E"/>
    <w:rsid w:val="00E93A17"/>
    <w:rsid w:val="00E93B06"/>
    <w:rsid w:val="00E93B42"/>
    <w:rsid w:val="00E93CBB"/>
    <w:rsid w:val="00E93DB4"/>
    <w:rsid w:val="00E94F6E"/>
    <w:rsid w:val="00E95AD8"/>
    <w:rsid w:val="00E95FD5"/>
    <w:rsid w:val="00E96A2A"/>
    <w:rsid w:val="00E97017"/>
    <w:rsid w:val="00EA0016"/>
    <w:rsid w:val="00EA04A4"/>
    <w:rsid w:val="00EA0917"/>
    <w:rsid w:val="00EA0B21"/>
    <w:rsid w:val="00EA0C3B"/>
    <w:rsid w:val="00EA0DE9"/>
    <w:rsid w:val="00EA15A0"/>
    <w:rsid w:val="00EA1FD6"/>
    <w:rsid w:val="00EA2378"/>
    <w:rsid w:val="00EA2AD4"/>
    <w:rsid w:val="00EA3B9F"/>
    <w:rsid w:val="00EA488F"/>
    <w:rsid w:val="00EA4927"/>
    <w:rsid w:val="00EA4F46"/>
    <w:rsid w:val="00EA516F"/>
    <w:rsid w:val="00EA5178"/>
    <w:rsid w:val="00EA5272"/>
    <w:rsid w:val="00EA52B3"/>
    <w:rsid w:val="00EA586F"/>
    <w:rsid w:val="00EA5E28"/>
    <w:rsid w:val="00EA5E66"/>
    <w:rsid w:val="00EA682F"/>
    <w:rsid w:val="00EA7244"/>
    <w:rsid w:val="00EA769D"/>
    <w:rsid w:val="00EA7912"/>
    <w:rsid w:val="00EB0487"/>
    <w:rsid w:val="00EB08CF"/>
    <w:rsid w:val="00EB094F"/>
    <w:rsid w:val="00EB0F97"/>
    <w:rsid w:val="00EB1228"/>
    <w:rsid w:val="00EB1384"/>
    <w:rsid w:val="00EB1B78"/>
    <w:rsid w:val="00EB2472"/>
    <w:rsid w:val="00EB2829"/>
    <w:rsid w:val="00EB2C37"/>
    <w:rsid w:val="00EB2F08"/>
    <w:rsid w:val="00EB3074"/>
    <w:rsid w:val="00EB31BB"/>
    <w:rsid w:val="00EB340A"/>
    <w:rsid w:val="00EB37FA"/>
    <w:rsid w:val="00EB3B25"/>
    <w:rsid w:val="00EB3B90"/>
    <w:rsid w:val="00EB45B7"/>
    <w:rsid w:val="00EB4AB6"/>
    <w:rsid w:val="00EB52CE"/>
    <w:rsid w:val="00EB55D1"/>
    <w:rsid w:val="00EB5DCA"/>
    <w:rsid w:val="00EB5F77"/>
    <w:rsid w:val="00EB615C"/>
    <w:rsid w:val="00EB63EC"/>
    <w:rsid w:val="00EB6830"/>
    <w:rsid w:val="00EB6938"/>
    <w:rsid w:val="00EB6971"/>
    <w:rsid w:val="00EB7574"/>
    <w:rsid w:val="00EB7890"/>
    <w:rsid w:val="00EB79AC"/>
    <w:rsid w:val="00EB7A38"/>
    <w:rsid w:val="00EB7A9C"/>
    <w:rsid w:val="00EC08AC"/>
    <w:rsid w:val="00EC0EDE"/>
    <w:rsid w:val="00EC135B"/>
    <w:rsid w:val="00EC1480"/>
    <w:rsid w:val="00EC16E8"/>
    <w:rsid w:val="00EC2680"/>
    <w:rsid w:val="00EC2932"/>
    <w:rsid w:val="00EC2C07"/>
    <w:rsid w:val="00EC3706"/>
    <w:rsid w:val="00EC430B"/>
    <w:rsid w:val="00EC49FC"/>
    <w:rsid w:val="00EC5EAE"/>
    <w:rsid w:val="00EC6925"/>
    <w:rsid w:val="00EC7391"/>
    <w:rsid w:val="00EC76A7"/>
    <w:rsid w:val="00ED015E"/>
    <w:rsid w:val="00ED15EF"/>
    <w:rsid w:val="00ED180E"/>
    <w:rsid w:val="00ED1963"/>
    <w:rsid w:val="00ED19F5"/>
    <w:rsid w:val="00ED2854"/>
    <w:rsid w:val="00ED2CDD"/>
    <w:rsid w:val="00ED44D5"/>
    <w:rsid w:val="00ED466F"/>
    <w:rsid w:val="00ED46C1"/>
    <w:rsid w:val="00ED57DA"/>
    <w:rsid w:val="00ED614E"/>
    <w:rsid w:val="00ED67F5"/>
    <w:rsid w:val="00ED7541"/>
    <w:rsid w:val="00ED791B"/>
    <w:rsid w:val="00ED79C8"/>
    <w:rsid w:val="00ED7F26"/>
    <w:rsid w:val="00ED7FAF"/>
    <w:rsid w:val="00EE0470"/>
    <w:rsid w:val="00EE0F39"/>
    <w:rsid w:val="00EE100A"/>
    <w:rsid w:val="00EE1208"/>
    <w:rsid w:val="00EE1282"/>
    <w:rsid w:val="00EE14A0"/>
    <w:rsid w:val="00EE16E8"/>
    <w:rsid w:val="00EE1899"/>
    <w:rsid w:val="00EE1AD6"/>
    <w:rsid w:val="00EE1AEC"/>
    <w:rsid w:val="00EE2176"/>
    <w:rsid w:val="00EE2A94"/>
    <w:rsid w:val="00EE2B11"/>
    <w:rsid w:val="00EE2CBF"/>
    <w:rsid w:val="00EE39F2"/>
    <w:rsid w:val="00EE3B77"/>
    <w:rsid w:val="00EE3DEB"/>
    <w:rsid w:val="00EE43DA"/>
    <w:rsid w:val="00EE4AD0"/>
    <w:rsid w:val="00EE4CB1"/>
    <w:rsid w:val="00EE5049"/>
    <w:rsid w:val="00EE54D5"/>
    <w:rsid w:val="00EE58BB"/>
    <w:rsid w:val="00EE5B3D"/>
    <w:rsid w:val="00EE5F87"/>
    <w:rsid w:val="00EE60CA"/>
    <w:rsid w:val="00EE74E0"/>
    <w:rsid w:val="00EE7C3D"/>
    <w:rsid w:val="00EF009D"/>
    <w:rsid w:val="00EF0829"/>
    <w:rsid w:val="00EF0883"/>
    <w:rsid w:val="00EF0E1E"/>
    <w:rsid w:val="00EF1153"/>
    <w:rsid w:val="00EF19B2"/>
    <w:rsid w:val="00EF2349"/>
    <w:rsid w:val="00EF26D7"/>
    <w:rsid w:val="00EF28AD"/>
    <w:rsid w:val="00EF32F6"/>
    <w:rsid w:val="00EF3327"/>
    <w:rsid w:val="00EF43B9"/>
    <w:rsid w:val="00EF464E"/>
    <w:rsid w:val="00EF495E"/>
    <w:rsid w:val="00EF4DE2"/>
    <w:rsid w:val="00EF58C2"/>
    <w:rsid w:val="00EF5EDD"/>
    <w:rsid w:val="00EF616D"/>
    <w:rsid w:val="00EF6388"/>
    <w:rsid w:val="00EF6880"/>
    <w:rsid w:val="00EF6C46"/>
    <w:rsid w:val="00EF6E0D"/>
    <w:rsid w:val="00EF708C"/>
    <w:rsid w:val="00EF7155"/>
    <w:rsid w:val="00EF73FE"/>
    <w:rsid w:val="00F00055"/>
    <w:rsid w:val="00F000F5"/>
    <w:rsid w:val="00F003D1"/>
    <w:rsid w:val="00F007BE"/>
    <w:rsid w:val="00F00920"/>
    <w:rsid w:val="00F00A1E"/>
    <w:rsid w:val="00F00BA7"/>
    <w:rsid w:val="00F010F9"/>
    <w:rsid w:val="00F0123B"/>
    <w:rsid w:val="00F01363"/>
    <w:rsid w:val="00F01837"/>
    <w:rsid w:val="00F01BB8"/>
    <w:rsid w:val="00F02240"/>
    <w:rsid w:val="00F022AA"/>
    <w:rsid w:val="00F028C4"/>
    <w:rsid w:val="00F03F02"/>
    <w:rsid w:val="00F041A8"/>
    <w:rsid w:val="00F0457B"/>
    <w:rsid w:val="00F05BE0"/>
    <w:rsid w:val="00F0603D"/>
    <w:rsid w:val="00F06240"/>
    <w:rsid w:val="00F062BC"/>
    <w:rsid w:val="00F06435"/>
    <w:rsid w:val="00F06675"/>
    <w:rsid w:val="00F06854"/>
    <w:rsid w:val="00F0690C"/>
    <w:rsid w:val="00F069AA"/>
    <w:rsid w:val="00F07000"/>
    <w:rsid w:val="00F07A07"/>
    <w:rsid w:val="00F07DE8"/>
    <w:rsid w:val="00F10054"/>
    <w:rsid w:val="00F10D3A"/>
    <w:rsid w:val="00F10F96"/>
    <w:rsid w:val="00F1111C"/>
    <w:rsid w:val="00F116B2"/>
    <w:rsid w:val="00F1196E"/>
    <w:rsid w:val="00F11AE6"/>
    <w:rsid w:val="00F12606"/>
    <w:rsid w:val="00F12670"/>
    <w:rsid w:val="00F12965"/>
    <w:rsid w:val="00F12B86"/>
    <w:rsid w:val="00F12E40"/>
    <w:rsid w:val="00F12F48"/>
    <w:rsid w:val="00F1374A"/>
    <w:rsid w:val="00F13CFD"/>
    <w:rsid w:val="00F14779"/>
    <w:rsid w:val="00F1546F"/>
    <w:rsid w:val="00F15947"/>
    <w:rsid w:val="00F15A0E"/>
    <w:rsid w:val="00F15A8F"/>
    <w:rsid w:val="00F15E02"/>
    <w:rsid w:val="00F163D0"/>
    <w:rsid w:val="00F16827"/>
    <w:rsid w:val="00F16A79"/>
    <w:rsid w:val="00F1746B"/>
    <w:rsid w:val="00F20216"/>
    <w:rsid w:val="00F203EB"/>
    <w:rsid w:val="00F207AB"/>
    <w:rsid w:val="00F2135E"/>
    <w:rsid w:val="00F21D81"/>
    <w:rsid w:val="00F21F4A"/>
    <w:rsid w:val="00F225C4"/>
    <w:rsid w:val="00F226A3"/>
    <w:rsid w:val="00F22F37"/>
    <w:rsid w:val="00F230AF"/>
    <w:rsid w:val="00F2328A"/>
    <w:rsid w:val="00F233B7"/>
    <w:rsid w:val="00F235B5"/>
    <w:rsid w:val="00F23941"/>
    <w:rsid w:val="00F23DC4"/>
    <w:rsid w:val="00F23FF7"/>
    <w:rsid w:val="00F247D2"/>
    <w:rsid w:val="00F24B6C"/>
    <w:rsid w:val="00F24F99"/>
    <w:rsid w:val="00F26C55"/>
    <w:rsid w:val="00F26C79"/>
    <w:rsid w:val="00F26CB1"/>
    <w:rsid w:val="00F27C3E"/>
    <w:rsid w:val="00F302AF"/>
    <w:rsid w:val="00F3074C"/>
    <w:rsid w:val="00F3099B"/>
    <w:rsid w:val="00F31BA0"/>
    <w:rsid w:val="00F31BF0"/>
    <w:rsid w:val="00F31D01"/>
    <w:rsid w:val="00F32199"/>
    <w:rsid w:val="00F3232F"/>
    <w:rsid w:val="00F32E4F"/>
    <w:rsid w:val="00F3307D"/>
    <w:rsid w:val="00F330B9"/>
    <w:rsid w:val="00F33764"/>
    <w:rsid w:val="00F343C9"/>
    <w:rsid w:val="00F35928"/>
    <w:rsid w:val="00F362E3"/>
    <w:rsid w:val="00F371C1"/>
    <w:rsid w:val="00F37928"/>
    <w:rsid w:val="00F4028A"/>
    <w:rsid w:val="00F4068F"/>
    <w:rsid w:val="00F407CA"/>
    <w:rsid w:val="00F409AB"/>
    <w:rsid w:val="00F40B8A"/>
    <w:rsid w:val="00F40DF0"/>
    <w:rsid w:val="00F4251C"/>
    <w:rsid w:val="00F43134"/>
    <w:rsid w:val="00F43173"/>
    <w:rsid w:val="00F43CB5"/>
    <w:rsid w:val="00F43E17"/>
    <w:rsid w:val="00F44266"/>
    <w:rsid w:val="00F44393"/>
    <w:rsid w:val="00F446FD"/>
    <w:rsid w:val="00F44A59"/>
    <w:rsid w:val="00F44B4A"/>
    <w:rsid w:val="00F451F1"/>
    <w:rsid w:val="00F45328"/>
    <w:rsid w:val="00F453D3"/>
    <w:rsid w:val="00F454BA"/>
    <w:rsid w:val="00F458A4"/>
    <w:rsid w:val="00F45DA4"/>
    <w:rsid w:val="00F45E63"/>
    <w:rsid w:val="00F45F50"/>
    <w:rsid w:val="00F46146"/>
    <w:rsid w:val="00F4637A"/>
    <w:rsid w:val="00F46524"/>
    <w:rsid w:val="00F46AC7"/>
    <w:rsid w:val="00F47323"/>
    <w:rsid w:val="00F4783C"/>
    <w:rsid w:val="00F47C33"/>
    <w:rsid w:val="00F47FF7"/>
    <w:rsid w:val="00F50359"/>
    <w:rsid w:val="00F50583"/>
    <w:rsid w:val="00F50B82"/>
    <w:rsid w:val="00F515FA"/>
    <w:rsid w:val="00F51C84"/>
    <w:rsid w:val="00F520E7"/>
    <w:rsid w:val="00F52D1D"/>
    <w:rsid w:val="00F52DA3"/>
    <w:rsid w:val="00F52E0D"/>
    <w:rsid w:val="00F539F0"/>
    <w:rsid w:val="00F53B91"/>
    <w:rsid w:val="00F54097"/>
    <w:rsid w:val="00F541E6"/>
    <w:rsid w:val="00F55272"/>
    <w:rsid w:val="00F55340"/>
    <w:rsid w:val="00F55460"/>
    <w:rsid w:val="00F55A32"/>
    <w:rsid w:val="00F55E37"/>
    <w:rsid w:val="00F56577"/>
    <w:rsid w:val="00F5667A"/>
    <w:rsid w:val="00F57106"/>
    <w:rsid w:val="00F57253"/>
    <w:rsid w:val="00F57783"/>
    <w:rsid w:val="00F57D80"/>
    <w:rsid w:val="00F57F74"/>
    <w:rsid w:val="00F60842"/>
    <w:rsid w:val="00F60971"/>
    <w:rsid w:val="00F60E99"/>
    <w:rsid w:val="00F61047"/>
    <w:rsid w:val="00F61301"/>
    <w:rsid w:val="00F61589"/>
    <w:rsid w:val="00F620BA"/>
    <w:rsid w:val="00F6252F"/>
    <w:rsid w:val="00F62839"/>
    <w:rsid w:val="00F628AD"/>
    <w:rsid w:val="00F62D9E"/>
    <w:rsid w:val="00F63523"/>
    <w:rsid w:val="00F63DA6"/>
    <w:rsid w:val="00F63EA3"/>
    <w:rsid w:val="00F63F8D"/>
    <w:rsid w:val="00F649CD"/>
    <w:rsid w:val="00F65AF4"/>
    <w:rsid w:val="00F65C09"/>
    <w:rsid w:val="00F65F66"/>
    <w:rsid w:val="00F66670"/>
    <w:rsid w:val="00F66DBB"/>
    <w:rsid w:val="00F6736D"/>
    <w:rsid w:val="00F67788"/>
    <w:rsid w:val="00F67A04"/>
    <w:rsid w:val="00F67D9A"/>
    <w:rsid w:val="00F67E61"/>
    <w:rsid w:val="00F67E84"/>
    <w:rsid w:val="00F67EC1"/>
    <w:rsid w:val="00F7082E"/>
    <w:rsid w:val="00F7185E"/>
    <w:rsid w:val="00F719C8"/>
    <w:rsid w:val="00F71C14"/>
    <w:rsid w:val="00F71E15"/>
    <w:rsid w:val="00F7233E"/>
    <w:rsid w:val="00F7262A"/>
    <w:rsid w:val="00F72AE5"/>
    <w:rsid w:val="00F72E29"/>
    <w:rsid w:val="00F73C91"/>
    <w:rsid w:val="00F74249"/>
    <w:rsid w:val="00F74307"/>
    <w:rsid w:val="00F746F7"/>
    <w:rsid w:val="00F749DE"/>
    <w:rsid w:val="00F74CE1"/>
    <w:rsid w:val="00F74ECC"/>
    <w:rsid w:val="00F758F1"/>
    <w:rsid w:val="00F75B66"/>
    <w:rsid w:val="00F75BFA"/>
    <w:rsid w:val="00F76A7E"/>
    <w:rsid w:val="00F77170"/>
    <w:rsid w:val="00F77AA7"/>
    <w:rsid w:val="00F80557"/>
    <w:rsid w:val="00F80E47"/>
    <w:rsid w:val="00F80ED1"/>
    <w:rsid w:val="00F816D0"/>
    <w:rsid w:val="00F81C7D"/>
    <w:rsid w:val="00F82222"/>
    <w:rsid w:val="00F823C5"/>
    <w:rsid w:val="00F83675"/>
    <w:rsid w:val="00F8367A"/>
    <w:rsid w:val="00F83C6A"/>
    <w:rsid w:val="00F83D08"/>
    <w:rsid w:val="00F84074"/>
    <w:rsid w:val="00F844E2"/>
    <w:rsid w:val="00F845A3"/>
    <w:rsid w:val="00F84EF7"/>
    <w:rsid w:val="00F85323"/>
    <w:rsid w:val="00F856B2"/>
    <w:rsid w:val="00F85846"/>
    <w:rsid w:val="00F864CA"/>
    <w:rsid w:val="00F8667E"/>
    <w:rsid w:val="00F876B8"/>
    <w:rsid w:val="00F8785D"/>
    <w:rsid w:val="00F87970"/>
    <w:rsid w:val="00F87D85"/>
    <w:rsid w:val="00F90110"/>
    <w:rsid w:val="00F901E1"/>
    <w:rsid w:val="00F90B2A"/>
    <w:rsid w:val="00F911DF"/>
    <w:rsid w:val="00F91499"/>
    <w:rsid w:val="00F91801"/>
    <w:rsid w:val="00F91A91"/>
    <w:rsid w:val="00F91AF4"/>
    <w:rsid w:val="00F9298C"/>
    <w:rsid w:val="00F92C60"/>
    <w:rsid w:val="00F935F9"/>
    <w:rsid w:val="00F93ACC"/>
    <w:rsid w:val="00F949C0"/>
    <w:rsid w:val="00F94AE9"/>
    <w:rsid w:val="00F94CE8"/>
    <w:rsid w:val="00F94D41"/>
    <w:rsid w:val="00F96276"/>
    <w:rsid w:val="00F96C7E"/>
    <w:rsid w:val="00F974BA"/>
    <w:rsid w:val="00F97830"/>
    <w:rsid w:val="00F97A40"/>
    <w:rsid w:val="00F97CA5"/>
    <w:rsid w:val="00FA0C56"/>
    <w:rsid w:val="00FA1224"/>
    <w:rsid w:val="00FA1CDA"/>
    <w:rsid w:val="00FA2546"/>
    <w:rsid w:val="00FA2658"/>
    <w:rsid w:val="00FA27F5"/>
    <w:rsid w:val="00FA32CE"/>
    <w:rsid w:val="00FA3B75"/>
    <w:rsid w:val="00FA3C54"/>
    <w:rsid w:val="00FA3C6B"/>
    <w:rsid w:val="00FA4864"/>
    <w:rsid w:val="00FA511A"/>
    <w:rsid w:val="00FA52B5"/>
    <w:rsid w:val="00FA577A"/>
    <w:rsid w:val="00FA64FF"/>
    <w:rsid w:val="00FA65E5"/>
    <w:rsid w:val="00FA7322"/>
    <w:rsid w:val="00FA74EE"/>
    <w:rsid w:val="00FA79A8"/>
    <w:rsid w:val="00FA7A40"/>
    <w:rsid w:val="00FA7F05"/>
    <w:rsid w:val="00FB07AD"/>
    <w:rsid w:val="00FB13BA"/>
    <w:rsid w:val="00FB14AF"/>
    <w:rsid w:val="00FB179B"/>
    <w:rsid w:val="00FB1AAA"/>
    <w:rsid w:val="00FB1EC8"/>
    <w:rsid w:val="00FB210C"/>
    <w:rsid w:val="00FB24B5"/>
    <w:rsid w:val="00FB2AB6"/>
    <w:rsid w:val="00FB2C74"/>
    <w:rsid w:val="00FB35B0"/>
    <w:rsid w:val="00FB4A7C"/>
    <w:rsid w:val="00FB4B6E"/>
    <w:rsid w:val="00FB4D41"/>
    <w:rsid w:val="00FB575B"/>
    <w:rsid w:val="00FB658B"/>
    <w:rsid w:val="00FB6B10"/>
    <w:rsid w:val="00FB72BB"/>
    <w:rsid w:val="00FB79BA"/>
    <w:rsid w:val="00FB79FA"/>
    <w:rsid w:val="00FB7B3F"/>
    <w:rsid w:val="00FC013E"/>
    <w:rsid w:val="00FC01E8"/>
    <w:rsid w:val="00FC02C2"/>
    <w:rsid w:val="00FC02D2"/>
    <w:rsid w:val="00FC075C"/>
    <w:rsid w:val="00FC0D40"/>
    <w:rsid w:val="00FC0E68"/>
    <w:rsid w:val="00FC139C"/>
    <w:rsid w:val="00FC15EC"/>
    <w:rsid w:val="00FC1844"/>
    <w:rsid w:val="00FC1E6E"/>
    <w:rsid w:val="00FC24A8"/>
    <w:rsid w:val="00FC2F79"/>
    <w:rsid w:val="00FC301A"/>
    <w:rsid w:val="00FC317B"/>
    <w:rsid w:val="00FC3DC8"/>
    <w:rsid w:val="00FC41C2"/>
    <w:rsid w:val="00FC4774"/>
    <w:rsid w:val="00FC49B2"/>
    <w:rsid w:val="00FC4A33"/>
    <w:rsid w:val="00FC57E1"/>
    <w:rsid w:val="00FC5B62"/>
    <w:rsid w:val="00FC5E93"/>
    <w:rsid w:val="00FC66D4"/>
    <w:rsid w:val="00FC691A"/>
    <w:rsid w:val="00FC6B5E"/>
    <w:rsid w:val="00FC6D21"/>
    <w:rsid w:val="00FC6FE6"/>
    <w:rsid w:val="00FC713E"/>
    <w:rsid w:val="00FC7357"/>
    <w:rsid w:val="00FC73A1"/>
    <w:rsid w:val="00FC7630"/>
    <w:rsid w:val="00FC7821"/>
    <w:rsid w:val="00FC7AE9"/>
    <w:rsid w:val="00FC7B2D"/>
    <w:rsid w:val="00FD0902"/>
    <w:rsid w:val="00FD0BC4"/>
    <w:rsid w:val="00FD0CC2"/>
    <w:rsid w:val="00FD0E94"/>
    <w:rsid w:val="00FD12E0"/>
    <w:rsid w:val="00FD1446"/>
    <w:rsid w:val="00FD164A"/>
    <w:rsid w:val="00FD1AD4"/>
    <w:rsid w:val="00FD21F0"/>
    <w:rsid w:val="00FD2660"/>
    <w:rsid w:val="00FD2CA8"/>
    <w:rsid w:val="00FD375D"/>
    <w:rsid w:val="00FD3C33"/>
    <w:rsid w:val="00FD3DE6"/>
    <w:rsid w:val="00FD4056"/>
    <w:rsid w:val="00FD41D8"/>
    <w:rsid w:val="00FD421F"/>
    <w:rsid w:val="00FD45D2"/>
    <w:rsid w:val="00FD4797"/>
    <w:rsid w:val="00FD4B4D"/>
    <w:rsid w:val="00FD4D32"/>
    <w:rsid w:val="00FD5482"/>
    <w:rsid w:val="00FD55D0"/>
    <w:rsid w:val="00FD5BA5"/>
    <w:rsid w:val="00FD6996"/>
    <w:rsid w:val="00FD69CA"/>
    <w:rsid w:val="00FD6C1B"/>
    <w:rsid w:val="00FD6D8C"/>
    <w:rsid w:val="00FD7189"/>
    <w:rsid w:val="00FD7277"/>
    <w:rsid w:val="00FD7C61"/>
    <w:rsid w:val="00FD7D1B"/>
    <w:rsid w:val="00FE00DC"/>
    <w:rsid w:val="00FE0261"/>
    <w:rsid w:val="00FE03BE"/>
    <w:rsid w:val="00FE0593"/>
    <w:rsid w:val="00FE0638"/>
    <w:rsid w:val="00FE0934"/>
    <w:rsid w:val="00FE0CD0"/>
    <w:rsid w:val="00FE0E22"/>
    <w:rsid w:val="00FE0EE9"/>
    <w:rsid w:val="00FE1424"/>
    <w:rsid w:val="00FE1444"/>
    <w:rsid w:val="00FE14C7"/>
    <w:rsid w:val="00FE17B1"/>
    <w:rsid w:val="00FE1C86"/>
    <w:rsid w:val="00FE1E96"/>
    <w:rsid w:val="00FE20E2"/>
    <w:rsid w:val="00FE266E"/>
    <w:rsid w:val="00FE352E"/>
    <w:rsid w:val="00FE3CA5"/>
    <w:rsid w:val="00FE3FE7"/>
    <w:rsid w:val="00FE417B"/>
    <w:rsid w:val="00FE430D"/>
    <w:rsid w:val="00FE4418"/>
    <w:rsid w:val="00FE4D80"/>
    <w:rsid w:val="00FE54F6"/>
    <w:rsid w:val="00FE5952"/>
    <w:rsid w:val="00FE5FDA"/>
    <w:rsid w:val="00FE6889"/>
    <w:rsid w:val="00FE6C4F"/>
    <w:rsid w:val="00FE6E24"/>
    <w:rsid w:val="00FE73E5"/>
    <w:rsid w:val="00FE791D"/>
    <w:rsid w:val="00FE7A5A"/>
    <w:rsid w:val="00FE7F26"/>
    <w:rsid w:val="00FF0279"/>
    <w:rsid w:val="00FF0852"/>
    <w:rsid w:val="00FF116B"/>
    <w:rsid w:val="00FF141D"/>
    <w:rsid w:val="00FF19F7"/>
    <w:rsid w:val="00FF1DCC"/>
    <w:rsid w:val="00FF1DDC"/>
    <w:rsid w:val="00FF1F6C"/>
    <w:rsid w:val="00FF2600"/>
    <w:rsid w:val="00FF307B"/>
    <w:rsid w:val="00FF376E"/>
    <w:rsid w:val="00FF3D8B"/>
    <w:rsid w:val="00FF4681"/>
    <w:rsid w:val="00FF673D"/>
    <w:rsid w:val="00FF6A52"/>
    <w:rsid w:val="00FF6B64"/>
    <w:rsid w:val="00FF6DA0"/>
    <w:rsid w:val="00FF74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4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iPriority="99"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0E94"/>
    <w:pPr>
      <w:overflowPunct w:val="0"/>
      <w:autoSpaceDE w:val="0"/>
      <w:autoSpaceDN w:val="0"/>
      <w:adjustRightInd w:val="0"/>
      <w:spacing w:before="20" w:after="20" w:line="220" w:lineRule="exact"/>
      <w:jc w:val="both"/>
      <w:textAlignment w:val="baseline"/>
    </w:pPr>
    <w:rPr>
      <w:rFonts w:ascii="Arial Narrow" w:hAnsi="Arial Narrow"/>
      <w:lang w:val="en-GB" w:eastAsia="en-US"/>
    </w:rPr>
  </w:style>
  <w:style w:type="paragraph" w:styleId="Titolo1">
    <w:name w:val="heading 1"/>
    <w:basedOn w:val="Normale"/>
    <w:next w:val="Normale"/>
    <w:link w:val="Titolo1Carattere"/>
    <w:uiPriority w:val="99"/>
    <w:qFormat/>
    <w:rsid w:val="00175655"/>
    <w:pPr>
      <w:keepNext/>
      <w:overflowPunct/>
      <w:autoSpaceDE/>
      <w:autoSpaceDN/>
      <w:adjustRightInd/>
      <w:spacing w:before="0" w:after="0" w:line="240" w:lineRule="exact"/>
      <w:jc w:val="left"/>
      <w:textAlignment w:val="auto"/>
      <w:outlineLvl w:val="0"/>
    </w:pPr>
    <w:rPr>
      <w:b/>
      <w:caps/>
      <w:kern w:val="28"/>
      <w:sz w:val="22"/>
      <w:szCs w:val="22"/>
      <w:lang w:val="it-IT"/>
    </w:rPr>
  </w:style>
  <w:style w:type="paragraph" w:styleId="Titolo2">
    <w:name w:val="heading 2"/>
    <w:basedOn w:val="Normale"/>
    <w:next w:val="Normale"/>
    <w:link w:val="Titolo2Carattere"/>
    <w:uiPriority w:val="99"/>
    <w:qFormat/>
    <w:rsid w:val="001422E7"/>
    <w:pPr>
      <w:keepNext/>
      <w:overflowPunct/>
      <w:autoSpaceDE/>
      <w:autoSpaceDN/>
      <w:adjustRightInd/>
      <w:spacing w:line="240" w:lineRule="exact"/>
      <w:jc w:val="left"/>
      <w:textAlignment w:val="auto"/>
      <w:outlineLvl w:val="1"/>
    </w:pPr>
    <w:rPr>
      <w:b/>
      <w:sz w:val="22"/>
    </w:rPr>
  </w:style>
  <w:style w:type="paragraph" w:styleId="Titolo3">
    <w:name w:val="heading 3"/>
    <w:basedOn w:val="Normale"/>
    <w:next w:val="Normale"/>
    <w:link w:val="Titolo3Carattere"/>
    <w:qFormat/>
    <w:rsid w:val="001422E7"/>
    <w:pPr>
      <w:keepNext/>
      <w:outlineLvl w:val="2"/>
    </w:pPr>
    <w:rPr>
      <w:b/>
      <w:bCs/>
      <w:i/>
    </w:rPr>
  </w:style>
  <w:style w:type="paragraph" w:styleId="Titolo4">
    <w:name w:val="heading 4"/>
    <w:basedOn w:val="Normale"/>
    <w:next w:val="Normale"/>
    <w:link w:val="Titolo4Carattere"/>
    <w:qFormat/>
    <w:rsid w:val="00C85498"/>
    <w:pPr>
      <w:keepNext/>
      <w:spacing w:before="240" w:after="60"/>
      <w:outlineLvl w:val="3"/>
    </w:pPr>
    <w:rPr>
      <w:b/>
      <w:sz w:val="28"/>
    </w:rPr>
  </w:style>
  <w:style w:type="paragraph" w:styleId="Titolo5">
    <w:name w:val="heading 5"/>
    <w:basedOn w:val="Normale"/>
    <w:next w:val="Normale"/>
    <w:qFormat/>
    <w:rsid w:val="00C85498"/>
    <w:pPr>
      <w:spacing w:before="240" w:after="60"/>
      <w:outlineLvl w:val="4"/>
    </w:pPr>
    <w:rPr>
      <w:b/>
      <w:i/>
      <w:sz w:val="26"/>
    </w:rPr>
  </w:style>
  <w:style w:type="paragraph" w:styleId="Titolo6">
    <w:name w:val="heading 6"/>
    <w:basedOn w:val="Normale"/>
    <w:next w:val="Normale"/>
    <w:qFormat/>
    <w:rsid w:val="00C85498"/>
    <w:pPr>
      <w:spacing w:before="240" w:after="60"/>
      <w:outlineLvl w:val="5"/>
    </w:pPr>
    <w:rPr>
      <w:b/>
      <w:sz w:val="22"/>
    </w:rPr>
  </w:style>
  <w:style w:type="paragraph" w:styleId="Titolo7">
    <w:name w:val="heading 7"/>
    <w:basedOn w:val="Normale"/>
    <w:next w:val="Normale"/>
    <w:qFormat/>
    <w:rsid w:val="00C85498"/>
    <w:pPr>
      <w:spacing w:before="240" w:after="60"/>
      <w:outlineLvl w:val="6"/>
    </w:pPr>
    <w:rPr>
      <w:sz w:val="24"/>
    </w:rPr>
  </w:style>
  <w:style w:type="paragraph" w:styleId="Titolo8">
    <w:name w:val="heading 8"/>
    <w:basedOn w:val="Normale"/>
    <w:next w:val="Normale"/>
    <w:qFormat/>
    <w:rsid w:val="00C85498"/>
    <w:pPr>
      <w:spacing w:before="240" w:after="60"/>
      <w:outlineLvl w:val="7"/>
    </w:pPr>
    <w:rPr>
      <w:i/>
      <w:sz w:val="24"/>
    </w:rPr>
  </w:style>
  <w:style w:type="paragraph" w:styleId="Titolo9">
    <w:name w:val="heading 9"/>
    <w:basedOn w:val="Normale"/>
    <w:next w:val="Normale"/>
    <w:qFormat/>
    <w:rsid w:val="00C85498"/>
    <w:pPr>
      <w:spacing w:before="240" w:after="60"/>
      <w:outlineLvl w:val="8"/>
    </w:pPr>
    <w:rPr>
      <w:rFonts w:ascii="Arial" w:hAnsi="Arial"/>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rsid w:val="001422E7"/>
    <w:rPr>
      <w:rFonts w:ascii="Arial Narrow" w:hAnsi="Arial Narrow"/>
      <w:b/>
      <w:sz w:val="22"/>
      <w:lang w:eastAsia="en-US"/>
    </w:rPr>
  </w:style>
  <w:style w:type="character" w:customStyle="1" w:styleId="Titolo3Carattere">
    <w:name w:val="Titolo 3 Carattere"/>
    <w:link w:val="Titolo3"/>
    <w:rsid w:val="001422E7"/>
    <w:rPr>
      <w:rFonts w:ascii="Arial Narrow" w:hAnsi="Arial Narrow"/>
      <w:b/>
      <w:bCs/>
      <w:i/>
      <w:lang w:val="en-GB" w:eastAsia="en-US"/>
    </w:rPr>
  </w:style>
  <w:style w:type="paragraph" w:styleId="Intestazione">
    <w:name w:val="header"/>
    <w:basedOn w:val="Normale"/>
    <w:rsid w:val="00C85498"/>
    <w:pPr>
      <w:pBdr>
        <w:bottom w:val="single" w:sz="4" w:space="1" w:color="auto"/>
      </w:pBdr>
      <w:tabs>
        <w:tab w:val="right" w:pos="9072"/>
      </w:tabs>
    </w:pPr>
    <w:rPr>
      <w:noProof/>
      <w:lang w:val="en-US"/>
    </w:rPr>
  </w:style>
  <w:style w:type="paragraph" w:styleId="Pidipagina">
    <w:name w:val="footer"/>
    <w:basedOn w:val="Normale"/>
    <w:rsid w:val="00C85498"/>
    <w:pPr>
      <w:pBdr>
        <w:top w:val="single" w:sz="4" w:space="1" w:color="auto"/>
      </w:pBdr>
      <w:tabs>
        <w:tab w:val="center" w:pos="4536"/>
        <w:tab w:val="right" w:pos="9072"/>
      </w:tabs>
    </w:pPr>
    <w:rPr>
      <w:iCs/>
    </w:rPr>
  </w:style>
  <w:style w:type="character" w:styleId="Numeropagina">
    <w:name w:val="page number"/>
    <w:basedOn w:val="Carpredefinitoparagrafo"/>
    <w:rsid w:val="00C85498"/>
  </w:style>
  <w:style w:type="paragraph" w:styleId="Sommario1">
    <w:name w:val="toc 1"/>
    <w:basedOn w:val="Normale"/>
    <w:next w:val="Normale"/>
    <w:semiHidden/>
    <w:rsid w:val="00C85498"/>
    <w:pPr>
      <w:ind w:right="567"/>
    </w:pPr>
    <w:rPr>
      <w:noProof/>
    </w:rPr>
  </w:style>
  <w:style w:type="paragraph" w:styleId="Sommario2">
    <w:name w:val="toc 2"/>
    <w:basedOn w:val="Normale"/>
    <w:next w:val="Normale"/>
    <w:semiHidden/>
    <w:rsid w:val="00C85498"/>
    <w:pPr>
      <w:ind w:left="357" w:right="567" w:hanging="119"/>
    </w:pPr>
  </w:style>
  <w:style w:type="paragraph" w:styleId="Sommario3">
    <w:name w:val="toc 3"/>
    <w:basedOn w:val="Normale"/>
    <w:next w:val="Normale"/>
    <w:semiHidden/>
    <w:rsid w:val="00C85498"/>
    <w:pPr>
      <w:ind w:left="480"/>
    </w:pPr>
  </w:style>
  <w:style w:type="paragraph" w:styleId="Sommario4">
    <w:name w:val="toc 4"/>
    <w:basedOn w:val="Normale"/>
    <w:next w:val="Normale"/>
    <w:semiHidden/>
    <w:rsid w:val="00C85498"/>
    <w:pPr>
      <w:ind w:left="720"/>
    </w:pPr>
  </w:style>
  <w:style w:type="paragraph" w:styleId="Sommario5">
    <w:name w:val="toc 5"/>
    <w:basedOn w:val="Normale"/>
    <w:next w:val="Normale"/>
    <w:semiHidden/>
    <w:rsid w:val="00C85498"/>
    <w:pPr>
      <w:ind w:left="960"/>
    </w:pPr>
  </w:style>
  <w:style w:type="paragraph" w:styleId="Sommario6">
    <w:name w:val="toc 6"/>
    <w:basedOn w:val="Normale"/>
    <w:next w:val="Normale"/>
    <w:semiHidden/>
    <w:rsid w:val="00C85498"/>
    <w:pPr>
      <w:ind w:left="1200"/>
    </w:pPr>
  </w:style>
  <w:style w:type="paragraph" w:styleId="Sommario7">
    <w:name w:val="toc 7"/>
    <w:basedOn w:val="Normale"/>
    <w:next w:val="Normale"/>
    <w:semiHidden/>
    <w:rsid w:val="00C85498"/>
    <w:pPr>
      <w:ind w:left="1440"/>
    </w:pPr>
  </w:style>
  <w:style w:type="paragraph" w:styleId="Sommario8">
    <w:name w:val="toc 8"/>
    <w:basedOn w:val="Normale"/>
    <w:next w:val="Normale"/>
    <w:semiHidden/>
    <w:rsid w:val="00C85498"/>
    <w:pPr>
      <w:ind w:left="1680"/>
    </w:pPr>
  </w:style>
  <w:style w:type="paragraph" w:styleId="Sommario9">
    <w:name w:val="toc 9"/>
    <w:basedOn w:val="Normale"/>
    <w:next w:val="Normale"/>
    <w:semiHidden/>
    <w:rsid w:val="00C85498"/>
    <w:pPr>
      <w:ind w:left="1920"/>
    </w:pPr>
  </w:style>
  <w:style w:type="character" w:styleId="Collegamentoipertestuale">
    <w:name w:val="Hyperlink"/>
    <w:rsid w:val="00C85498"/>
    <w:rPr>
      <w:noProof/>
      <w:color w:val="008000"/>
      <w:u w:val="single"/>
    </w:rPr>
  </w:style>
  <w:style w:type="paragraph" w:styleId="Primorientrocorpodeltesto">
    <w:name w:val="Body Text First Indent"/>
    <w:basedOn w:val="Normale"/>
    <w:rsid w:val="00F06675"/>
    <w:pPr>
      <w:spacing w:after="120"/>
      <w:ind w:firstLine="210"/>
    </w:pPr>
  </w:style>
  <w:style w:type="paragraph" w:styleId="Primorientrocorpodeltesto2">
    <w:name w:val="Body Text First Indent 2"/>
    <w:basedOn w:val="Normale"/>
    <w:rsid w:val="00F06675"/>
    <w:pPr>
      <w:spacing w:after="120"/>
      <w:ind w:left="283" w:firstLine="210"/>
    </w:pPr>
  </w:style>
  <w:style w:type="paragraph" w:styleId="Rientrocorpodeltesto2">
    <w:name w:val="Body Text Indent 2"/>
    <w:basedOn w:val="Normale"/>
    <w:rsid w:val="00C85498"/>
    <w:pPr>
      <w:spacing w:after="120" w:line="480" w:lineRule="auto"/>
      <w:ind w:left="283"/>
    </w:pPr>
  </w:style>
  <w:style w:type="paragraph" w:styleId="Rientrocorpodeltesto3">
    <w:name w:val="Body Text Indent 3"/>
    <w:basedOn w:val="Normale"/>
    <w:link w:val="Rientrocorpodeltesto3Carattere"/>
    <w:rsid w:val="00C85498"/>
    <w:pPr>
      <w:spacing w:after="120"/>
      <w:ind w:left="283"/>
    </w:pPr>
    <w:rPr>
      <w:sz w:val="16"/>
    </w:rPr>
  </w:style>
  <w:style w:type="paragraph" w:styleId="Testocommento">
    <w:name w:val="annotation text"/>
    <w:basedOn w:val="Normale"/>
    <w:semiHidden/>
    <w:rsid w:val="00C85498"/>
  </w:style>
  <w:style w:type="paragraph" w:styleId="Mappadocumento">
    <w:name w:val="Document Map"/>
    <w:basedOn w:val="Normale"/>
    <w:semiHidden/>
    <w:rsid w:val="00C85498"/>
    <w:pPr>
      <w:shd w:val="clear" w:color="auto" w:fill="000080"/>
    </w:pPr>
    <w:rPr>
      <w:rFonts w:ascii="Tahoma" w:hAnsi="Tahoma"/>
    </w:rPr>
  </w:style>
  <w:style w:type="paragraph" w:styleId="Testonotadichiusura">
    <w:name w:val="endnote text"/>
    <w:basedOn w:val="Normale"/>
    <w:semiHidden/>
    <w:rsid w:val="00C85498"/>
  </w:style>
  <w:style w:type="paragraph" w:styleId="Testonotaapidipagina">
    <w:name w:val="footnote text"/>
    <w:basedOn w:val="Normale"/>
    <w:semiHidden/>
    <w:rsid w:val="00C85498"/>
  </w:style>
  <w:style w:type="paragraph" w:styleId="PreformattatoHTML">
    <w:name w:val="HTML Preformatted"/>
    <w:basedOn w:val="Normale"/>
    <w:rsid w:val="00C85498"/>
    <w:rPr>
      <w:rFonts w:ascii="Courier New" w:hAnsi="Courier New"/>
    </w:rPr>
  </w:style>
  <w:style w:type="paragraph" w:styleId="Indice1">
    <w:name w:val="index 1"/>
    <w:basedOn w:val="Normale"/>
    <w:next w:val="Normale"/>
    <w:semiHidden/>
    <w:rsid w:val="00C85498"/>
    <w:pPr>
      <w:keepNext/>
      <w:pBdr>
        <w:bottom w:val="single" w:sz="4" w:space="0" w:color="auto"/>
      </w:pBdr>
      <w:tabs>
        <w:tab w:val="right" w:leader="dot" w:pos="1717"/>
        <w:tab w:val="right" w:leader="dot" w:pos="1859"/>
      </w:tabs>
      <w:spacing w:before="60"/>
      <w:ind w:left="198" w:hanging="198"/>
    </w:pPr>
    <w:rPr>
      <w:bCs/>
      <w:noProof/>
      <w:sz w:val="18"/>
      <w:szCs w:val="24"/>
      <w:lang w:val="en-US"/>
    </w:rPr>
  </w:style>
  <w:style w:type="paragraph" w:styleId="Indice2">
    <w:name w:val="index 2"/>
    <w:basedOn w:val="Normale"/>
    <w:next w:val="Normale"/>
    <w:semiHidden/>
    <w:rsid w:val="00C85498"/>
    <w:pPr>
      <w:tabs>
        <w:tab w:val="right" w:leader="dot" w:pos="1717"/>
        <w:tab w:val="right" w:leader="dot" w:pos="1859"/>
      </w:tabs>
      <w:ind w:left="198"/>
    </w:pPr>
    <w:rPr>
      <w:noProof/>
      <w:sz w:val="18"/>
      <w:szCs w:val="24"/>
      <w:lang w:val="en-US"/>
    </w:rPr>
  </w:style>
  <w:style w:type="paragraph" w:styleId="Indice3">
    <w:name w:val="index 3"/>
    <w:basedOn w:val="Normale"/>
    <w:next w:val="Normale"/>
    <w:semiHidden/>
    <w:rsid w:val="00C85498"/>
    <w:pPr>
      <w:ind w:left="600" w:hanging="200"/>
    </w:pPr>
    <w:rPr>
      <w:szCs w:val="24"/>
    </w:rPr>
  </w:style>
  <w:style w:type="paragraph" w:styleId="Indice4">
    <w:name w:val="index 4"/>
    <w:basedOn w:val="Normale"/>
    <w:next w:val="Normale"/>
    <w:semiHidden/>
    <w:rsid w:val="00C85498"/>
    <w:pPr>
      <w:ind w:left="800" w:hanging="200"/>
    </w:pPr>
    <w:rPr>
      <w:szCs w:val="24"/>
    </w:rPr>
  </w:style>
  <w:style w:type="paragraph" w:styleId="Indice5">
    <w:name w:val="index 5"/>
    <w:basedOn w:val="Normale"/>
    <w:next w:val="Normale"/>
    <w:semiHidden/>
    <w:rsid w:val="00C85498"/>
    <w:pPr>
      <w:ind w:left="1000" w:hanging="200"/>
    </w:pPr>
    <w:rPr>
      <w:szCs w:val="24"/>
    </w:rPr>
  </w:style>
  <w:style w:type="paragraph" w:styleId="Indice6">
    <w:name w:val="index 6"/>
    <w:basedOn w:val="Normale"/>
    <w:next w:val="Normale"/>
    <w:semiHidden/>
    <w:rsid w:val="00C85498"/>
    <w:pPr>
      <w:ind w:left="1200" w:hanging="200"/>
    </w:pPr>
    <w:rPr>
      <w:szCs w:val="24"/>
    </w:rPr>
  </w:style>
  <w:style w:type="paragraph" w:styleId="Indice7">
    <w:name w:val="index 7"/>
    <w:basedOn w:val="Normale"/>
    <w:next w:val="Normale"/>
    <w:semiHidden/>
    <w:rsid w:val="00C85498"/>
    <w:pPr>
      <w:ind w:left="1400" w:hanging="200"/>
    </w:pPr>
    <w:rPr>
      <w:szCs w:val="24"/>
    </w:rPr>
  </w:style>
  <w:style w:type="paragraph" w:styleId="Indice8">
    <w:name w:val="index 8"/>
    <w:basedOn w:val="Normale"/>
    <w:next w:val="Normale"/>
    <w:semiHidden/>
    <w:rsid w:val="00C85498"/>
    <w:pPr>
      <w:ind w:left="1600" w:hanging="200"/>
    </w:pPr>
    <w:rPr>
      <w:szCs w:val="24"/>
    </w:rPr>
  </w:style>
  <w:style w:type="paragraph" w:styleId="Indice9">
    <w:name w:val="index 9"/>
    <w:basedOn w:val="Normale"/>
    <w:next w:val="Normale"/>
    <w:semiHidden/>
    <w:rsid w:val="00C85498"/>
    <w:pPr>
      <w:ind w:left="1800" w:hanging="200"/>
    </w:pPr>
    <w:rPr>
      <w:szCs w:val="24"/>
    </w:rPr>
  </w:style>
  <w:style w:type="paragraph" w:styleId="Titoloindice">
    <w:name w:val="index heading"/>
    <w:basedOn w:val="Normale"/>
    <w:next w:val="Indice1"/>
    <w:semiHidden/>
    <w:rsid w:val="00C85498"/>
    <w:pPr>
      <w:spacing w:before="120" w:after="120"/>
    </w:pPr>
    <w:rPr>
      <w:b/>
      <w:bCs/>
      <w:i/>
      <w:iCs/>
      <w:szCs w:val="24"/>
    </w:rPr>
  </w:style>
  <w:style w:type="paragraph" w:styleId="Puntoelenco">
    <w:name w:val="List Bullet"/>
    <w:basedOn w:val="Normale"/>
    <w:rsid w:val="00D261E1"/>
    <w:pPr>
      <w:numPr>
        <w:numId w:val="1"/>
      </w:numPr>
      <w:overflowPunct/>
      <w:autoSpaceDE/>
      <w:autoSpaceDN/>
      <w:adjustRightInd/>
      <w:contextualSpacing/>
      <w:textAlignment w:val="auto"/>
    </w:pPr>
    <w:rPr>
      <w:lang w:val="it-IT"/>
    </w:rPr>
  </w:style>
  <w:style w:type="paragraph" w:styleId="Puntoelenco2">
    <w:name w:val="List Bullet 2"/>
    <w:basedOn w:val="Normale"/>
    <w:rsid w:val="00C85498"/>
    <w:pPr>
      <w:tabs>
        <w:tab w:val="left" w:pos="643"/>
      </w:tabs>
      <w:ind w:left="643" w:hanging="360"/>
    </w:pPr>
  </w:style>
  <w:style w:type="paragraph" w:styleId="Puntoelenco3">
    <w:name w:val="List Bullet 3"/>
    <w:basedOn w:val="Normale"/>
    <w:rsid w:val="00C85498"/>
    <w:pPr>
      <w:tabs>
        <w:tab w:val="left" w:pos="926"/>
      </w:tabs>
      <w:ind w:left="926" w:hanging="360"/>
    </w:pPr>
  </w:style>
  <w:style w:type="paragraph" w:styleId="Puntoelenco4">
    <w:name w:val="List Bullet 4"/>
    <w:basedOn w:val="Normale"/>
    <w:rsid w:val="00C85498"/>
    <w:pPr>
      <w:tabs>
        <w:tab w:val="left" w:pos="1209"/>
      </w:tabs>
      <w:ind w:left="1209" w:hanging="360"/>
    </w:pPr>
  </w:style>
  <w:style w:type="paragraph" w:styleId="Puntoelenco5">
    <w:name w:val="List Bullet 5"/>
    <w:basedOn w:val="Normale"/>
    <w:rsid w:val="00C85498"/>
    <w:pPr>
      <w:tabs>
        <w:tab w:val="left" w:pos="1492"/>
      </w:tabs>
      <w:ind w:left="1492" w:hanging="360"/>
    </w:pPr>
  </w:style>
  <w:style w:type="paragraph" w:styleId="Numeroelenco">
    <w:name w:val="List Number"/>
    <w:basedOn w:val="Normale"/>
    <w:uiPriority w:val="99"/>
    <w:rsid w:val="004C0391"/>
    <w:pPr>
      <w:numPr>
        <w:numId w:val="2"/>
      </w:numPr>
    </w:pPr>
  </w:style>
  <w:style w:type="paragraph" w:styleId="Numeroelenco2">
    <w:name w:val="List Number 2"/>
    <w:basedOn w:val="Normale"/>
    <w:rsid w:val="00C85498"/>
    <w:pPr>
      <w:tabs>
        <w:tab w:val="left" w:pos="643"/>
      </w:tabs>
      <w:ind w:left="643" w:hanging="360"/>
    </w:pPr>
  </w:style>
  <w:style w:type="paragraph" w:styleId="Numeroelenco3">
    <w:name w:val="List Number 3"/>
    <w:basedOn w:val="Normale"/>
    <w:rsid w:val="00C85498"/>
    <w:pPr>
      <w:tabs>
        <w:tab w:val="left" w:pos="926"/>
      </w:tabs>
      <w:ind w:left="926" w:hanging="360"/>
    </w:pPr>
  </w:style>
  <w:style w:type="paragraph" w:styleId="Numeroelenco4">
    <w:name w:val="List Number 4"/>
    <w:basedOn w:val="Normale"/>
    <w:rsid w:val="00C85498"/>
    <w:pPr>
      <w:tabs>
        <w:tab w:val="left" w:pos="1209"/>
      </w:tabs>
      <w:ind w:left="1209" w:hanging="360"/>
    </w:pPr>
  </w:style>
  <w:style w:type="paragraph" w:styleId="Numeroelenco5">
    <w:name w:val="List Number 5"/>
    <w:basedOn w:val="Normale"/>
    <w:rsid w:val="00C85498"/>
    <w:pPr>
      <w:tabs>
        <w:tab w:val="left" w:pos="1492"/>
      </w:tabs>
      <w:ind w:left="1492" w:hanging="360"/>
    </w:pPr>
  </w:style>
  <w:style w:type="paragraph" w:styleId="Testomacro">
    <w:name w:val="macro"/>
    <w:semiHidden/>
    <w:rsid w:val="00C8549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20" w:after="20" w:line="220" w:lineRule="exact"/>
      <w:textAlignment w:val="baseline"/>
    </w:pPr>
    <w:rPr>
      <w:rFonts w:ascii="Courier New" w:hAnsi="Courier New"/>
      <w:lang w:val="en-GB" w:eastAsia="en-US"/>
    </w:rPr>
  </w:style>
  <w:style w:type="paragraph" w:styleId="Intestazionemessaggio">
    <w:name w:val="Message Header"/>
    <w:basedOn w:val="Normale"/>
    <w:link w:val="IntestazionemessaggioCarattere"/>
    <w:rsid w:val="00C8549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Rientronormale">
    <w:name w:val="Normal Indent"/>
    <w:basedOn w:val="Normale"/>
    <w:rsid w:val="00C85498"/>
    <w:pPr>
      <w:ind w:left="720"/>
    </w:pPr>
  </w:style>
  <w:style w:type="paragraph" w:styleId="Intestazionenota">
    <w:name w:val="Note Heading"/>
    <w:basedOn w:val="Normale"/>
    <w:next w:val="Normale"/>
    <w:rsid w:val="00C85498"/>
  </w:style>
  <w:style w:type="paragraph" w:customStyle="1" w:styleId="20">
    <w:name w:val="20"/>
    <w:basedOn w:val="Normale"/>
    <w:rsid w:val="004B6085"/>
    <w:pPr>
      <w:spacing w:before="0" w:after="0"/>
      <w:jc w:val="center"/>
    </w:pPr>
    <w:rPr>
      <w:rFonts w:ascii="Garamond" w:hAnsi="Garamond"/>
    </w:rPr>
  </w:style>
  <w:style w:type="paragraph" w:styleId="Indicefonti">
    <w:name w:val="table of authorities"/>
    <w:basedOn w:val="Normale"/>
    <w:next w:val="Normale"/>
    <w:semiHidden/>
    <w:rsid w:val="00C85498"/>
    <w:pPr>
      <w:ind w:left="200" w:hanging="200"/>
    </w:pPr>
  </w:style>
  <w:style w:type="paragraph" w:styleId="Indicedellefigure">
    <w:name w:val="table of figures"/>
    <w:basedOn w:val="Normale"/>
    <w:next w:val="Normale"/>
    <w:semiHidden/>
    <w:rsid w:val="00C85498"/>
    <w:pPr>
      <w:ind w:left="400" w:hanging="400"/>
    </w:pPr>
  </w:style>
  <w:style w:type="paragraph" w:styleId="Titolo">
    <w:name w:val="Title"/>
    <w:basedOn w:val="Normale"/>
    <w:qFormat/>
    <w:rsid w:val="00C85498"/>
    <w:pPr>
      <w:spacing w:before="240" w:after="60"/>
      <w:jc w:val="center"/>
    </w:pPr>
    <w:rPr>
      <w:rFonts w:ascii="Arial" w:hAnsi="Arial"/>
      <w:b/>
      <w:kern w:val="28"/>
      <w:sz w:val="32"/>
    </w:rPr>
  </w:style>
  <w:style w:type="paragraph" w:styleId="Titoloindicefonti">
    <w:name w:val="toa heading"/>
    <w:basedOn w:val="Normale"/>
    <w:next w:val="Normale"/>
    <w:semiHidden/>
    <w:rsid w:val="00C85498"/>
    <w:pPr>
      <w:spacing w:before="120"/>
    </w:pPr>
    <w:rPr>
      <w:rFonts w:ascii="Arial" w:hAnsi="Arial"/>
      <w:b/>
      <w:sz w:val="24"/>
    </w:rPr>
  </w:style>
  <w:style w:type="character" w:styleId="Collegamentovisitato">
    <w:name w:val="FollowedHyperlink"/>
    <w:rsid w:val="00C85498"/>
    <w:rPr>
      <w:color w:val="800080"/>
      <w:u w:val="single"/>
    </w:rPr>
  </w:style>
  <w:style w:type="paragraph" w:styleId="Rientrocorpodeltesto">
    <w:name w:val="Body Text Indent"/>
    <w:basedOn w:val="Normale"/>
    <w:rsid w:val="00C85498"/>
    <w:pPr>
      <w:spacing w:after="120"/>
      <w:ind w:left="283"/>
    </w:pPr>
  </w:style>
  <w:style w:type="paragraph" w:styleId="Testofumetto">
    <w:name w:val="Balloon Text"/>
    <w:basedOn w:val="Normale"/>
    <w:link w:val="TestofumettoCarattere"/>
    <w:semiHidden/>
    <w:rsid w:val="00487F14"/>
    <w:rPr>
      <w:rFonts w:ascii="Tahoma" w:hAnsi="Tahoma" w:cs="Tahoma"/>
      <w:sz w:val="16"/>
      <w:szCs w:val="16"/>
    </w:rPr>
  </w:style>
  <w:style w:type="table" w:styleId="Grigliatabella">
    <w:name w:val="Table Grid"/>
    <w:basedOn w:val="Tabellanormale"/>
    <w:rsid w:val="006E11F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semiHidden/>
    <w:rsid w:val="008A1B05"/>
    <w:rPr>
      <w:sz w:val="16"/>
      <w:szCs w:val="16"/>
    </w:rPr>
  </w:style>
  <w:style w:type="paragraph" w:styleId="Soggettocommento">
    <w:name w:val="annotation subject"/>
    <w:basedOn w:val="Testocommento"/>
    <w:next w:val="Testocommento"/>
    <w:semiHidden/>
    <w:rsid w:val="008A1B05"/>
    <w:rPr>
      <w:b/>
      <w:bCs/>
    </w:rPr>
  </w:style>
  <w:style w:type="paragraph" w:customStyle="1" w:styleId="tabletxtin2">
    <w:name w:val="tabletxtin2"/>
    <w:basedOn w:val="Normale"/>
    <w:link w:val="tabletxtin2Char"/>
    <w:semiHidden/>
    <w:rsid w:val="00A60581"/>
    <w:pPr>
      <w:spacing w:line="200" w:lineRule="exact"/>
      <w:ind w:left="353" w:hanging="197"/>
    </w:pPr>
    <w:rPr>
      <w:rFonts w:ascii="EY Gothic Comp BookPS" w:hAnsi="EY Gothic Comp BookPS"/>
      <w:color w:val="000000"/>
    </w:rPr>
  </w:style>
  <w:style w:type="character" w:customStyle="1" w:styleId="tabletxtin2Char">
    <w:name w:val="tabletxtin2 Char"/>
    <w:link w:val="tabletxtin2"/>
    <w:rsid w:val="00A60581"/>
    <w:rPr>
      <w:rFonts w:ascii="EY Gothic Comp BookPS" w:hAnsi="EY Gothic Comp BookPS"/>
      <w:color w:val="000000"/>
      <w:lang w:val="en-GB" w:eastAsia="en-US" w:bidi="ar-SA"/>
    </w:rPr>
  </w:style>
  <w:style w:type="paragraph" w:customStyle="1" w:styleId="tabletxtssm">
    <w:name w:val="tabletxt #s sm"/>
    <w:basedOn w:val="Normale"/>
    <w:link w:val="tabletxtssmChar"/>
    <w:semiHidden/>
    <w:rsid w:val="00736F7C"/>
    <w:pPr>
      <w:tabs>
        <w:tab w:val="decimal" w:pos="504"/>
      </w:tabs>
      <w:spacing w:line="200" w:lineRule="exact"/>
    </w:pPr>
    <w:rPr>
      <w:rFonts w:ascii="EY Gothic Comp BookPS" w:hAnsi="EY Gothic Comp BookPS"/>
      <w:noProof/>
      <w:color w:val="000000"/>
    </w:rPr>
  </w:style>
  <w:style w:type="character" w:customStyle="1" w:styleId="tabletxtssmChar">
    <w:name w:val="tabletxt #s sm Char"/>
    <w:link w:val="tabletxtssm"/>
    <w:rsid w:val="00736F7C"/>
    <w:rPr>
      <w:rFonts w:ascii="EY Gothic Comp BookPS" w:hAnsi="EY Gothic Comp BookPS"/>
      <w:noProof/>
      <w:color w:val="000000"/>
      <w:lang w:val="en-GB" w:eastAsia="en-US" w:bidi="ar-SA"/>
    </w:rPr>
  </w:style>
  <w:style w:type="paragraph" w:customStyle="1" w:styleId="tabletxteyg2af">
    <w:name w:val="tabletxt eyg 2af"/>
    <w:basedOn w:val="Normale"/>
    <w:semiHidden/>
    <w:rsid w:val="00B05C1F"/>
    <w:pPr>
      <w:tabs>
        <w:tab w:val="right" w:leader="dot" w:pos="9739"/>
      </w:tabs>
      <w:spacing w:after="40" w:line="240" w:lineRule="exact"/>
    </w:pPr>
    <w:rPr>
      <w:rFonts w:ascii="EY Gothic Comp BookPS" w:hAnsi="EY Gothic Comp BookPS"/>
      <w:color w:val="000000"/>
    </w:rPr>
  </w:style>
  <w:style w:type="paragraph" w:styleId="Paragrafoelenco">
    <w:name w:val="List Paragraph"/>
    <w:basedOn w:val="Normale"/>
    <w:uiPriority w:val="34"/>
    <w:qFormat/>
    <w:rsid w:val="00B97C3D"/>
    <w:pPr>
      <w:ind w:left="720"/>
      <w:contextualSpacing/>
    </w:pPr>
  </w:style>
  <w:style w:type="paragraph" w:styleId="Revisione">
    <w:name w:val="Revision"/>
    <w:hidden/>
    <w:uiPriority w:val="99"/>
    <w:semiHidden/>
    <w:rsid w:val="002A4AEA"/>
    <w:pPr>
      <w:spacing w:before="20" w:after="20" w:line="220" w:lineRule="exact"/>
    </w:pPr>
    <w:rPr>
      <w:rFonts w:ascii="Garamond" w:hAnsi="Garamond"/>
      <w:lang w:val="en-GB" w:eastAsia="en-US"/>
    </w:rPr>
  </w:style>
  <w:style w:type="paragraph" w:customStyle="1" w:styleId="Titolocolonna">
    <w:name w:val="Titolo colonna"/>
    <w:basedOn w:val="Normale"/>
    <w:qFormat/>
    <w:rsid w:val="00C3113A"/>
    <w:pPr>
      <w:overflowPunct/>
      <w:autoSpaceDE/>
      <w:autoSpaceDN/>
      <w:adjustRightInd/>
      <w:jc w:val="center"/>
      <w:textAlignment w:val="auto"/>
    </w:pPr>
    <w:rPr>
      <w:b/>
      <w:lang w:val="it-IT"/>
    </w:rPr>
  </w:style>
  <w:style w:type="paragraph" w:customStyle="1" w:styleId="Rientroa">
    <w:name w:val="Rientro a)"/>
    <w:basedOn w:val="Normale"/>
    <w:qFormat/>
    <w:rsid w:val="00846937"/>
    <w:pPr>
      <w:numPr>
        <w:numId w:val="7"/>
      </w:numPr>
      <w:overflowPunct/>
      <w:autoSpaceDE/>
      <w:autoSpaceDN/>
      <w:adjustRightInd/>
      <w:textAlignment w:val="auto"/>
    </w:pPr>
    <w:rPr>
      <w:lang w:val="it-IT"/>
    </w:rPr>
  </w:style>
  <w:style w:type="paragraph" w:customStyle="1" w:styleId="Normaletrattino">
    <w:name w:val="Normale trattino"/>
    <w:basedOn w:val="Normale"/>
    <w:rsid w:val="00AC0FA9"/>
    <w:pPr>
      <w:tabs>
        <w:tab w:val="num" w:pos="780"/>
      </w:tabs>
      <w:ind w:left="780" w:hanging="420"/>
    </w:pPr>
    <w:rPr>
      <w:spacing w:val="-2"/>
      <w:lang w:val="it-IT"/>
    </w:rPr>
  </w:style>
  <w:style w:type="paragraph" w:customStyle="1" w:styleId="Commentiriquadro">
    <w:name w:val="Commenti riquadro"/>
    <w:basedOn w:val="Normale"/>
    <w:qFormat/>
    <w:rsid w:val="00553326"/>
    <w:pPr>
      <w:pBdr>
        <w:top w:val="single" w:sz="4" w:space="1" w:color="auto"/>
        <w:left w:val="single" w:sz="4" w:space="4" w:color="auto"/>
        <w:bottom w:val="single" w:sz="4" w:space="1" w:color="auto"/>
        <w:right w:val="single" w:sz="4" w:space="4" w:color="auto"/>
      </w:pBdr>
      <w:spacing w:line="200" w:lineRule="exact"/>
      <w:ind w:left="176" w:right="102"/>
    </w:pPr>
    <w:rPr>
      <w:sz w:val="16"/>
      <w:szCs w:val="16"/>
    </w:rPr>
  </w:style>
  <w:style w:type="paragraph" w:customStyle="1" w:styleId="IAS">
    <w:name w:val="IAS"/>
    <w:basedOn w:val="Normale"/>
    <w:qFormat/>
    <w:rsid w:val="00107636"/>
    <w:pPr>
      <w:spacing w:before="40" w:line="240" w:lineRule="auto"/>
      <w:ind w:right="28"/>
      <w:jc w:val="center"/>
    </w:pPr>
    <w:rPr>
      <w:sz w:val="13"/>
      <w:szCs w:val="13"/>
      <w:lang w:val="en-US"/>
    </w:rPr>
  </w:style>
  <w:style w:type="paragraph" w:customStyle="1" w:styleId="Commentiariquadro">
    <w:name w:val="Commenti a) riquadro"/>
    <w:basedOn w:val="Commentiriquadro"/>
    <w:qFormat/>
    <w:rsid w:val="00AC0FA9"/>
    <w:pPr>
      <w:ind w:left="460" w:hanging="284"/>
    </w:pPr>
    <w:rPr>
      <w:lang w:val="it-IT"/>
    </w:rPr>
  </w:style>
  <w:style w:type="paragraph" w:customStyle="1" w:styleId="Rientro1">
    <w:name w:val="Rientro 1"/>
    <w:basedOn w:val="Normale"/>
    <w:qFormat/>
    <w:rsid w:val="00AC0FA9"/>
    <w:pPr>
      <w:ind w:left="407"/>
    </w:pPr>
    <w:rPr>
      <w:lang w:val="it-IT"/>
    </w:rPr>
  </w:style>
  <w:style w:type="paragraph" w:customStyle="1" w:styleId="Rientrosottoi">
    <w:name w:val="Rientro sotto i)"/>
    <w:basedOn w:val="Normale"/>
    <w:qFormat/>
    <w:rsid w:val="00CA1EC9"/>
    <w:pPr>
      <w:ind w:left="1031" w:hanging="284"/>
    </w:pPr>
    <w:rPr>
      <w:lang w:val="it-IT"/>
    </w:rPr>
  </w:style>
  <w:style w:type="paragraph" w:customStyle="1" w:styleId="Rientroisottoa">
    <w:name w:val="Rientro i) sotto a)"/>
    <w:basedOn w:val="Normale"/>
    <w:qFormat/>
    <w:rsid w:val="005E09F8"/>
    <w:pPr>
      <w:ind w:left="743" w:hanging="307"/>
    </w:pPr>
    <w:rPr>
      <w:lang w:val="it-IT"/>
    </w:rPr>
  </w:style>
  <w:style w:type="paragraph" w:customStyle="1" w:styleId="Normalegrassetto">
    <w:name w:val="Normale grassetto"/>
    <w:basedOn w:val="Normale"/>
    <w:qFormat/>
    <w:rsid w:val="003A2B8D"/>
    <w:rPr>
      <w:b/>
    </w:rPr>
  </w:style>
  <w:style w:type="paragraph" w:customStyle="1" w:styleId="Titologenerale">
    <w:name w:val="Titolo generale"/>
    <w:basedOn w:val="Normale"/>
    <w:qFormat/>
    <w:rsid w:val="007C59ED"/>
    <w:pPr>
      <w:overflowPunct/>
      <w:autoSpaceDE/>
      <w:autoSpaceDN/>
      <w:adjustRightInd/>
      <w:spacing w:before="0" w:after="0" w:line="240" w:lineRule="exact"/>
      <w:jc w:val="center"/>
      <w:textAlignment w:val="auto"/>
    </w:pPr>
    <w:rPr>
      <w:rFonts w:cs="Arial"/>
      <w:b/>
      <w:sz w:val="24"/>
      <w:szCs w:val="22"/>
      <w:lang w:val="it-IT" w:eastAsia="it-IT"/>
    </w:rPr>
  </w:style>
  <w:style w:type="paragraph" w:styleId="Corpotesto">
    <w:name w:val="Body Text"/>
    <w:basedOn w:val="Normale"/>
    <w:link w:val="CorpotestoCarattere"/>
    <w:rsid w:val="00620DEC"/>
    <w:pPr>
      <w:spacing w:after="120"/>
    </w:pPr>
  </w:style>
  <w:style w:type="character" w:customStyle="1" w:styleId="CorpotestoCarattere">
    <w:name w:val="Corpo testo Carattere"/>
    <w:basedOn w:val="Carpredefinitoparagrafo"/>
    <w:link w:val="Corpotesto"/>
    <w:rsid w:val="00620DEC"/>
    <w:rPr>
      <w:rFonts w:ascii="Arial Narrow" w:hAnsi="Arial Narrow"/>
      <w:lang w:val="en-GB" w:eastAsia="en-US"/>
    </w:rPr>
  </w:style>
  <w:style w:type="paragraph" w:customStyle="1" w:styleId="Testots">
    <w:name w:val="Testo.ts"/>
    <w:basedOn w:val="Normale"/>
    <w:rsid w:val="008401B3"/>
    <w:pPr>
      <w:tabs>
        <w:tab w:val="right" w:pos="8560"/>
      </w:tabs>
      <w:overflowPunct/>
      <w:autoSpaceDE/>
      <w:autoSpaceDN/>
      <w:adjustRightInd/>
      <w:spacing w:before="0" w:after="130" w:line="260" w:lineRule="exact"/>
      <w:textAlignment w:val="auto"/>
    </w:pPr>
    <w:rPr>
      <w:rFonts w:ascii="Times" w:hAnsi="Times"/>
      <w:lang w:val="it-IT" w:eastAsia="it-IT"/>
    </w:rPr>
  </w:style>
  <w:style w:type="paragraph" w:styleId="Didascalia">
    <w:name w:val="caption"/>
    <w:basedOn w:val="Normale"/>
    <w:next w:val="Normale"/>
    <w:qFormat/>
    <w:rsid w:val="00484C52"/>
    <w:pPr>
      <w:spacing w:before="0" w:after="200" w:line="240" w:lineRule="auto"/>
    </w:pPr>
    <w:rPr>
      <w:b/>
      <w:bCs/>
      <w:color w:val="4F81BD" w:themeColor="accent1"/>
      <w:sz w:val="18"/>
      <w:szCs w:val="18"/>
    </w:rPr>
  </w:style>
  <w:style w:type="paragraph" w:customStyle="1" w:styleId="CM4">
    <w:name w:val="CM4"/>
    <w:basedOn w:val="Normale"/>
    <w:next w:val="Normale"/>
    <w:uiPriority w:val="99"/>
    <w:rsid w:val="00106F2F"/>
    <w:pPr>
      <w:overflowPunct/>
      <w:spacing w:before="0" w:after="0" w:line="240" w:lineRule="auto"/>
      <w:jc w:val="left"/>
      <w:textAlignment w:val="auto"/>
    </w:pPr>
    <w:rPr>
      <w:rFonts w:ascii="EUAlbertina" w:eastAsiaTheme="minorHAnsi" w:hAnsi="EUAlbertina" w:cstheme="minorBidi"/>
      <w:sz w:val="24"/>
      <w:szCs w:val="24"/>
      <w:lang w:val="it-IT"/>
    </w:rPr>
  </w:style>
  <w:style w:type="paragraph" w:customStyle="1" w:styleId="Default">
    <w:name w:val="Default"/>
    <w:rsid w:val="00DE6470"/>
    <w:pPr>
      <w:autoSpaceDE w:val="0"/>
      <w:autoSpaceDN w:val="0"/>
      <w:adjustRightInd w:val="0"/>
    </w:pPr>
    <w:rPr>
      <w:color w:val="000000"/>
      <w:sz w:val="24"/>
      <w:szCs w:val="24"/>
      <w:lang w:val="en-US"/>
    </w:rPr>
  </w:style>
  <w:style w:type="paragraph" w:customStyle="1" w:styleId="IASBPrinciple">
    <w:name w:val="IASB Principle"/>
    <w:basedOn w:val="Default"/>
    <w:next w:val="Default"/>
    <w:uiPriority w:val="99"/>
    <w:rsid w:val="00DE6470"/>
    <w:rPr>
      <w:color w:val="auto"/>
    </w:rPr>
  </w:style>
  <w:style w:type="paragraph" w:customStyle="1" w:styleId="CM1">
    <w:name w:val="CM1"/>
    <w:basedOn w:val="Normale"/>
    <w:next w:val="Normale"/>
    <w:uiPriority w:val="99"/>
    <w:rsid w:val="00A70B81"/>
    <w:pPr>
      <w:overflowPunct/>
      <w:spacing w:before="0" w:after="0" w:line="240" w:lineRule="auto"/>
      <w:jc w:val="left"/>
      <w:textAlignment w:val="auto"/>
    </w:pPr>
    <w:rPr>
      <w:rFonts w:ascii="EUAlbertina" w:eastAsiaTheme="minorHAnsi" w:hAnsi="EUAlbertina" w:cstheme="minorBidi"/>
      <w:sz w:val="24"/>
      <w:szCs w:val="24"/>
      <w:lang w:val="it-IT"/>
    </w:rPr>
  </w:style>
  <w:style w:type="paragraph" w:customStyle="1" w:styleId="CM3">
    <w:name w:val="CM3"/>
    <w:basedOn w:val="Normale"/>
    <w:next w:val="Normale"/>
    <w:uiPriority w:val="99"/>
    <w:rsid w:val="00DF4DF0"/>
    <w:pPr>
      <w:overflowPunct/>
      <w:spacing w:before="0" w:after="0" w:line="240" w:lineRule="auto"/>
      <w:jc w:val="left"/>
      <w:textAlignment w:val="auto"/>
    </w:pPr>
    <w:rPr>
      <w:rFonts w:ascii="EUAlbertina" w:eastAsiaTheme="minorHAnsi" w:hAnsi="EUAlbertina" w:cstheme="minorBidi"/>
      <w:sz w:val="24"/>
      <w:szCs w:val="24"/>
      <w:lang w:val="it-IT"/>
    </w:rPr>
  </w:style>
  <w:style w:type="character" w:customStyle="1" w:styleId="IntestazionemessaggioCarattere">
    <w:name w:val="Intestazione messaggio Carattere"/>
    <w:basedOn w:val="Carpredefinitoparagrafo"/>
    <w:link w:val="Intestazionemessaggio"/>
    <w:rsid w:val="00986144"/>
    <w:rPr>
      <w:rFonts w:ascii="Arial" w:hAnsi="Arial"/>
      <w:sz w:val="24"/>
      <w:shd w:val="pct20" w:color="auto" w:fill="auto"/>
      <w:lang w:val="en-GB" w:eastAsia="en-US"/>
    </w:rPr>
  </w:style>
  <w:style w:type="character" w:customStyle="1" w:styleId="Rientrocorpodeltesto3Carattere">
    <w:name w:val="Rientro corpo del testo 3 Carattere"/>
    <w:basedOn w:val="Carpredefinitoparagrafo"/>
    <w:link w:val="Rientrocorpodeltesto3"/>
    <w:rsid w:val="002F6470"/>
    <w:rPr>
      <w:rFonts w:ascii="Arial Narrow" w:hAnsi="Arial Narrow"/>
      <w:sz w:val="16"/>
      <w:lang w:val="en-GB" w:eastAsia="en-US"/>
    </w:rPr>
  </w:style>
  <w:style w:type="character" w:customStyle="1" w:styleId="TestofumettoCarattere">
    <w:name w:val="Testo fumetto Carattere"/>
    <w:basedOn w:val="Carpredefinitoparagrafo"/>
    <w:link w:val="Testofumetto"/>
    <w:semiHidden/>
    <w:rsid w:val="000517CC"/>
    <w:rPr>
      <w:rFonts w:ascii="Tahoma" w:hAnsi="Tahoma" w:cs="Tahoma"/>
      <w:sz w:val="16"/>
      <w:szCs w:val="16"/>
      <w:lang w:val="en-GB" w:eastAsia="en-US"/>
    </w:rPr>
  </w:style>
  <w:style w:type="character" w:customStyle="1" w:styleId="Titolo1Carattere">
    <w:name w:val="Titolo 1 Carattere"/>
    <w:basedOn w:val="Carpredefinitoparagrafo"/>
    <w:link w:val="Titolo1"/>
    <w:uiPriority w:val="99"/>
    <w:rsid w:val="00FC301A"/>
    <w:rPr>
      <w:rFonts w:ascii="Arial Narrow" w:hAnsi="Arial Narrow"/>
      <w:b/>
      <w:caps/>
      <w:kern w:val="28"/>
      <w:sz w:val="22"/>
      <w:szCs w:val="22"/>
      <w:lang w:eastAsia="en-US"/>
    </w:rPr>
  </w:style>
  <w:style w:type="character" w:styleId="Enfasigrassetto">
    <w:name w:val="Strong"/>
    <w:basedOn w:val="Carpredefinitoparagrafo"/>
    <w:qFormat/>
    <w:rsid w:val="005B7410"/>
    <w:rPr>
      <w:b/>
      <w:bCs/>
    </w:rPr>
  </w:style>
  <w:style w:type="character" w:styleId="Enfasicorsivo">
    <w:name w:val="Emphasis"/>
    <w:basedOn w:val="Carpredefinitoparagrafo"/>
    <w:qFormat/>
    <w:rsid w:val="00E90307"/>
    <w:rPr>
      <w:i/>
      <w:iCs/>
    </w:rPr>
  </w:style>
  <w:style w:type="paragraph" w:styleId="Nessunaspaziatura">
    <w:name w:val="No Spacing"/>
    <w:uiPriority w:val="1"/>
    <w:qFormat/>
    <w:rsid w:val="00B406AC"/>
    <w:pPr>
      <w:overflowPunct w:val="0"/>
      <w:autoSpaceDE w:val="0"/>
      <w:autoSpaceDN w:val="0"/>
      <w:adjustRightInd w:val="0"/>
      <w:jc w:val="both"/>
      <w:textAlignment w:val="baseline"/>
    </w:pPr>
    <w:rPr>
      <w:rFonts w:ascii="Arial Narrow" w:hAnsi="Arial Narrow"/>
      <w:lang w:val="en-GB" w:eastAsia="en-US"/>
    </w:rPr>
  </w:style>
  <w:style w:type="paragraph" w:styleId="Testonormale">
    <w:name w:val="Plain Text"/>
    <w:basedOn w:val="Normale"/>
    <w:link w:val="TestonormaleCarattere"/>
    <w:uiPriority w:val="99"/>
    <w:unhideWhenUsed/>
    <w:rsid w:val="00001EE7"/>
    <w:pPr>
      <w:overflowPunct/>
      <w:autoSpaceDE/>
      <w:autoSpaceDN/>
      <w:adjustRightInd/>
      <w:spacing w:before="0" w:after="0" w:line="240" w:lineRule="auto"/>
      <w:jc w:val="left"/>
      <w:textAlignment w:val="auto"/>
    </w:pPr>
    <w:rPr>
      <w:rFonts w:ascii="Consolas" w:eastAsiaTheme="minorHAnsi" w:hAnsi="Consolas"/>
      <w:sz w:val="21"/>
      <w:szCs w:val="21"/>
      <w:lang w:val="it-IT" w:eastAsia="it-IT"/>
    </w:rPr>
  </w:style>
  <w:style w:type="character" w:customStyle="1" w:styleId="TestonormaleCarattere">
    <w:name w:val="Testo normale Carattere"/>
    <w:basedOn w:val="Carpredefinitoparagrafo"/>
    <w:link w:val="Testonormale"/>
    <w:uiPriority w:val="99"/>
    <w:rsid w:val="00001EE7"/>
    <w:rPr>
      <w:rFonts w:ascii="Consolas" w:eastAsiaTheme="minorHAnsi" w:hAnsi="Consolas"/>
      <w:sz w:val="21"/>
      <w:szCs w:val="21"/>
    </w:rPr>
  </w:style>
  <w:style w:type="character" w:customStyle="1" w:styleId="Titolo4Carattere">
    <w:name w:val="Titolo 4 Carattere"/>
    <w:basedOn w:val="Carpredefinitoparagrafo"/>
    <w:link w:val="Titolo4"/>
    <w:rsid w:val="00715969"/>
    <w:rPr>
      <w:rFonts w:ascii="Arial Narrow" w:hAnsi="Arial Narrow"/>
      <w:b/>
      <w:sz w:val="28"/>
      <w:lang w:val="en-GB" w:eastAsia="en-US"/>
    </w:rPr>
  </w:style>
  <w:style w:type="paragraph" w:styleId="NormaleWeb">
    <w:name w:val="Normal (Web)"/>
    <w:basedOn w:val="Normale"/>
    <w:uiPriority w:val="99"/>
    <w:unhideWhenUsed/>
    <w:rsid w:val="005423DC"/>
    <w:pP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val="it-IT" w:eastAsia="it-IT"/>
    </w:rPr>
  </w:style>
  <w:style w:type="paragraph" w:customStyle="1" w:styleId="Paragarfobordato">
    <w:name w:val="Paragarfo bordato"/>
    <w:basedOn w:val="Commentiriquadro"/>
    <w:qFormat/>
    <w:rsid w:val="005062DC"/>
    <w:pPr>
      <w:pBdr>
        <w:top w:val="single" w:sz="4" w:space="0" w:color="auto"/>
        <w:left w:val="single" w:sz="4" w:space="0" w:color="auto"/>
        <w:bottom w:val="single" w:sz="4" w:space="0" w:color="auto"/>
        <w:right w:val="single" w:sz="4" w:space="0" w:color="auto"/>
      </w:pBdr>
      <w:spacing w:line="190" w:lineRule="exact"/>
      <w:ind w:left="0" w:right="0"/>
    </w:pPr>
    <w:rPr>
      <w:iCs/>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iPriority="99"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0E94"/>
    <w:pPr>
      <w:overflowPunct w:val="0"/>
      <w:autoSpaceDE w:val="0"/>
      <w:autoSpaceDN w:val="0"/>
      <w:adjustRightInd w:val="0"/>
      <w:spacing w:before="20" w:after="20" w:line="220" w:lineRule="exact"/>
      <w:jc w:val="both"/>
      <w:textAlignment w:val="baseline"/>
    </w:pPr>
    <w:rPr>
      <w:rFonts w:ascii="Arial Narrow" w:hAnsi="Arial Narrow"/>
      <w:lang w:val="en-GB" w:eastAsia="en-US"/>
    </w:rPr>
  </w:style>
  <w:style w:type="paragraph" w:styleId="Titolo1">
    <w:name w:val="heading 1"/>
    <w:basedOn w:val="Normale"/>
    <w:next w:val="Normale"/>
    <w:link w:val="Titolo1Carattere"/>
    <w:uiPriority w:val="99"/>
    <w:qFormat/>
    <w:rsid w:val="00175655"/>
    <w:pPr>
      <w:keepNext/>
      <w:overflowPunct/>
      <w:autoSpaceDE/>
      <w:autoSpaceDN/>
      <w:adjustRightInd/>
      <w:spacing w:before="0" w:after="0" w:line="240" w:lineRule="exact"/>
      <w:jc w:val="left"/>
      <w:textAlignment w:val="auto"/>
      <w:outlineLvl w:val="0"/>
    </w:pPr>
    <w:rPr>
      <w:b/>
      <w:caps/>
      <w:kern w:val="28"/>
      <w:sz w:val="22"/>
      <w:szCs w:val="22"/>
      <w:lang w:val="it-IT"/>
    </w:rPr>
  </w:style>
  <w:style w:type="paragraph" w:styleId="Titolo2">
    <w:name w:val="heading 2"/>
    <w:basedOn w:val="Normale"/>
    <w:next w:val="Normale"/>
    <w:link w:val="Titolo2Carattere"/>
    <w:uiPriority w:val="99"/>
    <w:qFormat/>
    <w:rsid w:val="001422E7"/>
    <w:pPr>
      <w:keepNext/>
      <w:overflowPunct/>
      <w:autoSpaceDE/>
      <w:autoSpaceDN/>
      <w:adjustRightInd/>
      <w:spacing w:line="240" w:lineRule="exact"/>
      <w:jc w:val="left"/>
      <w:textAlignment w:val="auto"/>
      <w:outlineLvl w:val="1"/>
    </w:pPr>
    <w:rPr>
      <w:b/>
      <w:sz w:val="22"/>
    </w:rPr>
  </w:style>
  <w:style w:type="paragraph" w:styleId="Titolo3">
    <w:name w:val="heading 3"/>
    <w:basedOn w:val="Normale"/>
    <w:next w:val="Normale"/>
    <w:link w:val="Titolo3Carattere"/>
    <w:qFormat/>
    <w:rsid w:val="001422E7"/>
    <w:pPr>
      <w:keepNext/>
      <w:outlineLvl w:val="2"/>
    </w:pPr>
    <w:rPr>
      <w:b/>
      <w:bCs/>
      <w:i/>
    </w:rPr>
  </w:style>
  <w:style w:type="paragraph" w:styleId="Titolo4">
    <w:name w:val="heading 4"/>
    <w:basedOn w:val="Normale"/>
    <w:next w:val="Normale"/>
    <w:link w:val="Titolo4Carattere"/>
    <w:qFormat/>
    <w:rsid w:val="00C85498"/>
    <w:pPr>
      <w:keepNext/>
      <w:spacing w:before="240" w:after="60"/>
      <w:outlineLvl w:val="3"/>
    </w:pPr>
    <w:rPr>
      <w:b/>
      <w:sz w:val="28"/>
    </w:rPr>
  </w:style>
  <w:style w:type="paragraph" w:styleId="Titolo5">
    <w:name w:val="heading 5"/>
    <w:basedOn w:val="Normale"/>
    <w:next w:val="Normale"/>
    <w:qFormat/>
    <w:rsid w:val="00C85498"/>
    <w:pPr>
      <w:spacing w:before="240" w:after="60"/>
      <w:outlineLvl w:val="4"/>
    </w:pPr>
    <w:rPr>
      <w:b/>
      <w:i/>
      <w:sz w:val="26"/>
    </w:rPr>
  </w:style>
  <w:style w:type="paragraph" w:styleId="Titolo6">
    <w:name w:val="heading 6"/>
    <w:basedOn w:val="Normale"/>
    <w:next w:val="Normale"/>
    <w:qFormat/>
    <w:rsid w:val="00C85498"/>
    <w:pPr>
      <w:spacing w:before="240" w:after="60"/>
      <w:outlineLvl w:val="5"/>
    </w:pPr>
    <w:rPr>
      <w:b/>
      <w:sz w:val="22"/>
    </w:rPr>
  </w:style>
  <w:style w:type="paragraph" w:styleId="Titolo7">
    <w:name w:val="heading 7"/>
    <w:basedOn w:val="Normale"/>
    <w:next w:val="Normale"/>
    <w:qFormat/>
    <w:rsid w:val="00C85498"/>
    <w:pPr>
      <w:spacing w:before="240" w:after="60"/>
      <w:outlineLvl w:val="6"/>
    </w:pPr>
    <w:rPr>
      <w:sz w:val="24"/>
    </w:rPr>
  </w:style>
  <w:style w:type="paragraph" w:styleId="Titolo8">
    <w:name w:val="heading 8"/>
    <w:basedOn w:val="Normale"/>
    <w:next w:val="Normale"/>
    <w:qFormat/>
    <w:rsid w:val="00C85498"/>
    <w:pPr>
      <w:spacing w:before="240" w:after="60"/>
      <w:outlineLvl w:val="7"/>
    </w:pPr>
    <w:rPr>
      <w:i/>
      <w:sz w:val="24"/>
    </w:rPr>
  </w:style>
  <w:style w:type="paragraph" w:styleId="Titolo9">
    <w:name w:val="heading 9"/>
    <w:basedOn w:val="Normale"/>
    <w:next w:val="Normale"/>
    <w:qFormat/>
    <w:rsid w:val="00C85498"/>
    <w:pPr>
      <w:spacing w:before="240" w:after="60"/>
      <w:outlineLvl w:val="8"/>
    </w:pPr>
    <w:rPr>
      <w:rFonts w:ascii="Arial" w:hAnsi="Arial"/>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rsid w:val="001422E7"/>
    <w:rPr>
      <w:rFonts w:ascii="Arial Narrow" w:hAnsi="Arial Narrow"/>
      <w:b/>
      <w:sz w:val="22"/>
      <w:lang w:eastAsia="en-US"/>
    </w:rPr>
  </w:style>
  <w:style w:type="character" w:customStyle="1" w:styleId="Titolo3Carattere">
    <w:name w:val="Titolo 3 Carattere"/>
    <w:link w:val="Titolo3"/>
    <w:rsid w:val="001422E7"/>
    <w:rPr>
      <w:rFonts w:ascii="Arial Narrow" w:hAnsi="Arial Narrow"/>
      <w:b/>
      <w:bCs/>
      <w:i/>
      <w:lang w:val="en-GB" w:eastAsia="en-US"/>
    </w:rPr>
  </w:style>
  <w:style w:type="paragraph" w:styleId="Intestazione">
    <w:name w:val="header"/>
    <w:basedOn w:val="Normale"/>
    <w:rsid w:val="00C85498"/>
    <w:pPr>
      <w:pBdr>
        <w:bottom w:val="single" w:sz="4" w:space="1" w:color="auto"/>
      </w:pBdr>
      <w:tabs>
        <w:tab w:val="right" w:pos="9072"/>
      </w:tabs>
    </w:pPr>
    <w:rPr>
      <w:noProof/>
      <w:lang w:val="en-US"/>
    </w:rPr>
  </w:style>
  <w:style w:type="paragraph" w:styleId="Pidipagina">
    <w:name w:val="footer"/>
    <w:basedOn w:val="Normale"/>
    <w:rsid w:val="00C85498"/>
    <w:pPr>
      <w:pBdr>
        <w:top w:val="single" w:sz="4" w:space="1" w:color="auto"/>
      </w:pBdr>
      <w:tabs>
        <w:tab w:val="center" w:pos="4536"/>
        <w:tab w:val="right" w:pos="9072"/>
      </w:tabs>
    </w:pPr>
    <w:rPr>
      <w:iCs/>
    </w:rPr>
  </w:style>
  <w:style w:type="character" w:styleId="Numeropagina">
    <w:name w:val="page number"/>
    <w:basedOn w:val="Carpredefinitoparagrafo"/>
    <w:rsid w:val="00C85498"/>
  </w:style>
  <w:style w:type="paragraph" w:styleId="Sommario1">
    <w:name w:val="toc 1"/>
    <w:basedOn w:val="Normale"/>
    <w:next w:val="Normale"/>
    <w:semiHidden/>
    <w:rsid w:val="00C85498"/>
    <w:pPr>
      <w:ind w:right="567"/>
    </w:pPr>
    <w:rPr>
      <w:noProof/>
    </w:rPr>
  </w:style>
  <w:style w:type="paragraph" w:styleId="Sommario2">
    <w:name w:val="toc 2"/>
    <w:basedOn w:val="Normale"/>
    <w:next w:val="Normale"/>
    <w:semiHidden/>
    <w:rsid w:val="00C85498"/>
    <w:pPr>
      <w:ind w:left="357" w:right="567" w:hanging="119"/>
    </w:pPr>
  </w:style>
  <w:style w:type="paragraph" w:styleId="Sommario3">
    <w:name w:val="toc 3"/>
    <w:basedOn w:val="Normale"/>
    <w:next w:val="Normale"/>
    <w:semiHidden/>
    <w:rsid w:val="00C85498"/>
    <w:pPr>
      <w:ind w:left="480"/>
    </w:pPr>
  </w:style>
  <w:style w:type="paragraph" w:styleId="Sommario4">
    <w:name w:val="toc 4"/>
    <w:basedOn w:val="Normale"/>
    <w:next w:val="Normale"/>
    <w:semiHidden/>
    <w:rsid w:val="00C85498"/>
    <w:pPr>
      <w:ind w:left="720"/>
    </w:pPr>
  </w:style>
  <w:style w:type="paragraph" w:styleId="Sommario5">
    <w:name w:val="toc 5"/>
    <w:basedOn w:val="Normale"/>
    <w:next w:val="Normale"/>
    <w:semiHidden/>
    <w:rsid w:val="00C85498"/>
    <w:pPr>
      <w:ind w:left="960"/>
    </w:pPr>
  </w:style>
  <w:style w:type="paragraph" w:styleId="Sommario6">
    <w:name w:val="toc 6"/>
    <w:basedOn w:val="Normale"/>
    <w:next w:val="Normale"/>
    <w:semiHidden/>
    <w:rsid w:val="00C85498"/>
    <w:pPr>
      <w:ind w:left="1200"/>
    </w:pPr>
  </w:style>
  <w:style w:type="paragraph" w:styleId="Sommario7">
    <w:name w:val="toc 7"/>
    <w:basedOn w:val="Normale"/>
    <w:next w:val="Normale"/>
    <w:semiHidden/>
    <w:rsid w:val="00C85498"/>
    <w:pPr>
      <w:ind w:left="1440"/>
    </w:pPr>
  </w:style>
  <w:style w:type="paragraph" w:styleId="Sommario8">
    <w:name w:val="toc 8"/>
    <w:basedOn w:val="Normale"/>
    <w:next w:val="Normale"/>
    <w:semiHidden/>
    <w:rsid w:val="00C85498"/>
    <w:pPr>
      <w:ind w:left="1680"/>
    </w:pPr>
  </w:style>
  <w:style w:type="paragraph" w:styleId="Sommario9">
    <w:name w:val="toc 9"/>
    <w:basedOn w:val="Normale"/>
    <w:next w:val="Normale"/>
    <w:semiHidden/>
    <w:rsid w:val="00C85498"/>
    <w:pPr>
      <w:ind w:left="1920"/>
    </w:pPr>
  </w:style>
  <w:style w:type="character" w:styleId="Collegamentoipertestuale">
    <w:name w:val="Hyperlink"/>
    <w:rsid w:val="00C85498"/>
    <w:rPr>
      <w:noProof/>
      <w:color w:val="008000"/>
      <w:u w:val="single"/>
    </w:rPr>
  </w:style>
  <w:style w:type="paragraph" w:styleId="Primorientrocorpodeltesto">
    <w:name w:val="Body Text First Indent"/>
    <w:basedOn w:val="Normale"/>
    <w:rsid w:val="00F06675"/>
    <w:pPr>
      <w:spacing w:after="120"/>
      <w:ind w:firstLine="210"/>
    </w:pPr>
  </w:style>
  <w:style w:type="paragraph" w:styleId="Primorientrocorpodeltesto2">
    <w:name w:val="Body Text First Indent 2"/>
    <w:basedOn w:val="Normale"/>
    <w:rsid w:val="00F06675"/>
    <w:pPr>
      <w:spacing w:after="120"/>
      <w:ind w:left="283" w:firstLine="210"/>
    </w:pPr>
  </w:style>
  <w:style w:type="paragraph" w:styleId="Rientrocorpodeltesto2">
    <w:name w:val="Body Text Indent 2"/>
    <w:basedOn w:val="Normale"/>
    <w:rsid w:val="00C85498"/>
    <w:pPr>
      <w:spacing w:after="120" w:line="480" w:lineRule="auto"/>
      <w:ind w:left="283"/>
    </w:pPr>
  </w:style>
  <w:style w:type="paragraph" w:styleId="Rientrocorpodeltesto3">
    <w:name w:val="Body Text Indent 3"/>
    <w:basedOn w:val="Normale"/>
    <w:link w:val="Rientrocorpodeltesto3Carattere"/>
    <w:rsid w:val="00C85498"/>
    <w:pPr>
      <w:spacing w:after="120"/>
      <w:ind w:left="283"/>
    </w:pPr>
    <w:rPr>
      <w:sz w:val="16"/>
    </w:rPr>
  </w:style>
  <w:style w:type="paragraph" w:styleId="Testocommento">
    <w:name w:val="annotation text"/>
    <w:basedOn w:val="Normale"/>
    <w:semiHidden/>
    <w:rsid w:val="00C85498"/>
  </w:style>
  <w:style w:type="paragraph" w:styleId="Mappadocumento">
    <w:name w:val="Document Map"/>
    <w:basedOn w:val="Normale"/>
    <w:semiHidden/>
    <w:rsid w:val="00C85498"/>
    <w:pPr>
      <w:shd w:val="clear" w:color="auto" w:fill="000080"/>
    </w:pPr>
    <w:rPr>
      <w:rFonts w:ascii="Tahoma" w:hAnsi="Tahoma"/>
    </w:rPr>
  </w:style>
  <w:style w:type="paragraph" w:styleId="Testonotadichiusura">
    <w:name w:val="endnote text"/>
    <w:basedOn w:val="Normale"/>
    <w:semiHidden/>
    <w:rsid w:val="00C85498"/>
  </w:style>
  <w:style w:type="paragraph" w:styleId="Testonotaapidipagina">
    <w:name w:val="footnote text"/>
    <w:basedOn w:val="Normale"/>
    <w:semiHidden/>
    <w:rsid w:val="00C85498"/>
  </w:style>
  <w:style w:type="paragraph" w:styleId="PreformattatoHTML">
    <w:name w:val="HTML Preformatted"/>
    <w:basedOn w:val="Normale"/>
    <w:rsid w:val="00C85498"/>
    <w:rPr>
      <w:rFonts w:ascii="Courier New" w:hAnsi="Courier New"/>
    </w:rPr>
  </w:style>
  <w:style w:type="paragraph" w:styleId="Indice1">
    <w:name w:val="index 1"/>
    <w:basedOn w:val="Normale"/>
    <w:next w:val="Normale"/>
    <w:semiHidden/>
    <w:rsid w:val="00C85498"/>
    <w:pPr>
      <w:keepNext/>
      <w:pBdr>
        <w:bottom w:val="single" w:sz="4" w:space="0" w:color="auto"/>
      </w:pBdr>
      <w:tabs>
        <w:tab w:val="right" w:leader="dot" w:pos="1717"/>
        <w:tab w:val="right" w:leader="dot" w:pos="1859"/>
      </w:tabs>
      <w:spacing w:before="60"/>
      <w:ind w:left="198" w:hanging="198"/>
    </w:pPr>
    <w:rPr>
      <w:bCs/>
      <w:noProof/>
      <w:sz w:val="18"/>
      <w:szCs w:val="24"/>
      <w:lang w:val="en-US"/>
    </w:rPr>
  </w:style>
  <w:style w:type="paragraph" w:styleId="Indice2">
    <w:name w:val="index 2"/>
    <w:basedOn w:val="Normale"/>
    <w:next w:val="Normale"/>
    <w:semiHidden/>
    <w:rsid w:val="00C85498"/>
    <w:pPr>
      <w:tabs>
        <w:tab w:val="right" w:leader="dot" w:pos="1717"/>
        <w:tab w:val="right" w:leader="dot" w:pos="1859"/>
      </w:tabs>
      <w:ind w:left="198"/>
    </w:pPr>
    <w:rPr>
      <w:noProof/>
      <w:sz w:val="18"/>
      <w:szCs w:val="24"/>
      <w:lang w:val="en-US"/>
    </w:rPr>
  </w:style>
  <w:style w:type="paragraph" w:styleId="Indice3">
    <w:name w:val="index 3"/>
    <w:basedOn w:val="Normale"/>
    <w:next w:val="Normale"/>
    <w:semiHidden/>
    <w:rsid w:val="00C85498"/>
    <w:pPr>
      <w:ind w:left="600" w:hanging="200"/>
    </w:pPr>
    <w:rPr>
      <w:szCs w:val="24"/>
    </w:rPr>
  </w:style>
  <w:style w:type="paragraph" w:styleId="Indice4">
    <w:name w:val="index 4"/>
    <w:basedOn w:val="Normale"/>
    <w:next w:val="Normale"/>
    <w:semiHidden/>
    <w:rsid w:val="00C85498"/>
    <w:pPr>
      <w:ind w:left="800" w:hanging="200"/>
    </w:pPr>
    <w:rPr>
      <w:szCs w:val="24"/>
    </w:rPr>
  </w:style>
  <w:style w:type="paragraph" w:styleId="Indice5">
    <w:name w:val="index 5"/>
    <w:basedOn w:val="Normale"/>
    <w:next w:val="Normale"/>
    <w:semiHidden/>
    <w:rsid w:val="00C85498"/>
    <w:pPr>
      <w:ind w:left="1000" w:hanging="200"/>
    </w:pPr>
    <w:rPr>
      <w:szCs w:val="24"/>
    </w:rPr>
  </w:style>
  <w:style w:type="paragraph" w:styleId="Indice6">
    <w:name w:val="index 6"/>
    <w:basedOn w:val="Normale"/>
    <w:next w:val="Normale"/>
    <w:semiHidden/>
    <w:rsid w:val="00C85498"/>
    <w:pPr>
      <w:ind w:left="1200" w:hanging="200"/>
    </w:pPr>
    <w:rPr>
      <w:szCs w:val="24"/>
    </w:rPr>
  </w:style>
  <w:style w:type="paragraph" w:styleId="Indice7">
    <w:name w:val="index 7"/>
    <w:basedOn w:val="Normale"/>
    <w:next w:val="Normale"/>
    <w:semiHidden/>
    <w:rsid w:val="00C85498"/>
    <w:pPr>
      <w:ind w:left="1400" w:hanging="200"/>
    </w:pPr>
    <w:rPr>
      <w:szCs w:val="24"/>
    </w:rPr>
  </w:style>
  <w:style w:type="paragraph" w:styleId="Indice8">
    <w:name w:val="index 8"/>
    <w:basedOn w:val="Normale"/>
    <w:next w:val="Normale"/>
    <w:semiHidden/>
    <w:rsid w:val="00C85498"/>
    <w:pPr>
      <w:ind w:left="1600" w:hanging="200"/>
    </w:pPr>
    <w:rPr>
      <w:szCs w:val="24"/>
    </w:rPr>
  </w:style>
  <w:style w:type="paragraph" w:styleId="Indice9">
    <w:name w:val="index 9"/>
    <w:basedOn w:val="Normale"/>
    <w:next w:val="Normale"/>
    <w:semiHidden/>
    <w:rsid w:val="00C85498"/>
    <w:pPr>
      <w:ind w:left="1800" w:hanging="200"/>
    </w:pPr>
    <w:rPr>
      <w:szCs w:val="24"/>
    </w:rPr>
  </w:style>
  <w:style w:type="paragraph" w:styleId="Titoloindice">
    <w:name w:val="index heading"/>
    <w:basedOn w:val="Normale"/>
    <w:next w:val="Indice1"/>
    <w:semiHidden/>
    <w:rsid w:val="00C85498"/>
    <w:pPr>
      <w:spacing w:before="120" w:after="120"/>
    </w:pPr>
    <w:rPr>
      <w:b/>
      <w:bCs/>
      <w:i/>
      <w:iCs/>
      <w:szCs w:val="24"/>
    </w:rPr>
  </w:style>
  <w:style w:type="paragraph" w:styleId="Puntoelenco">
    <w:name w:val="List Bullet"/>
    <w:basedOn w:val="Normale"/>
    <w:rsid w:val="00D261E1"/>
    <w:pPr>
      <w:numPr>
        <w:numId w:val="1"/>
      </w:numPr>
      <w:overflowPunct/>
      <w:autoSpaceDE/>
      <w:autoSpaceDN/>
      <w:adjustRightInd/>
      <w:contextualSpacing/>
      <w:textAlignment w:val="auto"/>
    </w:pPr>
    <w:rPr>
      <w:lang w:val="it-IT"/>
    </w:rPr>
  </w:style>
  <w:style w:type="paragraph" w:styleId="Puntoelenco2">
    <w:name w:val="List Bullet 2"/>
    <w:basedOn w:val="Normale"/>
    <w:rsid w:val="00C85498"/>
    <w:pPr>
      <w:tabs>
        <w:tab w:val="left" w:pos="643"/>
      </w:tabs>
      <w:ind w:left="643" w:hanging="360"/>
    </w:pPr>
  </w:style>
  <w:style w:type="paragraph" w:styleId="Puntoelenco3">
    <w:name w:val="List Bullet 3"/>
    <w:basedOn w:val="Normale"/>
    <w:rsid w:val="00C85498"/>
    <w:pPr>
      <w:tabs>
        <w:tab w:val="left" w:pos="926"/>
      </w:tabs>
      <w:ind w:left="926" w:hanging="360"/>
    </w:pPr>
  </w:style>
  <w:style w:type="paragraph" w:styleId="Puntoelenco4">
    <w:name w:val="List Bullet 4"/>
    <w:basedOn w:val="Normale"/>
    <w:rsid w:val="00C85498"/>
    <w:pPr>
      <w:tabs>
        <w:tab w:val="left" w:pos="1209"/>
      </w:tabs>
      <w:ind w:left="1209" w:hanging="360"/>
    </w:pPr>
  </w:style>
  <w:style w:type="paragraph" w:styleId="Puntoelenco5">
    <w:name w:val="List Bullet 5"/>
    <w:basedOn w:val="Normale"/>
    <w:rsid w:val="00C85498"/>
    <w:pPr>
      <w:tabs>
        <w:tab w:val="left" w:pos="1492"/>
      </w:tabs>
      <w:ind w:left="1492" w:hanging="360"/>
    </w:pPr>
  </w:style>
  <w:style w:type="paragraph" w:styleId="Numeroelenco">
    <w:name w:val="List Number"/>
    <w:basedOn w:val="Normale"/>
    <w:uiPriority w:val="99"/>
    <w:rsid w:val="004C0391"/>
    <w:pPr>
      <w:numPr>
        <w:numId w:val="2"/>
      </w:numPr>
    </w:pPr>
  </w:style>
  <w:style w:type="paragraph" w:styleId="Numeroelenco2">
    <w:name w:val="List Number 2"/>
    <w:basedOn w:val="Normale"/>
    <w:rsid w:val="00C85498"/>
    <w:pPr>
      <w:tabs>
        <w:tab w:val="left" w:pos="643"/>
      </w:tabs>
      <w:ind w:left="643" w:hanging="360"/>
    </w:pPr>
  </w:style>
  <w:style w:type="paragraph" w:styleId="Numeroelenco3">
    <w:name w:val="List Number 3"/>
    <w:basedOn w:val="Normale"/>
    <w:rsid w:val="00C85498"/>
    <w:pPr>
      <w:tabs>
        <w:tab w:val="left" w:pos="926"/>
      </w:tabs>
      <w:ind w:left="926" w:hanging="360"/>
    </w:pPr>
  </w:style>
  <w:style w:type="paragraph" w:styleId="Numeroelenco4">
    <w:name w:val="List Number 4"/>
    <w:basedOn w:val="Normale"/>
    <w:rsid w:val="00C85498"/>
    <w:pPr>
      <w:tabs>
        <w:tab w:val="left" w:pos="1209"/>
      </w:tabs>
      <w:ind w:left="1209" w:hanging="360"/>
    </w:pPr>
  </w:style>
  <w:style w:type="paragraph" w:styleId="Numeroelenco5">
    <w:name w:val="List Number 5"/>
    <w:basedOn w:val="Normale"/>
    <w:rsid w:val="00C85498"/>
    <w:pPr>
      <w:tabs>
        <w:tab w:val="left" w:pos="1492"/>
      </w:tabs>
      <w:ind w:left="1492" w:hanging="360"/>
    </w:pPr>
  </w:style>
  <w:style w:type="paragraph" w:styleId="Testomacro">
    <w:name w:val="macro"/>
    <w:semiHidden/>
    <w:rsid w:val="00C8549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20" w:after="20" w:line="220" w:lineRule="exact"/>
      <w:textAlignment w:val="baseline"/>
    </w:pPr>
    <w:rPr>
      <w:rFonts w:ascii="Courier New" w:hAnsi="Courier New"/>
      <w:lang w:val="en-GB" w:eastAsia="en-US"/>
    </w:rPr>
  </w:style>
  <w:style w:type="paragraph" w:styleId="Intestazionemessaggio">
    <w:name w:val="Message Header"/>
    <w:basedOn w:val="Normale"/>
    <w:link w:val="IntestazionemessaggioCarattere"/>
    <w:rsid w:val="00C8549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Rientronormale">
    <w:name w:val="Normal Indent"/>
    <w:basedOn w:val="Normale"/>
    <w:rsid w:val="00C85498"/>
    <w:pPr>
      <w:ind w:left="720"/>
    </w:pPr>
  </w:style>
  <w:style w:type="paragraph" w:styleId="Intestazionenota">
    <w:name w:val="Note Heading"/>
    <w:basedOn w:val="Normale"/>
    <w:next w:val="Normale"/>
    <w:rsid w:val="00C85498"/>
  </w:style>
  <w:style w:type="paragraph" w:customStyle="1" w:styleId="20">
    <w:name w:val="20"/>
    <w:basedOn w:val="Normale"/>
    <w:rsid w:val="004B6085"/>
    <w:pPr>
      <w:spacing w:before="0" w:after="0"/>
      <w:jc w:val="center"/>
    </w:pPr>
    <w:rPr>
      <w:rFonts w:ascii="Garamond" w:hAnsi="Garamond"/>
    </w:rPr>
  </w:style>
  <w:style w:type="paragraph" w:styleId="Indicefonti">
    <w:name w:val="table of authorities"/>
    <w:basedOn w:val="Normale"/>
    <w:next w:val="Normale"/>
    <w:semiHidden/>
    <w:rsid w:val="00C85498"/>
    <w:pPr>
      <w:ind w:left="200" w:hanging="200"/>
    </w:pPr>
  </w:style>
  <w:style w:type="paragraph" w:styleId="Indicedellefigure">
    <w:name w:val="table of figures"/>
    <w:basedOn w:val="Normale"/>
    <w:next w:val="Normale"/>
    <w:semiHidden/>
    <w:rsid w:val="00C85498"/>
    <w:pPr>
      <w:ind w:left="400" w:hanging="400"/>
    </w:pPr>
  </w:style>
  <w:style w:type="paragraph" w:styleId="Titolo">
    <w:name w:val="Title"/>
    <w:basedOn w:val="Normale"/>
    <w:qFormat/>
    <w:rsid w:val="00C85498"/>
    <w:pPr>
      <w:spacing w:before="240" w:after="60"/>
      <w:jc w:val="center"/>
    </w:pPr>
    <w:rPr>
      <w:rFonts w:ascii="Arial" w:hAnsi="Arial"/>
      <w:b/>
      <w:kern w:val="28"/>
      <w:sz w:val="32"/>
    </w:rPr>
  </w:style>
  <w:style w:type="paragraph" w:styleId="Titoloindicefonti">
    <w:name w:val="toa heading"/>
    <w:basedOn w:val="Normale"/>
    <w:next w:val="Normale"/>
    <w:semiHidden/>
    <w:rsid w:val="00C85498"/>
    <w:pPr>
      <w:spacing w:before="120"/>
    </w:pPr>
    <w:rPr>
      <w:rFonts w:ascii="Arial" w:hAnsi="Arial"/>
      <w:b/>
      <w:sz w:val="24"/>
    </w:rPr>
  </w:style>
  <w:style w:type="character" w:styleId="Collegamentovisitato">
    <w:name w:val="FollowedHyperlink"/>
    <w:rsid w:val="00C85498"/>
    <w:rPr>
      <w:color w:val="800080"/>
      <w:u w:val="single"/>
    </w:rPr>
  </w:style>
  <w:style w:type="paragraph" w:styleId="Rientrocorpodeltesto">
    <w:name w:val="Body Text Indent"/>
    <w:basedOn w:val="Normale"/>
    <w:rsid w:val="00C85498"/>
    <w:pPr>
      <w:spacing w:after="120"/>
      <w:ind w:left="283"/>
    </w:pPr>
  </w:style>
  <w:style w:type="paragraph" w:styleId="Testofumetto">
    <w:name w:val="Balloon Text"/>
    <w:basedOn w:val="Normale"/>
    <w:link w:val="TestofumettoCarattere"/>
    <w:semiHidden/>
    <w:rsid w:val="00487F14"/>
    <w:rPr>
      <w:rFonts w:ascii="Tahoma" w:hAnsi="Tahoma" w:cs="Tahoma"/>
      <w:sz w:val="16"/>
      <w:szCs w:val="16"/>
    </w:rPr>
  </w:style>
  <w:style w:type="table" w:styleId="Grigliatabella">
    <w:name w:val="Table Grid"/>
    <w:basedOn w:val="Tabellanormale"/>
    <w:rsid w:val="006E11F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semiHidden/>
    <w:rsid w:val="008A1B05"/>
    <w:rPr>
      <w:sz w:val="16"/>
      <w:szCs w:val="16"/>
    </w:rPr>
  </w:style>
  <w:style w:type="paragraph" w:styleId="Soggettocommento">
    <w:name w:val="annotation subject"/>
    <w:basedOn w:val="Testocommento"/>
    <w:next w:val="Testocommento"/>
    <w:semiHidden/>
    <w:rsid w:val="008A1B05"/>
    <w:rPr>
      <w:b/>
      <w:bCs/>
    </w:rPr>
  </w:style>
  <w:style w:type="paragraph" w:customStyle="1" w:styleId="tabletxtin2">
    <w:name w:val="tabletxtin2"/>
    <w:basedOn w:val="Normale"/>
    <w:link w:val="tabletxtin2Char"/>
    <w:semiHidden/>
    <w:rsid w:val="00A60581"/>
    <w:pPr>
      <w:spacing w:line="200" w:lineRule="exact"/>
      <w:ind w:left="353" w:hanging="197"/>
    </w:pPr>
    <w:rPr>
      <w:rFonts w:ascii="EY Gothic Comp BookPS" w:hAnsi="EY Gothic Comp BookPS"/>
      <w:color w:val="000000"/>
    </w:rPr>
  </w:style>
  <w:style w:type="character" w:customStyle="1" w:styleId="tabletxtin2Char">
    <w:name w:val="tabletxtin2 Char"/>
    <w:link w:val="tabletxtin2"/>
    <w:rsid w:val="00A60581"/>
    <w:rPr>
      <w:rFonts w:ascii="EY Gothic Comp BookPS" w:hAnsi="EY Gothic Comp BookPS"/>
      <w:color w:val="000000"/>
      <w:lang w:val="en-GB" w:eastAsia="en-US" w:bidi="ar-SA"/>
    </w:rPr>
  </w:style>
  <w:style w:type="paragraph" w:customStyle="1" w:styleId="tabletxtssm">
    <w:name w:val="tabletxt #s sm"/>
    <w:basedOn w:val="Normale"/>
    <w:link w:val="tabletxtssmChar"/>
    <w:semiHidden/>
    <w:rsid w:val="00736F7C"/>
    <w:pPr>
      <w:tabs>
        <w:tab w:val="decimal" w:pos="504"/>
      </w:tabs>
      <w:spacing w:line="200" w:lineRule="exact"/>
    </w:pPr>
    <w:rPr>
      <w:rFonts w:ascii="EY Gothic Comp BookPS" w:hAnsi="EY Gothic Comp BookPS"/>
      <w:noProof/>
      <w:color w:val="000000"/>
    </w:rPr>
  </w:style>
  <w:style w:type="character" w:customStyle="1" w:styleId="tabletxtssmChar">
    <w:name w:val="tabletxt #s sm Char"/>
    <w:link w:val="tabletxtssm"/>
    <w:rsid w:val="00736F7C"/>
    <w:rPr>
      <w:rFonts w:ascii="EY Gothic Comp BookPS" w:hAnsi="EY Gothic Comp BookPS"/>
      <w:noProof/>
      <w:color w:val="000000"/>
      <w:lang w:val="en-GB" w:eastAsia="en-US" w:bidi="ar-SA"/>
    </w:rPr>
  </w:style>
  <w:style w:type="paragraph" w:customStyle="1" w:styleId="tabletxteyg2af">
    <w:name w:val="tabletxt eyg 2af"/>
    <w:basedOn w:val="Normale"/>
    <w:semiHidden/>
    <w:rsid w:val="00B05C1F"/>
    <w:pPr>
      <w:tabs>
        <w:tab w:val="right" w:leader="dot" w:pos="9739"/>
      </w:tabs>
      <w:spacing w:after="40" w:line="240" w:lineRule="exact"/>
    </w:pPr>
    <w:rPr>
      <w:rFonts w:ascii="EY Gothic Comp BookPS" w:hAnsi="EY Gothic Comp BookPS"/>
      <w:color w:val="000000"/>
    </w:rPr>
  </w:style>
  <w:style w:type="paragraph" w:styleId="Paragrafoelenco">
    <w:name w:val="List Paragraph"/>
    <w:basedOn w:val="Normale"/>
    <w:uiPriority w:val="34"/>
    <w:qFormat/>
    <w:rsid w:val="00B97C3D"/>
    <w:pPr>
      <w:ind w:left="720"/>
      <w:contextualSpacing/>
    </w:pPr>
  </w:style>
  <w:style w:type="paragraph" w:styleId="Revisione">
    <w:name w:val="Revision"/>
    <w:hidden/>
    <w:uiPriority w:val="99"/>
    <w:semiHidden/>
    <w:rsid w:val="002A4AEA"/>
    <w:pPr>
      <w:spacing w:before="20" w:after="20" w:line="220" w:lineRule="exact"/>
    </w:pPr>
    <w:rPr>
      <w:rFonts w:ascii="Garamond" w:hAnsi="Garamond"/>
      <w:lang w:val="en-GB" w:eastAsia="en-US"/>
    </w:rPr>
  </w:style>
  <w:style w:type="paragraph" w:customStyle="1" w:styleId="Titolocolonna">
    <w:name w:val="Titolo colonna"/>
    <w:basedOn w:val="Normale"/>
    <w:qFormat/>
    <w:rsid w:val="00C3113A"/>
    <w:pPr>
      <w:overflowPunct/>
      <w:autoSpaceDE/>
      <w:autoSpaceDN/>
      <w:adjustRightInd/>
      <w:jc w:val="center"/>
      <w:textAlignment w:val="auto"/>
    </w:pPr>
    <w:rPr>
      <w:b/>
      <w:lang w:val="it-IT"/>
    </w:rPr>
  </w:style>
  <w:style w:type="paragraph" w:customStyle="1" w:styleId="Rientroa">
    <w:name w:val="Rientro a)"/>
    <w:basedOn w:val="Normale"/>
    <w:qFormat/>
    <w:rsid w:val="00846937"/>
    <w:pPr>
      <w:numPr>
        <w:numId w:val="7"/>
      </w:numPr>
      <w:overflowPunct/>
      <w:autoSpaceDE/>
      <w:autoSpaceDN/>
      <w:adjustRightInd/>
      <w:textAlignment w:val="auto"/>
    </w:pPr>
    <w:rPr>
      <w:lang w:val="it-IT"/>
    </w:rPr>
  </w:style>
  <w:style w:type="paragraph" w:customStyle="1" w:styleId="Normaletrattino">
    <w:name w:val="Normale trattino"/>
    <w:basedOn w:val="Normale"/>
    <w:rsid w:val="00AC0FA9"/>
    <w:pPr>
      <w:tabs>
        <w:tab w:val="num" w:pos="780"/>
      </w:tabs>
      <w:ind w:left="780" w:hanging="420"/>
    </w:pPr>
    <w:rPr>
      <w:spacing w:val="-2"/>
      <w:lang w:val="it-IT"/>
    </w:rPr>
  </w:style>
  <w:style w:type="paragraph" w:customStyle="1" w:styleId="Commentiriquadro">
    <w:name w:val="Commenti riquadro"/>
    <w:basedOn w:val="Normale"/>
    <w:qFormat/>
    <w:rsid w:val="00553326"/>
    <w:pPr>
      <w:pBdr>
        <w:top w:val="single" w:sz="4" w:space="1" w:color="auto"/>
        <w:left w:val="single" w:sz="4" w:space="4" w:color="auto"/>
        <w:bottom w:val="single" w:sz="4" w:space="1" w:color="auto"/>
        <w:right w:val="single" w:sz="4" w:space="4" w:color="auto"/>
      </w:pBdr>
      <w:spacing w:line="200" w:lineRule="exact"/>
      <w:ind w:left="176" w:right="102"/>
    </w:pPr>
    <w:rPr>
      <w:sz w:val="16"/>
      <w:szCs w:val="16"/>
    </w:rPr>
  </w:style>
  <w:style w:type="paragraph" w:customStyle="1" w:styleId="IAS">
    <w:name w:val="IAS"/>
    <w:basedOn w:val="Normale"/>
    <w:qFormat/>
    <w:rsid w:val="00107636"/>
    <w:pPr>
      <w:spacing w:before="40" w:line="240" w:lineRule="auto"/>
      <w:ind w:right="28"/>
      <w:jc w:val="center"/>
    </w:pPr>
    <w:rPr>
      <w:sz w:val="13"/>
      <w:szCs w:val="13"/>
      <w:lang w:val="en-US"/>
    </w:rPr>
  </w:style>
  <w:style w:type="paragraph" w:customStyle="1" w:styleId="Commentiariquadro">
    <w:name w:val="Commenti a) riquadro"/>
    <w:basedOn w:val="Commentiriquadro"/>
    <w:qFormat/>
    <w:rsid w:val="00AC0FA9"/>
    <w:pPr>
      <w:ind w:left="460" w:hanging="284"/>
    </w:pPr>
    <w:rPr>
      <w:lang w:val="it-IT"/>
    </w:rPr>
  </w:style>
  <w:style w:type="paragraph" w:customStyle="1" w:styleId="Rientro1">
    <w:name w:val="Rientro 1"/>
    <w:basedOn w:val="Normale"/>
    <w:qFormat/>
    <w:rsid w:val="00AC0FA9"/>
    <w:pPr>
      <w:ind w:left="407"/>
    </w:pPr>
    <w:rPr>
      <w:lang w:val="it-IT"/>
    </w:rPr>
  </w:style>
  <w:style w:type="paragraph" w:customStyle="1" w:styleId="Rientrosottoi">
    <w:name w:val="Rientro sotto i)"/>
    <w:basedOn w:val="Normale"/>
    <w:qFormat/>
    <w:rsid w:val="00CA1EC9"/>
    <w:pPr>
      <w:ind w:left="1031" w:hanging="284"/>
    </w:pPr>
    <w:rPr>
      <w:lang w:val="it-IT"/>
    </w:rPr>
  </w:style>
  <w:style w:type="paragraph" w:customStyle="1" w:styleId="Rientroisottoa">
    <w:name w:val="Rientro i) sotto a)"/>
    <w:basedOn w:val="Normale"/>
    <w:qFormat/>
    <w:rsid w:val="005E09F8"/>
    <w:pPr>
      <w:ind w:left="743" w:hanging="307"/>
    </w:pPr>
    <w:rPr>
      <w:lang w:val="it-IT"/>
    </w:rPr>
  </w:style>
  <w:style w:type="paragraph" w:customStyle="1" w:styleId="Normalegrassetto">
    <w:name w:val="Normale grassetto"/>
    <w:basedOn w:val="Normale"/>
    <w:qFormat/>
    <w:rsid w:val="003A2B8D"/>
    <w:rPr>
      <w:b/>
    </w:rPr>
  </w:style>
  <w:style w:type="paragraph" w:customStyle="1" w:styleId="Titologenerale">
    <w:name w:val="Titolo generale"/>
    <w:basedOn w:val="Normale"/>
    <w:qFormat/>
    <w:rsid w:val="007C59ED"/>
    <w:pPr>
      <w:overflowPunct/>
      <w:autoSpaceDE/>
      <w:autoSpaceDN/>
      <w:adjustRightInd/>
      <w:spacing w:before="0" w:after="0" w:line="240" w:lineRule="exact"/>
      <w:jc w:val="center"/>
      <w:textAlignment w:val="auto"/>
    </w:pPr>
    <w:rPr>
      <w:rFonts w:cs="Arial"/>
      <w:b/>
      <w:sz w:val="24"/>
      <w:szCs w:val="22"/>
      <w:lang w:val="it-IT" w:eastAsia="it-IT"/>
    </w:rPr>
  </w:style>
  <w:style w:type="paragraph" w:styleId="Corpotesto">
    <w:name w:val="Body Text"/>
    <w:basedOn w:val="Normale"/>
    <w:link w:val="CorpotestoCarattere"/>
    <w:rsid w:val="00620DEC"/>
    <w:pPr>
      <w:spacing w:after="120"/>
    </w:pPr>
  </w:style>
  <w:style w:type="character" w:customStyle="1" w:styleId="CorpotestoCarattere">
    <w:name w:val="Corpo testo Carattere"/>
    <w:basedOn w:val="Carpredefinitoparagrafo"/>
    <w:link w:val="Corpotesto"/>
    <w:rsid w:val="00620DEC"/>
    <w:rPr>
      <w:rFonts w:ascii="Arial Narrow" w:hAnsi="Arial Narrow"/>
      <w:lang w:val="en-GB" w:eastAsia="en-US"/>
    </w:rPr>
  </w:style>
  <w:style w:type="paragraph" w:customStyle="1" w:styleId="Testots">
    <w:name w:val="Testo.ts"/>
    <w:basedOn w:val="Normale"/>
    <w:rsid w:val="008401B3"/>
    <w:pPr>
      <w:tabs>
        <w:tab w:val="right" w:pos="8560"/>
      </w:tabs>
      <w:overflowPunct/>
      <w:autoSpaceDE/>
      <w:autoSpaceDN/>
      <w:adjustRightInd/>
      <w:spacing w:before="0" w:after="130" w:line="260" w:lineRule="exact"/>
      <w:textAlignment w:val="auto"/>
    </w:pPr>
    <w:rPr>
      <w:rFonts w:ascii="Times" w:hAnsi="Times"/>
      <w:lang w:val="it-IT" w:eastAsia="it-IT"/>
    </w:rPr>
  </w:style>
  <w:style w:type="paragraph" w:styleId="Didascalia">
    <w:name w:val="caption"/>
    <w:basedOn w:val="Normale"/>
    <w:next w:val="Normale"/>
    <w:qFormat/>
    <w:rsid w:val="00484C52"/>
    <w:pPr>
      <w:spacing w:before="0" w:after="200" w:line="240" w:lineRule="auto"/>
    </w:pPr>
    <w:rPr>
      <w:b/>
      <w:bCs/>
      <w:color w:val="4F81BD" w:themeColor="accent1"/>
      <w:sz w:val="18"/>
      <w:szCs w:val="18"/>
    </w:rPr>
  </w:style>
  <w:style w:type="paragraph" w:customStyle="1" w:styleId="CM4">
    <w:name w:val="CM4"/>
    <w:basedOn w:val="Normale"/>
    <w:next w:val="Normale"/>
    <w:uiPriority w:val="99"/>
    <w:rsid w:val="00106F2F"/>
    <w:pPr>
      <w:overflowPunct/>
      <w:spacing w:before="0" w:after="0" w:line="240" w:lineRule="auto"/>
      <w:jc w:val="left"/>
      <w:textAlignment w:val="auto"/>
    </w:pPr>
    <w:rPr>
      <w:rFonts w:ascii="EUAlbertina" w:eastAsiaTheme="minorHAnsi" w:hAnsi="EUAlbertina" w:cstheme="minorBidi"/>
      <w:sz w:val="24"/>
      <w:szCs w:val="24"/>
      <w:lang w:val="it-IT"/>
    </w:rPr>
  </w:style>
  <w:style w:type="paragraph" w:customStyle="1" w:styleId="Default">
    <w:name w:val="Default"/>
    <w:rsid w:val="00DE6470"/>
    <w:pPr>
      <w:autoSpaceDE w:val="0"/>
      <w:autoSpaceDN w:val="0"/>
      <w:adjustRightInd w:val="0"/>
    </w:pPr>
    <w:rPr>
      <w:color w:val="000000"/>
      <w:sz w:val="24"/>
      <w:szCs w:val="24"/>
      <w:lang w:val="en-US"/>
    </w:rPr>
  </w:style>
  <w:style w:type="paragraph" w:customStyle="1" w:styleId="IASBPrinciple">
    <w:name w:val="IASB Principle"/>
    <w:basedOn w:val="Default"/>
    <w:next w:val="Default"/>
    <w:uiPriority w:val="99"/>
    <w:rsid w:val="00DE6470"/>
    <w:rPr>
      <w:color w:val="auto"/>
    </w:rPr>
  </w:style>
  <w:style w:type="paragraph" w:customStyle="1" w:styleId="CM1">
    <w:name w:val="CM1"/>
    <w:basedOn w:val="Normale"/>
    <w:next w:val="Normale"/>
    <w:uiPriority w:val="99"/>
    <w:rsid w:val="00A70B81"/>
    <w:pPr>
      <w:overflowPunct/>
      <w:spacing w:before="0" w:after="0" w:line="240" w:lineRule="auto"/>
      <w:jc w:val="left"/>
      <w:textAlignment w:val="auto"/>
    </w:pPr>
    <w:rPr>
      <w:rFonts w:ascii="EUAlbertina" w:eastAsiaTheme="minorHAnsi" w:hAnsi="EUAlbertina" w:cstheme="minorBidi"/>
      <w:sz w:val="24"/>
      <w:szCs w:val="24"/>
      <w:lang w:val="it-IT"/>
    </w:rPr>
  </w:style>
  <w:style w:type="paragraph" w:customStyle="1" w:styleId="CM3">
    <w:name w:val="CM3"/>
    <w:basedOn w:val="Normale"/>
    <w:next w:val="Normale"/>
    <w:uiPriority w:val="99"/>
    <w:rsid w:val="00DF4DF0"/>
    <w:pPr>
      <w:overflowPunct/>
      <w:spacing w:before="0" w:after="0" w:line="240" w:lineRule="auto"/>
      <w:jc w:val="left"/>
      <w:textAlignment w:val="auto"/>
    </w:pPr>
    <w:rPr>
      <w:rFonts w:ascii="EUAlbertina" w:eastAsiaTheme="minorHAnsi" w:hAnsi="EUAlbertina" w:cstheme="minorBidi"/>
      <w:sz w:val="24"/>
      <w:szCs w:val="24"/>
      <w:lang w:val="it-IT"/>
    </w:rPr>
  </w:style>
  <w:style w:type="character" w:customStyle="1" w:styleId="IntestazionemessaggioCarattere">
    <w:name w:val="Intestazione messaggio Carattere"/>
    <w:basedOn w:val="Carpredefinitoparagrafo"/>
    <w:link w:val="Intestazionemessaggio"/>
    <w:rsid w:val="00986144"/>
    <w:rPr>
      <w:rFonts w:ascii="Arial" w:hAnsi="Arial"/>
      <w:sz w:val="24"/>
      <w:shd w:val="pct20" w:color="auto" w:fill="auto"/>
      <w:lang w:val="en-GB" w:eastAsia="en-US"/>
    </w:rPr>
  </w:style>
  <w:style w:type="character" w:customStyle="1" w:styleId="Rientrocorpodeltesto3Carattere">
    <w:name w:val="Rientro corpo del testo 3 Carattere"/>
    <w:basedOn w:val="Carpredefinitoparagrafo"/>
    <w:link w:val="Rientrocorpodeltesto3"/>
    <w:rsid w:val="002F6470"/>
    <w:rPr>
      <w:rFonts w:ascii="Arial Narrow" w:hAnsi="Arial Narrow"/>
      <w:sz w:val="16"/>
      <w:lang w:val="en-GB" w:eastAsia="en-US"/>
    </w:rPr>
  </w:style>
  <w:style w:type="character" w:customStyle="1" w:styleId="TestofumettoCarattere">
    <w:name w:val="Testo fumetto Carattere"/>
    <w:basedOn w:val="Carpredefinitoparagrafo"/>
    <w:link w:val="Testofumetto"/>
    <w:semiHidden/>
    <w:rsid w:val="000517CC"/>
    <w:rPr>
      <w:rFonts w:ascii="Tahoma" w:hAnsi="Tahoma" w:cs="Tahoma"/>
      <w:sz w:val="16"/>
      <w:szCs w:val="16"/>
      <w:lang w:val="en-GB" w:eastAsia="en-US"/>
    </w:rPr>
  </w:style>
  <w:style w:type="character" w:customStyle="1" w:styleId="Titolo1Carattere">
    <w:name w:val="Titolo 1 Carattere"/>
    <w:basedOn w:val="Carpredefinitoparagrafo"/>
    <w:link w:val="Titolo1"/>
    <w:uiPriority w:val="99"/>
    <w:rsid w:val="00FC301A"/>
    <w:rPr>
      <w:rFonts w:ascii="Arial Narrow" w:hAnsi="Arial Narrow"/>
      <w:b/>
      <w:caps/>
      <w:kern w:val="28"/>
      <w:sz w:val="22"/>
      <w:szCs w:val="22"/>
      <w:lang w:eastAsia="en-US"/>
    </w:rPr>
  </w:style>
  <w:style w:type="character" w:styleId="Enfasigrassetto">
    <w:name w:val="Strong"/>
    <w:basedOn w:val="Carpredefinitoparagrafo"/>
    <w:qFormat/>
    <w:rsid w:val="005B7410"/>
    <w:rPr>
      <w:b/>
      <w:bCs/>
    </w:rPr>
  </w:style>
  <w:style w:type="character" w:styleId="Enfasicorsivo">
    <w:name w:val="Emphasis"/>
    <w:basedOn w:val="Carpredefinitoparagrafo"/>
    <w:qFormat/>
    <w:rsid w:val="00E90307"/>
    <w:rPr>
      <w:i/>
      <w:iCs/>
    </w:rPr>
  </w:style>
  <w:style w:type="paragraph" w:styleId="Nessunaspaziatura">
    <w:name w:val="No Spacing"/>
    <w:uiPriority w:val="1"/>
    <w:qFormat/>
    <w:rsid w:val="00B406AC"/>
    <w:pPr>
      <w:overflowPunct w:val="0"/>
      <w:autoSpaceDE w:val="0"/>
      <w:autoSpaceDN w:val="0"/>
      <w:adjustRightInd w:val="0"/>
      <w:jc w:val="both"/>
      <w:textAlignment w:val="baseline"/>
    </w:pPr>
    <w:rPr>
      <w:rFonts w:ascii="Arial Narrow" w:hAnsi="Arial Narrow"/>
      <w:lang w:val="en-GB" w:eastAsia="en-US"/>
    </w:rPr>
  </w:style>
  <w:style w:type="paragraph" w:styleId="Testonormale">
    <w:name w:val="Plain Text"/>
    <w:basedOn w:val="Normale"/>
    <w:link w:val="TestonormaleCarattere"/>
    <w:uiPriority w:val="99"/>
    <w:unhideWhenUsed/>
    <w:rsid w:val="00001EE7"/>
    <w:pPr>
      <w:overflowPunct/>
      <w:autoSpaceDE/>
      <w:autoSpaceDN/>
      <w:adjustRightInd/>
      <w:spacing w:before="0" w:after="0" w:line="240" w:lineRule="auto"/>
      <w:jc w:val="left"/>
      <w:textAlignment w:val="auto"/>
    </w:pPr>
    <w:rPr>
      <w:rFonts w:ascii="Consolas" w:eastAsiaTheme="minorHAnsi" w:hAnsi="Consolas"/>
      <w:sz w:val="21"/>
      <w:szCs w:val="21"/>
      <w:lang w:val="it-IT" w:eastAsia="it-IT"/>
    </w:rPr>
  </w:style>
  <w:style w:type="character" w:customStyle="1" w:styleId="TestonormaleCarattere">
    <w:name w:val="Testo normale Carattere"/>
    <w:basedOn w:val="Carpredefinitoparagrafo"/>
    <w:link w:val="Testonormale"/>
    <w:uiPriority w:val="99"/>
    <w:rsid w:val="00001EE7"/>
    <w:rPr>
      <w:rFonts w:ascii="Consolas" w:eastAsiaTheme="minorHAnsi" w:hAnsi="Consolas"/>
      <w:sz w:val="21"/>
      <w:szCs w:val="21"/>
    </w:rPr>
  </w:style>
  <w:style w:type="character" w:customStyle="1" w:styleId="Titolo4Carattere">
    <w:name w:val="Titolo 4 Carattere"/>
    <w:basedOn w:val="Carpredefinitoparagrafo"/>
    <w:link w:val="Titolo4"/>
    <w:rsid w:val="00715969"/>
    <w:rPr>
      <w:rFonts w:ascii="Arial Narrow" w:hAnsi="Arial Narrow"/>
      <w:b/>
      <w:sz w:val="28"/>
      <w:lang w:val="en-GB" w:eastAsia="en-US"/>
    </w:rPr>
  </w:style>
  <w:style w:type="paragraph" w:styleId="NormaleWeb">
    <w:name w:val="Normal (Web)"/>
    <w:basedOn w:val="Normale"/>
    <w:uiPriority w:val="99"/>
    <w:unhideWhenUsed/>
    <w:rsid w:val="005423DC"/>
    <w:pP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val="it-IT" w:eastAsia="it-IT"/>
    </w:rPr>
  </w:style>
  <w:style w:type="paragraph" w:customStyle="1" w:styleId="Paragarfobordato">
    <w:name w:val="Paragarfo bordato"/>
    <w:basedOn w:val="Commentiriquadro"/>
    <w:qFormat/>
    <w:rsid w:val="005062DC"/>
    <w:pPr>
      <w:pBdr>
        <w:top w:val="single" w:sz="4" w:space="0" w:color="auto"/>
        <w:left w:val="single" w:sz="4" w:space="0" w:color="auto"/>
        <w:bottom w:val="single" w:sz="4" w:space="0" w:color="auto"/>
        <w:right w:val="single" w:sz="4" w:space="0" w:color="auto"/>
      </w:pBdr>
      <w:spacing w:line="190" w:lineRule="exact"/>
      <w:ind w:left="0" w:right="0"/>
    </w:pPr>
    <w:rPr>
      <w:iCs/>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279">
      <w:bodyDiv w:val="1"/>
      <w:marLeft w:val="0"/>
      <w:marRight w:val="0"/>
      <w:marTop w:val="0"/>
      <w:marBottom w:val="0"/>
      <w:divBdr>
        <w:top w:val="none" w:sz="0" w:space="0" w:color="auto"/>
        <w:left w:val="none" w:sz="0" w:space="0" w:color="auto"/>
        <w:bottom w:val="none" w:sz="0" w:space="0" w:color="auto"/>
        <w:right w:val="none" w:sz="0" w:space="0" w:color="auto"/>
      </w:divBdr>
    </w:div>
    <w:div w:id="24526590">
      <w:bodyDiv w:val="1"/>
      <w:marLeft w:val="0"/>
      <w:marRight w:val="0"/>
      <w:marTop w:val="0"/>
      <w:marBottom w:val="0"/>
      <w:divBdr>
        <w:top w:val="none" w:sz="0" w:space="0" w:color="auto"/>
        <w:left w:val="none" w:sz="0" w:space="0" w:color="auto"/>
        <w:bottom w:val="none" w:sz="0" w:space="0" w:color="auto"/>
        <w:right w:val="none" w:sz="0" w:space="0" w:color="auto"/>
      </w:divBdr>
    </w:div>
    <w:div w:id="35586961">
      <w:bodyDiv w:val="1"/>
      <w:marLeft w:val="0"/>
      <w:marRight w:val="0"/>
      <w:marTop w:val="0"/>
      <w:marBottom w:val="0"/>
      <w:divBdr>
        <w:top w:val="none" w:sz="0" w:space="0" w:color="auto"/>
        <w:left w:val="none" w:sz="0" w:space="0" w:color="auto"/>
        <w:bottom w:val="none" w:sz="0" w:space="0" w:color="auto"/>
        <w:right w:val="none" w:sz="0" w:space="0" w:color="auto"/>
      </w:divBdr>
    </w:div>
    <w:div w:id="55475131">
      <w:bodyDiv w:val="1"/>
      <w:marLeft w:val="0"/>
      <w:marRight w:val="0"/>
      <w:marTop w:val="0"/>
      <w:marBottom w:val="0"/>
      <w:divBdr>
        <w:top w:val="none" w:sz="0" w:space="0" w:color="auto"/>
        <w:left w:val="none" w:sz="0" w:space="0" w:color="auto"/>
        <w:bottom w:val="none" w:sz="0" w:space="0" w:color="auto"/>
        <w:right w:val="none" w:sz="0" w:space="0" w:color="auto"/>
      </w:divBdr>
    </w:div>
    <w:div w:id="56250358">
      <w:bodyDiv w:val="1"/>
      <w:marLeft w:val="0"/>
      <w:marRight w:val="0"/>
      <w:marTop w:val="0"/>
      <w:marBottom w:val="0"/>
      <w:divBdr>
        <w:top w:val="none" w:sz="0" w:space="0" w:color="auto"/>
        <w:left w:val="none" w:sz="0" w:space="0" w:color="auto"/>
        <w:bottom w:val="none" w:sz="0" w:space="0" w:color="auto"/>
        <w:right w:val="none" w:sz="0" w:space="0" w:color="auto"/>
      </w:divBdr>
    </w:div>
    <w:div w:id="75784719">
      <w:bodyDiv w:val="1"/>
      <w:marLeft w:val="0"/>
      <w:marRight w:val="0"/>
      <w:marTop w:val="0"/>
      <w:marBottom w:val="0"/>
      <w:divBdr>
        <w:top w:val="none" w:sz="0" w:space="0" w:color="auto"/>
        <w:left w:val="none" w:sz="0" w:space="0" w:color="auto"/>
        <w:bottom w:val="none" w:sz="0" w:space="0" w:color="auto"/>
        <w:right w:val="none" w:sz="0" w:space="0" w:color="auto"/>
      </w:divBdr>
    </w:div>
    <w:div w:id="85926366">
      <w:bodyDiv w:val="1"/>
      <w:marLeft w:val="0"/>
      <w:marRight w:val="0"/>
      <w:marTop w:val="0"/>
      <w:marBottom w:val="0"/>
      <w:divBdr>
        <w:top w:val="none" w:sz="0" w:space="0" w:color="auto"/>
        <w:left w:val="none" w:sz="0" w:space="0" w:color="auto"/>
        <w:bottom w:val="none" w:sz="0" w:space="0" w:color="auto"/>
        <w:right w:val="none" w:sz="0" w:space="0" w:color="auto"/>
      </w:divBdr>
    </w:div>
    <w:div w:id="87891191">
      <w:bodyDiv w:val="1"/>
      <w:marLeft w:val="0"/>
      <w:marRight w:val="0"/>
      <w:marTop w:val="0"/>
      <w:marBottom w:val="0"/>
      <w:divBdr>
        <w:top w:val="none" w:sz="0" w:space="0" w:color="auto"/>
        <w:left w:val="none" w:sz="0" w:space="0" w:color="auto"/>
        <w:bottom w:val="none" w:sz="0" w:space="0" w:color="auto"/>
        <w:right w:val="none" w:sz="0" w:space="0" w:color="auto"/>
      </w:divBdr>
    </w:div>
    <w:div w:id="88819566">
      <w:bodyDiv w:val="1"/>
      <w:marLeft w:val="0"/>
      <w:marRight w:val="0"/>
      <w:marTop w:val="0"/>
      <w:marBottom w:val="0"/>
      <w:divBdr>
        <w:top w:val="none" w:sz="0" w:space="0" w:color="auto"/>
        <w:left w:val="none" w:sz="0" w:space="0" w:color="auto"/>
        <w:bottom w:val="none" w:sz="0" w:space="0" w:color="auto"/>
        <w:right w:val="none" w:sz="0" w:space="0" w:color="auto"/>
      </w:divBdr>
    </w:div>
    <w:div w:id="89745284">
      <w:bodyDiv w:val="1"/>
      <w:marLeft w:val="0"/>
      <w:marRight w:val="0"/>
      <w:marTop w:val="0"/>
      <w:marBottom w:val="0"/>
      <w:divBdr>
        <w:top w:val="none" w:sz="0" w:space="0" w:color="auto"/>
        <w:left w:val="none" w:sz="0" w:space="0" w:color="auto"/>
        <w:bottom w:val="none" w:sz="0" w:space="0" w:color="auto"/>
        <w:right w:val="none" w:sz="0" w:space="0" w:color="auto"/>
      </w:divBdr>
    </w:div>
    <w:div w:id="93668430">
      <w:bodyDiv w:val="1"/>
      <w:marLeft w:val="0"/>
      <w:marRight w:val="0"/>
      <w:marTop w:val="0"/>
      <w:marBottom w:val="0"/>
      <w:divBdr>
        <w:top w:val="none" w:sz="0" w:space="0" w:color="auto"/>
        <w:left w:val="none" w:sz="0" w:space="0" w:color="auto"/>
        <w:bottom w:val="none" w:sz="0" w:space="0" w:color="auto"/>
        <w:right w:val="none" w:sz="0" w:space="0" w:color="auto"/>
      </w:divBdr>
    </w:div>
    <w:div w:id="95445796">
      <w:bodyDiv w:val="1"/>
      <w:marLeft w:val="0"/>
      <w:marRight w:val="0"/>
      <w:marTop w:val="0"/>
      <w:marBottom w:val="0"/>
      <w:divBdr>
        <w:top w:val="none" w:sz="0" w:space="0" w:color="auto"/>
        <w:left w:val="none" w:sz="0" w:space="0" w:color="auto"/>
        <w:bottom w:val="none" w:sz="0" w:space="0" w:color="auto"/>
        <w:right w:val="none" w:sz="0" w:space="0" w:color="auto"/>
      </w:divBdr>
    </w:div>
    <w:div w:id="101922512">
      <w:bodyDiv w:val="1"/>
      <w:marLeft w:val="0"/>
      <w:marRight w:val="0"/>
      <w:marTop w:val="0"/>
      <w:marBottom w:val="0"/>
      <w:divBdr>
        <w:top w:val="none" w:sz="0" w:space="0" w:color="auto"/>
        <w:left w:val="none" w:sz="0" w:space="0" w:color="auto"/>
        <w:bottom w:val="none" w:sz="0" w:space="0" w:color="auto"/>
        <w:right w:val="none" w:sz="0" w:space="0" w:color="auto"/>
      </w:divBdr>
    </w:div>
    <w:div w:id="102961385">
      <w:bodyDiv w:val="1"/>
      <w:marLeft w:val="0"/>
      <w:marRight w:val="0"/>
      <w:marTop w:val="0"/>
      <w:marBottom w:val="0"/>
      <w:divBdr>
        <w:top w:val="none" w:sz="0" w:space="0" w:color="auto"/>
        <w:left w:val="none" w:sz="0" w:space="0" w:color="auto"/>
        <w:bottom w:val="none" w:sz="0" w:space="0" w:color="auto"/>
        <w:right w:val="none" w:sz="0" w:space="0" w:color="auto"/>
      </w:divBdr>
    </w:div>
    <w:div w:id="103500637">
      <w:bodyDiv w:val="1"/>
      <w:marLeft w:val="0"/>
      <w:marRight w:val="0"/>
      <w:marTop w:val="0"/>
      <w:marBottom w:val="0"/>
      <w:divBdr>
        <w:top w:val="none" w:sz="0" w:space="0" w:color="auto"/>
        <w:left w:val="none" w:sz="0" w:space="0" w:color="auto"/>
        <w:bottom w:val="none" w:sz="0" w:space="0" w:color="auto"/>
        <w:right w:val="none" w:sz="0" w:space="0" w:color="auto"/>
      </w:divBdr>
    </w:div>
    <w:div w:id="110636762">
      <w:bodyDiv w:val="1"/>
      <w:marLeft w:val="0"/>
      <w:marRight w:val="0"/>
      <w:marTop w:val="0"/>
      <w:marBottom w:val="0"/>
      <w:divBdr>
        <w:top w:val="none" w:sz="0" w:space="0" w:color="auto"/>
        <w:left w:val="none" w:sz="0" w:space="0" w:color="auto"/>
        <w:bottom w:val="none" w:sz="0" w:space="0" w:color="auto"/>
        <w:right w:val="none" w:sz="0" w:space="0" w:color="auto"/>
      </w:divBdr>
    </w:div>
    <w:div w:id="117385192">
      <w:bodyDiv w:val="1"/>
      <w:marLeft w:val="0"/>
      <w:marRight w:val="0"/>
      <w:marTop w:val="0"/>
      <w:marBottom w:val="0"/>
      <w:divBdr>
        <w:top w:val="none" w:sz="0" w:space="0" w:color="auto"/>
        <w:left w:val="none" w:sz="0" w:space="0" w:color="auto"/>
        <w:bottom w:val="none" w:sz="0" w:space="0" w:color="auto"/>
        <w:right w:val="none" w:sz="0" w:space="0" w:color="auto"/>
      </w:divBdr>
    </w:div>
    <w:div w:id="119036881">
      <w:bodyDiv w:val="1"/>
      <w:marLeft w:val="0"/>
      <w:marRight w:val="0"/>
      <w:marTop w:val="0"/>
      <w:marBottom w:val="0"/>
      <w:divBdr>
        <w:top w:val="none" w:sz="0" w:space="0" w:color="auto"/>
        <w:left w:val="none" w:sz="0" w:space="0" w:color="auto"/>
        <w:bottom w:val="none" w:sz="0" w:space="0" w:color="auto"/>
        <w:right w:val="none" w:sz="0" w:space="0" w:color="auto"/>
      </w:divBdr>
    </w:div>
    <w:div w:id="173689201">
      <w:bodyDiv w:val="1"/>
      <w:marLeft w:val="0"/>
      <w:marRight w:val="0"/>
      <w:marTop w:val="0"/>
      <w:marBottom w:val="0"/>
      <w:divBdr>
        <w:top w:val="none" w:sz="0" w:space="0" w:color="auto"/>
        <w:left w:val="none" w:sz="0" w:space="0" w:color="auto"/>
        <w:bottom w:val="none" w:sz="0" w:space="0" w:color="auto"/>
        <w:right w:val="none" w:sz="0" w:space="0" w:color="auto"/>
      </w:divBdr>
    </w:div>
    <w:div w:id="174075760">
      <w:bodyDiv w:val="1"/>
      <w:marLeft w:val="0"/>
      <w:marRight w:val="0"/>
      <w:marTop w:val="0"/>
      <w:marBottom w:val="0"/>
      <w:divBdr>
        <w:top w:val="none" w:sz="0" w:space="0" w:color="auto"/>
        <w:left w:val="none" w:sz="0" w:space="0" w:color="auto"/>
        <w:bottom w:val="none" w:sz="0" w:space="0" w:color="auto"/>
        <w:right w:val="none" w:sz="0" w:space="0" w:color="auto"/>
      </w:divBdr>
    </w:div>
    <w:div w:id="175198630">
      <w:bodyDiv w:val="1"/>
      <w:marLeft w:val="0"/>
      <w:marRight w:val="0"/>
      <w:marTop w:val="0"/>
      <w:marBottom w:val="0"/>
      <w:divBdr>
        <w:top w:val="none" w:sz="0" w:space="0" w:color="auto"/>
        <w:left w:val="none" w:sz="0" w:space="0" w:color="auto"/>
        <w:bottom w:val="none" w:sz="0" w:space="0" w:color="auto"/>
        <w:right w:val="none" w:sz="0" w:space="0" w:color="auto"/>
      </w:divBdr>
    </w:div>
    <w:div w:id="181600596">
      <w:bodyDiv w:val="1"/>
      <w:marLeft w:val="0"/>
      <w:marRight w:val="0"/>
      <w:marTop w:val="0"/>
      <w:marBottom w:val="0"/>
      <w:divBdr>
        <w:top w:val="none" w:sz="0" w:space="0" w:color="auto"/>
        <w:left w:val="none" w:sz="0" w:space="0" w:color="auto"/>
        <w:bottom w:val="none" w:sz="0" w:space="0" w:color="auto"/>
        <w:right w:val="none" w:sz="0" w:space="0" w:color="auto"/>
      </w:divBdr>
    </w:div>
    <w:div w:id="183834974">
      <w:bodyDiv w:val="1"/>
      <w:marLeft w:val="0"/>
      <w:marRight w:val="0"/>
      <w:marTop w:val="0"/>
      <w:marBottom w:val="0"/>
      <w:divBdr>
        <w:top w:val="none" w:sz="0" w:space="0" w:color="auto"/>
        <w:left w:val="none" w:sz="0" w:space="0" w:color="auto"/>
        <w:bottom w:val="none" w:sz="0" w:space="0" w:color="auto"/>
        <w:right w:val="none" w:sz="0" w:space="0" w:color="auto"/>
      </w:divBdr>
    </w:div>
    <w:div w:id="202448981">
      <w:bodyDiv w:val="1"/>
      <w:marLeft w:val="0"/>
      <w:marRight w:val="0"/>
      <w:marTop w:val="0"/>
      <w:marBottom w:val="0"/>
      <w:divBdr>
        <w:top w:val="none" w:sz="0" w:space="0" w:color="auto"/>
        <w:left w:val="none" w:sz="0" w:space="0" w:color="auto"/>
        <w:bottom w:val="none" w:sz="0" w:space="0" w:color="auto"/>
        <w:right w:val="none" w:sz="0" w:space="0" w:color="auto"/>
      </w:divBdr>
    </w:div>
    <w:div w:id="204022864">
      <w:bodyDiv w:val="1"/>
      <w:marLeft w:val="0"/>
      <w:marRight w:val="0"/>
      <w:marTop w:val="0"/>
      <w:marBottom w:val="0"/>
      <w:divBdr>
        <w:top w:val="none" w:sz="0" w:space="0" w:color="auto"/>
        <w:left w:val="none" w:sz="0" w:space="0" w:color="auto"/>
        <w:bottom w:val="none" w:sz="0" w:space="0" w:color="auto"/>
        <w:right w:val="none" w:sz="0" w:space="0" w:color="auto"/>
      </w:divBdr>
    </w:div>
    <w:div w:id="217977152">
      <w:bodyDiv w:val="1"/>
      <w:marLeft w:val="0"/>
      <w:marRight w:val="0"/>
      <w:marTop w:val="0"/>
      <w:marBottom w:val="0"/>
      <w:divBdr>
        <w:top w:val="none" w:sz="0" w:space="0" w:color="auto"/>
        <w:left w:val="none" w:sz="0" w:space="0" w:color="auto"/>
        <w:bottom w:val="none" w:sz="0" w:space="0" w:color="auto"/>
        <w:right w:val="none" w:sz="0" w:space="0" w:color="auto"/>
      </w:divBdr>
    </w:div>
    <w:div w:id="226913640">
      <w:bodyDiv w:val="1"/>
      <w:marLeft w:val="0"/>
      <w:marRight w:val="0"/>
      <w:marTop w:val="0"/>
      <w:marBottom w:val="0"/>
      <w:divBdr>
        <w:top w:val="none" w:sz="0" w:space="0" w:color="auto"/>
        <w:left w:val="none" w:sz="0" w:space="0" w:color="auto"/>
        <w:bottom w:val="none" w:sz="0" w:space="0" w:color="auto"/>
        <w:right w:val="none" w:sz="0" w:space="0" w:color="auto"/>
      </w:divBdr>
    </w:div>
    <w:div w:id="246497696">
      <w:bodyDiv w:val="1"/>
      <w:marLeft w:val="0"/>
      <w:marRight w:val="0"/>
      <w:marTop w:val="0"/>
      <w:marBottom w:val="0"/>
      <w:divBdr>
        <w:top w:val="none" w:sz="0" w:space="0" w:color="auto"/>
        <w:left w:val="none" w:sz="0" w:space="0" w:color="auto"/>
        <w:bottom w:val="none" w:sz="0" w:space="0" w:color="auto"/>
        <w:right w:val="none" w:sz="0" w:space="0" w:color="auto"/>
      </w:divBdr>
    </w:div>
    <w:div w:id="247272061">
      <w:bodyDiv w:val="1"/>
      <w:marLeft w:val="0"/>
      <w:marRight w:val="0"/>
      <w:marTop w:val="0"/>
      <w:marBottom w:val="0"/>
      <w:divBdr>
        <w:top w:val="none" w:sz="0" w:space="0" w:color="auto"/>
        <w:left w:val="none" w:sz="0" w:space="0" w:color="auto"/>
        <w:bottom w:val="none" w:sz="0" w:space="0" w:color="auto"/>
        <w:right w:val="none" w:sz="0" w:space="0" w:color="auto"/>
      </w:divBdr>
    </w:div>
    <w:div w:id="252595545">
      <w:bodyDiv w:val="1"/>
      <w:marLeft w:val="0"/>
      <w:marRight w:val="0"/>
      <w:marTop w:val="0"/>
      <w:marBottom w:val="0"/>
      <w:divBdr>
        <w:top w:val="none" w:sz="0" w:space="0" w:color="auto"/>
        <w:left w:val="none" w:sz="0" w:space="0" w:color="auto"/>
        <w:bottom w:val="none" w:sz="0" w:space="0" w:color="auto"/>
        <w:right w:val="none" w:sz="0" w:space="0" w:color="auto"/>
      </w:divBdr>
    </w:div>
    <w:div w:id="265239834">
      <w:bodyDiv w:val="1"/>
      <w:marLeft w:val="0"/>
      <w:marRight w:val="0"/>
      <w:marTop w:val="0"/>
      <w:marBottom w:val="0"/>
      <w:divBdr>
        <w:top w:val="none" w:sz="0" w:space="0" w:color="auto"/>
        <w:left w:val="none" w:sz="0" w:space="0" w:color="auto"/>
        <w:bottom w:val="none" w:sz="0" w:space="0" w:color="auto"/>
        <w:right w:val="none" w:sz="0" w:space="0" w:color="auto"/>
      </w:divBdr>
    </w:div>
    <w:div w:id="270937008">
      <w:bodyDiv w:val="1"/>
      <w:marLeft w:val="0"/>
      <w:marRight w:val="0"/>
      <w:marTop w:val="0"/>
      <w:marBottom w:val="0"/>
      <w:divBdr>
        <w:top w:val="none" w:sz="0" w:space="0" w:color="auto"/>
        <w:left w:val="none" w:sz="0" w:space="0" w:color="auto"/>
        <w:bottom w:val="none" w:sz="0" w:space="0" w:color="auto"/>
        <w:right w:val="none" w:sz="0" w:space="0" w:color="auto"/>
      </w:divBdr>
    </w:div>
    <w:div w:id="274021791">
      <w:bodyDiv w:val="1"/>
      <w:marLeft w:val="0"/>
      <w:marRight w:val="0"/>
      <w:marTop w:val="0"/>
      <w:marBottom w:val="0"/>
      <w:divBdr>
        <w:top w:val="none" w:sz="0" w:space="0" w:color="auto"/>
        <w:left w:val="none" w:sz="0" w:space="0" w:color="auto"/>
        <w:bottom w:val="none" w:sz="0" w:space="0" w:color="auto"/>
        <w:right w:val="none" w:sz="0" w:space="0" w:color="auto"/>
      </w:divBdr>
    </w:div>
    <w:div w:id="276523757">
      <w:bodyDiv w:val="1"/>
      <w:marLeft w:val="0"/>
      <w:marRight w:val="0"/>
      <w:marTop w:val="0"/>
      <w:marBottom w:val="0"/>
      <w:divBdr>
        <w:top w:val="none" w:sz="0" w:space="0" w:color="auto"/>
        <w:left w:val="none" w:sz="0" w:space="0" w:color="auto"/>
        <w:bottom w:val="none" w:sz="0" w:space="0" w:color="auto"/>
        <w:right w:val="none" w:sz="0" w:space="0" w:color="auto"/>
      </w:divBdr>
    </w:div>
    <w:div w:id="277950307">
      <w:bodyDiv w:val="1"/>
      <w:marLeft w:val="0"/>
      <w:marRight w:val="0"/>
      <w:marTop w:val="0"/>
      <w:marBottom w:val="0"/>
      <w:divBdr>
        <w:top w:val="none" w:sz="0" w:space="0" w:color="auto"/>
        <w:left w:val="none" w:sz="0" w:space="0" w:color="auto"/>
        <w:bottom w:val="none" w:sz="0" w:space="0" w:color="auto"/>
        <w:right w:val="none" w:sz="0" w:space="0" w:color="auto"/>
      </w:divBdr>
    </w:div>
    <w:div w:id="280260110">
      <w:bodyDiv w:val="1"/>
      <w:marLeft w:val="0"/>
      <w:marRight w:val="0"/>
      <w:marTop w:val="0"/>
      <w:marBottom w:val="0"/>
      <w:divBdr>
        <w:top w:val="none" w:sz="0" w:space="0" w:color="auto"/>
        <w:left w:val="none" w:sz="0" w:space="0" w:color="auto"/>
        <w:bottom w:val="none" w:sz="0" w:space="0" w:color="auto"/>
        <w:right w:val="none" w:sz="0" w:space="0" w:color="auto"/>
      </w:divBdr>
    </w:div>
    <w:div w:id="281570226">
      <w:bodyDiv w:val="1"/>
      <w:marLeft w:val="0"/>
      <w:marRight w:val="0"/>
      <w:marTop w:val="0"/>
      <w:marBottom w:val="0"/>
      <w:divBdr>
        <w:top w:val="none" w:sz="0" w:space="0" w:color="auto"/>
        <w:left w:val="none" w:sz="0" w:space="0" w:color="auto"/>
        <w:bottom w:val="none" w:sz="0" w:space="0" w:color="auto"/>
        <w:right w:val="none" w:sz="0" w:space="0" w:color="auto"/>
      </w:divBdr>
    </w:div>
    <w:div w:id="287204002">
      <w:bodyDiv w:val="1"/>
      <w:marLeft w:val="0"/>
      <w:marRight w:val="0"/>
      <w:marTop w:val="0"/>
      <w:marBottom w:val="0"/>
      <w:divBdr>
        <w:top w:val="none" w:sz="0" w:space="0" w:color="auto"/>
        <w:left w:val="none" w:sz="0" w:space="0" w:color="auto"/>
        <w:bottom w:val="none" w:sz="0" w:space="0" w:color="auto"/>
        <w:right w:val="none" w:sz="0" w:space="0" w:color="auto"/>
      </w:divBdr>
    </w:div>
    <w:div w:id="321279287">
      <w:bodyDiv w:val="1"/>
      <w:marLeft w:val="0"/>
      <w:marRight w:val="0"/>
      <w:marTop w:val="0"/>
      <w:marBottom w:val="0"/>
      <w:divBdr>
        <w:top w:val="none" w:sz="0" w:space="0" w:color="auto"/>
        <w:left w:val="none" w:sz="0" w:space="0" w:color="auto"/>
        <w:bottom w:val="none" w:sz="0" w:space="0" w:color="auto"/>
        <w:right w:val="none" w:sz="0" w:space="0" w:color="auto"/>
      </w:divBdr>
    </w:div>
    <w:div w:id="323582279">
      <w:bodyDiv w:val="1"/>
      <w:marLeft w:val="0"/>
      <w:marRight w:val="0"/>
      <w:marTop w:val="0"/>
      <w:marBottom w:val="0"/>
      <w:divBdr>
        <w:top w:val="none" w:sz="0" w:space="0" w:color="auto"/>
        <w:left w:val="none" w:sz="0" w:space="0" w:color="auto"/>
        <w:bottom w:val="none" w:sz="0" w:space="0" w:color="auto"/>
        <w:right w:val="none" w:sz="0" w:space="0" w:color="auto"/>
      </w:divBdr>
    </w:div>
    <w:div w:id="324090780">
      <w:bodyDiv w:val="1"/>
      <w:marLeft w:val="0"/>
      <w:marRight w:val="0"/>
      <w:marTop w:val="0"/>
      <w:marBottom w:val="0"/>
      <w:divBdr>
        <w:top w:val="none" w:sz="0" w:space="0" w:color="auto"/>
        <w:left w:val="none" w:sz="0" w:space="0" w:color="auto"/>
        <w:bottom w:val="none" w:sz="0" w:space="0" w:color="auto"/>
        <w:right w:val="none" w:sz="0" w:space="0" w:color="auto"/>
      </w:divBdr>
    </w:div>
    <w:div w:id="332296520">
      <w:bodyDiv w:val="1"/>
      <w:marLeft w:val="0"/>
      <w:marRight w:val="0"/>
      <w:marTop w:val="0"/>
      <w:marBottom w:val="0"/>
      <w:divBdr>
        <w:top w:val="none" w:sz="0" w:space="0" w:color="auto"/>
        <w:left w:val="none" w:sz="0" w:space="0" w:color="auto"/>
        <w:bottom w:val="none" w:sz="0" w:space="0" w:color="auto"/>
        <w:right w:val="none" w:sz="0" w:space="0" w:color="auto"/>
      </w:divBdr>
    </w:div>
    <w:div w:id="358090286">
      <w:bodyDiv w:val="1"/>
      <w:marLeft w:val="0"/>
      <w:marRight w:val="0"/>
      <w:marTop w:val="0"/>
      <w:marBottom w:val="0"/>
      <w:divBdr>
        <w:top w:val="none" w:sz="0" w:space="0" w:color="auto"/>
        <w:left w:val="none" w:sz="0" w:space="0" w:color="auto"/>
        <w:bottom w:val="none" w:sz="0" w:space="0" w:color="auto"/>
        <w:right w:val="none" w:sz="0" w:space="0" w:color="auto"/>
      </w:divBdr>
    </w:div>
    <w:div w:id="364600479">
      <w:bodyDiv w:val="1"/>
      <w:marLeft w:val="0"/>
      <w:marRight w:val="0"/>
      <w:marTop w:val="0"/>
      <w:marBottom w:val="0"/>
      <w:divBdr>
        <w:top w:val="none" w:sz="0" w:space="0" w:color="auto"/>
        <w:left w:val="none" w:sz="0" w:space="0" w:color="auto"/>
        <w:bottom w:val="none" w:sz="0" w:space="0" w:color="auto"/>
        <w:right w:val="none" w:sz="0" w:space="0" w:color="auto"/>
      </w:divBdr>
    </w:div>
    <w:div w:id="369383840">
      <w:bodyDiv w:val="1"/>
      <w:marLeft w:val="0"/>
      <w:marRight w:val="0"/>
      <w:marTop w:val="0"/>
      <w:marBottom w:val="0"/>
      <w:divBdr>
        <w:top w:val="none" w:sz="0" w:space="0" w:color="auto"/>
        <w:left w:val="none" w:sz="0" w:space="0" w:color="auto"/>
        <w:bottom w:val="none" w:sz="0" w:space="0" w:color="auto"/>
        <w:right w:val="none" w:sz="0" w:space="0" w:color="auto"/>
      </w:divBdr>
    </w:div>
    <w:div w:id="376393100">
      <w:bodyDiv w:val="1"/>
      <w:marLeft w:val="0"/>
      <w:marRight w:val="0"/>
      <w:marTop w:val="0"/>
      <w:marBottom w:val="0"/>
      <w:divBdr>
        <w:top w:val="none" w:sz="0" w:space="0" w:color="auto"/>
        <w:left w:val="none" w:sz="0" w:space="0" w:color="auto"/>
        <w:bottom w:val="none" w:sz="0" w:space="0" w:color="auto"/>
        <w:right w:val="none" w:sz="0" w:space="0" w:color="auto"/>
      </w:divBdr>
    </w:div>
    <w:div w:id="377172238">
      <w:bodyDiv w:val="1"/>
      <w:marLeft w:val="0"/>
      <w:marRight w:val="0"/>
      <w:marTop w:val="0"/>
      <w:marBottom w:val="0"/>
      <w:divBdr>
        <w:top w:val="none" w:sz="0" w:space="0" w:color="auto"/>
        <w:left w:val="none" w:sz="0" w:space="0" w:color="auto"/>
        <w:bottom w:val="none" w:sz="0" w:space="0" w:color="auto"/>
        <w:right w:val="none" w:sz="0" w:space="0" w:color="auto"/>
      </w:divBdr>
    </w:div>
    <w:div w:id="392697397">
      <w:bodyDiv w:val="1"/>
      <w:marLeft w:val="0"/>
      <w:marRight w:val="0"/>
      <w:marTop w:val="0"/>
      <w:marBottom w:val="0"/>
      <w:divBdr>
        <w:top w:val="none" w:sz="0" w:space="0" w:color="auto"/>
        <w:left w:val="none" w:sz="0" w:space="0" w:color="auto"/>
        <w:bottom w:val="none" w:sz="0" w:space="0" w:color="auto"/>
        <w:right w:val="none" w:sz="0" w:space="0" w:color="auto"/>
      </w:divBdr>
    </w:div>
    <w:div w:id="394620758">
      <w:bodyDiv w:val="1"/>
      <w:marLeft w:val="0"/>
      <w:marRight w:val="0"/>
      <w:marTop w:val="0"/>
      <w:marBottom w:val="0"/>
      <w:divBdr>
        <w:top w:val="none" w:sz="0" w:space="0" w:color="auto"/>
        <w:left w:val="none" w:sz="0" w:space="0" w:color="auto"/>
        <w:bottom w:val="none" w:sz="0" w:space="0" w:color="auto"/>
        <w:right w:val="none" w:sz="0" w:space="0" w:color="auto"/>
      </w:divBdr>
    </w:div>
    <w:div w:id="398410423">
      <w:bodyDiv w:val="1"/>
      <w:marLeft w:val="0"/>
      <w:marRight w:val="0"/>
      <w:marTop w:val="0"/>
      <w:marBottom w:val="0"/>
      <w:divBdr>
        <w:top w:val="none" w:sz="0" w:space="0" w:color="auto"/>
        <w:left w:val="none" w:sz="0" w:space="0" w:color="auto"/>
        <w:bottom w:val="none" w:sz="0" w:space="0" w:color="auto"/>
        <w:right w:val="none" w:sz="0" w:space="0" w:color="auto"/>
      </w:divBdr>
    </w:div>
    <w:div w:id="412900507">
      <w:bodyDiv w:val="1"/>
      <w:marLeft w:val="0"/>
      <w:marRight w:val="0"/>
      <w:marTop w:val="0"/>
      <w:marBottom w:val="0"/>
      <w:divBdr>
        <w:top w:val="none" w:sz="0" w:space="0" w:color="auto"/>
        <w:left w:val="none" w:sz="0" w:space="0" w:color="auto"/>
        <w:bottom w:val="none" w:sz="0" w:space="0" w:color="auto"/>
        <w:right w:val="none" w:sz="0" w:space="0" w:color="auto"/>
      </w:divBdr>
    </w:div>
    <w:div w:id="418529442">
      <w:bodyDiv w:val="1"/>
      <w:marLeft w:val="0"/>
      <w:marRight w:val="0"/>
      <w:marTop w:val="0"/>
      <w:marBottom w:val="0"/>
      <w:divBdr>
        <w:top w:val="none" w:sz="0" w:space="0" w:color="auto"/>
        <w:left w:val="none" w:sz="0" w:space="0" w:color="auto"/>
        <w:bottom w:val="none" w:sz="0" w:space="0" w:color="auto"/>
        <w:right w:val="none" w:sz="0" w:space="0" w:color="auto"/>
      </w:divBdr>
    </w:div>
    <w:div w:id="432434936">
      <w:bodyDiv w:val="1"/>
      <w:marLeft w:val="0"/>
      <w:marRight w:val="0"/>
      <w:marTop w:val="0"/>
      <w:marBottom w:val="0"/>
      <w:divBdr>
        <w:top w:val="none" w:sz="0" w:space="0" w:color="auto"/>
        <w:left w:val="none" w:sz="0" w:space="0" w:color="auto"/>
        <w:bottom w:val="none" w:sz="0" w:space="0" w:color="auto"/>
        <w:right w:val="none" w:sz="0" w:space="0" w:color="auto"/>
      </w:divBdr>
    </w:div>
    <w:div w:id="432671639">
      <w:bodyDiv w:val="1"/>
      <w:marLeft w:val="0"/>
      <w:marRight w:val="0"/>
      <w:marTop w:val="0"/>
      <w:marBottom w:val="0"/>
      <w:divBdr>
        <w:top w:val="none" w:sz="0" w:space="0" w:color="auto"/>
        <w:left w:val="none" w:sz="0" w:space="0" w:color="auto"/>
        <w:bottom w:val="none" w:sz="0" w:space="0" w:color="auto"/>
        <w:right w:val="none" w:sz="0" w:space="0" w:color="auto"/>
      </w:divBdr>
    </w:div>
    <w:div w:id="440684201">
      <w:bodyDiv w:val="1"/>
      <w:marLeft w:val="0"/>
      <w:marRight w:val="0"/>
      <w:marTop w:val="0"/>
      <w:marBottom w:val="0"/>
      <w:divBdr>
        <w:top w:val="none" w:sz="0" w:space="0" w:color="auto"/>
        <w:left w:val="none" w:sz="0" w:space="0" w:color="auto"/>
        <w:bottom w:val="none" w:sz="0" w:space="0" w:color="auto"/>
        <w:right w:val="none" w:sz="0" w:space="0" w:color="auto"/>
      </w:divBdr>
    </w:div>
    <w:div w:id="452796469">
      <w:bodyDiv w:val="1"/>
      <w:marLeft w:val="0"/>
      <w:marRight w:val="0"/>
      <w:marTop w:val="0"/>
      <w:marBottom w:val="0"/>
      <w:divBdr>
        <w:top w:val="none" w:sz="0" w:space="0" w:color="auto"/>
        <w:left w:val="none" w:sz="0" w:space="0" w:color="auto"/>
        <w:bottom w:val="none" w:sz="0" w:space="0" w:color="auto"/>
        <w:right w:val="none" w:sz="0" w:space="0" w:color="auto"/>
      </w:divBdr>
    </w:div>
    <w:div w:id="453989488">
      <w:bodyDiv w:val="1"/>
      <w:marLeft w:val="0"/>
      <w:marRight w:val="0"/>
      <w:marTop w:val="0"/>
      <w:marBottom w:val="0"/>
      <w:divBdr>
        <w:top w:val="none" w:sz="0" w:space="0" w:color="auto"/>
        <w:left w:val="none" w:sz="0" w:space="0" w:color="auto"/>
        <w:bottom w:val="none" w:sz="0" w:space="0" w:color="auto"/>
        <w:right w:val="none" w:sz="0" w:space="0" w:color="auto"/>
      </w:divBdr>
    </w:div>
    <w:div w:id="455685619">
      <w:bodyDiv w:val="1"/>
      <w:marLeft w:val="0"/>
      <w:marRight w:val="0"/>
      <w:marTop w:val="0"/>
      <w:marBottom w:val="0"/>
      <w:divBdr>
        <w:top w:val="none" w:sz="0" w:space="0" w:color="auto"/>
        <w:left w:val="none" w:sz="0" w:space="0" w:color="auto"/>
        <w:bottom w:val="none" w:sz="0" w:space="0" w:color="auto"/>
        <w:right w:val="none" w:sz="0" w:space="0" w:color="auto"/>
      </w:divBdr>
    </w:div>
    <w:div w:id="470828430">
      <w:bodyDiv w:val="1"/>
      <w:marLeft w:val="0"/>
      <w:marRight w:val="0"/>
      <w:marTop w:val="0"/>
      <w:marBottom w:val="0"/>
      <w:divBdr>
        <w:top w:val="none" w:sz="0" w:space="0" w:color="auto"/>
        <w:left w:val="none" w:sz="0" w:space="0" w:color="auto"/>
        <w:bottom w:val="none" w:sz="0" w:space="0" w:color="auto"/>
        <w:right w:val="none" w:sz="0" w:space="0" w:color="auto"/>
      </w:divBdr>
    </w:div>
    <w:div w:id="482700740">
      <w:bodyDiv w:val="1"/>
      <w:marLeft w:val="0"/>
      <w:marRight w:val="0"/>
      <w:marTop w:val="0"/>
      <w:marBottom w:val="0"/>
      <w:divBdr>
        <w:top w:val="none" w:sz="0" w:space="0" w:color="auto"/>
        <w:left w:val="none" w:sz="0" w:space="0" w:color="auto"/>
        <w:bottom w:val="none" w:sz="0" w:space="0" w:color="auto"/>
        <w:right w:val="none" w:sz="0" w:space="0" w:color="auto"/>
      </w:divBdr>
    </w:div>
    <w:div w:id="484249803">
      <w:bodyDiv w:val="1"/>
      <w:marLeft w:val="0"/>
      <w:marRight w:val="0"/>
      <w:marTop w:val="0"/>
      <w:marBottom w:val="0"/>
      <w:divBdr>
        <w:top w:val="none" w:sz="0" w:space="0" w:color="auto"/>
        <w:left w:val="none" w:sz="0" w:space="0" w:color="auto"/>
        <w:bottom w:val="none" w:sz="0" w:space="0" w:color="auto"/>
        <w:right w:val="none" w:sz="0" w:space="0" w:color="auto"/>
      </w:divBdr>
    </w:div>
    <w:div w:id="485165411">
      <w:bodyDiv w:val="1"/>
      <w:marLeft w:val="0"/>
      <w:marRight w:val="0"/>
      <w:marTop w:val="0"/>
      <w:marBottom w:val="0"/>
      <w:divBdr>
        <w:top w:val="none" w:sz="0" w:space="0" w:color="auto"/>
        <w:left w:val="none" w:sz="0" w:space="0" w:color="auto"/>
        <w:bottom w:val="none" w:sz="0" w:space="0" w:color="auto"/>
        <w:right w:val="none" w:sz="0" w:space="0" w:color="auto"/>
      </w:divBdr>
    </w:div>
    <w:div w:id="487720267">
      <w:bodyDiv w:val="1"/>
      <w:marLeft w:val="0"/>
      <w:marRight w:val="0"/>
      <w:marTop w:val="0"/>
      <w:marBottom w:val="0"/>
      <w:divBdr>
        <w:top w:val="none" w:sz="0" w:space="0" w:color="auto"/>
        <w:left w:val="none" w:sz="0" w:space="0" w:color="auto"/>
        <w:bottom w:val="none" w:sz="0" w:space="0" w:color="auto"/>
        <w:right w:val="none" w:sz="0" w:space="0" w:color="auto"/>
      </w:divBdr>
    </w:div>
    <w:div w:id="498011334">
      <w:bodyDiv w:val="1"/>
      <w:marLeft w:val="0"/>
      <w:marRight w:val="0"/>
      <w:marTop w:val="0"/>
      <w:marBottom w:val="0"/>
      <w:divBdr>
        <w:top w:val="none" w:sz="0" w:space="0" w:color="auto"/>
        <w:left w:val="none" w:sz="0" w:space="0" w:color="auto"/>
        <w:bottom w:val="none" w:sz="0" w:space="0" w:color="auto"/>
        <w:right w:val="none" w:sz="0" w:space="0" w:color="auto"/>
      </w:divBdr>
    </w:div>
    <w:div w:id="499658689">
      <w:bodyDiv w:val="1"/>
      <w:marLeft w:val="0"/>
      <w:marRight w:val="0"/>
      <w:marTop w:val="0"/>
      <w:marBottom w:val="0"/>
      <w:divBdr>
        <w:top w:val="none" w:sz="0" w:space="0" w:color="auto"/>
        <w:left w:val="none" w:sz="0" w:space="0" w:color="auto"/>
        <w:bottom w:val="none" w:sz="0" w:space="0" w:color="auto"/>
        <w:right w:val="none" w:sz="0" w:space="0" w:color="auto"/>
      </w:divBdr>
    </w:div>
    <w:div w:id="500509581">
      <w:bodyDiv w:val="1"/>
      <w:marLeft w:val="0"/>
      <w:marRight w:val="0"/>
      <w:marTop w:val="0"/>
      <w:marBottom w:val="0"/>
      <w:divBdr>
        <w:top w:val="none" w:sz="0" w:space="0" w:color="auto"/>
        <w:left w:val="none" w:sz="0" w:space="0" w:color="auto"/>
        <w:bottom w:val="none" w:sz="0" w:space="0" w:color="auto"/>
        <w:right w:val="none" w:sz="0" w:space="0" w:color="auto"/>
      </w:divBdr>
    </w:div>
    <w:div w:id="527331451">
      <w:bodyDiv w:val="1"/>
      <w:marLeft w:val="0"/>
      <w:marRight w:val="0"/>
      <w:marTop w:val="0"/>
      <w:marBottom w:val="0"/>
      <w:divBdr>
        <w:top w:val="none" w:sz="0" w:space="0" w:color="auto"/>
        <w:left w:val="none" w:sz="0" w:space="0" w:color="auto"/>
        <w:bottom w:val="none" w:sz="0" w:space="0" w:color="auto"/>
        <w:right w:val="none" w:sz="0" w:space="0" w:color="auto"/>
      </w:divBdr>
    </w:div>
    <w:div w:id="527794000">
      <w:bodyDiv w:val="1"/>
      <w:marLeft w:val="0"/>
      <w:marRight w:val="0"/>
      <w:marTop w:val="0"/>
      <w:marBottom w:val="0"/>
      <w:divBdr>
        <w:top w:val="none" w:sz="0" w:space="0" w:color="auto"/>
        <w:left w:val="none" w:sz="0" w:space="0" w:color="auto"/>
        <w:bottom w:val="none" w:sz="0" w:space="0" w:color="auto"/>
        <w:right w:val="none" w:sz="0" w:space="0" w:color="auto"/>
      </w:divBdr>
    </w:div>
    <w:div w:id="532309243">
      <w:bodyDiv w:val="1"/>
      <w:marLeft w:val="0"/>
      <w:marRight w:val="0"/>
      <w:marTop w:val="0"/>
      <w:marBottom w:val="0"/>
      <w:divBdr>
        <w:top w:val="none" w:sz="0" w:space="0" w:color="auto"/>
        <w:left w:val="none" w:sz="0" w:space="0" w:color="auto"/>
        <w:bottom w:val="none" w:sz="0" w:space="0" w:color="auto"/>
        <w:right w:val="none" w:sz="0" w:space="0" w:color="auto"/>
      </w:divBdr>
    </w:div>
    <w:div w:id="535312961">
      <w:bodyDiv w:val="1"/>
      <w:marLeft w:val="0"/>
      <w:marRight w:val="0"/>
      <w:marTop w:val="0"/>
      <w:marBottom w:val="0"/>
      <w:divBdr>
        <w:top w:val="none" w:sz="0" w:space="0" w:color="auto"/>
        <w:left w:val="none" w:sz="0" w:space="0" w:color="auto"/>
        <w:bottom w:val="none" w:sz="0" w:space="0" w:color="auto"/>
        <w:right w:val="none" w:sz="0" w:space="0" w:color="auto"/>
      </w:divBdr>
    </w:div>
    <w:div w:id="541678187">
      <w:bodyDiv w:val="1"/>
      <w:marLeft w:val="0"/>
      <w:marRight w:val="0"/>
      <w:marTop w:val="0"/>
      <w:marBottom w:val="0"/>
      <w:divBdr>
        <w:top w:val="none" w:sz="0" w:space="0" w:color="auto"/>
        <w:left w:val="none" w:sz="0" w:space="0" w:color="auto"/>
        <w:bottom w:val="none" w:sz="0" w:space="0" w:color="auto"/>
        <w:right w:val="none" w:sz="0" w:space="0" w:color="auto"/>
      </w:divBdr>
    </w:div>
    <w:div w:id="558127362">
      <w:bodyDiv w:val="1"/>
      <w:marLeft w:val="0"/>
      <w:marRight w:val="0"/>
      <w:marTop w:val="0"/>
      <w:marBottom w:val="0"/>
      <w:divBdr>
        <w:top w:val="none" w:sz="0" w:space="0" w:color="auto"/>
        <w:left w:val="none" w:sz="0" w:space="0" w:color="auto"/>
        <w:bottom w:val="none" w:sz="0" w:space="0" w:color="auto"/>
        <w:right w:val="none" w:sz="0" w:space="0" w:color="auto"/>
      </w:divBdr>
    </w:div>
    <w:div w:id="559247109">
      <w:bodyDiv w:val="1"/>
      <w:marLeft w:val="0"/>
      <w:marRight w:val="0"/>
      <w:marTop w:val="0"/>
      <w:marBottom w:val="0"/>
      <w:divBdr>
        <w:top w:val="none" w:sz="0" w:space="0" w:color="auto"/>
        <w:left w:val="none" w:sz="0" w:space="0" w:color="auto"/>
        <w:bottom w:val="none" w:sz="0" w:space="0" w:color="auto"/>
        <w:right w:val="none" w:sz="0" w:space="0" w:color="auto"/>
      </w:divBdr>
    </w:div>
    <w:div w:id="586352237">
      <w:bodyDiv w:val="1"/>
      <w:marLeft w:val="0"/>
      <w:marRight w:val="0"/>
      <w:marTop w:val="0"/>
      <w:marBottom w:val="0"/>
      <w:divBdr>
        <w:top w:val="none" w:sz="0" w:space="0" w:color="auto"/>
        <w:left w:val="none" w:sz="0" w:space="0" w:color="auto"/>
        <w:bottom w:val="none" w:sz="0" w:space="0" w:color="auto"/>
        <w:right w:val="none" w:sz="0" w:space="0" w:color="auto"/>
      </w:divBdr>
    </w:div>
    <w:div w:id="601450348">
      <w:bodyDiv w:val="1"/>
      <w:marLeft w:val="0"/>
      <w:marRight w:val="0"/>
      <w:marTop w:val="0"/>
      <w:marBottom w:val="0"/>
      <w:divBdr>
        <w:top w:val="none" w:sz="0" w:space="0" w:color="auto"/>
        <w:left w:val="none" w:sz="0" w:space="0" w:color="auto"/>
        <w:bottom w:val="none" w:sz="0" w:space="0" w:color="auto"/>
        <w:right w:val="none" w:sz="0" w:space="0" w:color="auto"/>
      </w:divBdr>
    </w:div>
    <w:div w:id="617563250">
      <w:bodyDiv w:val="1"/>
      <w:marLeft w:val="0"/>
      <w:marRight w:val="0"/>
      <w:marTop w:val="0"/>
      <w:marBottom w:val="0"/>
      <w:divBdr>
        <w:top w:val="none" w:sz="0" w:space="0" w:color="auto"/>
        <w:left w:val="none" w:sz="0" w:space="0" w:color="auto"/>
        <w:bottom w:val="none" w:sz="0" w:space="0" w:color="auto"/>
        <w:right w:val="none" w:sz="0" w:space="0" w:color="auto"/>
      </w:divBdr>
    </w:div>
    <w:div w:id="617567633">
      <w:bodyDiv w:val="1"/>
      <w:marLeft w:val="0"/>
      <w:marRight w:val="0"/>
      <w:marTop w:val="0"/>
      <w:marBottom w:val="0"/>
      <w:divBdr>
        <w:top w:val="none" w:sz="0" w:space="0" w:color="auto"/>
        <w:left w:val="none" w:sz="0" w:space="0" w:color="auto"/>
        <w:bottom w:val="none" w:sz="0" w:space="0" w:color="auto"/>
        <w:right w:val="none" w:sz="0" w:space="0" w:color="auto"/>
      </w:divBdr>
    </w:div>
    <w:div w:id="637106893">
      <w:bodyDiv w:val="1"/>
      <w:marLeft w:val="0"/>
      <w:marRight w:val="0"/>
      <w:marTop w:val="0"/>
      <w:marBottom w:val="0"/>
      <w:divBdr>
        <w:top w:val="none" w:sz="0" w:space="0" w:color="auto"/>
        <w:left w:val="none" w:sz="0" w:space="0" w:color="auto"/>
        <w:bottom w:val="none" w:sz="0" w:space="0" w:color="auto"/>
        <w:right w:val="none" w:sz="0" w:space="0" w:color="auto"/>
      </w:divBdr>
    </w:div>
    <w:div w:id="660542378">
      <w:bodyDiv w:val="1"/>
      <w:marLeft w:val="0"/>
      <w:marRight w:val="0"/>
      <w:marTop w:val="0"/>
      <w:marBottom w:val="0"/>
      <w:divBdr>
        <w:top w:val="none" w:sz="0" w:space="0" w:color="auto"/>
        <w:left w:val="none" w:sz="0" w:space="0" w:color="auto"/>
        <w:bottom w:val="none" w:sz="0" w:space="0" w:color="auto"/>
        <w:right w:val="none" w:sz="0" w:space="0" w:color="auto"/>
      </w:divBdr>
    </w:div>
    <w:div w:id="661547657">
      <w:bodyDiv w:val="1"/>
      <w:marLeft w:val="0"/>
      <w:marRight w:val="0"/>
      <w:marTop w:val="0"/>
      <w:marBottom w:val="0"/>
      <w:divBdr>
        <w:top w:val="none" w:sz="0" w:space="0" w:color="auto"/>
        <w:left w:val="none" w:sz="0" w:space="0" w:color="auto"/>
        <w:bottom w:val="none" w:sz="0" w:space="0" w:color="auto"/>
        <w:right w:val="none" w:sz="0" w:space="0" w:color="auto"/>
      </w:divBdr>
    </w:div>
    <w:div w:id="662705744">
      <w:bodyDiv w:val="1"/>
      <w:marLeft w:val="0"/>
      <w:marRight w:val="0"/>
      <w:marTop w:val="0"/>
      <w:marBottom w:val="0"/>
      <w:divBdr>
        <w:top w:val="none" w:sz="0" w:space="0" w:color="auto"/>
        <w:left w:val="none" w:sz="0" w:space="0" w:color="auto"/>
        <w:bottom w:val="none" w:sz="0" w:space="0" w:color="auto"/>
        <w:right w:val="none" w:sz="0" w:space="0" w:color="auto"/>
      </w:divBdr>
    </w:div>
    <w:div w:id="667370961">
      <w:bodyDiv w:val="1"/>
      <w:marLeft w:val="0"/>
      <w:marRight w:val="0"/>
      <w:marTop w:val="0"/>
      <w:marBottom w:val="0"/>
      <w:divBdr>
        <w:top w:val="none" w:sz="0" w:space="0" w:color="auto"/>
        <w:left w:val="none" w:sz="0" w:space="0" w:color="auto"/>
        <w:bottom w:val="none" w:sz="0" w:space="0" w:color="auto"/>
        <w:right w:val="none" w:sz="0" w:space="0" w:color="auto"/>
      </w:divBdr>
    </w:div>
    <w:div w:id="681787072">
      <w:bodyDiv w:val="1"/>
      <w:marLeft w:val="0"/>
      <w:marRight w:val="0"/>
      <w:marTop w:val="0"/>
      <w:marBottom w:val="0"/>
      <w:divBdr>
        <w:top w:val="none" w:sz="0" w:space="0" w:color="auto"/>
        <w:left w:val="none" w:sz="0" w:space="0" w:color="auto"/>
        <w:bottom w:val="none" w:sz="0" w:space="0" w:color="auto"/>
        <w:right w:val="none" w:sz="0" w:space="0" w:color="auto"/>
      </w:divBdr>
    </w:div>
    <w:div w:id="690684112">
      <w:bodyDiv w:val="1"/>
      <w:marLeft w:val="0"/>
      <w:marRight w:val="0"/>
      <w:marTop w:val="0"/>
      <w:marBottom w:val="0"/>
      <w:divBdr>
        <w:top w:val="none" w:sz="0" w:space="0" w:color="auto"/>
        <w:left w:val="none" w:sz="0" w:space="0" w:color="auto"/>
        <w:bottom w:val="none" w:sz="0" w:space="0" w:color="auto"/>
        <w:right w:val="none" w:sz="0" w:space="0" w:color="auto"/>
      </w:divBdr>
    </w:div>
    <w:div w:id="691151703">
      <w:bodyDiv w:val="1"/>
      <w:marLeft w:val="0"/>
      <w:marRight w:val="0"/>
      <w:marTop w:val="0"/>
      <w:marBottom w:val="0"/>
      <w:divBdr>
        <w:top w:val="none" w:sz="0" w:space="0" w:color="auto"/>
        <w:left w:val="none" w:sz="0" w:space="0" w:color="auto"/>
        <w:bottom w:val="none" w:sz="0" w:space="0" w:color="auto"/>
        <w:right w:val="none" w:sz="0" w:space="0" w:color="auto"/>
      </w:divBdr>
    </w:div>
    <w:div w:id="693073534">
      <w:bodyDiv w:val="1"/>
      <w:marLeft w:val="0"/>
      <w:marRight w:val="0"/>
      <w:marTop w:val="0"/>
      <w:marBottom w:val="0"/>
      <w:divBdr>
        <w:top w:val="none" w:sz="0" w:space="0" w:color="auto"/>
        <w:left w:val="none" w:sz="0" w:space="0" w:color="auto"/>
        <w:bottom w:val="none" w:sz="0" w:space="0" w:color="auto"/>
        <w:right w:val="none" w:sz="0" w:space="0" w:color="auto"/>
      </w:divBdr>
    </w:div>
    <w:div w:id="701128180">
      <w:bodyDiv w:val="1"/>
      <w:marLeft w:val="0"/>
      <w:marRight w:val="0"/>
      <w:marTop w:val="0"/>
      <w:marBottom w:val="0"/>
      <w:divBdr>
        <w:top w:val="none" w:sz="0" w:space="0" w:color="auto"/>
        <w:left w:val="none" w:sz="0" w:space="0" w:color="auto"/>
        <w:bottom w:val="none" w:sz="0" w:space="0" w:color="auto"/>
        <w:right w:val="none" w:sz="0" w:space="0" w:color="auto"/>
      </w:divBdr>
    </w:div>
    <w:div w:id="701633492">
      <w:bodyDiv w:val="1"/>
      <w:marLeft w:val="0"/>
      <w:marRight w:val="0"/>
      <w:marTop w:val="0"/>
      <w:marBottom w:val="0"/>
      <w:divBdr>
        <w:top w:val="none" w:sz="0" w:space="0" w:color="auto"/>
        <w:left w:val="none" w:sz="0" w:space="0" w:color="auto"/>
        <w:bottom w:val="none" w:sz="0" w:space="0" w:color="auto"/>
        <w:right w:val="none" w:sz="0" w:space="0" w:color="auto"/>
      </w:divBdr>
    </w:div>
    <w:div w:id="705524344">
      <w:bodyDiv w:val="1"/>
      <w:marLeft w:val="0"/>
      <w:marRight w:val="0"/>
      <w:marTop w:val="0"/>
      <w:marBottom w:val="0"/>
      <w:divBdr>
        <w:top w:val="none" w:sz="0" w:space="0" w:color="auto"/>
        <w:left w:val="none" w:sz="0" w:space="0" w:color="auto"/>
        <w:bottom w:val="none" w:sz="0" w:space="0" w:color="auto"/>
        <w:right w:val="none" w:sz="0" w:space="0" w:color="auto"/>
      </w:divBdr>
    </w:div>
    <w:div w:id="706494468">
      <w:bodyDiv w:val="1"/>
      <w:marLeft w:val="0"/>
      <w:marRight w:val="0"/>
      <w:marTop w:val="0"/>
      <w:marBottom w:val="0"/>
      <w:divBdr>
        <w:top w:val="none" w:sz="0" w:space="0" w:color="auto"/>
        <w:left w:val="none" w:sz="0" w:space="0" w:color="auto"/>
        <w:bottom w:val="none" w:sz="0" w:space="0" w:color="auto"/>
        <w:right w:val="none" w:sz="0" w:space="0" w:color="auto"/>
      </w:divBdr>
    </w:div>
    <w:div w:id="721102912">
      <w:bodyDiv w:val="1"/>
      <w:marLeft w:val="0"/>
      <w:marRight w:val="0"/>
      <w:marTop w:val="0"/>
      <w:marBottom w:val="0"/>
      <w:divBdr>
        <w:top w:val="none" w:sz="0" w:space="0" w:color="auto"/>
        <w:left w:val="none" w:sz="0" w:space="0" w:color="auto"/>
        <w:bottom w:val="none" w:sz="0" w:space="0" w:color="auto"/>
        <w:right w:val="none" w:sz="0" w:space="0" w:color="auto"/>
      </w:divBdr>
    </w:div>
    <w:div w:id="723985429">
      <w:bodyDiv w:val="1"/>
      <w:marLeft w:val="0"/>
      <w:marRight w:val="0"/>
      <w:marTop w:val="0"/>
      <w:marBottom w:val="0"/>
      <w:divBdr>
        <w:top w:val="none" w:sz="0" w:space="0" w:color="auto"/>
        <w:left w:val="none" w:sz="0" w:space="0" w:color="auto"/>
        <w:bottom w:val="none" w:sz="0" w:space="0" w:color="auto"/>
        <w:right w:val="none" w:sz="0" w:space="0" w:color="auto"/>
      </w:divBdr>
    </w:div>
    <w:div w:id="726145752">
      <w:bodyDiv w:val="1"/>
      <w:marLeft w:val="0"/>
      <w:marRight w:val="0"/>
      <w:marTop w:val="0"/>
      <w:marBottom w:val="0"/>
      <w:divBdr>
        <w:top w:val="none" w:sz="0" w:space="0" w:color="auto"/>
        <w:left w:val="none" w:sz="0" w:space="0" w:color="auto"/>
        <w:bottom w:val="none" w:sz="0" w:space="0" w:color="auto"/>
        <w:right w:val="none" w:sz="0" w:space="0" w:color="auto"/>
      </w:divBdr>
    </w:div>
    <w:div w:id="732236265">
      <w:bodyDiv w:val="1"/>
      <w:marLeft w:val="0"/>
      <w:marRight w:val="0"/>
      <w:marTop w:val="0"/>
      <w:marBottom w:val="0"/>
      <w:divBdr>
        <w:top w:val="none" w:sz="0" w:space="0" w:color="auto"/>
        <w:left w:val="none" w:sz="0" w:space="0" w:color="auto"/>
        <w:bottom w:val="none" w:sz="0" w:space="0" w:color="auto"/>
        <w:right w:val="none" w:sz="0" w:space="0" w:color="auto"/>
      </w:divBdr>
    </w:div>
    <w:div w:id="738022460">
      <w:bodyDiv w:val="1"/>
      <w:marLeft w:val="0"/>
      <w:marRight w:val="0"/>
      <w:marTop w:val="0"/>
      <w:marBottom w:val="0"/>
      <w:divBdr>
        <w:top w:val="none" w:sz="0" w:space="0" w:color="auto"/>
        <w:left w:val="none" w:sz="0" w:space="0" w:color="auto"/>
        <w:bottom w:val="none" w:sz="0" w:space="0" w:color="auto"/>
        <w:right w:val="none" w:sz="0" w:space="0" w:color="auto"/>
      </w:divBdr>
    </w:div>
    <w:div w:id="738794723">
      <w:bodyDiv w:val="1"/>
      <w:marLeft w:val="0"/>
      <w:marRight w:val="0"/>
      <w:marTop w:val="0"/>
      <w:marBottom w:val="0"/>
      <w:divBdr>
        <w:top w:val="none" w:sz="0" w:space="0" w:color="auto"/>
        <w:left w:val="none" w:sz="0" w:space="0" w:color="auto"/>
        <w:bottom w:val="none" w:sz="0" w:space="0" w:color="auto"/>
        <w:right w:val="none" w:sz="0" w:space="0" w:color="auto"/>
      </w:divBdr>
    </w:div>
    <w:div w:id="767314770">
      <w:bodyDiv w:val="1"/>
      <w:marLeft w:val="0"/>
      <w:marRight w:val="0"/>
      <w:marTop w:val="0"/>
      <w:marBottom w:val="0"/>
      <w:divBdr>
        <w:top w:val="none" w:sz="0" w:space="0" w:color="auto"/>
        <w:left w:val="none" w:sz="0" w:space="0" w:color="auto"/>
        <w:bottom w:val="none" w:sz="0" w:space="0" w:color="auto"/>
        <w:right w:val="none" w:sz="0" w:space="0" w:color="auto"/>
      </w:divBdr>
    </w:div>
    <w:div w:id="774446498">
      <w:bodyDiv w:val="1"/>
      <w:marLeft w:val="0"/>
      <w:marRight w:val="0"/>
      <w:marTop w:val="0"/>
      <w:marBottom w:val="0"/>
      <w:divBdr>
        <w:top w:val="none" w:sz="0" w:space="0" w:color="auto"/>
        <w:left w:val="none" w:sz="0" w:space="0" w:color="auto"/>
        <w:bottom w:val="none" w:sz="0" w:space="0" w:color="auto"/>
        <w:right w:val="none" w:sz="0" w:space="0" w:color="auto"/>
      </w:divBdr>
    </w:div>
    <w:div w:id="782655210">
      <w:bodyDiv w:val="1"/>
      <w:marLeft w:val="0"/>
      <w:marRight w:val="0"/>
      <w:marTop w:val="0"/>
      <w:marBottom w:val="0"/>
      <w:divBdr>
        <w:top w:val="none" w:sz="0" w:space="0" w:color="auto"/>
        <w:left w:val="none" w:sz="0" w:space="0" w:color="auto"/>
        <w:bottom w:val="none" w:sz="0" w:space="0" w:color="auto"/>
        <w:right w:val="none" w:sz="0" w:space="0" w:color="auto"/>
      </w:divBdr>
      <w:divsChild>
        <w:div w:id="1226598629">
          <w:marLeft w:val="0"/>
          <w:marRight w:val="0"/>
          <w:marTop w:val="0"/>
          <w:marBottom w:val="0"/>
          <w:divBdr>
            <w:top w:val="none" w:sz="0" w:space="0" w:color="auto"/>
            <w:left w:val="none" w:sz="0" w:space="0" w:color="auto"/>
            <w:bottom w:val="none" w:sz="0" w:space="0" w:color="auto"/>
            <w:right w:val="none" w:sz="0" w:space="0" w:color="auto"/>
          </w:divBdr>
          <w:divsChild>
            <w:div w:id="762800207">
              <w:marLeft w:val="0"/>
              <w:marRight w:val="0"/>
              <w:marTop w:val="0"/>
              <w:marBottom w:val="0"/>
              <w:divBdr>
                <w:top w:val="none" w:sz="0" w:space="0" w:color="auto"/>
                <w:left w:val="none" w:sz="0" w:space="0" w:color="auto"/>
                <w:bottom w:val="none" w:sz="0" w:space="0" w:color="auto"/>
                <w:right w:val="none" w:sz="0" w:space="0" w:color="auto"/>
              </w:divBdr>
              <w:divsChild>
                <w:div w:id="35156538">
                  <w:marLeft w:val="0"/>
                  <w:marRight w:val="0"/>
                  <w:marTop w:val="0"/>
                  <w:marBottom w:val="0"/>
                  <w:divBdr>
                    <w:top w:val="none" w:sz="0" w:space="0" w:color="auto"/>
                    <w:left w:val="none" w:sz="0" w:space="0" w:color="auto"/>
                    <w:bottom w:val="none" w:sz="0" w:space="0" w:color="auto"/>
                    <w:right w:val="none" w:sz="0" w:space="0" w:color="auto"/>
                  </w:divBdr>
                </w:div>
                <w:div w:id="160700994">
                  <w:marLeft w:val="0"/>
                  <w:marRight w:val="0"/>
                  <w:marTop w:val="0"/>
                  <w:marBottom w:val="0"/>
                  <w:divBdr>
                    <w:top w:val="none" w:sz="0" w:space="0" w:color="auto"/>
                    <w:left w:val="none" w:sz="0" w:space="0" w:color="auto"/>
                    <w:bottom w:val="none" w:sz="0" w:space="0" w:color="auto"/>
                    <w:right w:val="none" w:sz="0" w:space="0" w:color="auto"/>
                  </w:divBdr>
                </w:div>
                <w:div w:id="407457403">
                  <w:marLeft w:val="0"/>
                  <w:marRight w:val="0"/>
                  <w:marTop w:val="0"/>
                  <w:marBottom w:val="0"/>
                  <w:divBdr>
                    <w:top w:val="none" w:sz="0" w:space="0" w:color="auto"/>
                    <w:left w:val="none" w:sz="0" w:space="0" w:color="auto"/>
                    <w:bottom w:val="none" w:sz="0" w:space="0" w:color="auto"/>
                    <w:right w:val="none" w:sz="0" w:space="0" w:color="auto"/>
                  </w:divBdr>
                </w:div>
                <w:div w:id="948777403">
                  <w:marLeft w:val="0"/>
                  <w:marRight w:val="0"/>
                  <w:marTop w:val="0"/>
                  <w:marBottom w:val="0"/>
                  <w:divBdr>
                    <w:top w:val="none" w:sz="0" w:space="0" w:color="auto"/>
                    <w:left w:val="none" w:sz="0" w:space="0" w:color="auto"/>
                    <w:bottom w:val="none" w:sz="0" w:space="0" w:color="auto"/>
                    <w:right w:val="none" w:sz="0" w:space="0" w:color="auto"/>
                  </w:divBdr>
                </w:div>
                <w:div w:id="1083339310">
                  <w:marLeft w:val="0"/>
                  <w:marRight w:val="0"/>
                  <w:marTop w:val="0"/>
                  <w:marBottom w:val="0"/>
                  <w:divBdr>
                    <w:top w:val="none" w:sz="0" w:space="0" w:color="auto"/>
                    <w:left w:val="none" w:sz="0" w:space="0" w:color="auto"/>
                    <w:bottom w:val="none" w:sz="0" w:space="0" w:color="auto"/>
                    <w:right w:val="none" w:sz="0" w:space="0" w:color="auto"/>
                  </w:divBdr>
                </w:div>
                <w:div w:id="1229997909">
                  <w:marLeft w:val="0"/>
                  <w:marRight w:val="0"/>
                  <w:marTop w:val="0"/>
                  <w:marBottom w:val="0"/>
                  <w:divBdr>
                    <w:top w:val="none" w:sz="0" w:space="0" w:color="auto"/>
                    <w:left w:val="none" w:sz="0" w:space="0" w:color="auto"/>
                    <w:bottom w:val="none" w:sz="0" w:space="0" w:color="auto"/>
                    <w:right w:val="none" w:sz="0" w:space="0" w:color="auto"/>
                  </w:divBdr>
                </w:div>
                <w:div w:id="1263874169">
                  <w:marLeft w:val="0"/>
                  <w:marRight w:val="0"/>
                  <w:marTop w:val="0"/>
                  <w:marBottom w:val="0"/>
                  <w:divBdr>
                    <w:top w:val="none" w:sz="0" w:space="0" w:color="auto"/>
                    <w:left w:val="none" w:sz="0" w:space="0" w:color="auto"/>
                    <w:bottom w:val="none" w:sz="0" w:space="0" w:color="auto"/>
                    <w:right w:val="none" w:sz="0" w:space="0" w:color="auto"/>
                  </w:divBdr>
                </w:div>
                <w:div w:id="1323118451">
                  <w:marLeft w:val="0"/>
                  <w:marRight w:val="0"/>
                  <w:marTop w:val="0"/>
                  <w:marBottom w:val="0"/>
                  <w:divBdr>
                    <w:top w:val="none" w:sz="0" w:space="0" w:color="auto"/>
                    <w:left w:val="none" w:sz="0" w:space="0" w:color="auto"/>
                    <w:bottom w:val="none" w:sz="0" w:space="0" w:color="auto"/>
                    <w:right w:val="none" w:sz="0" w:space="0" w:color="auto"/>
                  </w:divBdr>
                </w:div>
                <w:div w:id="1499426188">
                  <w:marLeft w:val="0"/>
                  <w:marRight w:val="0"/>
                  <w:marTop w:val="0"/>
                  <w:marBottom w:val="0"/>
                  <w:divBdr>
                    <w:top w:val="none" w:sz="0" w:space="0" w:color="auto"/>
                    <w:left w:val="none" w:sz="0" w:space="0" w:color="auto"/>
                    <w:bottom w:val="none" w:sz="0" w:space="0" w:color="auto"/>
                    <w:right w:val="none" w:sz="0" w:space="0" w:color="auto"/>
                  </w:divBdr>
                </w:div>
                <w:div w:id="1512138446">
                  <w:marLeft w:val="0"/>
                  <w:marRight w:val="0"/>
                  <w:marTop w:val="0"/>
                  <w:marBottom w:val="0"/>
                  <w:divBdr>
                    <w:top w:val="none" w:sz="0" w:space="0" w:color="auto"/>
                    <w:left w:val="none" w:sz="0" w:space="0" w:color="auto"/>
                    <w:bottom w:val="none" w:sz="0" w:space="0" w:color="auto"/>
                    <w:right w:val="none" w:sz="0" w:space="0" w:color="auto"/>
                  </w:divBdr>
                </w:div>
                <w:div w:id="1540312289">
                  <w:marLeft w:val="0"/>
                  <w:marRight w:val="0"/>
                  <w:marTop w:val="0"/>
                  <w:marBottom w:val="0"/>
                  <w:divBdr>
                    <w:top w:val="none" w:sz="0" w:space="0" w:color="auto"/>
                    <w:left w:val="none" w:sz="0" w:space="0" w:color="auto"/>
                    <w:bottom w:val="none" w:sz="0" w:space="0" w:color="auto"/>
                    <w:right w:val="none" w:sz="0" w:space="0" w:color="auto"/>
                  </w:divBdr>
                </w:div>
                <w:div w:id="1560945348">
                  <w:marLeft w:val="0"/>
                  <w:marRight w:val="0"/>
                  <w:marTop w:val="0"/>
                  <w:marBottom w:val="0"/>
                  <w:divBdr>
                    <w:top w:val="none" w:sz="0" w:space="0" w:color="auto"/>
                    <w:left w:val="none" w:sz="0" w:space="0" w:color="auto"/>
                    <w:bottom w:val="none" w:sz="0" w:space="0" w:color="auto"/>
                    <w:right w:val="none" w:sz="0" w:space="0" w:color="auto"/>
                  </w:divBdr>
                </w:div>
                <w:div w:id="18660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5395">
      <w:bodyDiv w:val="1"/>
      <w:marLeft w:val="0"/>
      <w:marRight w:val="0"/>
      <w:marTop w:val="0"/>
      <w:marBottom w:val="0"/>
      <w:divBdr>
        <w:top w:val="none" w:sz="0" w:space="0" w:color="auto"/>
        <w:left w:val="none" w:sz="0" w:space="0" w:color="auto"/>
        <w:bottom w:val="none" w:sz="0" w:space="0" w:color="auto"/>
        <w:right w:val="none" w:sz="0" w:space="0" w:color="auto"/>
      </w:divBdr>
    </w:div>
    <w:div w:id="805198086">
      <w:bodyDiv w:val="1"/>
      <w:marLeft w:val="0"/>
      <w:marRight w:val="0"/>
      <w:marTop w:val="0"/>
      <w:marBottom w:val="0"/>
      <w:divBdr>
        <w:top w:val="none" w:sz="0" w:space="0" w:color="auto"/>
        <w:left w:val="none" w:sz="0" w:space="0" w:color="auto"/>
        <w:bottom w:val="none" w:sz="0" w:space="0" w:color="auto"/>
        <w:right w:val="none" w:sz="0" w:space="0" w:color="auto"/>
      </w:divBdr>
    </w:div>
    <w:div w:id="805702932">
      <w:bodyDiv w:val="1"/>
      <w:marLeft w:val="0"/>
      <w:marRight w:val="0"/>
      <w:marTop w:val="0"/>
      <w:marBottom w:val="0"/>
      <w:divBdr>
        <w:top w:val="none" w:sz="0" w:space="0" w:color="auto"/>
        <w:left w:val="none" w:sz="0" w:space="0" w:color="auto"/>
        <w:bottom w:val="none" w:sz="0" w:space="0" w:color="auto"/>
        <w:right w:val="none" w:sz="0" w:space="0" w:color="auto"/>
      </w:divBdr>
    </w:div>
    <w:div w:id="824666542">
      <w:bodyDiv w:val="1"/>
      <w:marLeft w:val="0"/>
      <w:marRight w:val="0"/>
      <w:marTop w:val="0"/>
      <w:marBottom w:val="0"/>
      <w:divBdr>
        <w:top w:val="none" w:sz="0" w:space="0" w:color="auto"/>
        <w:left w:val="none" w:sz="0" w:space="0" w:color="auto"/>
        <w:bottom w:val="none" w:sz="0" w:space="0" w:color="auto"/>
        <w:right w:val="none" w:sz="0" w:space="0" w:color="auto"/>
      </w:divBdr>
    </w:div>
    <w:div w:id="829097965">
      <w:bodyDiv w:val="1"/>
      <w:marLeft w:val="0"/>
      <w:marRight w:val="0"/>
      <w:marTop w:val="0"/>
      <w:marBottom w:val="0"/>
      <w:divBdr>
        <w:top w:val="none" w:sz="0" w:space="0" w:color="auto"/>
        <w:left w:val="none" w:sz="0" w:space="0" w:color="auto"/>
        <w:bottom w:val="none" w:sz="0" w:space="0" w:color="auto"/>
        <w:right w:val="none" w:sz="0" w:space="0" w:color="auto"/>
      </w:divBdr>
    </w:div>
    <w:div w:id="832525934">
      <w:bodyDiv w:val="1"/>
      <w:marLeft w:val="0"/>
      <w:marRight w:val="0"/>
      <w:marTop w:val="0"/>
      <w:marBottom w:val="0"/>
      <w:divBdr>
        <w:top w:val="none" w:sz="0" w:space="0" w:color="auto"/>
        <w:left w:val="none" w:sz="0" w:space="0" w:color="auto"/>
        <w:bottom w:val="none" w:sz="0" w:space="0" w:color="auto"/>
        <w:right w:val="none" w:sz="0" w:space="0" w:color="auto"/>
      </w:divBdr>
    </w:div>
    <w:div w:id="834958096">
      <w:bodyDiv w:val="1"/>
      <w:marLeft w:val="0"/>
      <w:marRight w:val="0"/>
      <w:marTop w:val="0"/>
      <w:marBottom w:val="0"/>
      <w:divBdr>
        <w:top w:val="none" w:sz="0" w:space="0" w:color="auto"/>
        <w:left w:val="none" w:sz="0" w:space="0" w:color="auto"/>
        <w:bottom w:val="none" w:sz="0" w:space="0" w:color="auto"/>
        <w:right w:val="none" w:sz="0" w:space="0" w:color="auto"/>
      </w:divBdr>
    </w:div>
    <w:div w:id="837765920">
      <w:bodyDiv w:val="1"/>
      <w:marLeft w:val="0"/>
      <w:marRight w:val="0"/>
      <w:marTop w:val="0"/>
      <w:marBottom w:val="0"/>
      <w:divBdr>
        <w:top w:val="none" w:sz="0" w:space="0" w:color="auto"/>
        <w:left w:val="none" w:sz="0" w:space="0" w:color="auto"/>
        <w:bottom w:val="none" w:sz="0" w:space="0" w:color="auto"/>
        <w:right w:val="none" w:sz="0" w:space="0" w:color="auto"/>
      </w:divBdr>
    </w:div>
    <w:div w:id="840042832">
      <w:bodyDiv w:val="1"/>
      <w:marLeft w:val="0"/>
      <w:marRight w:val="0"/>
      <w:marTop w:val="0"/>
      <w:marBottom w:val="0"/>
      <w:divBdr>
        <w:top w:val="none" w:sz="0" w:space="0" w:color="auto"/>
        <w:left w:val="none" w:sz="0" w:space="0" w:color="auto"/>
        <w:bottom w:val="none" w:sz="0" w:space="0" w:color="auto"/>
        <w:right w:val="none" w:sz="0" w:space="0" w:color="auto"/>
      </w:divBdr>
    </w:div>
    <w:div w:id="842158717">
      <w:bodyDiv w:val="1"/>
      <w:marLeft w:val="0"/>
      <w:marRight w:val="0"/>
      <w:marTop w:val="0"/>
      <w:marBottom w:val="0"/>
      <w:divBdr>
        <w:top w:val="none" w:sz="0" w:space="0" w:color="auto"/>
        <w:left w:val="none" w:sz="0" w:space="0" w:color="auto"/>
        <w:bottom w:val="none" w:sz="0" w:space="0" w:color="auto"/>
        <w:right w:val="none" w:sz="0" w:space="0" w:color="auto"/>
      </w:divBdr>
    </w:div>
    <w:div w:id="852451169">
      <w:bodyDiv w:val="1"/>
      <w:marLeft w:val="0"/>
      <w:marRight w:val="0"/>
      <w:marTop w:val="0"/>
      <w:marBottom w:val="0"/>
      <w:divBdr>
        <w:top w:val="none" w:sz="0" w:space="0" w:color="auto"/>
        <w:left w:val="none" w:sz="0" w:space="0" w:color="auto"/>
        <w:bottom w:val="none" w:sz="0" w:space="0" w:color="auto"/>
        <w:right w:val="none" w:sz="0" w:space="0" w:color="auto"/>
      </w:divBdr>
    </w:div>
    <w:div w:id="853618458">
      <w:bodyDiv w:val="1"/>
      <w:marLeft w:val="0"/>
      <w:marRight w:val="0"/>
      <w:marTop w:val="0"/>
      <w:marBottom w:val="0"/>
      <w:divBdr>
        <w:top w:val="none" w:sz="0" w:space="0" w:color="auto"/>
        <w:left w:val="none" w:sz="0" w:space="0" w:color="auto"/>
        <w:bottom w:val="none" w:sz="0" w:space="0" w:color="auto"/>
        <w:right w:val="none" w:sz="0" w:space="0" w:color="auto"/>
      </w:divBdr>
    </w:div>
    <w:div w:id="865337916">
      <w:bodyDiv w:val="1"/>
      <w:marLeft w:val="0"/>
      <w:marRight w:val="0"/>
      <w:marTop w:val="0"/>
      <w:marBottom w:val="0"/>
      <w:divBdr>
        <w:top w:val="none" w:sz="0" w:space="0" w:color="auto"/>
        <w:left w:val="none" w:sz="0" w:space="0" w:color="auto"/>
        <w:bottom w:val="none" w:sz="0" w:space="0" w:color="auto"/>
        <w:right w:val="none" w:sz="0" w:space="0" w:color="auto"/>
      </w:divBdr>
    </w:div>
    <w:div w:id="881095997">
      <w:bodyDiv w:val="1"/>
      <w:marLeft w:val="0"/>
      <w:marRight w:val="0"/>
      <w:marTop w:val="0"/>
      <w:marBottom w:val="0"/>
      <w:divBdr>
        <w:top w:val="none" w:sz="0" w:space="0" w:color="auto"/>
        <w:left w:val="none" w:sz="0" w:space="0" w:color="auto"/>
        <w:bottom w:val="none" w:sz="0" w:space="0" w:color="auto"/>
        <w:right w:val="none" w:sz="0" w:space="0" w:color="auto"/>
      </w:divBdr>
    </w:div>
    <w:div w:id="881791456">
      <w:bodyDiv w:val="1"/>
      <w:marLeft w:val="0"/>
      <w:marRight w:val="0"/>
      <w:marTop w:val="0"/>
      <w:marBottom w:val="0"/>
      <w:divBdr>
        <w:top w:val="none" w:sz="0" w:space="0" w:color="auto"/>
        <w:left w:val="none" w:sz="0" w:space="0" w:color="auto"/>
        <w:bottom w:val="none" w:sz="0" w:space="0" w:color="auto"/>
        <w:right w:val="none" w:sz="0" w:space="0" w:color="auto"/>
      </w:divBdr>
    </w:div>
    <w:div w:id="883982175">
      <w:bodyDiv w:val="1"/>
      <w:marLeft w:val="0"/>
      <w:marRight w:val="0"/>
      <w:marTop w:val="0"/>
      <w:marBottom w:val="0"/>
      <w:divBdr>
        <w:top w:val="none" w:sz="0" w:space="0" w:color="auto"/>
        <w:left w:val="none" w:sz="0" w:space="0" w:color="auto"/>
        <w:bottom w:val="none" w:sz="0" w:space="0" w:color="auto"/>
        <w:right w:val="none" w:sz="0" w:space="0" w:color="auto"/>
      </w:divBdr>
    </w:div>
    <w:div w:id="884682076">
      <w:bodyDiv w:val="1"/>
      <w:marLeft w:val="0"/>
      <w:marRight w:val="0"/>
      <w:marTop w:val="0"/>
      <w:marBottom w:val="0"/>
      <w:divBdr>
        <w:top w:val="none" w:sz="0" w:space="0" w:color="auto"/>
        <w:left w:val="none" w:sz="0" w:space="0" w:color="auto"/>
        <w:bottom w:val="none" w:sz="0" w:space="0" w:color="auto"/>
        <w:right w:val="none" w:sz="0" w:space="0" w:color="auto"/>
      </w:divBdr>
    </w:div>
    <w:div w:id="886838088">
      <w:bodyDiv w:val="1"/>
      <w:marLeft w:val="0"/>
      <w:marRight w:val="0"/>
      <w:marTop w:val="0"/>
      <w:marBottom w:val="0"/>
      <w:divBdr>
        <w:top w:val="none" w:sz="0" w:space="0" w:color="auto"/>
        <w:left w:val="none" w:sz="0" w:space="0" w:color="auto"/>
        <w:bottom w:val="none" w:sz="0" w:space="0" w:color="auto"/>
        <w:right w:val="none" w:sz="0" w:space="0" w:color="auto"/>
      </w:divBdr>
    </w:div>
    <w:div w:id="897058816">
      <w:bodyDiv w:val="1"/>
      <w:marLeft w:val="0"/>
      <w:marRight w:val="0"/>
      <w:marTop w:val="0"/>
      <w:marBottom w:val="0"/>
      <w:divBdr>
        <w:top w:val="none" w:sz="0" w:space="0" w:color="auto"/>
        <w:left w:val="none" w:sz="0" w:space="0" w:color="auto"/>
        <w:bottom w:val="none" w:sz="0" w:space="0" w:color="auto"/>
        <w:right w:val="none" w:sz="0" w:space="0" w:color="auto"/>
      </w:divBdr>
    </w:div>
    <w:div w:id="908266225">
      <w:bodyDiv w:val="1"/>
      <w:marLeft w:val="0"/>
      <w:marRight w:val="0"/>
      <w:marTop w:val="0"/>
      <w:marBottom w:val="0"/>
      <w:divBdr>
        <w:top w:val="none" w:sz="0" w:space="0" w:color="auto"/>
        <w:left w:val="none" w:sz="0" w:space="0" w:color="auto"/>
        <w:bottom w:val="none" w:sz="0" w:space="0" w:color="auto"/>
        <w:right w:val="none" w:sz="0" w:space="0" w:color="auto"/>
      </w:divBdr>
    </w:div>
    <w:div w:id="911236784">
      <w:bodyDiv w:val="1"/>
      <w:marLeft w:val="0"/>
      <w:marRight w:val="0"/>
      <w:marTop w:val="0"/>
      <w:marBottom w:val="0"/>
      <w:divBdr>
        <w:top w:val="none" w:sz="0" w:space="0" w:color="auto"/>
        <w:left w:val="none" w:sz="0" w:space="0" w:color="auto"/>
        <w:bottom w:val="none" w:sz="0" w:space="0" w:color="auto"/>
        <w:right w:val="none" w:sz="0" w:space="0" w:color="auto"/>
      </w:divBdr>
    </w:div>
    <w:div w:id="915938638">
      <w:bodyDiv w:val="1"/>
      <w:marLeft w:val="0"/>
      <w:marRight w:val="0"/>
      <w:marTop w:val="0"/>
      <w:marBottom w:val="0"/>
      <w:divBdr>
        <w:top w:val="none" w:sz="0" w:space="0" w:color="auto"/>
        <w:left w:val="none" w:sz="0" w:space="0" w:color="auto"/>
        <w:bottom w:val="none" w:sz="0" w:space="0" w:color="auto"/>
        <w:right w:val="none" w:sz="0" w:space="0" w:color="auto"/>
      </w:divBdr>
    </w:div>
    <w:div w:id="919825137">
      <w:bodyDiv w:val="1"/>
      <w:marLeft w:val="0"/>
      <w:marRight w:val="0"/>
      <w:marTop w:val="0"/>
      <w:marBottom w:val="0"/>
      <w:divBdr>
        <w:top w:val="none" w:sz="0" w:space="0" w:color="auto"/>
        <w:left w:val="none" w:sz="0" w:space="0" w:color="auto"/>
        <w:bottom w:val="none" w:sz="0" w:space="0" w:color="auto"/>
        <w:right w:val="none" w:sz="0" w:space="0" w:color="auto"/>
      </w:divBdr>
    </w:div>
    <w:div w:id="920483936">
      <w:bodyDiv w:val="1"/>
      <w:marLeft w:val="0"/>
      <w:marRight w:val="0"/>
      <w:marTop w:val="0"/>
      <w:marBottom w:val="0"/>
      <w:divBdr>
        <w:top w:val="none" w:sz="0" w:space="0" w:color="auto"/>
        <w:left w:val="none" w:sz="0" w:space="0" w:color="auto"/>
        <w:bottom w:val="none" w:sz="0" w:space="0" w:color="auto"/>
        <w:right w:val="none" w:sz="0" w:space="0" w:color="auto"/>
      </w:divBdr>
    </w:div>
    <w:div w:id="929124834">
      <w:bodyDiv w:val="1"/>
      <w:marLeft w:val="0"/>
      <w:marRight w:val="0"/>
      <w:marTop w:val="0"/>
      <w:marBottom w:val="0"/>
      <w:divBdr>
        <w:top w:val="none" w:sz="0" w:space="0" w:color="auto"/>
        <w:left w:val="none" w:sz="0" w:space="0" w:color="auto"/>
        <w:bottom w:val="none" w:sz="0" w:space="0" w:color="auto"/>
        <w:right w:val="none" w:sz="0" w:space="0" w:color="auto"/>
      </w:divBdr>
    </w:div>
    <w:div w:id="950091829">
      <w:bodyDiv w:val="1"/>
      <w:marLeft w:val="0"/>
      <w:marRight w:val="0"/>
      <w:marTop w:val="0"/>
      <w:marBottom w:val="0"/>
      <w:divBdr>
        <w:top w:val="none" w:sz="0" w:space="0" w:color="auto"/>
        <w:left w:val="none" w:sz="0" w:space="0" w:color="auto"/>
        <w:bottom w:val="none" w:sz="0" w:space="0" w:color="auto"/>
        <w:right w:val="none" w:sz="0" w:space="0" w:color="auto"/>
      </w:divBdr>
    </w:div>
    <w:div w:id="952832602">
      <w:bodyDiv w:val="1"/>
      <w:marLeft w:val="0"/>
      <w:marRight w:val="0"/>
      <w:marTop w:val="0"/>
      <w:marBottom w:val="0"/>
      <w:divBdr>
        <w:top w:val="none" w:sz="0" w:space="0" w:color="auto"/>
        <w:left w:val="none" w:sz="0" w:space="0" w:color="auto"/>
        <w:bottom w:val="none" w:sz="0" w:space="0" w:color="auto"/>
        <w:right w:val="none" w:sz="0" w:space="0" w:color="auto"/>
      </w:divBdr>
    </w:div>
    <w:div w:id="955873301">
      <w:bodyDiv w:val="1"/>
      <w:marLeft w:val="0"/>
      <w:marRight w:val="0"/>
      <w:marTop w:val="0"/>
      <w:marBottom w:val="0"/>
      <w:divBdr>
        <w:top w:val="none" w:sz="0" w:space="0" w:color="auto"/>
        <w:left w:val="none" w:sz="0" w:space="0" w:color="auto"/>
        <w:bottom w:val="none" w:sz="0" w:space="0" w:color="auto"/>
        <w:right w:val="none" w:sz="0" w:space="0" w:color="auto"/>
      </w:divBdr>
    </w:div>
    <w:div w:id="962733288">
      <w:bodyDiv w:val="1"/>
      <w:marLeft w:val="0"/>
      <w:marRight w:val="0"/>
      <w:marTop w:val="0"/>
      <w:marBottom w:val="0"/>
      <w:divBdr>
        <w:top w:val="none" w:sz="0" w:space="0" w:color="auto"/>
        <w:left w:val="none" w:sz="0" w:space="0" w:color="auto"/>
        <w:bottom w:val="none" w:sz="0" w:space="0" w:color="auto"/>
        <w:right w:val="none" w:sz="0" w:space="0" w:color="auto"/>
      </w:divBdr>
    </w:div>
    <w:div w:id="963736042">
      <w:bodyDiv w:val="1"/>
      <w:marLeft w:val="0"/>
      <w:marRight w:val="0"/>
      <w:marTop w:val="0"/>
      <w:marBottom w:val="0"/>
      <w:divBdr>
        <w:top w:val="none" w:sz="0" w:space="0" w:color="auto"/>
        <w:left w:val="none" w:sz="0" w:space="0" w:color="auto"/>
        <w:bottom w:val="none" w:sz="0" w:space="0" w:color="auto"/>
        <w:right w:val="none" w:sz="0" w:space="0" w:color="auto"/>
      </w:divBdr>
    </w:div>
    <w:div w:id="979504579">
      <w:bodyDiv w:val="1"/>
      <w:marLeft w:val="0"/>
      <w:marRight w:val="0"/>
      <w:marTop w:val="0"/>
      <w:marBottom w:val="0"/>
      <w:divBdr>
        <w:top w:val="none" w:sz="0" w:space="0" w:color="auto"/>
        <w:left w:val="none" w:sz="0" w:space="0" w:color="auto"/>
        <w:bottom w:val="none" w:sz="0" w:space="0" w:color="auto"/>
        <w:right w:val="none" w:sz="0" w:space="0" w:color="auto"/>
      </w:divBdr>
    </w:div>
    <w:div w:id="992756024">
      <w:bodyDiv w:val="1"/>
      <w:marLeft w:val="0"/>
      <w:marRight w:val="0"/>
      <w:marTop w:val="0"/>
      <w:marBottom w:val="0"/>
      <w:divBdr>
        <w:top w:val="none" w:sz="0" w:space="0" w:color="auto"/>
        <w:left w:val="none" w:sz="0" w:space="0" w:color="auto"/>
        <w:bottom w:val="none" w:sz="0" w:space="0" w:color="auto"/>
        <w:right w:val="none" w:sz="0" w:space="0" w:color="auto"/>
      </w:divBdr>
    </w:div>
    <w:div w:id="996109998">
      <w:bodyDiv w:val="1"/>
      <w:marLeft w:val="0"/>
      <w:marRight w:val="0"/>
      <w:marTop w:val="0"/>
      <w:marBottom w:val="0"/>
      <w:divBdr>
        <w:top w:val="none" w:sz="0" w:space="0" w:color="auto"/>
        <w:left w:val="none" w:sz="0" w:space="0" w:color="auto"/>
        <w:bottom w:val="none" w:sz="0" w:space="0" w:color="auto"/>
        <w:right w:val="none" w:sz="0" w:space="0" w:color="auto"/>
      </w:divBdr>
    </w:div>
    <w:div w:id="998263942">
      <w:bodyDiv w:val="1"/>
      <w:marLeft w:val="0"/>
      <w:marRight w:val="0"/>
      <w:marTop w:val="0"/>
      <w:marBottom w:val="0"/>
      <w:divBdr>
        <w:top w:val="none" w:sz="0" w:space="0" w:color="auto"/>
        <w:left w:val="none" w:sz="0" w:space="0" w:color="auto"/>
        <w:bottom w:val="none" w:sz="0" w:space="0" w:color="auto"/>
        <w:right w:val="none" w:sz="0" w:space="0" w:color="auto"/>
      </w:divBdr>
    </w:div>
    <w:div w:id="1007949112">
      <w:bodyDiv w:val="1"/>
      <w:marLeft w:val="0"/>
      <w:marRight w:val="0"/>
      <w:marTop w:val="0"/>
      <w:marBottom w:val="0"/>
      <w:divBdr>
        <w:top w:val="none" w:sz="0" w:space="0" w:color="auto"/>
        <w:left w:val="none" w:sz="0" w:space="0" w:color="auto"/>
        <w:bottom w:val="none" w:sz="0" w:space="0" w:color="auto"/>
        <w:right w:val="none" w:sz="0" w:space="0" w:color="auto"/>
      </w:divBdr>
    </w:div>
    <w:div w:id="1025905708">
      <w:bodyDiv w:val="1"/>
      <w:marLeft w:val="0"/>
      <w:marRight w:val="0"/>
      <w:marTop w:val="0"/>
      <w:marBottom w:val="0"/>
      <w:divBdr>
        <w:top w:val="none" w:sz="0" w:space="0" w:color="auto"/>
        <w:left w:val="none" w:sz="0" w:space="0" w:color="auto"/>
        <w:bottom w:val="none" w:sz="0" w:space="0" w:color="auto"/>
        <w:right w:val="none" w:sz="0" w:space="0" w:color="auto"/>
      </w:divBdr>
    </w:div>
    <w:div w:id="1033265050">
      <w:bodyDiv w:val="1"/>
      <w:marLeft w:val="0"/>
      <w:marRight w:val="0"/>
      <w:marTop w:val="0"/>
      <w:marBottom w:val="0"/>
      <w:divBdr>
        <w:top w:val="none" w:sz="0" w:space="0" w:color="auto"/>
        <w:left w:val="none" w:sz="0" w:space="0" w:color="auto"/>
        <w:bottom w:val="none" w:sz="0" w:space="0" w:color="auto"/>
        <w:right w:val="none" w:sz="0" w:space="0" w:color="auto"/>
      </w:divBdr>
    </w:div>
    <w:div w:id="1038629964">
      <w:bodyDiv w:val="1"/>
      <w:marLeft w:val="0"/>
      <w:marRight w:val="0"/>
      <w:marTop w:val="0"/>
      <w:marBottom w:val="0"/>
      <w:divBdr>
        <w:top w:val="none" w:sz="0" w:space="0" w:color="auto"/>
        <w:left w:val="none" w:sz="0" w:space="0" w:color="auto"/>
        <w:bottom w:val="none" w:sz="0" w:space="0" w:color="auto"/>
        <w:right w:val="none" w:sz="0" w:space="0" w:color="auto"/>
      </w:divBdr>
    </w:div>
    <w:div w:id="1049841652">
      <w:bodyDiv w:val="1"/>
      <w:marLeft w:val="0"/>
      <w:marRight w:val="0"/>
      <w:marTop w:val="0"/>
      <w:marBottom w:val="0"/>
      <w:divBdr>
        <w:top w:val="none" w:sz="0" w:space="0" w:color="auto"/>
        <w:left w:val="none" w:sz="0" w:space="0" w:color="auto"/>
        <w:bottom w:val="none" w:sz="0" w:space="0" w:color="auto"/>
        <w:right w:val="none" w:sz="0" w:space="0" w:color="auto"/>
      </w:divBdr>
    </w:div>
    <w:div w:id="1071931167">
      <w:bodyDiv w:val="1"/>
      <w:marLeft w:val="0"/>
      <w:marRight w:val="0"/>
      <w:marTop w:val="0"/>
      <w:marBottom w:val="0"/>
      <w:divBdr>
        <w:top w:val="none" w:sz="0" w:space="0" w:color="auto"/>
        <w:left w:val="none" w:sz="0" w:space="0" w:color="auto"/>
        <w:bottom w:val="none" w:sz="0" w:space="0" w:color="auto"/>
        <w:right w:val="none" w:sz="0" w:space="0" w:color="auto"/>
      </w:divBdr>
    </w:div>
    <w:div w:id="1072655445">
      <w:bodyDiv w:val="1"/>
      <w:marLeft w:val="0"/>
      <w:marRight w:val="0"/>
      <w:marTop w:val="0"/>
      <w:marBottom w:val="0"/>
      <w:divBdr>
        <w:top w:val="none" w:sz="0" w:space="0" w:color="auto"/>
        <w:left w:val="none" w:sz="0" w:space="0" w:color="auto"/>
        <w:bottom w:val="none" w:sz="0" w:space="0" w:color="auto"/>
        <w:right w:val="none" w:sz="0" w:space="0" w:color="auto"/>
      </w:divBdr>
    </w:div>
    <w:div w:id="1075662420">
      <w:bodyDiv w:val="1"/>
      <w:marLeft w:val="0"/>
      <w:marRight w:val="0"/>
      <w:marTop w:val="0"/>
      <w:marBottom w:val="0"/>
      <w:divBdr>
        <w:top w:val="none" w:sz="0" w:space="0" w:color="auto"/>
        <w:left w:val="none" w:sz="0" w:space="0" w:color="auto"/>
        <w:bottom w:val="none" w:sz="0" w:space="0" w:color="auto"/>
        <w:right w:val="none" w:sz="0" w:space="0" w:color="auto"/>
      </w:divBdr>
    </w:div>
    <w:div w:id="1080831666">
      <w:bodyDiv w:val="1"/>
      <w:marLeft w:val="0"/>
      <w:marRight w:val="0"/>
      <w:marTop w:val="0"/>
      <w:marBottom w:val="0"/>
      <w:divBdr>
        <w:top w:val="none" w:sz="0" w:space="0" w:color="auto"/>
        <w:left w:val="none" w:sz="0" w:space="0" w:color="auto"/>
        <w:bottom w:val="none" w:sz="0" w:space="0" w:color="auto"/>
        <w:right w:val="none" w:sz="0" w:space="0" w:color="auto"/>
      </w:divBdr>
    </w:div>
    <w:div w:id="1082608606">
      <w:bodyDiv w:val="1"/>
      <w:marLeft w:val="0"/>
      <w:marRight w:val="0"/>
      <w:marTop w:val="0"/>
      <w:marBottom w:val="0"/>
      <w:divBdr>
        <w:top w:val="none" w:sz="0" w:space="0" w:color="auto"/>
        <w:left w:val="none" w:sz="0" w:space="0" w:color="auto"/>
        <w:bottom w:val="none" w:sz="0" w:space="0" w:color="auto"/>
        <w:right w:val="none" w:sz="0" w:space="0" w:color="auto"/>
      </w:divBdr>
    </w:div>
    <w:div w:id="1083798224">
      <w:bodyDiv w:val="1"/>
      <w:marLeft w:val="0"/>
      <w:marRight w:val="0"/>
      <w:marTop w:val="0"/>
      <w:marBottom w:val="0"/>
      <w:divBdr>
        <w:top w:val="none" w:sz="0" w:space="0" w:color="auto"/>
        <w:left w:val="none" w:sz="0" w:space="0" w:color="auto"/>
        <w:bottom w:val="none" w:sz="0" w:space="0" w:color="auto"/>
        <w:right w:val="none" w:sz="0" w:space="0" w:color="auto"/>
      </w:divBdr>
    </w:div>
    <w:div w:id="1086655225">
      <w:bodyDiv w:val="1"/>
      <w:marLeft w:val="0"/>
      <w:marRight w:val="0"/>
      <w:marTop w:val="0"/>
      <w:marBottom w:val="0"/>
      <w:divBdr>
        <w:top w:val="none" w:sz="0" w:space="0" w:color="auto"/>
        <w:left w:val="none" w:sz="0" w:space="0" w:color="auto"/>
        <w:bottom w:val="none" w:sz="0" w:space="0" w:color="auto"/>
        <w:right w:val="none" w:sz="0" w:space="0" w:color="auto"/>
      </w:divBdr>
    </w:div>
    <w:div w:id="1107652147">
      <w:bodyDiv w:val="1"/>
      <w:marLeft w:val="0"/>
      <w:marRight w:val="0"/>
      <w:marTop w:val="0"/>
      <w:marBottom w:val="0"/>
      <w:divBdr>
        <w:top w:val="none" w:sz="0" w:space="0" w:color="auto"/>
        <w:left w:val="none" w:sz="0" w:space="0" w:color="auto"/>
        <w:bottom w:val="none" w:sz="0" w:space="0" w:color="auto"/>
        <w:right w:val="none" w:sz="0" w:space="0" w:color="auto"/>
      </w:divBdr>
    </w:div>
    <w:div w:id="1112478402">
      <w:bodyDiv w:val="1"/>
      <w:marLeft w:val="0"/>
      <w:marRight w:val="0"/>
      <w:marTop w:val="0"/>
      <w:marBottom w:val="0"/>
      <w:divBdr>
        <w:top w:val="none" w:sz="0" w:space="0" w:color="auto"/>
        <w:left w:val="none" w:sz="0" w:space="0" w:color="auto"/>
        <w:bottom w:val="none" w:sz="0" w:space="0" w:color="auto"/>
        <w:right w:val="none" w:sz="0" w:space="0" w:color="auto"/>
      </w:divBdr>
    </w:div>
    <w:div w:id="1113785288">
      <w:bodyDiv w:val="1"/>
      <w:marLeft w:val="0"/>
      <w:marRight w:val="0"/>
      <w:marTop w:val="0"/>
      <w:marBottom w:val="0"/>
      <w:divBdr>
        <w:top w:val="none" w:sz="0" w:space="0" w:color="auto"/>
        <w:left w:val="none" w:sz="0" w:space="0" w:color="auto"/>
        <w:bottom w:val="none" w:sz="0" w:space="0" w:color="auto"/>
        <w:right w:val="none" w:sz="0" w:space="0" w:color="auto"/>
      </w:divBdr>
    </w:div>
    <w:div w:id="1129322573">
      <w:bodyDiv w:val="1"/>
      <w:marLeft w:val="0"/>
      <w:marRight w:val="0"/>
      <w:marTop w:val="0"/>
      <w:marBottom w:val="0"/>
      <w:divBdr>
        <w:top w:val="none" w:sz="0" w:space="0" w:color="auto"/>
        <w:left w:val="none" w:sz="0" w:space="0" w:color="auto"/>
        <w:bottom w:val="none" w:sz="0" w:space="0" w:color="auto"/>
        <w:right w:val="none" w:sz="0" w:space="0" w:color="auto"/>
      </w:divBdr>
    </w:div>
    <w:div w:id="1130830096">
      <w:bodyDiv w:val="1"/>
      <w:marLeft w:val="0"/>
      <w:marRight w:val="0"/>
      <w:marTop w:val="0"/>
      <w:marBottom w:val="0"/>
      <w:divBdr>
        <w:top w:val="none" w:sz="0" w:space="0" w:color="auto"/>
        <w:left w:val="none" w:sz="0" w:space="0" w:color="auto"/>
        <w:bottom w:val="none" w:sz="0" w:space="0" w:color="auto"/>
        <w:right w:val="none" w:sz="0" w:space="0" w:color="auto"/>
      </w:divBdr>
    </w:div>
    <w:div w:id="1147743011">
      <w:bodyDiv w:val="1"/>
      <w:marLeft w:val="0"/>
      <w:marRight w:val="0"/>
      <w:marTop w:val="0"/>
      <w:marBottom w:val="0"/>
      <w:divBdr>
        <w:top w:val="none" w:sz="0" w:space="0" w:color="auto"/>
        <w:left w:val="none" w:sz="0" w:space="0" w:color="auto"/>
        <w:bottom w:val="none" w:sz="0" w:space="0" w:color="auto"/>
        <w:right w:val="none" w:sz="0" w:space="0" w:color="auto"/>
      </w:divBdr>
    </w:div>
    <w:div w:id="1152719820">
      <w:bodyDiv w:val="1"/>
      <w:marLeft w:val="0"/>
      <w:marRight w:val="0"/>
      <w:marTop w:val="0"/>
      <w:marBottom w:val="0"/>
      <w:divBdr>
        <w:top w:val="none" w:sz="0" w:space="0" w:color="auto"/>
        <w:left w:val="none" w:sz="0" w:space="0" w:color="auto"/>
        <w:bottom w:val="none" w:sz="0" w:space="0" w:color="auto"/>
        <w:right w:val="none" w:sz="0" w:space="0" w:color="auto"/>
      </w:divBdr>
    </w:div>
    <w:div w:id="1156995816">
      <w:bodyDiv w:val="1"/>
      <w:marLeft w:val="0"/>
      <w:marRight w:val="0"/>
      <w:marTop w:val="0"/>
      <w:marBottom w:val="0"/>
      <w:divBdr>
        <w:top w:val="none" w:sz="0" w:space="0" w:color="auto"/>
        <w:left w:val="none" w:sz="0" w:space="0" w:color="auto"/>
        <w:bottom w:val="none" w:sz="0" w:space="0" w:color="auto"/>
        <w:right w:val="none" w:sz="0" w:space="0" w:color="auto"/>
      </w:divBdr>
    </w:div>
    <w:div w:id="1158350183">
      <w:bodyDiv w:val="1"/>
      <w:marLeft w:val="0"/>
      <w:marRight w:val="0"/>
      <w:marTop w:val="0"/>
      <w:marBottom w:val="0"/>
      <w:divBdr>
        <w:top w:val="none" w:sz="0" w:space="0" w:color="auto"/>
        <w:left w:val="none" w:sz="0" w:space="0" w:color="auto"/>
        <w:bottom w:val="none" w:sz="0" w:space="0" w:color="auto"/>
        <w:right w:val="none" w:sz="0" w:space="0" w:color="auto"/>
      </w:divBdr>
    </w:div>
    <w:div w:id="1159004881">
      <w:bodyDiv w:val="1"/>
      <w:marLeft w:val="0"/>
      <w:marRight w:val="0"/>
      <w:marTop w:val="0"/>
      <w:marBottom w:val="0"/>
      <w:divBdr>
        <w:top w:val="none" w:sz="0" w:space="0" w:color="auto"/>
        <w:left w:val="none" w:sz="0" w:space="0" w:color="auto"/>
        <w:bottom w:val="none" w:sz="0" w:space="0" w:color="auto"/>
        <w:right w:val="none" w:sz="0" w:space="0" w:color="auto"/>
      </w:divBdr>
    </w:div>
    <w:div w:id="1161655963">
      <w:bodyDiv w:val="1"/>
      <w:marLeft w:val="0"/>
      <w:marRight w:val="0"/>
      <w:marTop w:val="0"/>
      <w:marBottom w:val="0"/>
      <w:divBdr>
        <w:top w:val="none" w:sz="0" w:space="0" w:color="auto"/>
        <w:left w:val="none" w:sz="0" w:space="0" w:color="auto"/>
        <w:bottom w:val="none" w:sz="0" w:space="0" w:color="auto"/>
        <w:right w:val="none" w:sz="0" w:space="0" w:color="auto"/>
      </w:divBdr>
    </w:div>
    <w:div w:id="1162090345">
      <w:bodyDiv w:val="1"/>
      <w:marLeft w:val="0"/>
      <w:marRight w:val="0"/>
      <w:marTop w:val="0"/>
      <w:marBottom w:val="0"/>
      <w:divBdr>
        <w:top w:val="none" w:sz="0" w:space="0" w:color="auto"/>
        <w:left w:val="none" w:sz="0" w:space="0" w:color="auto"/>
        <w:bottom w:val="none" w:sz="0" w:space="0" w:color="auto"/>
        <w:right w:val="none" w:sz="0" w:space="0" w:color="auto"/>
      </w:divBdr>
    </w:div>
    <w:div w:id="1173840126">
      <w:bodyDiv w:val="1"/>
      <w:marLeft w:val="0"/>
      <w:marRight w:val="0"/>
      <w:marTop w:val="0"/>
      <w:marBottom w:val="0"/>
      <w:divBdr>
        <w:top w:val="none" w:sz="0" w:space="0" w:color="auto"/>
        <w:left w:val="none" w:sz="0" w:space="0" w:color="auto"/>
        <w:bottom w:val="none" w:sz="0" w:space="0" w:color="auto"/>
        <w:right w:val="none" w:sz="0" w:space="0" w:color="auto"/>
      </w:divBdr>
    </w:div>
    <w:div w:id="1174759019">
      <w:bodyDiv w:val="1"/>
      <w:marLeft w:val="0"/>
      <w:marRight w:val="0"/>
      <w:marTop w:val="0"/>
      <w:marBottom w:val="0"/>
      <w:divBdr>
        <w:top w:val="none" w:sz="0" w:space="0" w:color="auto"/>
        <w:left w:val="none" w:sz="0" w:space="0" w:color="auto"/>
        <w:bottom w:val="none" w:sz="0" w:space="0" w:color="auto"/>
        <w:right w:val="none" w:sz="0" w:space="0" w:color="auto"/>
      </w:divBdr>
    </w:div>
    <w:div w:id="1177962625">
      <w:bodyDiv w:val="1"/>
      <w:marLeft w:val="0"/>
      <w:marRight w:val="0"/>
      <w:marTop w:val="0"/>
      <w:marBottom w:val="0"/>
      <w:divBdr>
        <w:top w:val="none" w:sz="0" w:space="0" w:color="auto"/>
        <w:left w:val="none" w:sz="0" w:space="0" w:color="auto"/>
        <w:bottom w:val="none" w:sz="0" w:space="0" w:color="auto"/>
        <w:right w:val="none" w:sz="0" w:space="0" w:color="auto"/>
      </w:divBdr>
    </w:div>
    <w:div w:id="1197238444">
      <w:bodyDiv w:val="1"/>
      <w:marLeft w:val="0"/>
      <w:marRight w:val="0"/>
      <w:marTop w:val="0"/>
      <w:marBottom w:val="0"/>
      <w:divBdr>
        <w:top w:val="none" w:sz="0" w:space="0" w:color="auto"/>
        <w:left w:val="none" w:sz="0" w:space="0" w:color="auto"/>
        <w:bottom w:val="none" w:sz="0" w:space="0" w:color="auto"/>
        <w:right w:val="none" w:sz="0" w:space="0" w:color="auto"/>
      </w:divBdr>
    </w:div>
    <w:div w:id="1202787487">
      <w:bodyDiv w:val="1"/>
      <w:marLeft w:val="0"/>
      <w:marRight w:val="0"/>
      <w:marTop w:val="0"/>
      <w:marBottom w:val="0"/>
      <w:divBdr>
        <w:top w:val="none" w:sz="0" w:space="0" w:color="auto"/>
        <w:left w:val="none" w:sz="0" w:space="0" w:color="auto"/>
        <w:bottom w:val="none" w:sz="0" w:space="0" w:color="auto"/>
        <w:right w:val="none" w:sz="0" w:space="0" w:color="auto"/>
      </w:divBdr>
    </w:div>
    <w:div w:id="1215042848">
      <w:bodyDiv w:val="1"/>
      <w:marLeft w:val="0"/>
      <w:marRight w:val="0"/>
      <w:marTop w:val="0"/>
      <w:marBottom w:val="0"/>
      <w:divBdr>
        <w:top w:val="none" w:sz="0" w:space="0" w:color="auto"/>
        <w:left w:val="none" w:sz="0" w:space="0" w:color="auto"/>
        <w:bottom w:val="none" w:sz="0" w:space="0" w:color="auto"/>
        <w:right w:val="none" w:sz="0" w:space="0" w:color="auto"/>
      </w:divBdr>
    </w:div>
    <w:div w:id="1215510071">
      <w:bodyDiv w:val="1"/>
      <w:marLeft w:val="0"/>
      <w:marRight w:val="0"/>
      <w:marTop w:val="0"/>
      <w:marBottom w:val="0"/>
      <w:divBdr>
        <w:top w:val="none" w:sz="0" w:space="0" w:color="auto"/>
        <w:left w:val="none" w:sz="0" w:space="0" w:color="auto"/>
        <w:bottom w:val="none" w:sz="0" w:space="0" w:color="auto"/>
        <w:right w:val="none" w:sz="0" w:space="0" w:color="auto"/>
      </w:divBdr>
    </w:div>
    <w:div w:id="1217815811">
      <w:bodyDiv w:val="1"/>
      <w:marLeft w:val="0"/>
      <w:marRight w:val="0"/>
      <w:marTop w:val="0"/>
      <w:marBottom w:val="0"/>
      <w:divBdr>
        <w:top w:val="none" w:sz="0" w:space="0" w:color="auto"/>
        <w:left w:val="none" w:sz="0" w:space="0" w:color="auto"/>
        <w:bottom w:val="none" w:sz="0" w:space="0" w:color="auto"/>
        <w:right w:val="none" w:sz="0" w:space="0" w:color="auto"/>
      </w:divBdr>
    </w:div>
    <w:div w:id="1218978196">
      <w:bodyDiv w:val="1"/>
      <w:marLeft w:val="0"/>
      <w:marRight w:val="0"/>
      <w:marTop w:val="0"/>
      <w:marBottom w:val="0"/>
      <w:divBdr>
        <w:top w:val="none" w:sz="0" w:space="0" w:color="auto"/>
        <w:left w:val="none" w:sz="0" w:space="0" w:color="auto"/>
        <w:bottom w:val="none" w:sz="0" w:space="0" w:color="auto"/>
        <w:right w:val="none" w:sz="0" w:space="0" w:color="auto"/>
      </w:divBdr>
    </w:div>
    <w:div w:id="1219052641">
      <w:bodyDiv w:val="1"/>
      <w:marLeft w:val="0"/>
      <w:marRight w:val="0"/>
      <w:marTop w:val="0"/>
      <w:marBottom w:val="0"/>
      <w:divBdr>
        <w:top w:val="none" w:sz="0" w:space="0" w:color="auto"/>
        <w:left w:val="none" w:sz="0" w:space="0" w:color="auto"/>
        <w:bottom w:val="none" w:sz="0" w:space="0" w:color="auto"/>
        <w:right w:val="none" w:sz="0" w:space="0" w:color="auto"/>
      </w:divBdr>
    </w:div>
    <w:div w:id="1228417024">
      <w:bodyDiv w:val="1"/>
      <w:marLeft w:val="0"/>
      <w:marRight w:val="0"/>
      <w:marTop w:val="0"/>
      <w:marBottom w:val="0"/>
      <w:divBdr>
        <w:top w:val="none" w:sz="0" w:space="0" w:color="auto"/>
        <w:left w:val="none" w:sz="0" w:space="0" w:color="auto"/>
        <w:bottom w:val="none" w:sz="0" w:space="0" w:color="auto"/>
        <w:right w:val="none" w:sz="0" w:space="0" w:color="auto"/>
      </w:divBdr>
    </w:div>
    <w:div w:id="1230655039">
      <w:bodyDiv w:val="1"/>
      <w:marLeft w:val="0"/>
      <w:marRight w:val="0"/>
      <w:marTop w:val="0"/>
      <w:marBottom w:val="0"/>
      <w:divBdr>
        <w:top w:val="none" w:sz="0" w:space="0" w:color="auto"/>
        <w:left w:val="none" w:sz="0" w:space="0" w:color="auto"/>
        <w:bottom w:val="none" w:sz="0" w:space="0" w:color="auto"/>
        <w:right w:val="none" w:sz="0" w:space="0" w:color="auto"/>
      </w:divBdr>
    </w:div>
    <w:div w:id="1251351955">
      <w:bodyDiv w:val="1"/>
      <w:marLeft w:val="0"/>
      <w:marRight w:val="0"/>
      <w:marTop w:val="0"/>
      <w:marBottom w:val="0"/>
      <w:divBdr>
        <w:top w:val="none" w:sz="0" w:space="0" w:color="auto"/>
        <w:left w:val="none" w:sz="0" w:space="0" w:color="auto"/>
        <w:bottom w:val="none" w:sz="0" w:space="0" w:color="auto"/>
        <w:right w:val="none" w:sz="0" w:space="0" w:color="auto"/>
      </w:divBdr>
    </w:div>
    <w:div w:id="1252199956">
      <w:bodyDiv w:val="1"/>
      <w:marLeft w:val="0"/>
      <w:marRight w:val="0"/>
      <w:marTop w:val="0"/>
      <w:marBottom w:val="0"/>
      <w:divBdr>
        <w:top w:val="none" w:sz="0" w:space="0" w:color="auto"/>
        <w:left w:val="none" w:sz="0" w:space="0" w:color="auto"/>
        <w:bottom w:val="none" w:sz="0" w:space="0" w:color="auto"/>
        <w:right w:val="none" w:sz="0" w:space="0" w:color="auto"/>
      </w:divBdr>
    </w:div>
    <w:div w:id="1256596058">
      <w:bodyDiv w:val="1"/>
      <w:marLeft w:val="0"/>
      <w:marRight w:val="0"/>
      <w:marTop w:val="0"/>
      <w:marBottom w:val="0"/>
      <w:divBdr>
        <w:top w:val="none" w:sz="0" w:space="0" w:color="auto"/>
        <w:left w:val="none" w:sz="0" w:space="0" w:color="auto"/>
        <w:bottom w:val="none" w:sz="0" w:space="0" w:color="auto"/>
        <w:right w:val="none" w:sz="0" w:space="0" w:color="auto"/>
      </w:divBdr>
    </w:div>
    <w:div w:id="1267352072">
      <w:bodyDiv w:val="1"/>
      <w:marLeft w:val="0"/>
      <w:marRight w:val="0"/>
      <w:marTop w:val="0"/>
      <w:marBottom w:val="0"/>
      <w:divBdr>
        <w:top w:val="none" w:sz="0" w:space="0" w:color="auto"/>
        <w:left w:val="none" w:sz="0" w:space="0" w:color="auto"/>
        <w:bottom w:val="none" w:sz="0" w:space="0" w:color="auto"/>
        <w:right w:val="none" w:sz="0" w:space="0" w:color="auto"/>
      </w:divBdr>
    </w:div>
    <w:div w:id="1267694038">
      <w:bodyDiv w:val="1"/>
      <w:marLeft w:val="0"/>
      <w:marRight w:val="0"/>
      <w:marTop w:val="0"/>
      <w:marBottom w:val="0"/>
      <w:divBdr>
        <w:top w:val="none" w:sz="0" w:space="0" w:color="auto"/>
        <w:left w:val="none" w:sz="0" w:space="0" w:color="auto"/>
        <w:bottom w:val="none" w:sz="0" w:space="0" w:color="auto"/>
        <w:right w:val="none" w:sz="0" w:space="0" w:color="auto"/>
      </w:divBdr>
    </w:div>
    <w:div w:id="1272467766">
      <w:bodyDiv w:val="1"/>
      <w:marLeft w:val="0"/>
      <w:marRight w:val="0"/>
      <w:marTop w:val="0"/>
      <w:marBottom w:val="0"/>
      <w:divBdr>
        <w:top w:val="none" w:sz="0" w:space="0" w:color="auto"/>
        <w:left w:val="none" w:sz="0" w:space="0" w:color="auto"/>
        <w:bottom w:val="none" w:sz="0" w:space="0" w:color="auto"/>
        <w:right w:val="none" w:sz="0" w:space="0" w:color="auto"/>
      </w:divBdr>
    </w:div>
    <w:div w:id="1273979899">
      <w:bodyDiv w:val="1"/>
      <w:marLeft w:val="0"/>
      <w:marRight w:val="0"/>
      <w:marTop w:val="0"/>
      <w:marBottom w:val="0"/>
      <w:divBdr>
        <w:top w:val="none" w:sz="0" w:space="0" w:color="auto"/>
        <w:left w:val="none" w:sz="0" w:space="0" w:color="auto"/>
        <w:bottom w:val="none" w:sz="0" w:space="0" w:color="auto"/>
        <w:right w:val="none" w:sz="0" w:space="0" w:color="auto"/>
      </w:divBdr>
    </w:div>
    <w:div w:id="1286892690">
      <w:bodyDiv w:val="1"/>
      <w:marLeft w:val="0"/>
      <w:marRight w:val="0"/>
      <w:marTop w:val="0"/>
      <w:marBottom w:val="0"/>
      <w:divBdr>
        <w:top w:val="none" w:sz="0" w:space="0" w:color="auto"/>
        <w:left w:val="none" w:sz="0" w:space="0" w:color="auto"/>
        <w:bottom w:val="none" w:sz="0" w:space="0" w:color="auto"/>
        <w:right w:val="none" w:sz="0" w:space="0" w:color="auto"/>
      </w:divBdr>
    </w:div>
    <w:div w:id="1298144702">
      <w:bodyDiv w:val="1"/>
      <w:marLeft w:val="0"/>
      <w:marRight w:val="0"/>
      <w:marTop w:val="0"/>
      <w:marBottom w:val="0"/>
      <w:divBdr>
        <w:top w:val="none" w:sz="0" w:space="0" w:color="auto"/>
        <w:left w:val="none" w:sz="0" w:space="0" w:color="auto"/>
        <w:bottom w:val="none" w:sz="0" w:space="0" w:color="auto"/>
        <w:right w:val="none" w:sz="0" w:space="0" w:color="auto"/>
      </w:divBdr>
    </w:div>
    <w:div w:id="1303389333">
      <w:bodyDiv w:val="1"/>
      <w:marLeft w:val="0"/>
      <w:marRight w:val="0"/>
      <w:marTop w:val="0"/>
      <w:marBottom w:val="0"/>
      <w:divBdr>
        <w:top w:val="none" w:sz="0" w:space="0" w:color="auto"/>
        <w:left w:val="none" w:sz="0" w:space="0" w:color="auto"/>
        <w:bottom w:val="none" w:sz="0" w:space="0" w:color="auto"/>
        <w:right w:val="none" w:sz="0" w:space="0" w:color="auto"/>
      </w:divBdr>
    </w:div>
    <w:div w:id="1344865347">
      <w:bodyDiv w:val="1"/>
      <w:marLeft w:val="0"/>
      <w:marRight w:val="0"/>
      <w:marTop w:val="0"/>
      <w:marBottom w:val="0"/>
      <w:divBdr>
        <w:top w:val="none" w:sz="0" w:space="0" w:color="auto"/>
        <w:left w:val="none" w:sz="0" w:space="0" w:color="auto"/>
        <w:bottom w:val="none" w:sz="0" w:space="0" w:color="auto"/>
        <w:right w:val="none" w:sz="0" w:space="0" w:color="auto"/>
      </w:divBdr>
    </w:div>
    <w:div w:id="1346326265">
      <w:bodyDiv w:val="1"/>
      <w:marLeft w:val="0"/>
      <w:marRight w:val="0"/>
      <w:marTop w:val="0"/>
      <w:marBottom w:val="0"/>
      <w:divBdr>
        <w:top w:val="none" w:sz="0" w:space="0" w:color="auto"/>
        <w:left w:val="none" w:sz="0" w:space="0" w:color="auto"/>
        <w:bottom w:val="none" w:sz="0" w:space="0" w:color="auto"/>
        <w:right w:val="none" w:sz="0" w:space="0" w:color="auto"/>
      </w:divBdr>
    </w:div>
    <w:div w:id="1366056569">
      <w:bodyDiv w:val="1"/>
      <w:marLeft w:val="0"/>
      <w:marRight w:val="0"/>
      <w:marTop w:val="0"/>
      <w:marBottom w:val="0"/>
      <w:divBdr>
        <w:top w:val="none" w:sz="0" w:space="0" w:color="auto"/>
        <w:left w:val="none" w:sz="0" w:space="0" w:color="auto"/>
        <w:bottom w:val="none" w:sz="0" w:space="0" w:color="auto"/>
        <w:right w:val="none" w:sz="0" w:space="0" w:color="auto"/>
      </w:divBdr>
    </w:div>
    <w:div w:id="1377122639">
      <w:bodyDiv w:val="1"/>
      <w:marLeft w:val="0"/>
      <w:marRight w:val="0"/>
      <w:marTop w:val="0"/>
      <w:marBottom w:val="0"/>
      <w:divBdr>
        <w:top w:val="none" w:sz="0" w:space="0" w:color="auto"/>
        <w:left w:val="none" w:sz="0" w:space="0" w:color="auto"/>
        <w:bottom w:val="none" w:sz="0" w:space="0" w:color="auto"/>
        <w:right w:val="none" w:sz="0" w:space="0" w:color="auto"/>
      </w:divBdr>
    </w:div>
    <w:div w:id="1379165867">
      <w:bodyDiv w:val="1"/>
      <w:marLeft w:val="0"/>
      <w:marRight w:val="0"/>
      <w:marTop w:val="0"/>
      <w:marBottom w:val="0"/>
      <w:divBdr>
        <w:top w:val="none" w:sz="0" w:space="0" w:color="auto"/>
        <w:left w:val="none" w:sz="0" w:space="0" w:color="auto"/>
        <w:bottom w:val="none" w:sz="0" w:space="0" w:color="auto"/>
        <w:right w:val="none" w:sz="0" w:space="0" w:color="auto"/>
      </w:divBdr>
    </w:div>
    <w:div w:id="1387528958">
      <w:bodyDiv w:val="1"/>
      <w:marLeft w:val="0"/>
      <w:marRight w:val="0"/>
      <w:marTop w:val="0"/>
      <w:marBottom w:val="0"/>
      <w:divBdr>
        <w:top w:val="none" w:sz="0" w:space="0" w:color="auto"/>
        <w:left w:val="none" w:sz="0" w:space="0" w:color="auto"/>
        <w:bottom w:val="none" w:sz="0" w:space="0" w:color="auto"/>
        <w:right w:val="none" w:sz="0" w:space="0" w:color="auto"/>
      </w:divBdr>
    </w:div>
    <w:div w:id="1406881240">
      <w:bodyDiv w:val="1"/>
      <w:marLeft w:val="0"/>
      <w:marRight w:val="0"/>
      <w:marTop w:val="0"/>
      <w:marBottom w:val="0"/>
      <w:divBdr>
        <w:top w:val="none" w:sz="0" w:space="0" w:color="auto"/>
        <w:left w:val="none" w:sz="0" w:space="0" w:color="auto"/>
        <w:bottom w:val="none" w:sz="0" w:space="0" w:color="auto"/>
        <w:right w:val="none" w:sz="0" w:space="0" w:color="auto"/>
      </w:divBdr>
    </w:div>
    <w:div w:id="1407923120">
      <w:bodyDiv w:val="1"/>
      <w:marLeft w:val="0"/>
      <w:marRight w:val="0"/>
      <w:marTop w:val="0"/>
      <w:marBottom w:val="0"/>
      <w:divBdr>
        <w:top w:val="none" w:sz="0" w:space="0" w:color="auto"/>
        <w:left w:val="none" w:sz="0" w:space="0" w:color="auto"/>
        <w:bottom w:val="none" w:sz="0" w:space="0" w:color="auto"/>
        <w:right w:val="none" w:sz="0" w:space="0" w:color="auto"/>
      </w:divBdr>
    </w:div>
    <w:div w:id="1418479819">
      <w:bodyDiv w:val="1"/>
      <w:marLeft w:val="0"/>
      <w:marRight w:val="0"/>
      <w:marTop w:val="0"/>
      <w:marBottom w:val="0"/>
      <w:divBdr>
        <w:top w:val="none" w:sz="0" w:space="0" w:color="auto"/>
        <w:left w:val="none" w:sz="0" w:space="0" w:color="auto"/>
        <w:bottom w:val="none" w:sz="0" w:space="0" w:color="auto"/>
        <w:right w:val="none" w:sz="0" w:space="0" w:color="auto"/>
      </w:divBdr>
    </w:div>
    <w:div w:id="1428841745">
      <w:bodyDiv w:val="1"/>
      <w:marLeft w:val="0"/>
      <w:marRight w:val="0"/>
      <w:marTop w:val="0"/>
      <w:marBottom w:val="0"/>
      <w:divBdr>
        <w:top w:val="none" w:sz="0" w:space="0" w:color="auto"/>
        <w:left w:val="none" w:sz="0" w:space="0" w:color="auto"/>
        <w:bottom w:val="none" w:sz="0" w:space="0" w:color="auto"/>
        <w:right w:val="none" w:sz="0" w:space="0" w:color="auto"/>
      </w:divBdr>
    </w:div>
    <w:div w:id="1447192927">
      <w:bodyDiv w:val="1"/>
      <w:marLeft w:val="0"/>
      <w:marRight w:val="0"/>
      <w:marTop w:val="0"/>
      <w:marBottom w:val="0"/>
      <w:divBdr>
        <w:top w:val="none" w:sz="0" w:space="0" w:color="auto"/>
        <w:left w:val="none" w:sz="0" w:space="0" w:color="auto"/>
        <w:bottom w:val="none" w:sz="0" w:space="0" w:color="auto"/>
        <w:right w:val="none" w:sz="0" w:space="0" w:color="auto"/>
      </w:divBdr>
    </w:div>
    <w:div w:id="1467967346">
      <w:bodyDiv w:val="1"/>
      <w:marLeft w:val="0"/>
      <w:marRight w:val="0"/>
      <w:marTop w:val="0"/>
      <w:marBottom w:val="0"/>
      <w:divBdr>
        <w:top w:val="none" w:sz="0" w:space="0" w:color="auto"/>
        <w:left w:val="none" w:sz="0" w:space="0" w:color="auto"/>
        <w:bottom w:val="none" w:sz="0" w:space="0" w:color="auto"/>
        <w:right w:val="none" w:sz="0" w:space="0" w:color="auto"/>
      </w:divBdr>
    </w:div>
    <w:div w:id="1484735117">
      <w:bodyDiv w:val="1"/>
      <w:marLeft w:val="0"/>
      <w:marRight w:val="0"/>
      <w:marTop w:val="0"/>
      <w:marBottom w:val="0"/>
      <w:divBdr>
        <w:top w:val="none" w:sz="0" w:space="0" w:color="auto"/>
        <w:left w:val="none" w:sz="0" w:space="0" w:color="auto"/>
        <w:bottom w:val="none" w:sz="0" w:space="0" w:color="auto"/>
        <w:right w:val="none" w:sz="0" w:space="0" w:color="auto"/>
      </w:divBdr>
    </w:div>
    <w:div w:id="1512404168">
      <w:bodyDiv w:val="1"/>
      <w:marLeft w:val="0"/>
      <w:marRight w:val="0"/>
      <w:marTop w:val="0"/>
      <w:marBottom w:val="0"/>
      <w:divBdr>
        <w:top w:val="none" w:sz="0" w:space="0" w:color="auto"/>
        <w:left w:val="none" w:sz="0" w:space="0" w:color="auto"/>
        <w:bottom w:val="none" w:sz="0" w:space="0" w:color="auto"/>
        <w:right w:val="none" w:sz="0" w:space="0" w:color="auto"/>
      </w:divBdr>
    </w:div>
    <w:div w:id="1520002959">
      <w:bodyDiv w:val="1"/>
      <w:marLeft w:val="0"/>
      <w:marRight w:val="0"/>
      <w:marTop w:val="0"/>
      <w:marBottom w:val="0"/>
      <w:divBdr>
        <w:top w:val="none" w:sz="0" w:space="0" w:color="auto"/>
        <w:left w:val="none" w:sz="0" w:space="0" w:color="auto"/>
        <w:bottom w:val="none" w:sz="0" w:space="0" w:color="auto"/>
        <w:right w:val="none" w:sz="0" w:space="0" w:color="auto"/>
      </w:divBdr>
    </w:div>
    <w:div w:id="1529177485">
      <w:bodyDiv w:val="1"/>
      <w:marLeft w:val="0"/>
      <w:marRight w:val="0"/>
      <w:marTop w:val="0"/>
      <w:marBottom w:val="0"/>
      <w:divBdr>
        <w:top w:val="none" w:sz="0" w:space="0" w:color="auto"/>
        <w:left w:val="none" w:sz="0" w:space="0" w:color="auto"/>
        <w:bottom w:val="none" w:sz="0" w:space="0" w:color="auto"/>
        <w:right w:val="none" w:sz="0" w:space="0" w:color="auto"/>
      </w:divBdr>
    </w:div>
    <w:div w:id="1530803142">
      <w:bodyDiv w:val="1"/>
      <w:marLeft w:val="0"/>
      <w:marRight w:val="0"/>
      <w:marTop w:val="0"/>
      <w:marBottom w:val="0"/>
      <w:divBdr>
        <w:top w:val="none" w:sz="0" w:space="0" w:color="auto"/>
        <w:left w:val="none" w:sz="0" w:space="0" w:color="auto"/>
        <w:bottom w:val="none" w:sz="0" w:space="0" w:color="auto"/>
        <w:right w:val="none" w:sz="0" w:space="0" w:color="auto"/>
      </w:divBdr>
    </w:div>
    <w:div w:id="1533878829">
      <w:bodyDiv w:val="1"/>
      <w:marLeft w:val="0"/>
      <w:marRight w:val="0"/>
      <w:marTop w:val="0"/>
      <w:marBottom w:val="0"/>
      <w:divBdr>
        <w:top w:val="none" w:sz="0" w:space="0" w:color="auto"/>
        <w:left w:val="none" w:sz="0" w:space="0" w:color="auto"/>
        <w:bottom w:val="none" w:sz="0" w:space="0" w:color="auto"/>
        <w:right w:val="none" w:sz="0" w:space="0" w:color="auto"/>
      </w:divBdr>
    </w:div>
    <w:div w:id="1537542479">
      <w:bodyDiv w:val="1"/>
      <w:marLeft w:val="0"/>
      <w:marRight w:val="0"/>
      <w:marTop w:val="0"/>
      <w:marBottom w:val="0"/>
      <w:divBdr>
        <w:top w:val="none" w:sz="0" w:space="0" w:color="auto"/>
        <w:left w:val="none" w:sz="0" w:space="0" w:color="auto"/>
        <w:bottom w:val="none" w:sz="0" w:space="0" w:color="auto"/>
        <w:right w:val="none" w:sz="0" w:space="0" w:color="auto"/>
      </w:divBdr>
    </w:div>
    <w:div w:id="1542783859">
      <w:bodyDiv w:val="1"/>
      <w:marLeft w:val="0"/>
      <w:marRight w:val="0"/>
      <w:marTop w:val="0"/>
      <w:marBottom w:val="0"/>
      <w:divBdr>
        <w:top w:val="none" w:sz="0" w:space="0" w:color="auto"/>
        <w:left w:val="none" w:sz="0" w:space="0" w:color="auto"/>
        <w:bottom w:val="none" w:sz="0" w:space="0" w:color="auto"/>
        <w:right w:val="none" w:sz="0" w:space="0" w:color="auto"/>
      </w:divBdr>
    </w:div>
    <w:div w:id="1545824395">
      <w:bodyDiv w:val="1"/>
      <w:marLeft w:val="0"/>
      <w:marRight w:val="0"/>
      <w:marTop w:val="0"/>
      <w:marBottom w:val="0"/>
      <w:divBdr>
        <w:top w:val="none" w:sz="0" w:space="0" w:color="auto"/>
        <w:left w:val="none" w:sz="0" w:space="0" w:color="auto"/>
        <w:bottom w:val="none" w:sz="0" w:space="0" w:color="auto"/>
        <w:right w:val="none" w:sz="0" w:space="0" w:color="auto"/>
      </w:divBdr>
    </w:div>
    <w:div w:id="1570387667">
      <w:bodyDiv w:val="1"/>
      <w:marLeft w:val="0"/>
      <w:marRight w:val="0"/>
      <w:marTop w:val="0"/>
      <w:marBottom w:val="0"/>
      <w:divBdr>
        <w:top w:val="none" w:sz="0" w:space="0" w:color="auto"/>
        <w:left w:val="none" w:sz="0" w:space="0" w:color="auto"/>
        <w:bottom w:val="none" w:sz="0" w:space="0" w:color="auto"/>
        <w:right w:val="none" w:sz="0" w:space="0" w:color="auto"/>
      </w:divBdr>
    </w:div>
    <w:div w:id="1571647964">
      <w:bodyDiv w:val="1"/>
      <w:marLeft w:val="0"/>
      <w:marRight w:val="0"/>
      <w:marTop w:val="0"/>
      <w:marBottom w:val="0"/>
      <w:divBdr>
        <w:top w:val="none" w:sz="0" w:space="0" w:color="auto"/>
        <w:left w:val="none" w:sz="0" w:space="0" w:color="auto"/>
        <w:bottom w:val="none" w:sz="0" w:space="0" w:color="auto"/>
        <w:right w:val="none" w:sz="0" w:space="0" w:color="auto"/>
      </w:divBdr>
    </w:div>
    <w:div w:id="1590967978">
      <w:bodyDiv w:val="1"/>
      <w:marLeft w:val="0"/>
      <w:marRight w:val="0"/>
      <w:marTop w:val="0"/>
      <w:marBottom w:val="0"/>
      <w:divBdr>
        <w:top w:val="none" w:sz="0" w:space="0" w:color="auto"/>
        <w:left w:val="none" w:sz="0" w:space="0" w:color="auto"/>
        <w:bottom w:val="none" w:sz="0" w:space="0" w:color="auto"/>
        <w:right w:val="none" w:sz="0" w:space="0" w:color="auto"/>
      </w:divBdr>
    </w:div>
    <w:div w:id="1592079932">
      <w:bodyDiv w:val="1"/>
      <w:marLeft w:val="0"/>
      <w:marRight w:val="0"/>
      <w:marTop w:val="0"/>
      <w:marBottom w:val="0"/>
      <w:divBdr>
        <w:top w:val="none" w:sz="0" w:space="0" w:color="auto"/>
        <w:left w:val="none" w:sz="0" w:space="0" w:color="auto"/>
        <w:bottom w:val="none" w:sz="0" w:space="0" w:color="auto"/>
        <w:right w:val="none" w:sz="0" w:space="0" w:color="auto"/>
      </w:divBdr>
    </w:div>
    <w:div w:id="1596523296">
      <w:bodyDiv w:val="1"/>
      <w:marLeft w:val="0"/>
      <w:marRight w:val="0"/>
      <w:marTop w:val="0"/>
      <w:marBottom w:val="0"/>
      <w:divBdr>
        <w:top w:val="none" w:sz="0" w:space="0" w:color="auto"/>
        <w:left w:val="none" w:sz="0" w:space="0" w:color="auto"/>
        <w:bottom w:val="none" w:sz="0" w:space="0" w:color="auto"/>
        <w:right w:val="none" w:sz="0" w:space="0" w:color="auto"/>
      </w:divBdr>
    </w:div>
    <w:div w:id="1598830036">
      <w:bodyDiv w:val="1"/>
      <w:marLeft w:val="0"/>
      <w:marRight w:val="0"/>
      <w:marTop w:val="0"/>
      <w:marBottom w:val="0"/>
      <w:divBdr>
        <w:top w:val="none" w:sz="0" w:space="0" w:color="auto"/>
        <w:left w:val="none" w:sz="0" w:space="0" w:color="auto"/>
        <w:bottom w:val="none" w:sz="0" w:space="0" w:color="auto"/>
        <w:right w:val="none" w:sz="0" w:space="0" w:color="auto"/>
      </w:divBdr>
    </w:div>
    <w:div w:id="1619532805">
      <w:bodyDiv w:val="1"/>
      <w:marLeft w:val="0"/>
      <w:marRight w:val="0"/>
      <w:marTop w:val="0"/>
      <w:marBottom w:val="0"/>
      <w:divBdr>
        <w:top w:val="none" w:sz="0" w:space="0" w:color="auto"/>
        <w:left w:val="none" w:sz="0" w:space="0" w:color="auto"/>
        <w:bottom w:val="none" w:sz="0" w:space="0" w:color="auto"/>
        <w:right w:val="none" w:sz="0" w:space="0" w:color="auto"/>
      </w:divBdr>
    </w:div>
    <w:div w:id="1627353301">
      <w:bodyDiv w:val="1"/>
      <w:marLeft w:val="0"/>
      <w:marRight w:val="0"/>
      <w:marTop w:val="0"/>
      <w:marBottom w:val="0"/>
      <w:divBdr>
        <w:top w:val="none" w:sz="0" w:space="0" w:color="auto"/>
        <w:left w:val="none" w:sz="0" w:space="0" w:color="auto"/>
        <w:bottom w:val="none" w:sz="0" w:space="0" w:color="auto"/>
        <w:right w:val="none" w:sz="0" w:space="0" w:color="auto"/>
      </w:divBdr>
    </w:div>
    <w:div w:id="1628003814">
      <w:bodyDiv w:val="1"/>
      <w:marLeft w:val="0"/>
      <w:marRight w:val="0"/>
      <w:marTop w:val="0"/>
      <w:marBottom w:val="0"/>
      <w:divBdr>
        <w:top w:val="none" w:sz="0" w:space="0" w:color="auto"/>
        <w:left w:val="none" w:sz="0" w:space="0" w:color="auto"/>
        <w:bottom w:val="none" w:sz="0" w:space="0" w:color="auto"/>
        <w:right w:val="none" w:sz="0" w:space="0" w:color="auto"/>
      </w:divBdr>
    </w:div>
    <w:div w:id="1628121139">
      <w:bodyDiv w:val="1"/>
      <w:marLeft w:val="0"/>
      <w:marRight w:val="0"/>
      <w:marTop w:val="0"/>
      <w:marBottom w:val="0"/>
      <w:divBdr>
        <w:top w:val="none" w:sz="0" w:space="0" w:color="auto"/>
        <w:left w:val="none" w:sz="0" w:space="0" w:color="auto"/>
        <w:bottom w:val="none" w:sz="0" w:space="0" w:color="auto"/>
        <w:right w:val="none" w:sz="0" w:space="0" w:color="auto"/>
      </w:divBdr>
    </w:div>
    <w:div w:id="1628122856">
      <w:bodyDiv w:val="1"/>
      <w:marLeft w:val="0"/>
      <w:marRight w:val="0"/>
      <w:marTop w:val="0"/>
      <w:marBottom w:val="0"/>
      <w:divBdr>
        <w:top w:val="none" w:sz="0" w:space="0" w:color="auto"/>
        <w:left w:val="none" w:sz="0" w:space="0" w:color="auto"/>
        <w:bottom w:val="none" w:sz="0" w:space="0" w:color="auto"/>
        <w:right w:val="none" w:sz="0" w:space="0" w:color="auto"/>
      </w:divBdr>
    </w:div>
    <w:div w:id="1636370827">
      <w:bodyDiv w:val="1"/>
      <w:marLeft w:val="0"/>
      <w:marRight w:val="0"/>
      <w:marTop w:val="0"/>
      <w:marBottom w:val="0"/>
      <w:divBdr>
        <w:top w:val="none" w:sz="0" w:space="0" w:color="auto"/>
        <w:left w:val="none" w:sz="0" w:space="0" w:color="auto"/>
        <w:bottom w:val="none" w:sz="0" w:space="0" w:color="auto"/>
        <w:right w:val="none" w:sz="0" w:space="0" w:color="auto"/>
      </w:divBdr>
    </w:div>
    <w:div w:id="1643384162">
      <w:bodyDiv w:val="1"/>
      <w:marLeft w:val="0"/>
      <w:marRight w:val="0"/>
      <w:marTop w:val="0"/>
      <w:marBottom w:val="0"/>
      <w:divBdr>
        <w:top w:val="none" w:sz="0" w:space="0" w:color="auto"/>
        <w:left w:val="none" w:sz="0" w:space="0" w:color="auto"/>
        <w:bottom w:val="none" w:sz="0" w:space="0" w:color="auto"/>
        <w:right w:val="none" w:sz="0" w:space="0" w:color="auto"/>
      </w:divBdr>
    </w:div>
    <w:div w:id="1648319162">
      <w:bodyDiv w:val="1"/>
      <w:marLeft w:val="0"/>
      <w:marRight w:val="0"/>
      <w:marTop w:val="0"/>
      <w:marBottom w:val="0"/>
      <w:divBdr>
        <w:top w:val="none" w:sz="0" w:space="0" w:color="auto"/>
        <w:left w:val="none" w:sz="0" w:space="0" w:color="auto"/>
        <w:bottom w:val="none" w:sz="0" w:space="0" w:color="auto"/>
        <w:right w:val="none" w:sz="0" w:space="0" w:color="auto"/>
      </w:divBdr>
    </w:div>
    <w:div w:id="1682970705">
      <w:bodyDiv w:val="1"/>
      <w:marLeft w:val="0"/>
      <w:marRight w:val="0"/>
      <w:marTop w:val="0"/>
      <w:marBottom w:val="0"/>
      <w:divBdr>
        <w:top w:val="none" w:sz="0" w:space="0" w:color="auto"/>
        <w:left w:val="none" w:sz="0" w:space="0" w:color="auto"/>
        <w:bottom w:val="none" w:sz="0" w:space="0" w:color="auto"/>
        <w:right w:val="none" w:sz="0" w:space="0" w:color="auto"/>
      </w:divBdr>
    </w:div>
    <w:div w:id="1686638496">
      <w:bodyDiv w:val="1"/>
      <w:marLeft w:val="0"/>
      <w:marRight w:val="0"/>
      <w:marTop w:val="0"/>
      <w:marBottom w:val="0"/>
      <w:divBdr>
        <w:top w:val="none" w:sz="0" w:space="0" w:color="auto"/>
        <w:left w:val="none" w:sz="0" w:space="0" w:color="auto"/>
        <w:bottom w:val="none" w:sz="0" w:space="0" w:color="auto"/>
        <w:right w:val="none" w:sz="0" w:space="0" w:color="auto"/>
      </w:divBdr>
    </w:div>
    <w:div w:id="1686976929">
      <w:bodyDiv w:val="1"/>
      <w:marLeft w:val="0"/>
      <w:marRight w:val="0"/>
      <w:marTop w:val="0"/>
      <w:marBottom w:val="0"/>
      <w:divBdr>
        <w:top w:val="none" w:sz="0" w:space="0" w:color="auto"/>
        <w:left w:val="none" w:sz="0" w:space="0" w:color="auto"/>
        <w:bottom w:val="none" w:sz="0" w:space="0" w:color="auto"/>
        <w:right w:val="none" w:sz="0" w:space="0" w:color="auto"/>
      </w:divBdr>
    </w:div>
    <w:div w:id="1687902553">
      <w:bodyDiv w:val="1"/>
      <w:marLeft w:val="0"/>
      <w:marRight w:val="0"/>
      <w:marTop w:val="0"/>
      <w:marBottom w:val="0"/>
      <w:divBdr>
        <w:top w:val="none" w:sz="0" w:space="0" w:color="auto"/>
        <w:left w:val="none" w:sz="0" w:space="0" w:color="auto"/>
        <w:bottom w:val="none" w:sz="0" w:space="0" w:color="auto"/>
        <w:right w:val="none" w:sz="0" w:space="0" w:color="auto"/>
      </w:divBdr>
    </w:div>
    <w:div w:id="1697273410">
      <w:bodyDiv w:val="1"/>
      <w:marLeft w:val="0"/>
      <w:marRight w:val="0"/>
      <w:marTop w:val="0"/>
      <w:marBottom w:val="0"/>
      <w:divBdr>
        <w:top w:val="none" w:sz="0" w:space="0" w:color="auto"/>
        <w:left w:val="none" w:sz="0" w:space="0" w:color="auto"/>
        <w:bottom w:val="none" w:sz="0" w:space="0" w:color="auto"/>
        <w:right w:val="none" w:sz="0" w:space="0" w:color="auto"/>
      </w:divBdr>
    </w:div>
    <w:div w:id="1705864876">
      <w:bodyDiv w:val="1"/>
      <w:marLeft w:val="0"/>
      <w:marRight w:val="0"/>
      <w:marTop w:val="0"/>
      <w:marBottom w:val="0"/>
      <w:divBdr>
        <w:top w:val="none" w:sz="0" w:space="0" w:color="auto"/>
        <w:left w:val="none" w:sz="0" w:space="0" w:color="auto"/>
        <w:bottom w:val="none" w:sz="0" w:space="0" w:color="auto"/>
        <w:right w:val="none" w:sz="0" w:space="0" w:color="auto"/>
      </w:divBdr>
    </w:div>
    <w:div w:id="1707440624">
      <w:bodyDiv w:val="1"/>
      <w:marLeft w:val="0"/>
      <w:marRight w:val="0"/>
      <w:marTop w:val="0"/>
      <w:marBottom w:val="0"/>
      <w:divBdr>
        <w:top w:val="none" w:sz="0" w:space="0" w:color="auto"/>
        <w:left w:val="none" w:sz="0" w:space="0" w:color="auto"/>
        <w:bottom w:val="none" w:sz="0" w:space="0" w:color="auto"/>
        <w:right w:val="none" w:sz="0" w:space="0" w:color="auto"/>
      </w:divBdr>
    </w:div>
    <w:div w:id="1708329315">
      <w:bodyDiv w:val="1"/>
      <w:marLeft w:val="0"/>
      <w:marRight w:val="0"/>
      <w:marTop w:val="0"/>
      <w:marBottom w:val="0"/>
      <w:divBdr>
        <w:top w:val="none" w:sz="0" w:space="0" w:color="auto"/>
        <w:left w:val="none" w:sz="0" w:space="0" w:color="auto"/>
        <w:bottom w:val="none" w:sz="0" w:space="0" w:color="auto"/>
        <w:right w:val="none" w:sz="0" w:space="0" w:color="auto"/>
      </w:divBdr>
    </w:div>
    <w:div w:id="1709066634">
      <w:bodyDiv w:val="1"/>
      <w:marLeft w:val="0"/>
      <w:marRight w:val="0"/>
      <w:marTop w:val="0"/>
      <w:marBottom w:val="0"/>
      <w:divBdr>
        <w:top w:val="none" w:sz="0" w:space="0" w:color="auto"/>
        <w:left w:val="none" w:sz="0" w:space="0" w:color="auto"/>
        <w:bottom w:val="none" w:sz="0" w:space="0" w:color="auto"/>
        <w:right w:val="none" w:sz="0" w:space="0" w:color="auto"/>
      </w:divBdr>
    </w:div>
    <w:div w:id="1712458718">
      <w:bodyDiv w:val="1"/>
      <w:marLeft w:val="0"/>
      <w:marRight w:val="0"/>
      <w:marTop w:val="0"/>
      <w:marBottom w:val="0"/>
      <w:divBdr>
        <w:top w:val="none" w:sz="0" w:space="0" w:color="auto"/>
        <w:left w:val="none" w:sz="0" w:space="0" w:color="auto"/>
        <w:bottom w:val="none" w:sz="0" w:space="0" w:color="auto"/>
        <w:right w:val="none" w:sz="0" w:space="0" w:color="auto"/>
      </w:divBdr>
    </w:div>
    <w:div w:id="1720473711">
      <w:bodyDiv w:val="1"/>
      <w:marLeft w:val="0"/>
      <w:marRight w:val="0"/>
      <w:marTop w:val="0"/>
      <w:marBottom w:val="0"/>
      <w:divBdr>
        <w:top w:val="none" w:sz="0" w:space="0" w:color="auto"/>
        <w:left w:val="none" w:sz="0" w:space="0" w:color="auto"/>
        <w:bottom w:val="none" w:sz="0" w:space="0" w:color="auto"/>
        <w:right w:val="none" w:sz="0" w:space="0" w:color="auto"/>
      </w:divBdr>
    </w:div>
    <w:div w:id="1734310923">
      <w:bodyDiv w:val="1"/>
      <w:marLeft w:val="0"/>
      <w:marRight w:val="0"/>
      <w:marTop w:val="0"/>
      <w:marBottom w:val="0"/>
      <w:divBdr>
        <w:top w:val="none" w:sz="0" w:space="0" w:color="auto"/>
        <w:left w:val="none" w:sz="0" w:space="0" w:color="auto"/>
        <w:bottom w:val="none" w:sz="0" w:space="0" w:color="auto"/>
        <w:right w:val="none" w:sz="0" w:space="0" w:color="auto"/>
      </w:divBdr>
    </w:div>
    <w:div w:id="1746218866">
      <w:bodyDiv w:val="1"/>
      <w:marLeft w:val="0"/>
      <w:marRight w:val="0"/>
      <w:marTop w:val="0"/>
      <w:marBottom w:val="0"/>
      <w:divBdr>
        <w:top w:val="none" w:sz="0" w:space="0" w:color="auto"/>
        <w:left w:val="none" w:sz="0" w:space="0" w:color="auto"/>
        <w:bottom w:val="none" w:sz="0" w:space="0" w:color="auto"/>
        <w:right w:val="none" w:sz="0" w:space="0" w:color="auto"/>
      </w:divBdr>
    </w:div>
    <w:div w:id="1758359280">
      <w:bodyDiv w:val="1"/>
      <w:marLeft w:val="0"/>
      <w:marRight w:val="0"/>
      <w:marTop w:val="0"/>
      <w:marBottom w:val="0"/>
      <w:divBdr>
        <w:top w:val="none" w:sz="0" w:space="0" w:color="auto"/>
        <w:left w:val="none" w:sz="0" w:space="0" w:color="auto"/>
        <w:bottom w:val="none" w:sz="0" w:space="0" w:color="auto"/>
        <w:right w:val="none" w:sz="0" w:space="0" w:color="auto"/>
      </w:divBdr>
    </w:div>
    <w:div w:id="1790931262">
      <w:bodyDiv w:val="1"/>
      <w:marLeft w:val="0"/>
      <w:marRight w:val="0"/>
      <w:marTop w:val="0"/>
      <w:marBottom w:val="0"/>
      <w:divBdr>
        <w:top w:val="none" w:sz="0" w:space="0" w:color="auto"/>
        <w:left w:val="none" w:sz="0" w:space="0" w:color="auto"/>
        <w:bottom w:val="none" w:sz="0" w:space="0" w:color="auto"/>
        <w:right w:val="none" w:sz="0" w:space="0" w:color="auto"/>
      </w:divBdr>
    </w:div>
    <w:div w:id="1800030697">
      <w:bodyDiv w:val="1"/>
      <w:marLeft w:val="0"/>
      <w:marRight w:val="0"/>
      <w:marTop w:val="0"/>
      <w:marBottom w:val="0"/>
      <w:divBdr>
        <w:top w:val="none" w:sz="0" w:space="0" w:color="auto"/>
        <w:left w:val="none" w:sz="0" w:space="0" w:color="auto"/>
        <w:bottom w:val="none" w:sz="0" w:space="0" w:color="auto"/>
        <w:right w:val="none" w:sz="0" w:space="0" w:color="auto"/>
      </w:divBdr>
    </w:div>
    <w:div w:id="1816676664">
      <w:bodyDiv w:val="1"/>
      <w:marLeft w:val="0"/>
      <w:marRight w:val="0"/>
      <w:marTop w:val="0"/>
      <w:marBottom w:val="0"/>
      <w:divBdr>
        <w:top w:val="none" w:sz="0" w:space="0" w:color="auto"/>
        <w:left w:val="none" w:sz="0" w:space="0" w:color="auto"/>
        <w:bottom w:val="none" w:sz="0" w:space="0" w:color="auto"/>
        <w:right w:val="none" w:sz="0" w:space="0" w:color="auto"/>
      </w:divBdr>
    </w:div>
    <w:div w:id="1816794541">
      <w:bodyDiv w:val="1"/>
      <w:marLeft w:val="0"/>
      <w:marRight w:val="0"/>
      <w:marTop w:val="0"/>
      <w:marBottom w:val="0"/>
      <w:divBdr>
        <w:top w:val="none" w:sz="0" w:space="0" w:color="auto"/>
        <w:left w:val="none" w:sz="0" w:space="0" w:color="auto"/>
        <w:bottom w:val="none" w:sz="0" w:space="0" w:color="auto"/>
        <w:right w:val="none" w:sz="0" w:space="0" w:color="auto"/>
      </w:divBdr>
    </w:div>
    <w:div w:id="1821001071">
      <w:bodyDiv w:val="1"/>
      <w:marLeft w:val="0"/>
      <w:marRight w:val="0"/>
      <w:marTop w:val="0"/>
      <w:marBottom w:val="0"/>
      <w:divBdr>
        <w:top w:val="none" w:sz="0" w:space="0" w:color="auto"/>
        <w:left w:val="none" w:sz="0" w:space="0" w:color="auto"/>
        <w:bottom w:val="none" w:sz="0" w:space="0" w:color="auto"/>
        <w:right w:val="none" w:sz="0" w:space="0" w:color="auto"/>
      </w:divBdr>
    </w:div>
    <w:div w:id="1827742121">
      <w:bodyDiv w:val="1"/>
      <w:marLeft w:val="0"/>
      <w:marRight w:val="0"/>
      <w:marTop w:val="0"/>
      <w:marBottom w:val="0"/>
      <w:divBdr>
        <w:top w:val="none" w:sz="0" w:space="0" w:color="auto"/>
        <w:left w:val="none" w:sz="0" w:space="0" w:color="auto"/>
        <w:bottom w:val="none" w:sz="0" w:space="0" w:color="auto"/>
        <w:right w:val="none" w:sz="0" w:space="0" w:color="auto"/>
      </w:divBdr>
    </w:div>
    <w:div w:id="1843621772">
      <w:bodyDiv w:val="1"/>
      <w:marLeft w:val="0"/>
      <w:marRight w:val="0"/>
      <w:marTop w:val="0"/>
      <w:marBottom w:val="0"/>
      <w:divBdr>
        <w:top w:val="none" w:sz="0" w:space="0" w:color="auto"/>
        <w:left w:val="none" w:sz="0" w:space="0" w:color="auto"/>
        <w:bottom w:val="none" w:sz="0" w:space="0" w:color="auto"/>
        <w:right w:val="none" w:sz="0" w:space="0" w:color="auto"/>
      </w:divBdr>
    </w:div>
    <w:div w:id="1845630105">
      <w:bodyDiv w:val="1"/>
      <w:marLeft w:val="0"/>
      <w:marRight w:val="0"/>
      <w:marTop w:val="0"/>
      <w:marBottom w:val="0"/>
      <w:divBdr>
        <w:top w:val="none" w:sz="0" w:space="0" w:color="auto"/>
        <w:left w:val="none" w:sz="0" w:space="0" w:color="auto"/>
        <w:bottom w:val="none" w:sz="0" w:space="0" w:color="auto"/>
        <w:right w:val="none" w:sz="0" w:space="0" w:color="auto"/>
      </w:divBdr>
    </w:div>
    <w:div w:id="1862429228">
      <w:bodyDiv w:val="1"/>
      <w:marLeft w:val="0"/>
      <w:marRight w:val="0"/>
      <w:marTop w:val="0"/>
      <w:marBottom w:val="0"/>
      <w:divBdr>
        <w:top w:val="none" w:sz="0" w:space="0" w:color="auto"/>
        <w:left w:val="none" w:sz="0" w:space="0" w:color="auto"/>
        <w:bottom w:val="none" w:sz="0" w:space="0" w:color="auto"/>
        <w:right w:val="none" w:sz="0" w:space="0" w:color="auto"/>
      </w:divBdr>
    </w:div>
    <w:div w:id="1865943475">
      <w:bodyDiv w:val="1"/>
      <w:marLeft w:val="0"/>
      <w:marRight w:val="0"/>
      <w:marTop w:val="0"/>
      <w:marBottom w:val="0"/>
      <w:divBdr>
        <w:top w:val="none" w:sz="0" w:space="0" w:color="auto"/>
        <w:left w:val="none" w:sz="0" w:space="0" w:color="auto"/>
        <w:bottom w:val="none" w:sz="0" w:space="0" w:color="auto"/>
        <w:right w:val="none" w:sz="0" w:space="0" w:color="auto"/>
      </w:divBdr>
    </w:div>
    <w:div w:id="1892304883">
      <w:bodyDiv w:val="1"/>
      <w:marLeft w:val="0"/>
      <w:marRight w:val="0"/>
      <w:marTop w:val="0"/>
      <w:marBottom w:val="0"/>
      <w:divBdr>
        <w:top w:val="none" w:sz="0" w:space="0" w:color="auto"/>
        <w:left w:val="none" w:sz="0" w:space="0" w:color="auto"/>
        <w:bottom w:val="none" w:sz="0" w:space="0" w:color="auto"/>
        <w:right w:val="none" w:sz="0" w:space="0" w:color="auto"/>
      </w:divBdr>
    </w:div>
    <w:div w:id="1893613703">
      <w:bodyDiv w:val="1"/>
      <w:marLeft w:val="0"/>
      <w:marRight w:val="0"/>
      <w:marTop w:val="0"/>
      <w:marBottom w:val="0"/>
      <w:divBdr>
        <w:top w:val="none" w:sz="0" w:space="0" w:color="auto"/>
        <w:left w:val="none" w:sz="0" w:space="0" w:color="auto"/>
        <w:bottom w:val="none" w:sz="0" w:space="0" w:color="auto"/>
        <w:right w:val="none" w:sz="0" w:space="0" w:color="auto"/>
      </w:divBdr>
    </w:div>
    <w:div w:id="1916016702">
      <w:bodyDiv w:val="1"/>
      <w:marLeft w:val="0"/>
      <w:marRight w:val="0"/>
      <w:marTop w:val="0"/>
      <w:marBottom w:val="0"/>
      <w:divBdr>
        <w:top w:val="none" w:sz="0" w:space="0" w:color="auto"/>
        <w:left w:val="none" w:sz="0" w:space="0" w:color="auto"/>
        <w:bottom w:val="none" w:sz="0" w:space="0" w:color="auto"/>
        <w:right w:val="none" w:sz="0" w:space="0" w:color="auto"/>
      </w:divBdr>
    </w:div>
    <w:div w:id="1917519145">
      <w:bodyDiv w:val="1"/>
      <w:marLeft w:val="0"/>
      <w:marRight w:val="0"/>
      <w:marTop w:val="0"/>
      <w:marBottom w:val="0"/>
      <w:divBdr>
        <w:top w:val="none" w:sz="0" w:space="0" w:color="auto"/>
        <w:left w:val="none" w:sz="0" w:space="0" w:color="auto"/>
        <w:bottom w:val="none" w:sz="0" w:space="0" w:color="auto"/>
        <w:right w:val="none" w:sz="0" w:space="0" w:color="auto"/>
      </w:divBdr>
    </w:div>
    <w:div w:id="1919053409">
      <w:bodyDiv w:val="1"/>
      <w:marLeft w:val="0"/>
      <w:marRight w:val="0"/>
      <w:marTop w:val="0"/>
      <w:marBottom w:val="0"/>
      <w:divBdr>
        <w:top w:val="none" w:sz="0" w:space="0" w:color="auto"/>
        <w:left w:val="none" w:sz="0" w:space="0" w:color="auto"/>
        <w:bottom w:val="none" w:sz="0" w:space="0" w:color="auto"/>
        <w:right w:val="none" w:sz="0" w:space="0" w:color="auto"/>
      </w:divBdr>
    </w:div>
    <w:div w:id="1926257097">
      <w:bodyDiv w:val="1"/>
      <w:marLeft w:val="0"/>
      <w:marRight w:val="0"/>
      <w:marTop w:val="0"/>
      <w:marBottom w:val="0"/>
      <w:divBdr>
        <w:top w:val="none" w:sz="0" w:space="0" w:color="auto"/>
        <w:left w:val="none" w:sz="0" w:space="0" w:color="auto"/>
        <w:bottom w:val="none" w:sz="0" w:space="0" w:color="auto"/>
        <w:right w:val="none" w:sz="0" w:space="0" w:color="auto"/>
      </w:divBdr>
    </w:div>
    <w:div w:id="1935821605">
      <w:bodyDiv w:val="1"/>
      <w:marLeft w:val="0"/>
      <w:marRight w:val="0"/>
      <w:marTop w:val="0"/>
      <w:marBottom w:val="0"/>
      <w:divBdr>
        <w:top w:val="none" w:sz="0" w:space="0" w:color="auto"/>
        <w:left w:val="none" w:sz="0" w:space="0" w:color="auto"/>
        <w:bottom w:val="none" w:sz="0" w:space="0" w:color="auto"/>
        <w:right w:val="none" w:sz="0" w:space="0" w:color="auto"/>
      </w:divBdr>
    </w:div>
    <w:div w:id="1942450394">
      <w:bodyDiv w:val="1"/>
      <w:marLeft w:val="0"/>
      <w:marRight w:val="0"/>
      <w:marTop w:val="0"/>
      <w:marBottom w:val="0"/>
      <w:divBdr>
        <w:top w:val="none" w:sz="0" w:space="0" w:color="auto"/>
        <w:left w:val="none" w:sz="0" w:space="0" w:color="auto"/>
        <w:bottom w:val="none" w:sz="0" w:space="0" w:color="auto"/>
        <w:right w:val="none" w:sz="0" w:space="0" w:color="auto"/>
      </w:divBdr>
    </w:div>
    <w:div w:id="1954053521">
      <w:bodyDiv w:val="1"/>
      <w:marLeft w:val="0"/>
      <w:marRight w:val="0"/>
      <w:marTop w:val="0"/>
      <w:marBottom w:val="0"/>
      <w:divBdr>
        <w:top w:val="none" w:sz="0" w:space="0" w:color="auto"/>
        <w:left w:val="none" w:sz="0" w:space="0" w:color="auto"/>
        <w:bottom w:val="none" w:sz="0" w:space="0" w:color="auto"/>
        <w:right w:val="none" w:sz="0" w:space="0" w:color="auto"/>
      </w:divBdr>
    </w:div>
    <w:div w:id="1956254305">
      <w:bodyDiv w:val="1"/>
      <w:marLeft w:val="0"/>
      <w:marRight w:val="0"/>
      <w:marTop w:val="0"/>
      <w:marBottom w:val="0"/>
      <w:divBdr>
        <w:top w:val="none" w:sz="0" w:space="0" w:color="auto"/>
        <w:left w:val="none" w:sz="0" w:space="0" w:color="auto"/>
        <w:bottom w:val="none" w:sz="0" w:space="0" w:color="auto"/>
        <w:right w:val="none" w:sz="0" w:space="0" w:color="auto"/>
      </w:divBdr>
    </w:div>
    <w:div w:id="1960527483">
      <w:bodyDiv w:val="1"/>
      <w:marLeft w:val="0"/>
      <w:marRight w:val="0"/>
      <w:marTop w:val="0"/>
      <w:marBottom w:val="0"/>
      <w:divBdr>
        <w:top w:val="none" w:sz="0" w:space="0" w:color="auto"/>
        <w:left w:val="none" w:sz="0" w:space="0" w:color="auto"/>
        <w:bottom w:val="none" w:sz="0" w:space="0" w:color="auto"/>
        <w:right w:val="none" w:sz="0" w:space="0" w:color="auto"/>
      </w:divBdr>
    </w:div>
    <w:div w:id="1961182210">
      <w:bodyDiv w:val="1"/>
      <w:marLeft w:val="0"/>
      <w:marRight w:val="0"/>
      <w:marTop w:val="0"/>
      <w:marBottom w:val="0"/>
      <w:divBdr>
        <w:top w:val="none" w:sz="0" w:space="0" w:color="auto"/>
        <w:left w:val="none" w:sz="0" w:space="0" w:color="auto"/>
        <w:bottom w:val="none" w:sz="0" w:space="0" w:color="auto"/>
        <w:right w:val="none" w:sz="0" w:space="0" w:color="auto"/>
      </w:divBdr>
    </w:div>
    <w:div w:id="1962301153">
      <w:bodyDiv w:val="1"/>
      <w:marLeft w:val="0"/>
      <w:marRight w:val="0"/>
      <w:marTop w:val="0"/>
      <w:marBottom w:val="0"/>
      <w:divBdr>
        <w:top w:val="none" w:sz="0" w:space="0" w:color="auto"/>
        <w:left w:val="none" w:sz="0" w:space="0" w:color="auto"/>
        <w:bottom w:val="none" w:sz="0" w:space="0" w:color="auto"/>
        <w:right w:val="none" w:sz="0" w:space="0" w:color="auto"/>
      </w:divBdr>
    </w:div>
    <w:div w:id="1971015719">
      <w:bodyDiv w:val="1"/>
      <w:marLeft w:val="0"/>
      <w:marRight w:val="0"/>
      <w:marTop w:val="0"/>
      <w:marBottom w:val="0"/>
      <w:divBdr>
        <w:top w:val="none" w:sz="0" w:space="0" w:color="auto"/>
        <w:left w:val="none" w:sz="0" w:space="0" w:color="auto"/>
        <w:bottom w:val="none" w:sz="0" w:space="0" w:color="auto"/>
        <w:right w:val="none" w:sz="0" w:space="0" w:color="auto"/>
      </w:divBdr>
    </w:div>
    <w:div w:id="1990012589">
      <w:bodyDiv w:val="1"/>
      <w:marLeft w:val="0"/>
      <w:marRight w:val="0"/>
      <w:marTop w:val="0"/>
      <w:marBottom w:val="0"/>
      <w:divBdr>
        <w:top w:val="none" w:sz="0" w:space="0" w:color="auto"/>
        <w:left w:val="none" w:sz="0" w:space="0" w:color="auto"/>
        <w:bottom w:val="none" w:sz="0" w:space="0" w:color="auto"/>
        <w:right w:val="none" w:sz="0" w:space="0" w:color="auto"/>
      </w:divBdr>
    </w:div>
    <w:div w:id="1994022266">
      <w:bodyDiv w:val="1"/>
      <w:marLeft w:val="0"/>
      <w:marRight w:val="0"/>
      <w:marTop w:val="0"/>
      <w:marBottom w:val="0"/>
      <w:divBdr>
        <w:top w:val="none" w:sz="0" w:space="0" w:color="auto"/>
        <w:left w:val="none" w:sz="0" w:space="0" w:color="auto"/>
        <w:bottom w:val="none" w:sz="0" w:space="0" w:color="auto"/>
        <w:right w:val="none" w:sz="0" w:space="0" w:color="auto"/>
      </w:divBdr>
    </w:div>
    <w:div w:id="2001347610">
      <w:bodyDiv w:val="1"/>
      <w:marLeft w:val="0"/>
      <w:marRight w:val="0"/>
      <w:marTop w:val="0"/>
      <w:marBottom w:val="0"/>
      <w:divBdr>
        <w:top w:val="none" w:sz="0" w:space="0" w:color="auto"/>
        <w:left w:val="none" w:sz="0" w:space="0" w:color="auto"/>
        <w:bottom w:val="none" w:sz="0" w:space="0" w:color="auto"/>
        <w:right w:val="none" w:sz="0" w:space="0" w:color="auto"/>
      </w:divBdr>
    </w:div>
    <w:div w:id="2003124788">
      <w:bodyDiv w:val="1"/>
      <w:marLeft w:val="0"/>
      <w:marRight w:val="0"/>
      <w:marTop w:val="0"/>
      <w:marBottom w:val="0"/>
      <w:divBdr>
        <w:top w:val="none" w:sz="0" w:space="0" w:color="auto"/>
        <w:left w:val="none" w:sz="0" w:space="0" w:color="auto"/>
        <w:bottom w:val="none" w:sz="0" w:space="0" w:color="auto"/>
        <w:right w:val="none" w:sz="0" w:space="0" w:color="auto"/>
      </w:divBdr>
    </w:div>
    <w:div w:id="2016809413">
      <w:bodyDiv w:val="1"/>
      <w:marLeft w:val="0"/>
      <w:marRight w:val="0"/>
      <w:marTop w:val="0"/>
      <w:marBottom w:val="0"/>
      <w:divBdr>
        <w:top w:val="none" w:sz="0" w:space="0" w:color="auto"/>
        <w:left w:val="none" w:sz="0" w:space="0" w:color="auto"/>
        <w:bottom w:val="none" w:sz="0" w:space="0" w:color="auto"/>
        <w:right w:val="none" w:sz="0" w:space="0" w:color="auto"/>
      </w:divBdr>
    </w:div>
    <w:div w:id="2019036066">
      <w:bodyDiv w:val="1"/>
      <w:marLeft w:val="0"/>
      <w:marRight w:val="0"/>
      <w:marTop w:val="0"/>
      <w:marBottom w:val="0"/>
      <w:divBdr>
        <w:top w:val="none" w:sz="0" w:space="0" w:color="auto"/>
        <w:left w:val="none" w:sz="0" w:space="0" w:color="auto"/>
        <w:bottom w:val="none" w:sz="0" w:space="0" w:color="auto"/>
        <w:right w:val="none" w:sz="0" w:space="0" w:color="auto"/>
      </w:divBdr>
    </w:div>
    <w:div w:id="2023118319">
      <w:bodyDiv w:val="1"/>
      <w:marLeft w:val="0"/>
      <w:marRight w:val="0"/>
      <w:marTop w:val="0"/>
      <w:marBottom w:val="0"/>
      <w:divBdr>
        <w:top w:val="none" w:sz="0" w:space="0" w:color="auto"/>
        <w:left w:val="none" w:sz="0" w:space="0" w:color="auto"/>
        <w:bottom w:val="none" w:sz="0" w:space="0" w:color="auto"/>
        <w:right w:val="none" w:sz="0" w:space="0" w:color="auto"/>
      </w:divBdr>
    </w:div>
    <w:div w:id="2031373475">
      <w:bodyDiv w:val="1"/>
      <w:marLeft w:val="0"/>
      <w:marRight w:val="0"/>
      <w:marTop w:val="0"/>
      <w:marBottom w:val="0"/>
      <w:divBdr>
        <w:top w:val="none" w:sz="0" w:space="0" w:color="auto"/>
        <w:left w:val="none" w:sz="0" w:space="0" w:color="auto"/>
        <w:bottom w:val="none" w:sz="0" w:space="0" w:color="auto"/>
        <w:right w:val="none" w:sz="0" w:space="0" w:color="auto"/>
      </w:divBdr>
    </w:div>
    <w:div w:id="2041661471">
      <w:bodyDiv w:val="1"/>
      <w:marLeft w:val="0"/>
      <w:marRight w:val="0"/>
      <w:marTop w:val="0"/>
      <w:marBottom w:val="0"/>
      <w:divBdr>
        <w:top w:val="none" w:sz="0" w:space="0" w:color="auto"/>
        <w:left w:val="none" w:sz="0" w:space="0" w:color="auto"/>
        <w:bottom w:val="none" w:sz="0" w:space="0" w:color="auto"/>
        <w:right w:val="none" w:sz="0" w:space="0" w:color="auto"/>
      </w:divBdr>
    </w:div>
    <w:div w:id="2046715046">
      <w:bodyDiv w:val="1"/>
      <w:marLeft w:val="0"/>
      <w:marRight w:val="0"/>
      <w:marTop w:val="0"/>
      <w:marBottom w:val="0"/>
      <w:divBdr>
        <w:top w:val="none" w:sz="0" w:space="0" w:color="auto"/>
        <w:left w:val="none" w:sz="0" w:space="0" w:color="auto"/>
        <w:bottom w:val="none" w:sz="0" w:space="0" w:color="auto"/>
        <w:right w:val="none" w:sz="0" w:space="0" w:color="auto"/>
      </w:divBdr>
    </w:div>
    <w:div w:id="2047674901">
      <w:bodyDiv w:val="1"/>
      <w:marLeft w:val="0"/>
      <w:marRight w:val="0"/>
      <w:marTop w:val="0"/>
      <w:marBottom w:val="0"/>
      <w:divBdr>
        <w:top w:val="none" w:sz="0" w:space="0" w:color="auto"/>
        <w:left w:val="none" w:sz="0" w:space="0" w:color="auto"/>
        <w:bottom w:val="none" w:sz="0" w:space="0" w:color="auto"/>
        <w:right w:val="none" w:sz="0" w:space="0" w:color="auto"/>
      </w:divBdr>
    </w:div>
    <w:div w:id="2057779470">
      <w:bodyDiv w:val="1"/>
      <w:marLeft w:val="0"/>
      <w:marRight w:val="0"/>
      <w:marTop w:val="0"/>
      <w:marBottom w:val="0"/>
      <w:divBdr>
        <w:top w:val="none" w:sz="0" w:space="0" w:color="auto"/>
        <w:left w:val="none" w:sz="0" w:space="0" w:color="auto"/>
        <w:bottom w:val="none" w:sz="0" w:space="0" w:color="auto"/>
        <w:right w:val="none" w:sz="0" w:space="0" w:color="auto"/>
      </w:divBdr>
    </w:div>
    <w:div w:id="2068844950">
      <w:bodyDiv w:val="1"/>
      <w:marLeft w:val="0"/>
      <w:marRight w:val="0"/>
      <w:marTop w:val="0"/>
      <w:marBottom w:val="0"/>
      <w:divBdr>
        <w:top w:val="none" w:sz="0" w:space="0" w:color="auto"/>
        <w:left w:val="none" w:sz="0" w:space="0" w:color="auto"/>
        <w:bottom w:val="none" w:sz="0" w:space="0" w:color="auto"/>
        <w:right w:val="none" w:sz="0" w:space="0" w:color="auto"/>
      </w:divBdr>
    </w:div>
    <w:div w:id="2079281566">
      <w:bodyDiv w:val="1"/>
      <w:marLeft w:val="0"/>
      <w:marRight w:val="0"/>
      <w:marTop w:val="0"/>
      <w:marBottom w:val="0"/>
      <w:divBdr>
        <w:top w:val="none" w:sz="0" w:space="0" w:color="auto"/>
        <w:left w:val="none" w:sz="0" w:space="0" w:color="auto"/>
        <w:bottom w:val="none" w:sz="0" w:space="0" w:color="auto"/>
        <w:right w:val="none" w:sz="0" w:space="0" w:color="auto"/>
      </w:divBdr>
    </w:div>
    <w:div w:id="2081973841">
      <w:bodyDiv w:val="1"/>
      <w:marLeft w:val="0"/>
      <w:marRight w:val="0"/>
      <w:marTop w:val="0"/>
      <w:marBottom w:val="0"/>
      <w:divBdr>
        <w:top w:val="none" w:sz="0" w:space="0" w:color="auto"/>
        <w:left w:val="none" w:sz="0" w:space="0" w:color="auto"/>
        <w:bottom w:val="none" w:sz="0" w:space="0" w:color="auto"/>
        <w:right w:val="none" w:sz="0" w:space="0" w:color="auto"/>
      </w:divBdr>
    </w:div>
    <w:div w:id="2089688632">
      <w:bodyDiv w:val="1"/>
      <w:marLeft w:val="0"/>
      <w:marRight w:val="0"/>
      <w:marTop w:val="0"/>
      <w:marBottom w:val="0"/>
      <w:divBdr>
        <w:top w:val="none" w:sz="0" w:space="0" w:color="auto"/>
        <w:left w:val="none" w:sz="0" w:space="0" w:color="auto"/>
        <w:bottom w:val="none" w:sz="0" w:space="0" w:color="auto"/>
        <w:right w:val="none" w:sz="0" w:space="0" w:color="auto"/>
      </w:divBdr>
    </w:div>
    <w:div w:id="2090730896">
      <w:bodyDiv w:val="1"/>
      <w:marLeft w:val="0"/>
      <w:marRight w:val="0"/>
      <w:marTop w:val="0"/>
      <w:marBottom w:val="0"/>
      <w:divBdr>
        <w:top w:val="none" w:sz="0" w:space="0" w:color="auto"/>
        <w:left w:val="none" w:sz="0" w:space="0" w:color="auto"/>
        <w:bottom w:val="none" w:sz="0" w:space="0" w:color="auto"/>
        <w:right w:val="none" w:sz="0" w:space="0" w:color="auto"/>
      </w:divBdr>
    </w:div>
    <w:div w:id="2098284762">
      <w:bodyDiv w:val="1"/>
      <w:marLeft w:val="0"/>
      <w:marRight w:val="0"/>
      <w:marTop w:val="0"/>
      <w:marBottom w:val="0"/>
      <w:divBdr>
        <w:top w:val="none" w:sz="0" w:space="0" w:color="auto"/>
        <w:left w:val="none" w:sz="0" w:space="0" w:color="auto"/>
        <w:bottom w:val="none" w:sz="0" w:space="0" w:color="auto"/>
        <w:right w:val="none" w:sz="0" w:space="0" w:color="auto"/>
      </w:divBdr>
    </w:div>
    <w:div w:id="2099859920">
      <w:bodyDiv w:val="1"/>
      <w:marLeft w:val="0"/>
      <w:marRight w:val="0"/>
      <w:marTop w:val="0"/>
      <w:marBottom w:val="0"/>
      <w:divBdr>
        <w:top w:val="none" w:sz="0" w:space="0" w:color="auto"/>
        <w:left w:val="none" w:sz="0" w:space="0" w:color="auto"/>
        <w:bottom w:val="none" w:sz="0" w:space="0" w:color="auto"/>
        <w:right w:val="none" w:sz="0" w:space="0" w:color="auto"/>
      </w:divBdr>
    </w:div>
    <w:div w:id="2112968818">
      <w:bodyDiv w:val="1"/>
      <w:marLeft w:val="0"/>
      <w:marRight w:val="0"/>
      <w:marTop w:val="0"/>
      <w:marBottom w:val="0"/>
      <w:divBdr>
        <w:top w:val="none" w:sz="0" w:space="0" w:color="auto"/>
        <w:left w:val="none" w:sz="0" w:space="0" w:color="auto"/>
        <w:bottom w:val="none" w:sz="0" w:space="0" w:color="auto"/>
        <w:right w:val="none" w:sz="0" w:space="0" w:color="auto"/>
      </w:divBdr>
    </w:div>
    <w:div w:id="2116318716">
      <w:bodyDiv w:val="1"/>
      <w:marLeft w:val="0"/>
      <w:marRight w:val="0"/>
      <w:marTop w:val="0"/>
      <w:marBottom w:val="0"/>
      <w:divBdr>
        <w:top w:val="none" w:sz="0" w:space="0" w:color="auto"/>
        <w:left w:val="none" w:sz="0" w:space="0" w:color="auto"/>
        <w:bottom w:val="none" w:sz="0" w:space="0" w:color="auto"/>
        <w:right w:val="none" w:sz="0" w:space="0" w:color="auto"/>
      </w:divBdr>
    </w:div>
    <w:div w:id="2121680774">
      <w:bodyDiv w:val="1"/>
      <w:marLeft w:val="0"/>
      <w:marRight w:val="0"/>
      <w:marTop w:val="0"/>
      <w:marBottom w:val="0"/>
      <w:divBdr>
        <w:top w:val="none" w:sz="0" w:space="0" w:color="auto"/>
        <w:left w:val="none" w:sz="0" w:space="0" w:color="auto"/>
        <w:bottom w:val="none" w:sz="0" w:space="0" w:color="auto"/>
        <w:right w:val="none" w:sz="0" w:space="0" w:color="auto"/>
      </w:divBdr>
    </w:div>
    <w:div w:id="2137023012">
      <w:bodyDiv w:val="1"/>
      <w:marLeft w:val="0"/>
      <w:marRight w:val="0"/>
      <w:marTop w:val="0"/>
      <w:marBottom w:val="0"/>
      <w:divBdr>
        <w:top w:val="none" w:sz="0" w:space="0" w:color="auto"/>
        <w:left w:val="none" w:sz="0" w:space="0" w:color="auto"/>
        <w:bottom w:val="none" w:sz="0" w:space="0" w:color="auto"/>
        <w:right w:val="none" w:sz="0" w:space="0" w:color="auto"/>
      </w:divBdr>
    </w:div>
    <w:div w:id="2137218456">
      <w:bodyDiv w:val="1"/>
      <w:marLeft w:val="0"/>
      <w:marRight w:val="0"/>
      <w:marTop w:val="0"/>
      <w:marBottom w:val="0"/>
      <w:divBdr>
        <w:top w:val="none" w:sz="0" w:space="0" w:color="auto"/>
        <w:left w:val="none" w:sz="0" w:space="0" w:color="auto"/>
        <w:bottom w:val="none" w:sz="0" w:space="0" w:color="auto"/>
        <w:right w:val="none" w:sz="0" w:space="0" w:color="auto"/>
      </w:divBdr>
    </w:div>
    <w:div w:id="2143300225">
      <w:bodyDiv w:val="1"/>
      <w:marLeft w:val="0"/>
      <w:marRight w:val="0"/>
      <w:marTop w:val="0"/>
      <w:marBottom w:val="0"/>
      <w:divBdr>
        <w:top w:val="none" w:sz="0" w:space="0" w:color="auto"/>
        <w:left w:val="none" w:sz="0" w:space="0" w:color="auto"/>
        <w:bottom w:val="none" w:sz="0" w:space="0" w:color="auto"/>
        <w:right w:val="none" w:sz="0" w:space="0" w:color="auto"/>
      </w:divBdr>
    </w:div>
    <w:div w:id="214461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Downloads\CL-BIL-IFRS-dic-2016.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2749B-D548-4189-881E-F1AB1FFCC230}">
  <ds:schemaRefs>
    <ds:schemaRef ds:uri="http://schemas.openxmlformats.org/officeDocument/2006/bibliography"/>
  </ds:schemaRefs>
</ds:datastoreItem>
</file>

<file path=customXml/itemProps2.xml><?xml version="1.0" encoding="utf-8"?>
<ds:datastoreItem xmlns:ds="http://schemas.openxmlformats.org/officeDocument/2006/customXml" ds:itemID="{8A5E6CB5-84C9-49B9-86E5-0F691AA6524C}">
  <ds:schemaRefs>
    <ds:schemaRef ds:uri="http://schemas.openxmlformats.org/officeDocument/2006/bibliography"/>
  </ds:schemaRefs>
</ds:datastoreItem>
</file>

<file path=customXml/itemProps3.xml><?xml version="1.0" encoding="utf-8"?>
<ds:datastoreItem xmlns:ds="http://schemas.openxmlformats.org/officeDocument/2006/customXml" ds:itemID="{796314DE-DBE2-4BA1-BC48-AB2D0DC668E9}">
  <ds:schemaRefs>
    <ds:schemaRef ds:uri="http://schemas.openxmlformats.org/officeDocument/2006/bibliography"/>
  </ds:schemaRefs>
</ds:datastoreItem>
</file>

<file path=customXml/itemProps4.xml><?xml version="1.0" encoding="utf-8"?>
<ds:datastoreItem xmlns:ds="http://schemas.openxmlformats.org/officeDocument/2006/customXml" ds:itemID="{8B471C5E-C706-4FF0-A5B1-B2DCCAC8B5D5}">
  <ds:schemaRefs>
    <ds:schemaRef ds:uri="http://schemas.openxmlformats.org/officeDocument/2006/bibliography"/>
  </ds:schemaRefs>
</ds:datastoreItem>
</file>

<file path=customXml/itemProps5.xml><?xml version="1.0" encoding="utf-8"?>
<ds:datastoreItem xmlns:ds="http://schemas.openxmlformats.org/officeDocument/2006/customXml" ds:itemID="{EDCD46C6-7039-421E-A48D-18399B3C2D9E}">
  <ds:schemaRefs>
    <ds:schemaRef ds:uri="http://schemas.openxmlformats.org/officeDocument/2006/bibliography"/>
  </ds:schemaRefs>
</ds:datastoreItem>
</file>

<file path=customXml/itemProps6.xml><?xml version="1.0" encoding="utf-8"?>
<ds:datastoreItem xmlns:ds="http://schemas.openxmlformats.org/officeDocument/2006/customXml" ds:itemID="{AA428A63-AFCC-4C54-A5F4-4148D867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CL-BIL-IFRS-dic-2016</Template>
  <TotalTime>0</TotalTime>
  <Pages>3</Pages>
  <Words>77162</Words>
  <Characters>439824</Characters>
  <Application>Microsoft Office Word</Application>
  <DocSecurity>0</DocSecurity>
  <Lines>3665</Lines>
  <Paragraphs>1031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vt:lpstr>
      <vt:lpstr>E</vt:lpstr>
    </vt:vector>
  </TitlesOfParts>
  <Company>Assirevi</Company>
  <LinksUpToDate>false</LinksUpToDate>
  <CharactersWithSpaces>515955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 IFRS 2016</dc:title>
  <dc:creator>Bart</dc:creator>
  <cp:keywords>disclosure checklist standard requirement account</cp:keywords>
  <cp:lastModifiedBy>Bart</cp:lastModifiedBy>
  <cp:revision>1</cp:revision>
  <cp:lastPrinted>2016-11-24T15:58:00Z</cp:lastPrinted>
  <dcterms:created xsi:type="dcterms:W3CDTF">2016-12-21T10:30:00Z</dcterms:created>
  <dcterms:modified xsi:type="dcterms:W3CDTF">2016-12-21T10:30:00Z</dcterms:modified>
</cp:coreProperties>
</file>