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11442" w:type="dxa"/>
        <w:jc w:val="center"/>
        <w:tblLook w:val="04A0" w:firstRow="1" w:lastRow="0" w:firstColumn="1" w:lastColumn="0" w:noHBand="0" w:noVBand="1"/>
      </w:tblPr>
      <w:tblGrid>
        <w:gridCol w:w="6189"/>
        <w:gridCol w:w="5253"/>
      </w:tblGrid>
      <w:tr w:rsidR="00EC7506" w:rsidRPr="00891490" w:rsidTr="00B0270A">
        <w:trPr>
          <w:jc w:val="center"/>
        </w:trPr>
        <w:tc>
          <w:tcPr>
            <w:tcW w:w="6189" w:type="dxa"/>
            <w:tcBorders>
              <w:right w:val="nil"/>
            </w:tcBorders>
            <w:shd w:val="clear" w:color="auto" w:fill="FF0000"/>
          </w:tcPr>
          <w:p w:rsidR="00EC7506" w:rsidRPr="00891490" w:rsidRDefault="00EC7506" w:rsidP="00562F6D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 w:rsidRPr="00891490">
              <w:rPr>
                <w:rFonts w:ascii="Arial Narrow" w:hAnsi="Arial Narrow"/>
                <w:b/>
                <w:color w:val="FFFFFF" w:themeColor="background1"/>
              </w:rPr>
              <w:t>Carta di lavoro</w:t>
            </w:r>
          </w:p>
          <w:p w:rsidR="00EC7506" w:rsidRPr="00891490" w:rsidRDefault="00D73B57" w:rsidP="00562F6D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Matrice dei rischi valutati</w:t>
            </w:r>
          </w:p>
        </w:tc>
        <w:tc>
          <w:tcPr>
            <w:tcW w:w="5253" w:type="dxa"/>
            <w:tcBorders>
              <w:left w:val="nil"/>
            </w:tcBorders>
            <w:shd w:val="clear" w:color="auto" w:fill="FF0000"/>
          </w:tcPr>
          <w:p w:rsidR="00EC7506" w:rsidRPr="00891490" w:rsidRDefault="000A1ABC" w:rsidP="00562F6D">
            <w:pPr>
              <w:spacing w:after="0" w:line="240" w:lineRule="auto"/>
              <w:jc w:val="right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GEN 3.5.0</w:t>
            </w:r>
          </w:p>
        </w:tc>
      </w:tr>
      <w:tr w:rsidR="00EC7506" w:rsidRPr="00891490" w:rsidTr="00B0270A">
        <w:trPr>
          <w:jc w:val="center"/>
        </w:trPr>
        <w:tc>
          <w:tcPr>
            <w:tcW w:w="11442" w:type="dxa"/>
            <w:gridSpan w:val="2"/>
          </w:tcPr>
          <w:p w:rsidR="00EC7506" w:rsidRPr="00891490" w:rsidRDefault="00EC7506" w:rsidP="00562F6D">
            <w:pPr>
              <w:spacing w:after="0" w:line="240" w:lineRule="auto"/>
              <w:rPr>
                <w:rFonts w:ascii="Arial Narrow" w:hAnsi="Arial Narrow"/>
              </w:rPr>
            </w:pPr>
          </w:p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34"/>
              <w:gridCol w:w="4134"/>
            </w:tblGrid>
            <w:tr w:rsidR="00EC7506" w:rsidRPr="00891490" w:rsidTr="00562F6D">
              <w:tc>
                <w:tcPr>
                  <w:tcW w:w="4134" w:type="dxa"/>
                </w:tcPr>
                <w:p w:rsidR="00EC7506" w:rsidRPr="00891490" w:rsidRDefault="004D140D" w:rsidP="00562F6D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 xml:space="preserve">Società: </w:t>
                  </w:r>
                  <w:r w:rsidR="005B6BFD" w:rsidRPr="00891490">
                    <w:rPr>
                      <w:rFonts w:ascii="Arial Narrow" w:hAnsi="Arial Narrow"/>
                    </w:rPr>
                    <w:t>X</w:t>
                  </w:r>
                  <w:r w:rsidR="005B6BFD">
                    <w:rPr>
                      <w:rFonts w:ascii="Arial Narrow" w:hAnsi="Arial Narrow"/>
                    </w:rPr>
                    <w:t>YZ SpA</w:t>
                  </w:r>
                </w:p>
              </w:tc>
              <w:tc>
                <w:tcPr>
                  <w:tcW w:w="4134" w:type="dxa"/>
                </w:tcPr>
                <w:p w:rsidR="00EC7506" w:rsidRPr="00891490" w:rsidRDefault="00EC7506" w:rsidP="00562F6D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 xml:space="preserve">Bilancio </w:t>
                  </w:r>
                  <w:r w:rsidR="00411227">
                    <w:rPr>
                      <w:rFonts w:ascii="Arial Narrow" w:hAnsi="Arial Narrow"/>
                    </w:rPr>
                    <w:t>d’esercizio chiuso al 31/12/20XX</w:t>
                  </w:r>
                </w:p>
              </w:tc>
            </w:tr>
            <w:tr w:rsidR="00EC7506" w:rsidRPr="00891490" w:rsidTr="00562F6D">
              <w:tc>
                <w:tcPr>
                  <w:tcW w:w="8268" w:type="dxa"/>
                  <w:gridSpan w:val="2"/>
                </w:tcPr>
                <w:p w:rsidR="00EC7506" w:rsidRPr="00891490" w:rsidRDefault="00EC7506" w:rsidP="00562F6D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</w:tr>
            <w:tr w:rsidR="00EC7506" w:rsidRPr="00891490" w:rsidTr="00562F6D">
              <w:tc>
                <w:tcPr>
                  <w:tcW w:w="4134" w:type="dxa"/>
                </w:tcPr>
                <w:p w:rsidR="00EC7506" w:rsidRPr="00891490" w:rsidRDefault="00EC7506" w:rsidP="00562F6D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4134" w:type="dxa"/>
                </w:tcPr>
                <w:p w:rsidR="00EC7506" w:rsidRPr="00891490" w:rsidRDefault="00EC7506" w:rsidP="00562F6D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</w:tr>
            <w:tr w:rsidR="001F6B77" w:rsidRPr="00891490" w:rsidTr="00562F6D">
              <w:tc>
                <w:tcPr>
                  <w:tcW w:w="4134" w:type="dxa"/>
                </w:tcPr>
                <w:p w:rsidR="001F6B77" w:rsidRPr="00891490" w:rsidRDefault="001F6B77" w:rsidP="001F6B77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P</w:t>
                  </w:r>
                </w:p>
              </w:tc>
              <w:tc>
                <w:tcPr>
                  <w:tcW w:w="4134" w:type="dxa"/>
                </w:tcPr>
                <w:p w:rsidR="001F6B77" w:rsidRPr="00891490" w:rsidRDefault="001F6B77" w:rsidP="001F6B77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</w:tc>
            </w:tr>
            <w:tr w:rsidR="001F6B77" w:rsidRPr="00891490" w:rsidTr="00562F6D">
              <w:tc>
                <w:tcPr>
                  <w:tcW w:w="4134" w:type="dxa"/>
                </w:tcPr>
                <w:p w:rsidR="001F6B77" w:rsidRDefault="001F6B77" w:rsidP="001F6B77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M1</w:t>
                  </w:r>
                </w:p>
                <w:p w:rsidR="001F6B77" w:rsidRPr="00891490" w:rsidRDefault="001F6B77" w:rsidP="001F6B77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M2</w:t>
                  </w:r>
                </w:p>
              </w:tc>
              <w:tc>
                <w:tcPr>
                  <w:tcW w:w="4134" w:type="dxa"/>
                </w:tcPr>
                <w:p w:rsidR="001F6B77" w:rsidRDefault="001F6B77" w:rsidP="001F6B77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  <w:p w:rsidR="001F6B77" w:rsidRDefault="001F6B77" w:rsidP="001F6B77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  <w:p w:rsidR="001F6B77" w:rsidRPr="00891490" w:rsidRDefault="001F6B77" w:rsidP="001F6B77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</w:tr>
          </w:tbl>
          <w:p w:rsidR="00EC7506" w:rsidRPr="00891490" w:rsidRDefault="00EC7506" w:rsidP="00562F6D">
            <w:pPr>
              <w:spacing w:after="0" w:line="240" w:lineRule="auto"/>
              <w:rPr>
                <w:rFonts w:ascii="Arial Narrow" w:hAnsi="Arial Narrow"/>
              </w:rPr>
            </w:pPr>
          </w:p>
          <w:tbl>
            <w:tblPr>
              <w:tblStyle w:val="Grigliatabella"/>
              <w:tblW w:w="11215" w:type="dxa"/>
              <w:tblLook w:val="04A0" w:firstRow="1" w:lastRow="0" w:firstColumn="1" w:lastColumn="0" w:noHBand="0" w:noVBand="1"/>
            </w:tblPr>
            <w:tblGrid>
              <w:gridCol w:w="1569"/>
              <w:gridCol w:w="1646"/>
              <w:gridCol w:w="1811"/>
              <w:gridCol w:w="1631"/>
              <w:gridCol w:w="1611"/>
              <w:gridCol w:w="2947"/>
            </w:tblGrid>
            <w:tr w:rsidR="00D73B57" w:rsidTr="009E1666">
              <w:tc>
                <w:tcPr>
                  <w:tcW w:w="1569" w:type="dxa"/>
                  <w:shd w:val="clear" w:color="auto" w:fill="FF0000"/>
                </w:tcPr>
                <w:p w:rsidR="00D73B57" w:rsidRPr="009E1666" w:rsidRDefault="00D73B57" w:rsidP="00562F6D">
                  <w:pPr>
                    <w:spacing w:after="0" w:line="240" w:lineRule="auto"/>
                    <w:rPr>
                      <w:rFonts w:ascii="Arial Narrow" w:hAnsi="Arial Narrow"/>
                      <w:b/>
                      <w:color w:val="FFFFFF" w:themeColor="background1"/>
                    </w:rPr>
                  </w:pPr>
                </w:p>
              </w:tc>
              <w:tc>
                <w:tcPr>
                  <w:tcW w:w="1646" w:type="dxa"/>
                  <w:shd w:val="clear" w:color="auto" w:fill="FF0000"/>
                </w:tcPr>
                <w:p w:rsidR="00D73B57" w:rsidRPr="009E1666" w:rsidRDefault="00D73B57" w:rsidP="00562F6D">
                  <w:pPr>
                    <w:spacing w:after="0" w:line="240" w:lineRule="auto"/>
                    <w:rPr>
                      <w:rFonts w:ascii="Arial Narrow" w:hAnsi="Arial Narrow"/>
                      <w:b/>
                      <w:color w:val="FFFFFF" w:themeColor="background1"/>
                    </w:rPr>
                  </w:pPr>
                  <w:r w:rsidRPr="009E1666">
                    <w:rPr>
                      <w:rFonts w:ascii="Arial Narrow" w:hAnsi="Arial Narrow"/>
                      <w:b/>
                      <w:color w:val="FFFFFF" w:themeColor="background1"/>
                    </w:rPr>
                    <w:t>ASSERZIONI</w:t>
                  </w:r>
                </w:p>
              </w:tc>
              <w:tc>
                <w:tcPr>
                  <w:tcW w:w="1811" w:type="dxa"/>
                  <w:shd w:val="clear" w:color="auto" w:fill="FF0000"/>
                </w:tcPr>
                <w:p w:rsidR="00D73B57" w:rsidRPr="009E1666" w:rsidRDefault="00D73B57" w:rsidP="00562F6D">
                  <w:pPr>
                    <w:spacing w:after="0" w:line="240" w:lineRule="auto"/>
                    <w:rPr>
                      <w:rFonts w:ascii="Arial Narrow" w:hAnsi="Arial Narrow"/>
                      <w:b/>
                      <w:color w:val="FFFFFF" w:themeColor="background1"/>
                    </w:rPr>
                  </w:pPr>
                  <w:r w:rsidRPr="009E1666">
                    <w:rPr>
                      <w:rFonts w:ascii="Arial Narrow" w:hAnsi="Arial Narrow"/>
                      <w:b/>
                      <w:color w:val="FFFFFF" w:themeColor="background1"/>
                    </w:rPr>
                    <w:t xml:space="preserve">Rischio inerente </w:t>
                  </w:r>
                </w:p>
              </w:tc>
              <w:tc>
                <w:tcPr>
                  <w:tcW w:w="1631" w:type="dxa"/>
                  <w:shd w:val="clear" w:color="auto" w:fill="FF0000"/>
                </w:tcPr>
                <w:p w:rsidR="00D73B57" w:rsidRPr="009E1666" w:rsidRDefault="00D73B57" w:rsidP="00562F6D">
                  <w:pPr>
                    <w:spacing w:after="0" w:line="240" w:lineRule="auto"/>
                    <w:rPr>
                      <w:rFonts w:ascii="Arial Narrow" w:hAnsi="Arial Narrow"/>
                      <w:b/>
                      <w:color w:val="FFFFFF" w:themeColor="background1"/>
                    </w:rPr>
                  </w:pPr>
                  <w:r w:rsidRPr="009E1666">
                    <w:rPr>
                      <w:rFonts w:ascii="Arial Narrow" w:hAnsi="Arial Narrow"/>
                      <w:b/>
                      <w:color w:val="FFFFFF" w:themeColor="background1"/>
                    </w:rPr>
                    <w:t>Rischio di controllo</w:t>
                  </w:r>
                </w:p>
              </w:tc>
              <w:tc>
                <w:tcPr>
                  <w:tcW w:w="1611" w:type="dxa"/>
                  <w:shd w:val="clear" w:color="auto" w:fill="FF0000"/>
                </w:tcPr>
                <w:p w:rsidR="00D73B57" w:rsidRPr="009E1666" w:rsidRDefault="00D73B57" w:rsidP="00562F6D">
                  <w:pPr>
                    <w:spacing w:after="0" w:line="240" w:lineRule="auto"/>
                    <w:rPr>
                      <w:rFonts w:ascii="Arial Narrow" w:hAnsi="Arial Narrow"/>
                      <w:b/>
                      <w:color w:val="FFFFFF" w:themeColor="background1"/>
                    </w:rPr>
                  </w:pPr>
                  <w:r w:rsidRPr="009E1666">
                    <w:rPr>
                      <w:rFonts w:ascii="Arial Narrow" w:hAnsi="Arial Narrow"/>
                      <w:b/>
                      <w:color w:val="FFFFFF" w:themeColor="background1"/>
                    </w:rPr>
                    <w:t>Rischio di errori significativi</w:t>
                  </w:r>
                </w:p>
              </w:tc>
              <w:tc>
                <w:tcPr>
                  <w:tcW w:w="2947" w:type="dxa"/>
                  <w:shd w:val="clear" w:color="auto" w:fill="FF0000"/>
                </w:tcPr>
                <w:p w:rsidR="00D73B57" w:rsidRPr="009E1666" w:rsidRDefault="00D73B57" w:rsidP="00562F6D">
                  <w:pPr>
                    <w:spacing w:after="0" w:line="240" w:lineRule="auto"/>
                    <w:rPr>
                      <w:rFonts w:ascii="Arial Narrow" w:hAnsi="Arial Narrow"/>
                      <w:b/>
                      <w:color w:val="FFFFFF" w:themeColor="background1"/>
                    </w:rPr>
                  </w:pPr>
                  <w:r w:rsidRPr="009E1666">
                    <w:rPr>
                      <w:rFonts w:ascii="Arial Narrow" w:hAnsi="Arial Narrow"/>
                      <w:b/>
                      <w:color w:val="FFFFFF" w:themeColor="background1"/>
                    </w:rPr>
                    <w:t>Commenti</w:t>
                  </w:r>
                </w:p>
              </w:tc>
            </w:tr>
            <w:tr w:rsidR="00D73B57" w:rsidTr="00D73B57">
              <w:tc>
                <w:tcPr>
                  <w:tcW w:w="156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73B57" w:rsidRDefault="00D73B57" w:rsidP="00562F6D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bookmarkStart w:id="0" w:name="_GoBack" w:colFirst="5" w:colLast="5"/>
                  <w:r>
                    <w:rPr>
                      <w:rFonts w:ascii="Arial Narrow" w:hAnsi="Arial Narrow"/>
                    </w:rPr>
                    <w:t>A livello di bilancio</w:t>
                  </w:r>
                </w:p>
              </w:tc>
              <w:tc>
                <w:tcPr>
                  <w:tcW w:w="1646" w:type="dxa"/>
                  <w:tcBorders>
                    <w:left w:val="single" w:sz="4" w:space="0" w:color="auto"/>
                  </w:tcBorders>
                </w:tcPr>
                <w:p w:rsidR="00D73B57" w:rsidRDefault="00D73B57" w:rsidP="003E451F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Rischi pervasivi</w:t>
                  </w:r>
                </w:p>
              </w:tc>
              <w:tc>
                <w:tcPr>
                  <w:tcW w:w="1811" w:type="dxa"/>
                </w:tcPr>
                <w:p w:rsidR="00D73B57" w:rsidRDefault="008F6B49" w:rsidP="00616DD9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Alto</w:t>
                  </w:r>
                </w:p>
              </w:tc>
              <w:tc>
                <w:tcPr>
                  <w:tcW w:w="1631" w:type="dxa"/>
                </w:tcPr>
                <w:p w:rsidR="00D73B57" w:rsidRDefault="00FB6A8B" w:rsidP="00EA680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Affidamento sui controlli basso</w:t>
                  </w:r>
                </w:p>
              </w:tc>
              <w:tc>
                <w:tcPr>
                  <w:tcW w:w="1611" w:type="dxa"/>
                </w:tcPr>
                <w:p w:rsidR="00D73B57" w:rsidRDefault="00F57FBD" w:rsidP="00F57FBD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Alto</w:t>
                  </w:r>
                </w:p>
              </w:tc>
              <w:tc>
                <w:tcPr>
                  <w:tcW w:w="2947" w:type="dxa"/>
                </w:tcPr>
                <w:p w:rsidR="00D73B57" w:rsidRDefault="008F6B49" w:rsidP="00FB6A8B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Possibili manipolazioni del bilancio da parte della direzione al fine di ottenere finanziamenti necessari ad introdurre la nuova linea di produzione.</w:t>
                  </w:r>
                </w:p>
              </w:tc>
            </w:tr>
            <w:tr w:rsidR="00D73B57" w:rsidTr="00D73B57">
              <w:tc>
                <w:tcPr>
                  <w:tcW w:w="1569" w:type="dxa"/>
                  <w:tcBorders>
                    <w:top w:val="nil"/>
                    <w:bottom w:val="single" w:sz="4" w:space="0" w:color="auto"/>
                  </w:tcBorders>
                </w:tcPr>
                <w:p w:rsidR="00D73B57" w:rsidRDefault="00D73B57" w:rsidP="00562F6D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646" w:type="dxa"/>
                </w:tcPr>
                <w:p w:rsidR="00D73B57" w:rsidRDefault="00D73B57" w:rsidP="003E451F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Rischi pervasivi</w:t>
                  </w:r>
                </w:p>
              </w:tc>
              <w:tc>
                <w:tcPr>
                  <w:tcW w:w="1811" w:type="dxa"/>
                </w:tcPr>
                <w:p w:rsidR="00D73B57" w:rsidRDefault="00D73B57" w:rsidP="00616DD9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Alto</w:t>
                  </w:r>
                </w:p>
              </w:tc>
              <w:tc>
                <w:tcPr>
                  <w:tcW w:w="1631" w:type="dxa"/>
                </w:tcPr>
                <w:p w:rsidR="00D73B57" w:rsidRDefault="00E616DA" w:rsidP="00562F6D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Affidamento sui controlli basso</w:t>
                  </w:r>
                </w:p>
              </w:tc>
              <w:tc>
                <w:tcPr>
                  <w:tcW w:w="1611" w:type="dxa"/>
                </w:tcPr>
                <w:p w:rsidR="00D73B57" w:rsidRDefault="003D2230" w:rsidP="00F22DAB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Alto</w:t>
                  </w:r>
                </w:p>
              </w:tc>
              <w:tc>
                <w:tcPr>
                  <w:tcW w:w="2947" w:type="dxa"/>
                </w:tcPr>
                <w:p w:rsidR="00D73B57" w:rsidRDefault="008A54EA" w:rsidP="008A54EA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Il cambiamento del sistem</w:t>
                  </w:r>
                  <w:r w:rsidR="00844801">
                    <w:rPr>
                      <w:rFonts w:ascii="Arial Narrow" w:hAnsi="Arial Narrow"/>
                    </w:rPr>
                    <w:t>a informativo contabile conferisce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="00FA1B60">
                    <w:rPr>
                      <w:rFonts w:ascii="Arial Narrow" w:hAnsi="Arial Narrow"/>
                    </w:rPr>
                    <w:t xml:space="preserve">maggiori opportunità di commettere </w:t>
                  </w:r>
                  <w:r w:rsidR="008F6B49">
                    <w:rPr>
                      <w:rFonts w:ascii="Arial Narrow" w:hAnsi="Arial Narrow"/>
                    </w:rPr>
                    <w:t>frodi</w:t>
                  </w:r>
                  <w:r>
                    <w:rPr>
                      <w:rFonts w:ascii="Arial Narrow" w:hAnsi="Arial Narrow"/>
                    </w:rPr>
                    <w:t xml:space="preserve"> in quanto, come emerso dal questionario di</w:t>
                  </w:r>
                  <w:r w:rsidR="00F22DAB">
                    <w:rPr>
                      <w:rFonts w:ascii="Arial Narrow" w:hAnsi="Arial Narrow"/>
                    </w:rPr>
                    <w:t xml:space="preserve"> comprensione del SCI, non sono stati ridefiniti sistemi di autorizzazione all’accesso per il personale.</w:t>
                  </w:r>
                </w:p>
              </w:tc>
            </w:tr>
            <w:bookmarkEnd w:id="0"/>
            <w:tr w:rsidR="008F6B49" w:rsidTr="00D73B57">
              <w:tc>
                <w:tcPr>
                  <w:tcW w:w="1569" w:type="dxa"/>
                  <w:tcBorders>
                    <w:top w:val="nil"/>
                    <w:bottom w:val="single" w:sz="4" w:space="0" w:color="auto"/>
                  </w:tcBorders>
                </w:tcPr>
                <w:p w:rsidR="008F6B49" w:rsidRDefault="008F6B49" w:rsidP="00562F6D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646" w:type="dxa"/>
                </w:tcPr>
                <w:p w:rsidR="008F6B49" w:rsidRDefault="008F6B49" w:rsidP="003E451F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Rischi pervasivi</w:t>
                  </w:r>
                </w:p>
              </w:tc>
              <w:tc>
                <w:tcPr>
                  <w:tcW w:w="1811" w:type="dxa"/>
                </w:tcPr>
                <w:p w:rsidR="008F6B49" w:rsidRDefault="008F6B49" w:rsidP="00616DD9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Alto</w:t>
                  </w:r>
                </w:p>
              </w:tc>
              <w:tc>
                <w:tcPr>
                  <w:tcW w:w="1631" w:type="dxa"/>
                </w:tcPr>
                <w:p w:rsidR="008F6B49" w:rsidRDefault="00F57FBD" w:rsidP="00562F6D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Affidamento sui controlli alto</w:t>
                  </w:r>
                </w:p>
              </w:tc>
              <w:tc>
                <w:tcPr>
                  <w:tcW w:w="1611" w:type="dxa"/>
                </w:tcPr>
                <w:p w:rsidR="008F6B49" w:rsidRDefault="00BF0459" w:rsidP="00F22DAB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Alto</w:t>
                  </w:r>
                </w:p>
              </w:tc>
              <w:tc>
                <w:tcPr>
                  <w:tcW w:w="2947" w:type="dxa"/>
                </w:tcPr>
                <w:p w:rsidR="008F6B49" w:rsidRDefault="008F6B49" w:rsidP="00562F6D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Possibile alterazione degli indicatori di performance economico finanziaria per l’accesso a finanziamenti pubblici.</w:t>
                  </w:r>
                  <w:r w:rsidR="00F57FBD">
                    <w:rPr>
                      <w:rFonts w:ascii="Arial Narrow" w:hAnsi="Arial Narrow"/>
                    </w:rPr>
                    <w:t xml:space="preserve"> Dalle procedure di analisi comparativa non sono emerse anomalie rispetto agli esercizi precedenti.</w:t>
                  </w:r>
                </w:p>
              </w:tc>
            </w:tr>
            <w:tr w:rsidR="008F6B49" w:rsidTr="00D73B57">
              <w:tc>
                <w:tcPr>
                  <w:tcW w:w="1569" w:type="dxa"/>
                  <w:tcBorders>
                    <w:top w:val="nil"/>
                    <w:bottom w:val="single" w:sz="4" w:space="0" w:color="auto"/>
                  </w:tcBorders>
                </w:tcPr>
                <w:p w:rsidR="008F6B49" w:rsidRDefault="008F6B49" w:rsidP="00562F6D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646" w:type="dxa"/>
                </w:tcPr>
                <w:p w:rsidR="008F6B49" w:rsidRDefault="008F6B49" w:rsidP="003E451F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Rischi pervasivi</w:t>
                  </w:r>
                </w:p>
              </w:tc>
              <w:tc>
                <w:tcPr>
                  <w:tcW w:w="1811" w:type="dxa"/>
                </w:tcPr>
                <w:p w:rsidR="008F6B49" w:rsidRDefault="008F6B49" w:rsidP="00616DD9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Basso</w:t>
                  </w:r>
                </w:p>
              </w:tc>
              <w:tc>
                <w:tcPr>
                  <w:tcW w:w="1631" w:type="dxa"/>
                </w:tcPr>
                <w:p w:rsidR="008F6B49" w:rsidRDefault="00F57FBD" w:rsidP="00562F6D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Affidamento sui controlli basso</w:t>
                  </w:r>
                </w:p>
              </w:tc>
              <w:tc>
                <w:tcPr>
                  <w:tcW w:w="1611" w:type="dxa"/>
                </w:tcPr>
                <w:p w:rsidR="008F6B49" w:rsidRDefault="00BF0459" w:rsidP="00BF0459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Basso</w:t>
                  </w:r>
                </w:p>
              </w:tc>
              <w:tc>
                <w:tcPr>
                  <w:tcW w:w="2947" w:type="dxa"/>
                </w:tcPr>
                <w:p w:rsidR="008F6B49" w:rsidRDefault="008F6B49" w:rsidP="00562F6D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La direzione predispone un monitoraggio dei controlli adeguato alle caratteristiche aziendali.</w:t>
                  </w:r>
                </w:p>
              </w:tc>
            </w:tr>
            <w:tr w:rsidR="00D73B57" w:rsidTr="00562F6D">
              <w:tc>
                <w:tcPr>
                  <w:tcW w:w="156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73B57" w:rsidRDefault="00D73B57" w:rsidP="00562F6D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A livello di asserzioni</w:t>
                  </w:r>
                </w:p>
              </w:tc>
              <w:tc>
                <w:tcPr>
                  <w:tcW w:w="9646" w:type="dxa"/>
                  <w:gridSpan w:val="5"/>
                </w:tcPr>
                <w:p w:rsidR="00D73B57" w:rsidRDefault="00D73B57" w:rsidP="00562F6D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</w:tr>
            <w:tr w:rsidR="00D73B57" w:rsidTr="00562F6D">
              <w:tc>
                <w:tcPr>
                  <w:tcW w:w="11215" w:type="dxa"/>
                  <w:gridSpan w:val="6"/>
                  <w:tcBorders>
                    <w:top w:val="single" w:sz="4" w:space="0" w:color="auto"/>
                  </w:tcBorders>
                </w:tcPr>
                <w:p w:rsidR="00D73B57" w:rsidRDefault="00D73B57" w:rsidP="00D73B57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Area di bilancio o informativa finanziaria</w:t>
                  </w:r>
                </w:p>
              </w:tc>
            </w:tr>
            <w:tr w:rsidR="00D73B57" w:rsidTr="00D73B57">
              <w:tc>
                <w:tcPr>
                  <w:tcW w:w="1569" w:type="dxa"/>
                  <w:tcBorders>
                    <w:top w:val="nil"/>
                    <w:bottom w:val="single" w:sz="4" w:space="0" w:color="auto"/>
                  </w:tcBorders>
                </w:tcPr>
                <w:p w:rsidR="00D73B57" w:rsidRDefault="00D73B57" w:rsidP="00B22C33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Rimanenze</w:t>
                  </w:r>
                </w:p>
              </w:tc>
              <w:tc>
                <w:tcPr>
                  <w:tcW w:w="1646" w:type="dxa"/>
                </w:tcPr>
                <w:p w:rsidR="00D73B57" w:rsidRDefault="00EA6809" w:rsidP="00B22C33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Esistenza</w:t>
                  </w:r>
                  <w:r w:rsidR="003C6334">
                    <w:rPr>
                      <w:rFonts w:ascii="Arial Narrow" w:hAnsi="Arial Narrow"/>
                    </w:rPr>
                    <w:t xml:space="preserve"> e Valutazione</w:t>
                  </w:r>
                </w:p>
              </w:tc>
              <w:tc>
                <w:tcPr>
                  <w:tcW w:w="1811" w:type="dxa"/>
                </w:tcPr>
                <w:p w:rsidR="00D73B57" w:rsidRDefault="00EA6809" w:rsidP="00616DD9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Alto</w:t>
                  </w:r>
                </w:p>
              </w:tc>
              <w:tc>
                <w:tcPr>
                  <w:tcW w:w="1631" w:type="dxa"/>
                </w:tcPr>
                <w:p w:rsidR="00D73B57" w:rsidRDefault="008F7725" w:rsidP="008F7725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Affidamento sui controlli basso</w:t>
                  </w:r>
                </w:p>
              </w:tc>
              <w:tc>
                <w:tcPr>
                  <w:tcW w:w="1611" w:type="dxa"/>
                </w:tcPr>
                <w:p w:rsidR="00D73B57" w:rsidRDefault="008F7725" w:rsidP="00B22C33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Alto</w:t>
                  </w:r>
                </w:p>
              </w:tc>
              <w:tc>
                <w:tcPr>
                  <w:tcW w:w="2947" w:type="dxa"/>
                </w:tcPr>
                <w:p w:rsidR="00D73B57" w:rsidRDefault="008F7725" w:rsidP="008F7725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 xml:space="preserve">Il rischio di appropriazione indebita dei beni aziendale di piccole dimensioni e valore unitario elevato è incentivato dal malcontento del personale causato dalla conoscenza di futuri piani di riduzione dell’organico aziendale. Ciò è quanto emerge dal questionario sul rischio di frode mediante il quale si evidenzia la </w:t>
                  </w:r>
                  <w:r w:rsidR="00EA6809">
                    <w:rPr>
                      <w:rFonts w:ascii="Arial Narrow" w:hAnsi="Arial Narrow"/>
                    </w:rPr>
                    <w:t xml:space="preserve">possibilità di accessi non autorizzati al magazzino. </w:t>
                  </w:r>
                  <w:r>
                    <w:rPr>
                      <w:rFonts w:ascii="Arial Narrow" w:hAnsi="Arial Narrow"/>
                    </w:rPr>
                    <w:t xml:space="preserve">Mediante osservazione è emersa </w:t>
                  </w:r>
                  <w:r>
                    <w:rPr>
                      <w:rFonts w:ascii="Arial Narrow" w:hAnsi="Arial Narrow"/>
                    </w:rPr>
                    <w:lastRenderedPageBreak/>
                    <w:t>la carenza dei sistemi di video sorveglianza.</w:t>
                  </w:r>
                </w:p>
              </w:tc>
            </w:tr>
            <w:tr w:rsidR="00D73B57" w:rsidTr="00EA6809">
              <w:tc>
                <w:tcPr>
                  <w:tcW w:w="1569" w:type="dxa"/>
                  <w:tcBorders>
                    <w:top w:val="nil"/>
                    <w:bottom w:val="single" w:sz="4" w:space="0" w:color="auto"/>
                  </w:tcBorders>
                </w:tcPr>
                <w:p w:rsidR="00D73B57" w:rsidRDefault="00D73B57" w:rsidP="00D73B57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646" w:type="dxa"/>
                  <w:tcBorders>
                    <w:bottom w:val="single" w:sz="4" w:space="0" w:color="auto"/>
                  </w:tcBorders>
                </w:tcPr>
                <w:p w:rsidR="00D73B57" w:rsidRDefault="00D73B57" w:rsidP="00D73B57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Valutazione</w:t>
                  </w:r>
                </w:p>
              </w:tc>
              <w:tc>
                <w:tcPr>
                  <w:tcW w:w="1811" w:type="dxa"/>
                  <w:tcBorders>
                    <w:bottom w:val="single" w:sz="4" w:space="0" w:color="auto"/>
                  </w:tcBorders>
                </w:tcPr>
                <w:p w:rsidR="00D73B57" w:rsidRDefault="00564723" w:rsidP="00616DD9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Basso</w:t>
                  </w:r>
                </w:p>
              </w:tc>
              <w:tc>
                <w:tcPr>
                  <w:tcW w:w="1631" w:type="dxa"/>
                  <w:tcBorders>
                    <w:bottom w:val="single" w:sz="4" w:space="0" w:color="auto"/>
                  </w:tcBorders>
                </w:tcPr>
                <w:p w:rsidR="00D73B57" w:rsidRDefault="00BF0459" w:rsidP="00D73B57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Affidamento sui controlli basso</w:t>
                  </w:r>
                </w:p>
              </w:tc>
              <w:tc>
                <w:tcPr>
                  <w:tcW w:w="1611" w:type="dxa"/>
                  <w:tcBorders>
                    <w:bottom w:val="single" w:sz="4" w:space="0" w:color="auto"/>
                  </w:tcBorders>
                </w:tcPr>
                <w:p w:rsidR="00D73B57" w:rsidRDefault="00BF0459" w:rsidP="00BF0459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Basso</w:t>
                  </w:r>
                </w:p>
              </w:tc>
              <w:tc>
                <w:tcPr>
                  <w:tcW w:w="2947" w:type="dxa"/>
                  <w:tcBorders>
                    <w:bottom w:val="single" w:sz="4" w:space="0" w:color="auto"/>
                  </w:tcBorders>
                </w:tcPr>
                <w:p w:rsidR="00D73B57" w:rsidRDefault="008F6B49" w:rsidP="003C6334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 xml:space="preserve">Errori di valutazione dei costi conseguenti all’introduzione di una nuova linea di produzione. </w:t>
                  </w:r>
                </w:p>
              </w:tc>
            </w:tr>
            <w:tr w:rsidR="00EA6809" w:rsidTr="00EA6809">
              <w:tc>
                <w:tcPr>
                  <w:tcW w:w="156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A6809" w:rsidRDefault="00EA6809" w:rsidP="00D73B57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 xml:space="preserve">Informativa sui finanziamenti e sui </w:t>
                  </w:r>
                  <w:proofErr w:type="spellStart"/>
                  <w:r>
                    <w:rPr>
                      <w:rFonts w:ascii="Arial Narrow" w:hAnsi="Arial Narrow"/>
                    </w:rPr>
                    <w:t>covenant</w:t>
                  </w:r>
                  <w:proofErr w:type="spellEnd"/>
                </w:p>
              </w:tc>
              <w:tc>
                <w:tcPr>
                  <w:tcW w:w="164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A6809" w:rsidRDefault="00EA6809" w:rsidP="00D73B57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Accuratezza e Valutazione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A6809" w:rsidRDefault="00EA6809" w:rsidP="00616DD9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Alto</w:t>
                  </w:r>
                </w:p>
              </w:tc>
              <w:tc>
                <w:tcPr>
                  <w:tcW w:w="163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A6809" w:rsidRDefault="00564723" w:rsidP="00D73B57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Affidamento sui controlli basso</w:t>
                  </w:r>
                </w:p>
              </w:tc>
              <w:tc>
                <w:tcPr>
                  <w:tcW w:w="161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A6809" w:rsidRDefault="00564723" w:rsidP="00564723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Alto</w:t>
                  </w:r>
                </w:p>
              </w:tc>
              <w:tc>
                <w:tcPr>
                  <w:tcW w:w="294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A6809" w:rsidRDefault="00EA6809" w:rsidP="00D73B57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 xml:space="preserve">I nuovi finanziamenti necessari renderanno difficile il rispetto dei </w:t>
                  </w:r>
                  <w:proofErr w:type="spellStart"/>
                  <w:r w:rsidRPr="00026688">
                    <w:rPr>
                      <w:rFonts w:ascii="Arial Narrow" w:hAnsi="Arial Narrow"/>
                      <w:i/>
                    </w:rPr>
                    <w:t>covenant</w:t>
                  </w:r>
                  <w:proofErr w:type="spellEnd"/>
                  <w:r w:rsidRPr="00026688">
                    <w:rPr>
                      <w:rFonts w:ascii="Arial Narrow" w:hAnsi="Arial Narrow"/>
                      <w:i/>
                    </w:rPr>
                    <w:t xml:space="preserve"> </w:t>
                  </w:r>
                  <w:r>
                    <w:rPr>
                      <w:rFonts w:ascii="Arial Narrow" w:hAnsi="Arial Narrow"/>
                    </w:rPr>
                    <w:t>bancari esistenti.</w:t>
                  </w:r>
                </w:p>
              </w:tc>
            </w:tr>
            <w:tr w:rsidR="00EA6809" w:rsidTr="00EA6809">
              <w:tc>
                <w:tcPr>
                  <w:tcW w:w="156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A6809" w:rsidRDefault="00EA6809" w:rsidP="00D73B57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Crediti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A6809" w:rsidRDefault="00EA6809" w:rsidP="00D73B57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Esistenza e Valutazione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A6809" w:rsidRDefault="00720EFA" w:rsidP="00616DD9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Alto</w:t>
                  </w:r>
                </w:p>
              </w:tc>
              <w:tc>
                <w:tcPr>
                  <w:tcW w:w="163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A6809" w:rsidRDefault="000025A9" w:rsidP="00D73B57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Affidamento sui controlli basso</w:t>
                  </w:r>
                </w:p>
              </w:tc>
              <w:tc>
                <w:tcPr>
                  <w:tcW w:w="161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A6809" w:rsidRDefault="000025A9" w:rsidP="000025A9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Alto</w:t>
                  </w:r>
                </w:p>
              </w:tc>
              <w:tc>
                <w:tcPr>
                  <w:tcW w:w="294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A6809" w:rsidRDefault="00720EFA" w:rsidP="00D73B57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Molteplici forniture con un cliente in stato di crisi economica.</w:t>
                  </w:r>
                  <w:r w:rsidR="000025A9">
                    <w:rPr>
                      <w:rFonts w:ascii="Arial Narrow" w:hAnsi="Arial Narrow"/>
                    </w:rPr>
                    <w:t xml:space="preserve"> Dall’analisi delle carte di lavoro del precedente revisore emerge che la società non ha una policy  di determinazione del fondo svalutazione crediti in conformità a quanto previsto dalla normativa fiscale.</w:t>
                  </w:r>
                </w:p>
              </w:tc>
            </w:tr>
            <w:tr w:rsidR="00EA6809" w:rsidTr="00EA6809">
              <w:tc>
                <w:tcPr>
                  <w:tcW w:w="1569" w:type="dxa"/>
                  <w:tcBorders>
                    <w:top w:val="single" w:sz="4" w:space="0" w:color="auto"/>
                  </w:tcBorders>
                </w:tcPr>
                <w:p w:rsidR="00EA6809" w:rsidRDefault="00EA6809" w:rsidP="00D73B57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Ricavi e altri ricavi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</w:tcBorders>
                </w:tcPr>
                <w:p w:rsidR="00EA6809" w:rsidRDefault="00720EFA" w:rsidP="00D73B57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Accuratezza e Valutazione</w:t>
                  </w:r>
                </w:p>
              </w:tc>
              <w:tc>
                <w:tcPr>
                  <w:tcW w:w="1811" w:type="dxa"/>
                  <w:tcBorders>
                    <w:top w:val="single" w:sz="4" w:space="0" w:color="auto"/>
                  </w:tcBorders>
                </w:tcPr>
                <w:p w:rsidR="00EA6809" w:rsidRDefault="00720EFA" w:rsidP="00616DD9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Medio</w:t>
                  </w:r>
                </w:p>
              </w:tc>
              <w:tc>
                <w:tcPr>
                  <w:tcW w:w="1631" w:type="dxa"/>
                  <w:tcBorders>
                    <w:top w:val="single" w:sz="4" w:space="0" w:color="auto"/>
                  </w:tcBorders>
                </w:tcPr>
                <w:p w:rsidR="00EA6809" w:rsidRDefault="00564723" w:rsidP="00D73B57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Affidamento sui controlli alto</w:t>
                  </w:r>
                </w:p>
              </w:tc>
              <w:tc>
                <w:tcPr>
                  <w:tcW w:w="1611" w:type="dxa"/>
                  <w:tcBorders>
                    <w:top w:val="single" w:sz="4" w:space="0" w:color="auto"/>
                  </w:tcBorders>
                </w:tcPr>
                <w:p w:rsidR="00EA6809" w:rsidRDefault="000025A9" w:rsidP="000025A9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Basso</w:t>
                  </w:r>
                </w:p>
              </w:tc>
              <w:tc>
                <w:tcPr>
                  <w:tcW w:w="2947" w:type="dxa"/>
                  <w:tcBorders>
                    <w:top w:val="single" w:sz="4" w:space="0" w:color="auto"/>
                  </w:tcBorders>
                </w:tcPr>
                <w:p w:rsidR="00EA6809" w:rsidRDefault="00720EFA" w:rsidP="00D73B57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Direttore delle vendite remunerato in base al grado di raggiungimento degli obiettivi del budget di vendite</w:t>
                  </w:r>
                  <w:r w:rsidR="000025A9">
                    <w:rPr>
                      <w:rFonts w:ascii="Arial Narrow" w:hAnsi="Arial Narrow"/>
                    </w:rPr>
                    <w:t>. Dalle procedure di analisi comparativa non risultano variazioni o anomalie nell’andamento dei principali indicatori rispetto agli esercizi precedenti.</w:t>
                  </w:r>
                </w:p>
              </w:tc>
            </w:tr>
          </w:tbl>
          <w:p w:rsidR="00EC7506" w:rsidRDefault="00EC7506" w:rsidP="00562F6D">
            <w:pPr>
              <w:spacing w:after="0" w:line="240" w:lineRule="auto"/>
              <w:rPr>
                <w:rFonts w:ascii="Arial Narrow" w:hAnsi="Arial Narrow"/>
              </w:rPr>
            </w:pPr>
          </w:p>
          <w:p w:rsidR="00EC7506" w:rsidRDefault="00EC7506" w:rsidP="00562F6D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EC7506" w:rsidRPr="00861B18" w:rsidRDefault="00EC7506" w:rsidP="00D73B57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:rsidR="00861B18" w:rsidRPr="00861B18" w:rsidRDefault="00861B18" w:rsidP="002E2852">
      <w:pPr>
        <w:spacing w:after="0" w:line="360" w:lineRule="auto"/>
        <w:rPr>
          <w:rFonts w:ascii="Arial Narrow" w:eastAsia="Times New Roman" w:hAnsi="Arial Narrow" w:cs="Times New Roman"/>
          <w:b/>
          <w:lang w:eastAsia="it-IT"/>
        </w:rPr>
      </w:pPr>
    </w:p>
    <w:p w:rsidR="00C02EE2" w:rsidRDefault="00C02EE2" w:rsidP="00C02EE2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p w:rsidR="00C02EE2" w:rsidRDefault="00C02EE2" w:rsidP="00C02EE2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p w:rsidR="005E2A73" w:rsidRDefault="005E2A73"/>
    <w:sectPr w:rsidR="005E2A7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A47CB"/>
    <w:multiLevelType w:val="hybridMultilevel"/>
    <w:tmpl w:val="0A165C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941DF"/>
    <w:multiLevelType w:val="hybridMultilevel"/>
    <w:tmpl w:val="962EEF0E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07319"/>
    <w:multiLevelType w:val="hybridMultilevel"/>
    <w:tmpl w:val="92F8CF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D2BD8"/>
    <w:multiLevelType w:val="hybridMultilevel"/>
    <w:tmpl w:val="6D409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A47CEB"/>
    <w:multiLevelType w:val="hybridMultilevel"/>
    <w:tmpl w:val="3266D4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A10D93"/>
    <w:multiLevelType w:val="hybridMultilevel"/>
    <w:tmpl w:val="F42612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A58BF"/>
    <w:multiLevelType w:val="hybridMultilevel"/>
    <w:tmpl w:val="6494F7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7D202A"/>
    <w:multiLevelType w:val="hybridMultilevel"/>
    <w:tmpl w:val="37202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E669CA"/>
    <w:multiLevelType w:val="hybridMultilevel"/>
    <w:tmpl w:val="83A27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BA3E76"/>
    <w:multiLevelType w:val="hybridMultilevel"/>
    <w:tmpl w:val="FF8E798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551CE0"/>
    <w:multiLevelType w:val="hybridMultilevel"/>
    <w:tmpl w:val="04B25D60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5C1ECA"/>
    <w:multiLevelType w:val="hybridMultilevel"/>
    <w:tmpl w:val="9AFE86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60377A7"/>
    <w:multiLevelType w:val="hybridMultilevel"/>
    <w:tmpl w:val="0240999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F3242A"/>
    <w:multiLevelType w:val="hybridMultilevel"/>
    <w:tmpl w:val="C18CC6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3F7F52"/>
    <w:multiLevelType w:val="hybridMultilevel"/>
    <w:tmpl w:val="813681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4C3E8B"/>
    <w:multiLevelType w:val="hybridMultilevel"/>
    <w:tmpl w:val="446428DE"/>
    <w:lvl w:ilvl="0" w:tplc="04100017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7D0CE9"/>
    <w:multiLevelType w:val="hybridMultilevel"/>
    <w:tmpl w:val="4D2E6C6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1E56CC"/>
    <w:multiLevelType w:val="hybridMultilevel"/>
    <w:tmpl w:val="4B92ABEE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17"/>
  </w:num>
  <w:num w:numId="4">
    <w:abstractNumId w:val="12"/>
  </w:num>
  <w:num w:numId="5">
    <w:abstractNumId w:val="9"/>
  </w:num>
  <w:num w:numId="6">
    <w:abstractNumId w:val="14"/>
  </w:num>
  <w:num w:numId="7">
    <w:abstractNumId w:val="1"/>
  </w:num>
  <w:num w:numId="8">
    <w:abstractNumId w:val="10"/>
  </w:num>
  <w:num w:numId="9">
    <w:abstractNumId w:val="15"/>
  </w:num>
  <w:num w:numId="10">
    <w:abstractNumId w:val="6"/>
  </w:num>
  <w:num w:numId="11">
    <w:abstractNumId w:val="11"/>
  </w:num>
  <w:num w:numId="12">
    <w:abstractNumId w:val="3"/>
  </w:num>
  <w:num w:numId="13">
    <w:abstractNumId w:val="0"/>
  </w:num>
  <w:num w:numId="14">
    <w:abstractNumId w:val="5"/>
  </w:num>
  <w:num w:numId="15">
    <w:abstractNumId w:val="4"/>
  </w:num>
  <w:num w:numId="16">
    <w:abstractNumId w:val="7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EE2"/>
    <w:rsid w:val="000025A9"/>
    <w:rsid w:val="00026688"/>
    <w:rsid w:val="00076FD8"/>
    <w:rsid w:val="000920CC"/>
    <w:rsid w:val="000A1ABC"/>
    <w:rsid w:val="000C7138"/>
    <w:rsid w:val="000D4D81"/>
    <w:rsid w:val="000E5695"/>
    <w:rsid w:val="000F1A31"/>
    <w:rsid w:val="001B553A"/>
    <w:rsid w:val="001F6B77"/>
    <w:rsid w:val="00220D4D"/>
    <w:rsid w:val="002C2063"/>
    <w:rsid w:val="002E2852"/>
    <w:rsid w:val="002E36A7"/>
    <w:rsid w:val="00314682"/>
    <w:rsid w:val="00323986"/>
    <w:rsid w:val="00385B81"/>
    <w:rsid w:val="003C6334"/>
    <w:rsid w:val="003D2230"/>
    <w:rsid w:val="003E451F"/>
    <w:rsid w:val="00411227"/>
    <w:rsid w:val="00462C30"/>
    <w:rsid w:val="004A3F56"/>
    <w:rsid w:val="004D140D"/>
    <w:rsid w:val="0055126A"/>
    <w:rsid w:val="00562F6D"/>
    <w:rsid w:val="00564723"/>
    <w:rsid w:val="005A291B"/>
    <w:rsid w:val="005B6BFD"/>
    <w:rsid w:val="005D4222"/>
    <w:rsid w:val="005E2A73"/>
    <w:rsid w:val="00616DD9"/>
    <w:rsid w:val="006B7D39"/>
    <w:rsid w:val="00715373"/>
    <w:rsid w:val="00716443"/>
    <w:rsid w:val="00720EFA"/>
    <w:rsid w:val="00780362"/>
    <w:rsid w:val="00781C7A"/>
    <w:rsid w:val="007D2D1C"/>
    <w:rsid w:val="00844801"/>
    <w:rsid w:val="00861B18"/>
    <w:rsid w:val="00891490"/>
    <w:rsid w:val="008A54EA"/>
    <w:rsid w:val="008F6B49"/>
    <w:rsid w:val="008F7725"/>
    <w:rsid w:val="00934656"/>
    <w:rsid w:val="009465D9"/>
    <w:rsid w:val="00987FB4"/>
    <w:rsid w:val="009A520D"/>
    <w:rsid w:val="009E1666"/>
    <w:rsid w:val="009F2D16"/>
    <w:rsid w:val="00A709A5"/>
    <w:rsid w:val="00AA6772"/>
    <w:rsid w:val="00B0270A"/>
    <w:rsid w:val="00B22C33"/>
    <w:rsid w:val="00B57520"/>
    <w:rsid w:val="00BF0459"/>
    <w:rsid w:val="00C01874"/>
    <w:rsid w:val="00C02EE2"/>
    <w:rsid w:val="00C27FE6"/>
    <w:rsid w:val="00C50176"/>
    <w:rsid w:val="00CC13BF"/>
    <w:rsid w:val="00D7150F"/>
    <w:rsid w:val="00D73B57"/>
    <w:rsid w:val="00DE6ECD"/>
    <w:rsid w:val="00E616DA"/>
    <w:rsid w:val="00E63885"/>
    <w:rsid w:val="00E92B09"/>
    <w:rsid w:val="00EA6809"/>
    <w:rsid w:val="00EC7506"/>
    <w:rsid w:val="00EE0FA3"/>
    <w:rsid w:val="00F22DAB"/>
    <w:rsid w:val="00F57FBD"/>
    <w:rsid w:val="00FA1B60"/>
    <w:rsid w:val="00FB6A8B"/>
    <w:rsid w:val="00FE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5FE829-F68F-4035-8D8B-6A0BD4E6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02EE2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02EE2"/>
    <w:pPr>
      <w:ind w:left="720"/>
      <w:contextualSpacing/>
    </w:pPr>
  </w:style>
  <w:style w:type="table" w:styleId="Grigliatabella">
    <w:name w:val="Table Grid"/>
    <w:basedOn w:val="Tabellanormale"/>
    <w:uiPriority w:val="39"/>
    <w:rsid w:val="00C02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2">
    <w:name w:val="Plain Table 2"/>
    <w:basedOn w:val="Tabellanormale"/>
    <w:uiPriority w:val="42"/>
    <w:rsid w:val="00861B1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Revisione">
    <w:name w:val="Revision"/>
    <w:hidden/>
    <w:uiPriority w:val="99"/>
    <w:semiHidden/>
    <w:rsid w:val="000266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E2D35-3862-4134-AB29-8D8E88399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Pagani Alessandra</cp:lastModifiedBy>
  <cp:revision>8</cp:revision>
  <dcterms:created xsi:type="dcterms:W3CDTF">2017-11-19T13:27:00Z</dcterms:created>
  <dcterms:modified xsi:type="dcterms:W3CDTF">2018-03-12T09:22:00Z</dcterms:modified>
</cp:coreProperties>
</file>