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73E69" w14:textId="77777777" w:rsidR="001C5F9B" w:rsidRPr="00FE3C59" w:rsidRDefault="001C5F9B" w:rsidP="001C5F9B">
      <w:pPr>
        <w:spacing w:before="120" w:after="120"/>
        <w:jc w:val="center"/>
        <w:rPr>
          <w:rFonts w:ascii="Times New Roman" w:hAnsi="Times New Roman" w:cs="Times New Roman"/>
          <w:sz w:val="24"/>
          <w:szCs w:val="24"/>
        </w:rPr>
      </w:pPr>
      <w:r w:rsidRPr="00FE3C59">
        <w:rPr>
          <w:rFonts w:ascii="Times New Roman" w:hAnsi="Times New Roman" w:cs="Times New Roman"/>
          <w:sz w:val="24"/>
          <w:szCs w:val="24"/>
        </w:rPr>
        <w:t>ANNEX II</w:t>
      </w:r>
    </w:p>
    <w:p w14:paraId="55D219E2" w14:textId="4451BF94" w:rsidR="001914DA" w:rsidRPr="00FE3C59" w:rsidRDefault="002419A3" w:rsidP="001C5F9B">
      <w:pPr>
        <w:spacing w:before="120" w:after="120"/>
        <w:jc w:val="center"/>
        <w:rPr>
          <w:rFonts w:ascii="Times New Roman" w:hAnsi="Times New Roman" w:cs="Times New Roman"/>
          <w:sz w:val="24"/>
          <w:szCs w:val="24"/>
        </w:rPr>
      </w:pPr>
      <w:r w:rsidRPr="00FE3C59">
        <w:rPr>
          <w:rFonts w:ascii="Times New Roman" w:hAnsi="Times New Roman" w:cs="Times New Roman"/>
          <w:sz w:val="24"/>
          <w:szCs w:val="24"/>
        </w:rPr>
        <w:t xml:space="preserve">INSTRUCTIONS FOR FILLING IN THE TEMPLATES </w:t>
      </w:r>
      <w:r w:rsidR="00394F63" w:rsidRPr="00FE3C59">
        <w:rPr>
          <w:rFonts w:ascii="Times New Roman" w:hAnsi="Times New Roman" w:cs="Times New Roman"/>
          <w:sz w:val="24"/>
          <w:szCs w:val="24"/>
        </w:rPr>
        <w:t>OF</w:t>
      </w:r>
      <w:r w:rsidRPr="00FE3C59">
        <w:rPr>
          <w:rFonts w:ascii="Times New Roman" w:hAnsi="Times New Roman" w:cs="Times New Roman"/>
          <w:sz w:val="24"/>
          <w:szCs w:val="24"/>
        </w:rPr>
        <w:t xml:space="preserve"> ANNEX I ON </w:t>
      </w:r>
      <w:r w:rsidR="001C5F9B" w:rsidRPr="00FE3C59">
        <w:rPr>
          <w:rFonts w:ascii="Times New Roman" w:hAnsi="Times New Roman" w:cs="Times New Roman"/>
          <w:sz w:val="24"/>
          <w:szCs w:val="24"/>
        </w:rPr>
        <w:t xml:space="preserve">SPECIFIC REPORTING REQUIREMENTS FOR MARKET </w:t>
      </w:r>
      <w:r w:rsidR="00E66C26" w:rsidRPr="00FE3C59">
        <w:rPr>
          <w:rFonts w:ascii="Times New Roman" w:hAnsi="Times New Roman" w:cs="Times New Roman"/>
          <w:sz w:val="24"/>
          <w:szCs w:val="24"/>
        </w:rPr>
        <w:t>RISK</w:t>
      </w:r>
    </w:p>
    <w:p w14:paraId="7837E7D6" w14:textId="77777777" w:rsidR="001C5F9B" w:rsidRPr="00FE3C59" w:rsidRDefault="001C5F9B" w:rsidP="001C5F9B">
      <w:pPr>
        <w:spacing w:before="120" w:after="120"/>
        <w:rPr>
          <w:rFonts w:ascii="Times New Roman" w:hAnsi="Times New Roman" w:cs="Times New Roman"/>
          <w:sz w:val="24"/>
          <w:szCs w:val="24"/>
        </w:rPr>
      </w:pPr>
    </w:p>
    <w:p w14:paraId="31FA363B" w14:textId="69CF113E" w:rsidR="00DE0B30" w:rsidRDefault="00DE0B30" w:rsidP="001C5F9B">
      <w:pPr>
        <w:spacing w:before="120" w:after="12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016"/>
      </w:tblGrid>
      <w:tr w:rsidR="00BF1905" w:rsidRPr="00FE3C59" w14:paraId="251F1084" w14:textId="77777777" w:rsidTr="00394508">
        <w:tc>
          <w:tcPr>
            <w:tcW w:w="9016" w:type="dxa"/>
          </w:tcPr>
          <w:p w14:paraId="1E475E34" w14:textId="7B47BDA3" w:rsidR="00BF1905" w:rsidRPr="00FE3C59" w:rsidRDefault="00BF1905" w:rsidP="00394508">
            <w:pPr>
              <w:pStyle w:val="body"/>
              <w:rPr>
                <w:rFonts w:ascii="Times New Roman" w:eastAsiaTheme="minorHAnsi" w:hAnsi="Times New Roman" w:cs="Times New Roman"/>
                <w:b/>
                <w:bCs/>
                <w:sz w:val="24"/>
                <w:lang w:val="en-GB"/>
              </w:rPr>
            </w:pPr>
            <w:r>
              <w:rPr>
                <w:rFonts w:ascii="Times New Roman" w:eastAsiaTheme="minorHAnsi" w:hAnsi="Times New Roman" w:cs="Times New Roman"/>
                <w:b/>
                <w:bCs/>
                <w:sz w:val="24"/>
                <w:lang w:val="en-GB"/>
              </w:rPr>
              <w:t>Tracked changes</w:t>
            </w:r>
          </w:p>
          <w:p w14:paraId="19108963" w14:textId="62E90D20" w:rsidR="00BF1905" w:rsidRDefault="00BF1905" w:rsidP="00394508">
            <w:pPr>
              <w:jc w:val="both"/>
              <w:rPr>
                <w:rFonts w:ascii="Times New Roman" w:hAnsi="Times New Roman" w:cs="Times New Roman"/>
                <w:sz w:val="24"/>
                <w:szCs w:val="24"/>
              </w:rPr>
            </w:pPr>
            <w:r>
              <w:rPr>
                <w:rFonts w:ascii="Times New Roman" w:hAnsi="Times New Roman" w:cs="Times New Roman"/>
                <w:sz w:val="24"/>
                <w:szCs w:val="24"/>
              </w:rPr>
              <w:t>Due to the magnitude of the changes to this annex, the amendments to the different sections are not shown in tracked changes.</w:t>
            </w:r>
          </w:p>
          <w:p w14:paraId="21A97C10" w14:textId="77777777" w:rsidR="00516437" w:rsidRDefault="00516437" w:rsidP="00394508">
            <w:pPr>
              <w:jc w:val="both"/>
              <w:rPr>
                <w:rFonts w:ascii="Times New Roman" w:hAnsi="Times New Roman" w:cs="Times New Roman"/>
                <w:sz w:val="24"/>
                <w:szCs w:val="24"/>
              </w:rPr>
            </w:pPr>
          </w:p>
          <w:p w14:paraId="581D2E0B" w14:textId="36F2F374" w:rsidR="00BF1905" w:rsidRDefault="00BF1905" w:rsidP="00394508">
            <w:pPr>
              <w:jc w:val="both"/>
              <w:rPr>
                <w:rFonts w:ascii="Times New Roman" w:hAnsi="Times New Roman" w:cs="Times New Roman"/>
                <w:sz w:val="24"/>
                <w:szCs w:val="24"/>
              </w:rPr>
            </w:pPr>
            <w:r>
              <w:rPr>
                <w:rFonts w:ascii="Times New Roman" w:hAnsi="Times New Roman" w:cs="Times New Roman"/>
                <w:sz w:val="24"/>
                <w:szCs w:val="24"/>
              </w:rPr>
              <w:t>In Part I, a new section 1.4 was added</w:t>
            </w:r>
            <w:r w:rsidR="006D13A4">
              <w:rPr>
                <w:rFonts w:ascii="Times New Roman" w:hAnsi="Times New Roman" w:cs="Times New Roman"/>
                <w:sz w:val="24"/>
                <w:szCs w:val="24"/>
              </w:rPr>
              <w:t>, and the section on abbreviations was dropped</w:t>
            </w:r>
            <w:r>
              <w:rPr>
                <w:rFonts w:ascii="Times New Roman" w:hAnsi="Times New Roman" w:cs="Times New Roman"/>
                <w:sz w:val="24"/>
                <w:szCs w:val="24"/>
              </w:rPr>
              <w:t>. Otherwise, this part remains unchanged.</w:t>
            </w:r>
          </w:p>
          <w:p w14:paraId="42FBF61F" w14:textId="77777777" w:rsidR="00516437" w:rsidRDefault="00516437" w:rsidP="00394508">
            <w:pPr>
              <w:jc w:val="both"/>
              <w:rPr>
                <w:rFonts w:ascii="Times New Roman" w:hAnsi="Times New Roman" w:cs="Times New Roman"/>
                <w:sz w:val="24"/>
                <w:szCs w:val="24"/>
              </w:rPr>
            </w:pPr>
          </w:p>
          <w:p w14:paraId="45DD75D8" w14:textId="48D7ACDE" w:rsidR="00BF1905" w:rsidRPr="00FE3C59" w:rsidRDefault="00EB374E" w:rsidP="00394508">
            <w:pPr>
              <w:jc w:val="both"/>
              <w:rPr>
                <w:rFonts w:ascii="Times New Roman" w:hAnsi="Times New Roman" w:cs="Times New Roman"/>
                <w:sz w:val="24"/>
                <w:szCs w:val="24"/>
              </w:rPr>
            </w:pPr>
            <w:r>
              <w:rPr>
                <w:rFonts w:ascii="Times New Roman" w:hAnsi="Times New Roman" w:cs="Times New Roman"/>
                <w:sz w:val="24"/>
                <w:szCs w:val="24"/>
              </w:rPr>
              <w:t xml:space="preserve">In Part II, </w:t>
            </w:r>
            <w:r w:rsidR="00953EEF">
              <w:rPr>
                <w:rFonts w:ascii="Times New Roman" w:hAnsi="Times New Roman" w:cs="Times New Roman"/>
                <w:sz w:val="24"/>
                <w:szCs w:val="24"/>
              </w:rPr>
              <w:t>section</w:t>
            </w:r>
            <w:r w:rsidR="002C072B">
              <w:rPr>
                <w:rFonts w:ascii="Times New Roman" w:hAnsi="Times New Roman" w:cs="Times New Roman"/>
                <w:sz w:val="24"/>
                <w:szCs w:val="24"/>
              </w:rPr>
              <w:t>s</w:t>
            </w:r>
            <w:r w:rsidR="00953EEF">
              <w:rPr>
                <w:rFonts w:ascii="Times New Roman" w:hAnsi="Times New Roman" w:cs="Times New Roman"/>
                <w:sz w:val="24"/>
                <w:szCs w:val="24"/>
              </w:rPr>
              <w:t xml:space="preserve"> 1 </w:t>
            </w:r>
            <w:r w:rsidR="002C072B">
              <w:rPr>
                <w:rFonts w:ascii="Times New Roman" w:hAnsi="Times New Roman" w:cs="Times New Roman"/>
                <w:sz w:val="24"/>
                <w:szCs w:val="24"/>
              </w:rPr>
              <w:t>and 2.2</w:t>
            </w:r>
            <w:r w:rsidR="00521F4A">
              <w:rPr>
                <w:rFonts w:ascii="Times New Roman" w:hAnsi="Times New Roman" w:cs="Times New Roman"/>
                <w:sz w:val="24"/>
                <w:szCs w:val="24"/>
              </w:rPr>
              <w:t xml:space="preserve"> </w:t>
            </w:r>
            <w:r w:rsidR="00953EEF">
              <w:rPr>
                <w:rFonts w:ascii="Times New Roman" w:hAnsi="Times New Roman" w:cs="Times New Roman"/>
                <w:sz w:val="24"/>
                <w:szCs w:val="24"/>
              </w:rPr>
              <w:t>w</w:t>
            </w:r>
            <w:r w:rsidR="00521F4A">
              <w:rPr>
                <w:rFonts w:ascii="Times New Roman" w:hAnsi="Times New Roman" w:cs="Times New Roman"/>
                <w:sz w:val="24"/>
                <w:szCs w:val="24"/>
              </w:rPr>
              <w:t>ere</w:t>
            </w:r>
            <w:r w:rsidR="00953EEF">
              <w:rPr>
                <w:rFonts w:ascii="Times New Roman" w:hAnsi="Times New Roman" w:cs="Times New Roman"/>
                <w:sz w:val="24"/>
                <w:szCs w:val="24"/>
              </w:rPr>
              <w:t xml:space="preserve"> revised</w:t>
            </w:r>
            <w:r w:rsidR="005F51CE">
              <w:rPr>
                <w:rFonts w:ascii="Times New Roman" w:hAnsi="Times New Roman" w:cs="Times New Roman"/>
                <w:sz w:val="24"/>
                <w:szCs w:val="24"/>
              </w:rPr>
              <w:t xml:space="preserve"> to a limited extent</w:t>
            </w:r>
            <w:r w:rsidR="00953EEF">
              <w:rPr>
                <w:rFonts w:ascii="Times New Roman" w:hAnsi="Times New Roman" w:cs="Times New Roman"/>
                <w:sz w:val="24"/>
                <w:szCs w:val="24"/>
              </w:rPr>
              <w:t xml:space="preserve">. </w:t>
            </w:r>
            <w:r w:rsidR="005F51CE">
              <w:rPr>
                <w:rFonts w:ascii="Times New Roman" w:hAnsi="Times New Roman" w:cs="Times New Roman"/>
                <w:sz w:val="24"/>
                <w:szCs w:val="24"/>
              </w:rPr>
              <w:t xml:space="preserve">The other subsections of </w:t>
            </w:r>
            <w:r w:rsidR="00953EEF">
              <w:rPr>
                <w:rFonts w:ascii="Times New Roman" w:hAnsi="Times New Roman" w:cs="Times New Roman"/>
                <w:sz w:val="24"/>
                <w:szCs w:val="24"/>
              </w:rPr>
              <w:t>Sections 2</w:t>
            </w:r>
            <w:r w:rsidR="005F51CE">
              <w:rPr>
                <w:rFonts w:ascii="Times New Roman" w:hAnsi="Times New Roman" w:cs="Times New Roman"/>
                <w:sz w:val="24"/>
                <w:szCs w:val="24"/>
              </w:rPr>
              <w:t>, as well as Section</w:t>
            </w:r>
            <w:r w:rsidR="00953EEF">
              <w:rPr>
                <w:rFonts w:ascii="Times New Roman" w:hAnsi="Times New Roman" w:cs="Times New Roman"/>
                <w:sz w:val="24"/>
                <w:szCs w:val="24"/>
              </w:rPr>
              <w:t xml:space="preserve"> 3</w:t>
            </w:r>
            <w:r w:rsidR="005F51CE">
              <w:rPr>
                <w:rFonts w:ascii="Times New Roman" w:hAnsi="Times New Roman" w:cs="Times New Roman"/>
                <w:sz w:val="24"/>
                <w:szCs w:val="24"/>
              </w:rPr>
              <w:t>, are new additions.</w:t>
            </w:r>
          </w:p>
          <w:p w14:paraId="2A73520A" w14:textId="77777777" w:rsidR="00BF1905" w:rsidRPr="00FE3C59" w:rsidRDefault="00BF1905" w:rsidP="00394508">
            <w:pPr>
              <w:rPr>
                <w:rFonts w:ascii="Times New Roman" w:hAnsi="Times New Roman" w:cs="Times New Roman"/>
              </w:rPr>
            </w:pPr>
          </w:p>
        </w:tc>
      </w:tr>
    </w:tbl>
    <w:p w14:paraId="47D5648B" w14:textId="77777777" w:rsidR="00BF1905" w:rsidRPr="00FE3C59" w:rsidRDefault="00BF1905" w:rsidP="001C5F9B">
      <w:pPr>
        <w:spacing w:before="120" w:after="120"/>
        <w:rPr>
          <w:rFonts w:ascii="Times New Roman" w:hAnsi="Times New Roman" w:cs="Times New Roman"/>
          <w:sz w:val="24"/>
          <w:szCs w:val="24"/>
        </w:rPr>
      </w:pPr>
    </w:p>
    <w:p w14:paraId="66FF3904" w14:textId="77777777" w:rsidR="001C5F9B" w:rsidRPr="00FE3C59" w:rsidRDefault="001C5F9B" w:rsidP="001C5F9B">
      <w:pPr>
        <w:spacing w:before="120" w:after="120"/>
        <w:rPr>
          <w:rFonts w:ascii="Times New Roman" w:hAnsi="Times New Roman" w:cs="Times New Roman"/>
          <w:sz w:val="24"/>
          <w:szCs w:val="24"/>
        </w:rPr>
      </w:pPr>
      <w:r w:rsidRPr="00FE3C59">
        <w:rPr>
          <w:rFonts w:ascii="Times New Roman" w:hAnsi="Times New Roman" w:cs="Times New Roman"/>
          <w:sz w:val="24"/>
          <w:szCs w:val="24"/>
        </w:rPr>
        <w:br w:type="page"/>
      </w:r>
    </w:p>
    <w:p w14:paraId="683B4882" w14:textId="77777777" w:rsidR="001C5F9B" w:rsidRPr="00FE3C59" w:rsidRDefault="001C5F9B" w:rsidP="001C5F9B">
      <w:pPr>
        <w:pStyle w:val="Heading2"/>
        <w:rPr>
          <w:rFonts w:ascii="Times New Roman" w:hAnsi="Times New Roman"/>
          <w:lang w:val="en-GB"/>
        </w:rPr>
      </w:pPr>
      <w:bookmarkStart w:id="0" w:name="_Toc264038394"/>
      <w:bookmarkStart w:id="1" w:name="_Toc360188317"/>
      <w:bookmarkStart w:id="2" w:name="_Toc473560865"/>
      <w:bookmarkStart w:id="3" w:name="_Toc7084149"/>
      <w:bookmarkStart w:id="4" w:name="_Toc37168629"/>
      <w:r w:rsidRPr="00FE3C59">
        <w:rPr>
          <w:rFonts w:ascii="Times New Roman" w:hAnsi="Times New Roman"/>
          <w:lang w:val="en-GB"/>
        </w:rPr>
        <w:lastRenderedPageBreak/>
        <w:t>PART I:</w:t>
      </w:r>
      <w:bookmarkEnd w:id="0"/>
      <w:r w:rsidRPr="00FE3C59">
        <w:rPr>
          <w:rFonts w:ascii="Times New Roman" w:hAnsi="Times New Roman"/>
          <w:lang w:val="en-GB"/>
        </w:rPr>
        <w:t xml:space="preserve"> GENERAL INSTRUCTIONS</w:t>
      </w:r>
      <w:bookmarkEnd w:id="1"/>
      <w:bookmarkEnd w:id="2"/>
      <w:bookmarkEnd w:id="3"/>
      <w:bookmarkEnd w:id="4"/>
    </w:p>
    <w:p w14:paraId="45599F4F" w14:textId="663C60CD" w:rsidR="001C5F9B" w:rsidRPr="00FE3C59" w:rsidRDefault="001C5F9B" w:rsidP="001C5F9B">
      <w:pPr>
        <w:pStyle w:val="Instructionsberschrift2"/>
        <w:numPr>
          <w:ilvl w:val="0"/>
          <w:numId w:val="0"/>
        </w:numPr>
        <w:ind w:left="357" w:hanging="357"/>
        <w:rPr>
          <w:rFonts w:ascii="Times New Roman" w:hAnsi="Times New Roman" w:cs="Times New Roman"/>
          <w:sz w:val="24"/>
          <w:szCs w:val="24"/>
          <w:u w:val="none"/>
          <w:lang w:val="en-GB"/>
        </w:rPr>
      </w:pPr>
      <w:bookmarkStart w:id="5" w:name="_Toc360188318"/>
      <w:bookmarkStart w:id="6" w:name="_Toc473560866"/>
      <w:bookmarkStart w:id="7" w:name="_Toc7084150"/>
      <w:bookmarkStart w:id="8" w:name="_Toc37168630"/>
      <w:r w:rsidRPr="00FE3C59">
        <w:rPr>
          <w:rFonts w:ascii="Times New Roman" w:hAnsi="Times New Roman" w:cs="Times New Roman"/>
          <w:sz w:val="24"/>
          <w:szCs w:val="24"/>
          <w:u w:val="none"/>
          <w:lang w:val="en-GB"/>
        </w:rPr>
        <w:t>1.</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Structure and conventions</w:t>
      </w:r>
      <w:bookmarkEnd w:id="5"/>
      <w:bookmarkEnd w:id="6"/>
      <w:bookmarkEnd w:id="7"/>
      <w:bookmarkEnd w:id="8"/>
    </w:p>
    <w:p w14:paraId="1A416BC0" w14:textId="77777777" w:rsidR="001C5F9B" w:rsidRPr="00FE3C59" w:rsidRDefault="001C5F9B" w:rsidP="001C5F9B">
      <w:pPr>
        <w:pStyle w:val="Instructionsberschrift2"/>
        <w:numPr>
          <w:ilvl w:val="0"/>
          <w:numId w:val="0"/>
        </w:numPr>
        <w:ind w:left="357" w:hanging="357"/>
        <w:rPr>
          <w:rFonts w:ascii="Times New Roman" w:hAnsi="Times New Roman" w:cs="Times New Roman"/>
          <w:sz w:val="24"/>
          <w:szCs w:val="24"/>
          <w:u w:val="none"/>
          <w:lang w:val="en-GB"/>
        </w:rPr>
      </w:pPr>
      <w:bookmarkStart w:id="9" w:name="_Toc360188319"/>
      <w:bookmarkStart w:id="10" w:name="_Toc473560867"/>
      <w:bookmarkStart w:id="11" w:name="_Toc7084151"/>
      <w:bookmarkStart w:id="12" w:name="_Toc37168631"/>
      <w:r w:rsidRPr="00FE3C59">
        <w:rPr>
          <w:rFonts w:ascii="Times New Roman" w:hAnsi="Times New Roman" w:cs="Times New Roman"/>
          <w:sz w:val="24"/>
          <w:szCs w:val="24"/>
          <w:u w:val="none"/>
          <w:lang w:val="en-GB"/>
        </w:rPr>
        <w:t>1.1</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Structure</w:t>
      </w:r>
      <w:bookmarkEnd w:id="9"/>
      <w:bookmarkEnd w:id="10"/>
      <w:bookmarkEnd w:id="11"/>
      <w:bookmarkEnd w:id="12"/>
    </w:p>
    <w:p w14:paraId="5ACF5441" w14:textId="50239E6D" w:rsidR="001C5F9B" w:rsidRPr="00FE3C59" w:rsidRDefault="00E86454" w:rsidP="001C5F9B">
      <w:pPr>
        <w:pStyle w:val="InstructionsText2"/>
        <w:numPr>
          <w:ilvl w:val="0"/>
          <w:numId w:val="7"/>
        </w:numPr>
      </w:pPr>
      <w:r w:rsidRPr="00FE3C59">
        <w:t>For the</w:t>
      </w:r>
      <w:r w:rsidR="001854BD" w:rsidRPr="00FE3C59">
        <w:t xml:space="preserve"> purposes of</w:t>
      </w:r>
      <w:r w:rsidRPr="00FE3C59">
        <w:t xml:space="preserve"> reporting </w:t>
      </w:r>
      <w:r w:rsidR="001854BD" w:rsidRPr="00FE3C59">
        <w:t>information in accordance with</w:t>
      </w:r>
      <w:r w:rsidRPr="00FE3C59">
        <w:t xml:space="preserve"> this Implementing Regulation, institutions are required to fill in </w:t>
      </w:r>
      <w:r w:rsidR="001C5F9B" w:rsidRPr="00FE3C59">
        <w:t>t</w:t>
      </w:r>
      <w:r w:rsidR="00BE544A" w:rsidRPr="00FE3C59">
        <w:t>he following</w:t>
      </w:r>
      <w:r w:rsidR="001C5F9B" w:rsidRPr="00FE3C59">
        <w:t xml:space="preserve"> templates:</w:t>
      </w:r>
    </w:p>
    <w:p w14:paraId="5EE02198" w14:textId="13A2CB14" w:rsidR="001C5F9B" w:rsidRPr="00FE3C59" w:rsidRDefault="001C5F9B" w:rsidP="001C5F9B">
      <w:pPr>
        <w:pStyle w:val="InstructionsText2"/>
        <w:ind w:left="993" w:firstLine="0"/>
      </w:pPr>
      <w:r w:rsidRPr="00FE3C59">
        <w:t>(a)</w:t>
      </w:r>
      <w:r w:rsidRPr="00FE3C59">
        <w:tab/>
      </w:r>
      <w:r w:rsidR="00583E78" w:rsidRPr="00FE3C59">
        <w:t xml:space="preserve">a template </w:t>
      </w:r>
      <w:r w:rsidR="00190661" w:rsidRPr="00FE3C59">
        <w:t xml:space="preserve">for reporting the </w:t>
      </w:r>
      <w:r w:rsidR="00583E78" w:rsidRPr="00FE3C59">
        <w:t xml:space="preserve">information </w:t>
      </w:r>
      <w:r w:rsidR="00CB659C" w:rsidRPr="00FE3C59">
        <w:t>on</w:t>
      </w:r>
      <w:r w:rsidR="00190661" w:rsidRPr="00FE3C59">
        <w:t xml:space="preserve"> </w:t>
      </w:r>
      <w:r w:rsidR="00583E78" w:rsidRPr="00FE3C59">
        <w:t xml:space="preserve">the thresholds </w:t>
      </w:r>
      <w:r w:rsidR="00FE1C03" w:rsidRPr="00FE3C59">
        <w:t>set out in</w:t>
      </w:r>
      <w:r w:rsidR="00583E78" w:rsidRPr="00FE3C59">
        <w:t xml:space="preserve"> Article</w:t>
      </w:r>
      <w:r w:rsidR="00FE1C03" w:rsidRPr="00FE3C59">
        <w:t>s</w:t>
      </w:r>
      <w:r w:rsidR="00583E78" w:rsidRPr="00FE3C59">
        <w:t xml:space="preserve"> 94 and 325a </w:t>
      </w:r>
      <w:r w:rsidR="00DC301D" w:rsidRPr="00FE3C59">
        <w:t>of Regulation (EU) No 575/2013</w:t>
      </w:r>
      <w:r w:rsidR="00BF4381" w:rsidRPr="00FE3C59">
        <w:t>;</w:t>
      </w:r>
    </w:p>
    <w:p w14:paraId="36B18670" w14:textId="109B3EE7" w:rsidR="15280C37" w:rsidRPr="00FE3C59" w:rsidRDefault="001C5F9B" w:rsidP="15280C37">
      <w:pPr>
        <w:pStyle w:val="InstructionsText2"/>
        <w:ind w:left="993" w:firstLine="0"/>
      </w:pPr>
      <w:r w:rsidRPr="00FE3C59">
        <w:t>(b)</w:t>
      </w:r>
      <w:r w:rsidRPr="00FE3C59">
        <w:tab/>
      </w:r>
      <w:r w:rsidR="00700DEA" w:rsidRPr="00FE3C59">
        <w:t xml:space="preserve">a </w:t>
      </w:r>
      <w:r w:rsidR="002B3EA1" w:rsidRPr="00FE3C59">
        <w:t>set of</w:t>
      </w:r>
      <w:r w:rsidR="00700DEA" w:rsidRPr="00FE3C59">
        <w:t xml:space="preserve"> </w:t>
      </w:r>
      <w:r w:rsidR="00E86454" w:rsidRPr="00FE3C59">
        <w:t>template</w:t>
      </w:r>
      <w:r w:rsidR="6ED56AA7" w:rsidRPr="00FE3C59">
        <w:t>s</w:t>
      </w:r>
      <w:r w:rsidR="00E86454" w:rsidRPr="00FE3C59">
        <w:t xml:space="preserve"> </w:t>
      </w:r>
      <w:r w:rsidR="00CB659C" w:rsidRPr="00FE3C59">
        <w:t>for</w:t>
      </w:r>
      <w:r w:rsidR="00700DEA" w:rsidRPr="00FE3C59">
        <w:t xml:space="preserve"> reporting</w:t>
      </w:r>
      <w:r w:rsidR="00E86454" w:rsidRPr="00FE3C59">
        <w:t xml:space="preserve"> </w:t>
      </w:r>
      <w:r w:rsidR="003234DE" w:rsidRPr="00FE3C59">
        <w:t xml:space="preserve">on </w:t>
      </w:r>
      <w:r w:rsidR="00583E78" w:rsidRPr="00FE3C59">
        <w:t xml:space="preserve">the own funds requirements </w:t>
      </w:r>
      <w:r w:rsidR="00334BC4" w:rsidRPr="00FE3C59">
        <w:t>based on</w:t>
      </w:r>
      <w:r w:rsidR="00583E78" w:rsidRPr="00FE3C59">
        <w:t xml:space="preserve"> the </w:t>
      </w:r>
      <w:r w:rsidR="00046A6A" w:rsidRPr="00FE3C59">
        <w:t>a</w:t>
      </w:r>
      <w:r w:rsidR="00583E78" w:rsidRPr="00FE3C59">
        <w:t xml:space="preserve">lternative </w:t>
      </w:r>
      <w:r w:rsidR="00046A6A" w:rsidRPr="00FE3C59">
        <w:t>s</w:t>
      </w:r>
      <w:r w:rsidR="00583E78" w:rsidRPr="00FE3C59">
        <w:t>tandardised approach</w:t>
      </w:r>
      <w:r w:rsidR="00BF4381" w:rsidRPr="00FE3C59">
        <w:t xml:space="preserve"> for market risk</w:t>
      </w:r>
      <w:r w:rsidR="003234DE" w:rsidRPr="00FE3C59">
        <w:t>, including</w:t>
      </w:r>
      <w:r w:rsidR="5A70D7E6" w:rsidRPr="00FE3C59">
        <w:t>:</w:t>
      </w:r>
    </w:p>
    <w:p w14:paraId="029B27B2" w14:textId="77777777" w:rsidR="003234DE" w:rsidRPr="00FE3C59" w:rsidRDefault="003234DE" w:rsidP="003234DE">
      <w:pPr>
        <w:pStyle w:val="InstructionsText2"/>
        <w:ind w:left="1416" w:firstLine="0"/>
      </w:pPr>
      <w:r w:rsidRPr="00FE3C59">
        <w:t>i. a summary template,</w:t>
      </w:r>
    </w:p>
    <w:p w14:paraId="7F182196" w14:textId="130FA6F3" w:rsidR="00E21533" w:rsidRPr="00FE3C59" w:rsidRDefault="003234DE" w:rsidP="00E21533">
      <w:pPr>
        <w:pStyle w:val="InstructionsText2"/>
        <w:ind w:left="1416" w:firstLine="0"/>
      </w:pPr>
      <w:r w:rsidRPr="00FE3C59">
        <w:t>ii.</w:t>
      </w:r>
      <w:r w:rsidR="429D4973" w:rsidRPr="00FE3C59">
        <w:t xml:space="preserve"> a set of templates for reporting information on the calculation of own funds requirements under the sensitivities-based method </w:t>
      </w:r>
      <w:r w:rsidR="00E21533" w:rsidRPr="00FE3C59">
        <w:t>for all</w:t>
      </w:r>
      <w:r w:rsidR="429D4973" w:rsidRPr="00FE3C59">
        <w:t xml:space="preserve"> the relevant risk classes</w:t>
      </w:r>
      <w:r w:rsidR="00F25FAC" w:rsidRPr="00FE3C59">
        <w:t>,</w:t>
      </w:r>
    </w:p>
    <w:p w14:paraId="246B0544" w14:textId="28101FE3" w:rsidR="005E62DE" w:rsidRPr="00FE3C59" w:rsidRDefault="005E62DE" w:rsidP="005E62DE">
      <w:pPr>
        <w:pStyle w:val="InstructionsText2"/>
        <w:ind w:left="1416" w:firstLine="0"/>
      </w:pPr>
      <w:r w:rsidRPr="00FE3C59">
        <w:t>iii. a template for reporting information on the calculation of own funds requirements for residual risks</w:t>
      </w:r>
    </w:p>
    <w:p w14:paraId="76616C8E" w14:textId="1B197655" w:rsidR="00070787" w:rsidRPr="00FE3C59" w:rsidRDefault="00E21533" w:rsidP="002F2238">
      <w:pPr>
        <w:pStyle w:val="InstructionsText2"/>
        <w:ind w:left="1416" w:firstLine="0"/>
      </w:pPr>
      <w:r w:rsidRPr="00FE3C59">
        <w:t>i</w:t>
      </w:r>
      <w:r w:rsidR="00B4532B" w:rsidRPr="00FE3C59">
        <w:t>v</w:t>
      </w:r>
      <w:r w:rsidRPr="00FE3C59">
        <w:t>.</w:t>
      </w:r>
      <w:r w:rsidR="00D263A5" w:rsidRPr="00FE3C59">
        <w:t xml:space="preserve"> a set of templates for reporting information on the calculation of</w:t>
      </w:r>
      <w:r w:rsidR="006E008C" w:rsidRPr="00FE3C59">
        <w:t xml:space="preserve"> </w:t>
      </w:r>
      <w:r w:rsidR="00C54425" w:rsidRPr="00FE3C59">
        <w:t xml:space="preserve">own funds requirements </w:t>
      </w:r>
      <w:r w:rsidR="00070787" w:rsidRPr="00FE3C59">
        <w:t>for default risk</w:t>
      </w:r>
      <w:r w:rsidR="00B4532B" w:rsidRPr="00FE3C59">
        <w:t xml:space="preserve"> and</w:t>
      </w:r>
    </w:p>
    <w:p w14:paraId="19B355D4" w14:textId="018D1F81" w:rsidR="00F25FAC" w:rsidRPr="00FE3C59" w:rsidRDefault="002F2238" w:rsidP="00F25FAC">
      <w:pPr>
        <w:pStyle w:val="InstructionsText2"/>
        <w:ind w:left="993" w:firstLine="0"/>
      </w:pPr>
      <w:r w:rsidRPr="00FE3C59">
        <w:t>(c)</w:t>
      </w:r>
      <w:r w:rsidRPr="00FE3C59">
        <w:tab/>
      </w:r>
      <w:r w:rsidR="003C4DBF" w:rsidRPr="00FE3C59">
        <w:t>a set of template for reporting on the own funds requirements based on the alternative internal model approach for market risk, including</w:t>
      </w:r>
    </w:p>
    <w:p w14:paraId="5588420C" w14:textId="77777777" w:rsidR="003C4DBF" w:rsidRPr="00FE3C59" w:rsidRDefault="003C4DBF" w:rsidP="003C4DBF">
      <w:pPr>
        <w:pStyle w:val="InstructionsText2"/>
        <w:ind w:left="1416" w:firstLine="0"/>
      </w:pPr>
      <w:r w:rsidRPr="00FE3C59">
        <w:t>i. a summary template,</w:t>
      </w:r>
    </w:p>
    <w:p w14:paraId="675A9CD3" w14:textId="14803B01" w:rsidR="003C4DBF" w:rsidRPr="00FE3C59" w:rsidRDefault="003C4DBF" w:rsidP="003C4DBF">
      <w:pPr>
        <w:pStyle w:val="InstructionsText2"/>
        <w:ind w:left="1416" w:firstLine="0"/>
      </w:pPr>
      <w:r w:rsidRPr="00FE3C59">
        <w:t>ii. a set of templates for reporting detailed information on</w:t>
      </w:r>
      <w:r w:rsidR="00F62DAF" w:rsidRPr="00FE3C59">
        <w:t xml:space="preserve"> the risk factor eligibility test,</w:t>
      </w:r>
      <w:r w:rsidRPr="00FE3C59">
        <w:t xml:space="preserve"> the calculation of </w:t>
      </w:r>
      <w:r w:rsidR="00C0744D" w:rsidRPr="00FE3C59">
        <w:t>the expected shortfall and stress scenario risk measures</w:t>
      </w:r>
      <w:r w:rsidR="00F62DAF" w:rsidRPr="00FE3C59">
        <w:t>, including back</w:t>
      </w:r>
      <w:r w:rsidR="006D33D0" w:rsidRPr="00FE3C59">
        <w:t>-</w:t>
      </w:r>
      <w:r w:rsidR="00F62DAF" w:rsidRPr="00FE3C59">
        <w:t>testing results, and</w:t>
      </w:r>
    </w:p>
    <w:p w14:paraId="1A3F3C05" w14:textId="276C87E2" w:rsidR="003C4DBF" w:rsidRDefault="003C4DBF" w:rsidP="003C4DBF">
      <w:pPr>
        <w:pStyle w:val="InstructionsText2"/>
        <w:ind w:left="1416" w:firstLine="0"/>
      </w:pPr>
      <w:r w:rsidRPr="00FE3C59">
        <w:t>iii. a</w:t>
      </w:r>
      <w:r w:rsidR="00F62DAF" w:rsidRPr="00FE3C59">
        <w:t xml:space="preserve"> set of</w:t>
      </w:r>
      <w:r w:rsidRPr="00FE3C59">
        <w:t xml:space="preserve"> template</w:t>
      </w:r>
      <w:r w:rsidR="00F62DAF" w:rsidRPr="00FE3C59">
        <w:t>s</w:t>
      </w:r>
      <w:r w:rsidRPr="00FE3C59">
        <w:t xml:space="preserve"> for reporting information on </w:t>
      </w:r>
      <w:r w:rsidR="00F62DAF" w:rsidRPr="00FE3C59">
        <w:t>instruments included in the scope of the internal default risk model.</w:t>
      </w:r>
    </w:p>
    <w:p w14:paraId="09A5B801" w14:textId="07A21733" w:rsidR="00006622" w:rsidRPr="00FE3C59" w:rsidRDefault="00006622" w:rsidP="00006622">
      <w:pPr>
        <w:pStyle w:val="InstructionsText2"/>
        <w:ind w:left="993" w:firstLine="0"/>
      </w:pPr>
      <w:r>
        <w:t>(d)</w:t>
      </w:r>
      <w:r>
        <w:tab/>
      </w:r>
      <w:r w:rsidRPr="00FE3C59">
        <w:t xml:space="preserve">a template for reporting information on the profit and loss attributable to positions in scope of the alternative standardised approach. </w:t>
      </w:r>
    </w:p>
    <w:p w14:paraId="5A28A9FC" w14:textId="77777777" w:rsidR="001C5F9B" w:rsidRPr="00FE3C59" w:rsidRDefault="001C5F9B" w:rsidP="001C5F9B">
      <w:pPr>
        <w:pStyle w:val="Instructionsberschrift2"/>
        <w:numPr>
          <w:ilvl w:val="0"/>
          <w:numId w:val="0"/>
        </w:numPr>
        <w:ind w:left="357" w:hanging="357"/>
        <w:rPr>
          <w:rFonts w:ascii="Times New Roman" w:hAnsi="Times New Roman" w:cs="Times New Roman"/>
          <w:sz w:val="24"/>
          <w:szCs w:val="24"/>
          <w:u w:val="none"/>
          <w:lang w:val="en-GB"/>
        </w:rPr>
      </w:pPr>
      <w:bookmarkStart w:id="13" w:name="_Toc37168632"/>
      <w:r w:rsidRPr="00FE3C59">
        <w:rPr>
          <w:rFonts w:ascii="Times New Roman" w:hAnsi="Times New Roman" w:cs="Times New Roman"/>
          <w:sz w:val="24"/>
          <w:szCs w:val="24"/>
          <w:u w:val="none"/>
          <w:lang w:val="en-GB"/>
        </w:rPr>
        <w:t>1.2</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Numbering convention</w:t>
      </w:r>
      <w:bookmarkEnd w:id="13"/>
    </w:p>
    <w:p w14:paraId="650E157E" w14:textId="75BCBC44" w:rsidR="001C5F9B" w:rsidRPr="00FE3C59" w:rsidRDefault="001C5F9B" w:rsidP="001C5F9B">
      <w:pPr>
        <w:pStyle w:val="InstructionsText2"/>
        <w:numPr>
          <w:ilvl w:val="0"/>
          <w:numId w:val="7"/>
        </w:numPr>
      </w:pPr>
      <w:r w:rsidRPr="00FE3C59">
        <w:t xml:space="preserve">The </w:t>
      </w:r>
      <w:r w:rsidR="001854BD" w:rsidRPr="00FE3C59">
        <w:t xml:space="preserve">following </w:t>
      </w:r>
      <w:r w:rsidRPr="00FE3C59">
        <w:t>convention</w:t>
      </w:r>
      <w:r w:rsidR="00FD4822" w:rsidRPr="00FE3C59">
        <w:t>s</w:t>
      </w:r>
      <w:r w:rsidRPr="00FE3C59">
        <w:t xml:space="preserve"> </w:t>
      </w:r>
      <w:r w:rsidR="001854BD" w:rsidRPr="00FE3C59">
        <w:t xml:space="preserve">are used to </w:t>
      </w:r>
      <w:r w:rsidRPr="00FE3C59">
        <w:t>refer to the columns, rows and cells of the templates</w:t>
      </w:r>
      <w:r w:rsidR="001854BD" w:rsidRPr="00FE3C59">
        <w:t xml:space="preserve"> in these instructions and the validation rules </w:t>
      </w:r>
      <w:r w:rsidRPr="00FE3C59">
        <w:t xml:space="preserve">used </w:t>
      </w:r>
      <w:r w:rsidR="00FD4822" w:rsidRPr="00FE3C59">
        <w:t>to validate the reported information:</w:t>
      </w:r>
      <w:r w:rsidR="00E86454" w:rsidRPr="00FE3C59">
        <w:t xml:space="preserve"> </w:t>
      </w:r>
    </w:p>
    <w:p w14:paraId="685B60A8" w14:textId="378C4C35" w:rsidR="001C5F9B" w:rsidRPr="00FE3C59" w:rsidRDefault="00CB659C" w:rsidP="00FE4C65">
      <w:pPr>
        <w:pStyle w:val="InstructionsText2"/>
        <w:ind w:left="2268" w:hanging="852"/>
      </w:pPr>
      <w:r w:rsidRPr="00FE3C59">
        <w:t>(a)</w:t>
      </w:r>
      <w:r w:rsidR="00FE4C65" w:rsidRPr="00FE3C59">
        <w:tab/>
        <w:t>t</w:t>
      </w:r>
      <w:r w:rsidR="001C5F9B" w:rsidRPr="00FE3C59">
        <w:t>he following general notation is followed in the instructions: {Tem</w:t>
      </w:r>
      <w:r w:rsidR="00485C29" w:rsidRPr="00FE3C59">
        <w:t>–</w:t>
      </w:r>
      <w:r w:rsidR="001C5F9B" w:rsidRPr="00FE3C59">
        <w:t>plate;Row;Column}</w:t>
      </w:r>
      <w:r w:rsidRPr="00FE3C59">
        <w:t>;</w:t>
      </w:r>
    </w:p>
    <w:p w14:paraId="1497FDBA" w14:textId="6BD64FE9" w:rsidR="001C5F9B" w:rsidRPr="00FE3C59" w:rsidRDefault="00CB659C" w:rsidP="00FE4C65">
      <w:pPr>
        <w:pStyle w:val="InstructionsText2"/>
        <w:ind w:left="2268" w:hanging="852"/>
      </w:pPr>
      <w:r w:rsidRPr="00FE3C59">
        <w:lastRenderedPageBreak/>
        <w:t>(b)</w:t>
      </w:r>
      <w:r w:rsidR="00FE4C65" w:rsidRPr="00FE3C59">
        <w:tab/>
        <w:t>i</w:t>
      </w:r>
      <w:r w:rsidR="001C5F9B" w:rsidRPr="00FE3C59">
        <w:t xml:space="preserve">n the case of </w:t>
      </w:r>
      <w:r w:rsidR="001854BD" w:rsidRPr="00FE3C59">
        <w:t xml:space="preserve">references or </w:t>
      </w:r>
      <w:r w:rsidR="001C5F9B" w:rsidRPr="00FE3C59">
        <w:t>validation</w:t>
      </w:r>
      <w:r w:rsidR="001854BD" w:rsidRPr="00FE3C59">
        <w:t xml:space="preserve"> rules</w:t>
      </w:r>
      <w:r w:rsidR="001C5F9B" w:rsidRPr="00FE3C59">
        <w:t xml:space="preserve"> inside a template, which</w:t>
      </w:r>
      <w:r w:rsidR="00D10FE0" w:rsidRPr="00FE3C59">
        <w:t xml:space="preserve"> refer to or use</w:t>
      </w:r>
      <w:r w:rsidR="001C5F9B" w:rsidRPr="00FE3C59">
        <w:t xml:space="preserve"> only data points of that template, </w:t>
      </w:r>
      <w:r w:rsidR="00D10FE0" w:rsidRPr="00FE3C59">
        <w:t>the</w:t>
      </w:r>
      <w:r w:rsidR="001C5F9B" w:rsidRPr="00FE3C59">
        <w:t xml:space="preserve"> template</w:t>
      </w:r>
      <w:r w:rsidR="001854BD" w:rsidRPr="00FE3C59">
        <w:t xml:space="preserve"> is </w:t>
      </w:r>
      <w:r w:rsidR="00D10FE0" w:rsidRPr="00FE3C59">
        <w:t xml:space="preserve">not </w:t>
      </w:r>
      <w:r w:rsidR="001854BD" w:rsidRPr="00FE3C59">
        <w:t>specified</w:t>
      </w:r>
      <w:r w:rsidR="001C5F9B" w:rsidRPr="00FE3C59">
        <w:t>: {Row;Column}</w:t>
      </w:r>
      <w:r w:rsidRPr="00FE3C59">
        <w:t>;</w:t>
      </w:r>
    </w:p>
    <w:p w14:paraId="25ED833E" w14:textId="591CC763" w:rsidR="001C5F9B" w:rsidRPr="00FE3C59" w:rsidRDefault="00CB659C" w:rsidP="00FE4C65">
      <w:pPr>
        <w:pStyle w:val="InstructionsText2"/>
        <w:ind w:left="2268" w:hanging="852"/>
      </w:pPr>
      <w:r w:rsidRPr="00FE3C59">
        <w:t>(c)</w:t>
      </w:r>
      <w:r w:rsidR="00FE4C65" w:rsidRPr="00FE3C59">
        <w:tab/>
        <w:t>i</w:t>
      </w:r>
      <w:r w:rsidR="001C5F9B" w:rsidRPr="00FE3C59">
        <w:t>n the case of templates with only one column, only rows are referred to</w:t>
      </w:r>
      <w:r w:rsidR="001854BD" w:rsidRPr="00FE3C59">
        <w:t>:</w:t>
      </w:r>
      <w:r w:rsidR="001C5F9B" w:rsidRPr="00FE3C59">
        <w:t xml:space="preserve"> {Template;Row}</w:t>
      </w:r>
      <w:r w:rsidRPr="00FE3C59">
        <w:t>;</w:t>
      </w:r>
    </w:p>
    <w:p w14:paraId="23D09D9E" w14:textId="1D014411" w:rsidR="001C5F9B" w:rsidRPr="00FE3C59" w:rsidRDefault="00CB659C" w:rsidP="00FE4C65">
      <w:pPr>
        <w:pStyle w:val="InstructionsText2"/>
        <w:ind w:left="2268" w:hanging="852"/>
      </w:pPr>
      <w:r w:rsidRPr="00FE3C59">
        <w:t>(d)</w:t>
      </w:r>
      <w:r w:rsidR="00FE4C65" w:rsidRPr="00FE3C59">
        <w:tab/>
        <w:t>a</w:t>
      </w:r>
      <w:r w:rsidR="001C5F9B" w:rsidRPr="00FE3C59">
        <w:t xml:space="preserve">n asterisk sign is used to express that the </w:t>
      </w:r>
      <w:r w:rsidR="00D10FE0" w:rsidRPr="00FE3C59">
        <w:t xml:space="preserve">reference or </w:t>
      </w:r>
      <w:r w:rsidR="001C5F9B" w:rsidRPr="00FE3C59">
        <w:t>validation</w:t>
      </w:r>
      <w:r w:rsidR="00D10FE0" w:rsidRPr="00FE3C59">
        <w:t xml:space="preserve"> rule</w:t>
      </w:r>
      <w:r w:rsidR="001C5F9B" w:rsidRPr="00FE3C59">
        <w:t xml:space="preserve"> </w:t>
      </w:r>
      <w:r w:rsidR="00D10FE0" w:rsidRPr="00FE3C59">
        <w:t>applies</w:t>
      </w:r>
      <w:r w:rsidR="001C5F9B" w:rsidRPr="00FE3C59">
        <w:t xml:space="preserve"> for the rows or columns specified before.</w:t>
      </w:r>
    </w:p>
    <w:p w14:paraId="153B83CD" w14:textId="18E7874A" w:rsidR="001C5F9B" w:rsidRPr="00FE3C59" w:rsidRDefault="001C5F9B" w:rsidP="001C5F9B">
      <w:pPr>
        <w:pStyle w:val="Instructionsberschrift2"/>
        <w:numPr>
          <w:ilvl w:val="0"/>
          <w:numId w:val="0"/>
        </w:numPr>
        <w:ind w:left="357" w:hanging="357"/>
        <w:rPr>
          <w:rFonts w:ascii="Times New Roman" w:hAnsi="Times New Roman" w:cs="Times New Roman"/>
          <w:sz w:val="24"/>
          <w:szCs w:val="24"/>
          <w:u w:val="none"/>
          <w:lang w:val="en-GB"/>
        </w:rPr>
      </w:pPr>
      <w:bookmarkStart w:id="14" w:name="_Toc37168633"/>
      <w:r w:rsidRPr="00FE3C59">
        <w:rPr>
          <w:rFonts w:ascii="Times New Roman" w:hAnsi="Times New Roman" w:cs="Times New Roman"/>
          <w:sz w:val="24"/>
          <w:szCs w:val="24"/>
          <w:u w:val="none"/>
          <w:lang w:val="en-GB"/>
        </w:rPr>
        <w:t>1.3</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Sign convention</w:t>
      </w:r>
      <w:bookmarkEnd w:id="14"/>
    </w:p>
    <w:p w14:paraId="2A7C7154" w14:textId="0CE12F49" w:rsidR="00E91BCC" w:rsidRPr="00FE3C59" w:rsidRDefault="001C5F9B" w:rsidP="001C5F9B">
      <w:pPr>
        <w:pStyle w:val="InstructionsText2"/>
        <w:numPr>
          <w:ilvl w:val="0"/>
          <w:numId w:val="7"/>
        </w:numPr>
      </w:pPr>
      <w:r w:rsidRPr="00FE3C59">
        <w:t xml:space="preserve">Any amount that increases the own funds or the </w:t>
      </w:r>
      <w:r w:rsidR="00D10FE0" w:rsidRPr="00FE3C59">
        <w:t xml:space="preserve">own funds </w:t>
      </w:r>
      <w:r w:rsidRPr="00FE3C59">
        <w:t xml:space="preserve">requirements shall be reported as a positive figure. </w:t>
      </w:r>
      <w:r w:rsidR="00334BC4" w:rsidRPr="00FE3C59">
        <w:t>A</w:t>
      </w:r>
      <w:r w:rsidRPr="00FE3C59">
        <w:t xml:space="preserve">ny amount that reduces the own funds or the </w:t>
      </w:r>
      <w:r w:rsidR="00D10FE0" w:rsidRPr="00FE3C59">
        <w:t xml:space="preserve">own funds </w:t>
      </w:r>
      <w:r w:rsidRPr="00FE3C59">
        <w:t xml:space="preserve">requirements shall be reported as a negative figure. </w:t>
      </w:r>
    </w:p>
    <w:p w14:paraId="790BDDB5" w14:textId="2B5B1131" w:rsidR="00007F66" w:rsidRPr="00FE3C59" w:rsidRDefault="00007F66" w:rsidP="00B5552F">
      <w:pPr>
        <w:pStyle w:val="InstructionsText2"/>
        <w:numPr>
          <w:ilvl w:val="0"/>
          <w:numId w:val="7"/>
        </w:numPr>
      </w:pPr>
      <w:r w:rsidRPr="00FE3C59">
        <w:t xml:space="preserve">Positive sensitivities </w:t>
      </w:r>
      <w:r w:rsidR="007159C4" w:rsidRPr="00FE3C59">
        <w:t xml:space="preserve">shall be reported as positive figures. </w:t>
      </w:r>
      <w:r w:rsidR="007D4D53" w:rsidRPr="00FE3C59">
        <w:t>Negative sensitivities shall be reported as negative figures.</w:t>
      </w:r>
    </w:p>
    <w:p w14:paraId="15F02A5B" w14:textId="06B581FC" w:rsidR="006637AB" w:rsidRPr="00FE3C59" w:rsidRDefault="007D4D53" w:rsidP="007D4D53">
      <w:pPr>
        <w:pStyle w:val="InstructionsText2"/>
        <w:numPr>
          <w:ilvl w:val="0"/>
          <w:numId w:val="7"/>
        </w:numPr>
      </w:pPr>
      <w:r w:rsidRPr="00FE3C59">
        <w:t xml:space="preserve">Curvature risk positions shall be reported as positive or negative figures in accordance with the sign convention stipulated in Article 325g of Regulation (EU) No </w:t>
      </w:r>
      <w:r w:rsidR="006637AB" w:rsidRPr="00FE3C59">
        <w:t>575/2013</w:t>
      </w:r>
      <w:r w:rsidR="4A0B798D" w:rsidRPr="00FE3C59">
        <w:t>.</w:t>
      </w:r>
    </w:p>
    <w:p w14:paraId="273C1B4D" w14:textId="53022FCA" w:rsidR="001C5F9B" w:rsidRPr="00FE3C59" w:rsidRDefault="001C5F9B" w:rsidP="001C5F9B">
      <w:pPr>
        <w:pStyle w:val="InstructionsText2"/>
        <w:numPr>
          <w:ilvl w:val="0"/>
          <w:numId w:val="7"/>
        </w:numPr>
      </w:pPr>
      <w:r w:rsidRPr="00FE3C59">
        <w:t>Where there is a negative sign (</w:t>
      </w:r>
      <w:r w:rsidR="00485C29" w:rsidRPr="00FE3C59">
        <w:t>–</w:t>
      </w:r>
      <w:r w:rsidRPr="00FE3C59">
        <w:t>) preceding the label of an item</w:t>
      </w:r>
      <w:r w:rsidR="00700DEA" w:rsidRPr="00FE3C59">
        <w:t>,</w:t>
      </w:r>
      <w:r w:rsidRPr="00FE3C59">
        <w:t xml:space="preserve"> no positive figure is expected to be reported for that item.</w:t>
      </w:r>
    </w:p>
    <w:p w14:paraId="2711117A" w14:textId="2A904961" w:rsidR="00F5375A" w:rsidRPr="00FE3C59" w:rsidRDefault="00F5375A" w:rsidP="00F5375A">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1.4</w:t>
      </w:r>
      <w:r w:rsidRPr="00FE3C59">
        <w:rPr>
          <w:rFonts w:ascii="Times New Roman" w:hAnsi="Times New Roman" w:cs="Times New Roman"/>
          <w:lang w:val="en-GB"/>
        </w:rPr>
        <w:tab/>
      </w:r>
      <w:r w:rsidR="00C124D1" w:rsidRPr="00FE3C59">
        <w:rPr>
          <w:rFonts w:ascii="Times New Roman" w:hAnsi="Times New Roman" w:cs="Times New Roman"/>
          <w:sz w:val="24"/>
          <w:szCs w:val="24"/>
          <w:u w:val="none"/>
          <w:lang w:val="en-GB"/>
        </w:rPr>
        <w:t>Offsetting group</w:t>
      </w:r>
    </w:p>
    <w:p w14:paraId="335CB862" w14:textId="77777777" w:rsidR="006D33D0" w:rsidRPr="00FE3C59" w:rsidRDefault="006D33D0" w:rsidP="006D33D0">
      <w:pPr>
        <w:pStyle w:val="InstructionsText2"/>
        <w:numPr>
          <w:ilvl w:val="0"/>
          <w:numId w:val="7"/>
        </w:numPr>
      </w:pPr>
      <w:r w:rsidRPr="00FE3C59">
        <w:t>For the purposes of providing information specified in this annex on a consolidated basis, ‘offsetting group’ shall mean a group of entities, where the competent authority has granted the permission to use positions in one institution or undertaking of that group to offset positions in another institution or undertaking of that group in accordance with Article 325b of Regulation (EU) No 575/2013. Accordingly, an offsetting group comprises a set of entities whose positions can offset positions of entities of the same offsetting group in accordance with Article 325b of that Regulation.</w:t>
      </w:r>
    </w:p>
    <w:p w14:paraId="071A4858" w14:textId="00142B3D" w:rsidR="006D33D0" w:rsidRPr="00FE3C59" w:rsidRDefault="00E96624" w:rsidP="006D33D0">
      <w:pPr>
        <w:pStyle w:val="InstructionsText2"/>
        <w:numPr>
          <w:ilvl w:val="0"/>
          <w:numId w:val="7"/>
        </w:numPr>
      </w:pPr>
      <w:r w:rsidRPr="00FE3C59">
        <w:t>‘</w:t>
      </w:r>
      <w:r w:rsidR="006D33D0" w:rsidRPr="00FE3C59">
        <w:t>Offsetting group</w:t>
      </w:r>
      <w:r w:rsidRPr="00FE3C59">
        <w:t>’</w:t>
      </w:r>
      <w:r w:rsidR="006D33D0" w:rsidRPr="00FE3C59">
        <w:t xml:space="preserve"> shall also mean any individual entity whose positions cannot be offset against the positions of any other entity of the same group subject to consolidated supervision in accordance with Directive 2013/36/EU</w:t>
      </w:r>
      <w:r w:rsidR="00023F10">
        <w:rPr>
          <w:rStyle w:val="FootnoteReference"/>
        </w:rPr>
        <w:footnoteReference w:id="2"/>
      </w:r>
      <w:r w:rsidR="006D33D0" w:rsidRPr="00FE3C59">
        <w:t>, because the competent authority has not granted the permission in accordance with Article 325b of Regulation (EU) No 575/2013.</w:t>
      </w:r>
    </w:p>
    <w:p w14:paraId="4E9E3955" w14:textId="38DA7C71" w:rsidR="008343D9" w:rsidRPr="00FE3C59" w:rsidRDefault="008343D9" w:rsidP="006D33D0">
      <w:pPr>
        <w:pStyle w:val="InstructionsText2"/>
        <w:numPr>
          <w:ilvl w:val="0"/>
          <w:numId w:val="7"/>
        </w:numPr>
      </w:pPr>
      <w:r w:rsidRPr="00FE3C59">
        <w:lastRenderedPageBreak/>
        <w:t xml:space="preserve">For the purpose of providing information in accordance with </w:t>
      </w:r>
      <w:r w:rsidR="00B15D03" w:rsidRPr="00FE3C59">
        <w:t>this annex</w:t>
      </w:r>
      <w:r w:rsidR="00F65605" w:rsidRPr="00FE3C59">
        <w:t xml:space="preserve"> on a consolidated basis, the following shall apply:</w:t>
      </w:r>
    </w:p>
    <w:p w14:paraId="521EC721" w14:textId="44D2EAFF" w:rsidR="00E14786" w:rsidRPr="00FE3C59" w:rsidRDefault="003214E0" w:rsidP="006D33D0">
      <w:pPr>
        <w:pStyle w:val="InstructionsText2"/>
        <w:numPr>
          <w:ilvl w:val="1"/>
          <w:numId w:val="105"/>
        </w:numPr>
      </w:pPr>
      <w:r w:rsidRPr="00FE3C59">
        <w:t xml:space="preserve">Where the competent authority has granted the permission to offset positions between all entities </w:t>
      </w:r>
      <w:r w:rsidR="1E2F678A" w:rsidRPr="00FE3C59">
        <w:t xml:space="preserve">included in the </w:t>
      </w:r>
      <w:r w:rsidR="611C7B2D" w:rsidRPr="00FE3C59">
        <w:t xml:space="preserve">scope of </w:t>
      </w:r>
      <w:r w:rsidR="1E2F678A" w:rsidRPr="00FE3C59">
        <w:t xml:space="preserve">consolidation </w:t>
      </w:r>
      <w:r w:rsidR="4D312F8C" w:rsidRPr="00FE3C59">
        <w:t>, the</w:t>
      </w:r>
      <w:r w:rsidR="1FE8932C" w:rsidRPr="00FE3C59">
        <w:t xml:space="preserve"> field ‘offsetting group’ shall carry the value ‘Single offsetting group’</w:t>
      </w:r>
      <w:r w:rsidR="06B7EECF" w:rsidRPr="00FE3C59">
        <w:t>.</w:t>
      </w:r>
    </w:p>
    <w:p w14:paraId="3CB70E27" w14:textId="1F69702A" w:rsidR="00415AF4" w:rsidRPr="00FE3C59" w:rsidRDefault="00590682" w:rsidP="006D33D0">
      <w:pPr>
        <w:pStyle w:val="InstructionsText2"/>
        <w:numPr>
          <w:ilvl w:val="1"/>
          <w:numId w:val="105"/>
        </w:numPr>
      </w:pPr>
      <w:r w:rsidRPr="00FE3C59">
        <w:t xml:space="preserve">Where the competent authority has granted </w:t>
      </w:r>
      <w:r w:rsidR="00721BB8" w:rsidRPr="00FE3C59">
        <w:t xml:space="preserve">the permission to offset positions </w:t>
      </w:r>
      <w:r w:rsidR="00C83324" w:rsidRPr="00FE3C59">
        <w:t>only between a subset of the entities</w:t>
      </w:r>
      <w:r w:rsidR="000A47E6" w:rsidRPr="00FE3C59">
        <w:t xml:space="preserve"> included in the </w:t>
      </w:r>
      <w:r w:rsidR="00F65605" w:rsidRPr="00FE3C59">
        <w:t xml:space="preserve">scope of </w:t>
      </w:r>
      <w:r w:rsidR="000A47E6" w:rsidRPr="00FE3C59">
        <w:t>consolidation</w:t>
      </w:r>
      <w:r w:rsidR="007E498F" w:rsidRPr="00FE3C59">
        <w:t>,</w:t>
      </w:r>
      <w:r w:rsidR="00F33A34" w:rsidRPr="00FE3C59">
        <w:t xml:space="preserve"> the field ‘offsetting group’ shall carry the values ‘</w:t>
      </w:r>
      <w:r w:rsidR="00D40E5C" w:rsidRPr="00FE3C59">
        <w:t xml:space="preserve">Offsetting group 1’, ‘Offsetting group 2’, etc. to identify the </w:t>
      </w:r>
      <w:r w:rsidR="00CB57BE" w:rsidRPr="00FE3C59">
        <w:t xml:space="preserve">different </w:t>
      </w:r>
      <w:r w:rsidR="00E813F6" w:rsidRPr="00FE3C59">
        <w:t>subsets of entities</w:t>
      </w:r>
      <w:r w:rsidR="009E28B4" w:rsidRPr="00FE3C59">
        <w:t xml:space="preserve"> or individual entities whose positions cannot be offset against one another.</w:t>
      </w:r>
      <w:r w:rsidR="00A52150" w:rsidRPr="00FE3C59">
        <w:t xml:space="preserve"> </w:t>
      </w:r>
      <w:r w:rsidR="00415AF4" w:rsidRPr="00FE3C59">
        <w:t xml:space="preserve">Where this annex foresees a reporting of </w:t>
      </w:r>
      <w:r w:rsidR="004826C8" w:rsidRPr="00FE3C59">
        <w:t>information</w:t>
      </w:r>
      <w:r w:rsidR="00066B4C" w:rsidRPr="00FE3C59">
        <w:t xml:space="preserve"> that represents the aggregate of all the offsetting groups belonging to the group in question, the field ‘offsetting group’ shall carry the value ‘all offsetting groups’.</w:t>
      </w:r>
    </w:p>
    <w:p w14:paraId="76A46769" w14:textId="49BE523C" w:rsidR="0054041B" w:rsidRPr="00FE3C59" w:rsidRDefault="0054041B" w:rsidP="0054041B">
      <w:pPr>
        <w:pStyle w:val="InstructionsText2"/>
        <w:numPr>
          <w:ilvl w:val="0"/>
          <w:numId w:val="7"/>
        </w:numPr>
      </w:pPr>
      <w:r w:rsidRPr="00FE3C59">
        <w:t>For the purposes of providing information in accordance with this annex on an individual basis, the field ‘offsetting group’ shall carry the value ‘Single offsetting group’.</w:t>
      </w:r>
    </w:p>
    <w:tbl>
      <w:tblPr>
        <w:tblStyle w:val="TableGrid"/>
        <w:tblW w:w="0" w:type="auto"/>
        <w:tblLook w:val="04A0" w:firstRow="1" w:lastRow="0" w:firstColumn="1" w:lastColumn="0" w:noHBand="0" w:noVBand="1"/>
      </w:tblPr>
      <w:tblGrid>
        <w:gridCol w:w="9016"/>
      </w:tblGrid>
      <w:tr w:rsidR="00ED51A3" w:rsidRPr="00FE3C59" w14:paraId="7DF289D5" w14:textId="77777777" w:rsidTr="00ED51A3">
        <w:tc>
          <w:tcPr>
            <w:tcW w:w="9016" w:type="dxa"/>
          </w:tcPr>
          <w:p w14:paraId="13528592" w14:textId="20071643" w:rsidR="00ED51A3" w:rsidRPr="00FE3C59" w:rsidRDefault="00AA144D" w:rsidP="00343032">
            <w:pPr>
              <w:pStyle w:val="body"/>
              <w:rPr>
                <w:rFonts w:ascii="Times New Roman" w:eastAsiaTheme="minorHAnsi" w:hAnsi="Times New Roman" w:cs="Times New Roman"/>
                <w:b/>
                <w:bCs/>
                <w:sz w:val="24"/>
                <w:lang w:val="en-GB"/>
              </w:rPr>
            </w:pPr>
            <w:bookmarkStart w:id="15" w:name="_Toc360188322"/>
            <w:bookmarkStart w:id="16" w:name="_Toc473560870"/>
            <w:bookmarkStart w:id="17" w:name="_Toc7084155"/>
            <w:bookmarkStart w:id="18" w:name="_Toc37168635"/>
            <w:r w:rsidRPr="00FE3C59">
              <w:rPr>
                <w:rFonts w:ascii="Times New Roman" w:eastAsiaTheme="minorHAnsi" w:hAnsi="Times New Roman" w:cs="Times New Roman"/>
                <w:b/>
                <w:bCs/>
                <w:sz w:val="24"/>
                <w:lang w:val="en-GB"/>
              </w:rPr>
              <w:t>R</w:t>
            </w:r>
            <w:r w:rsidR="00ED51A3" w:rsidRPr="00FE3C59">
              <w:rPr>
                <w:rFonts w:ascii="Times New Roman" w:eastAsiaTheme="minorHAnsi" w:hAnsi="Times New Roman" w:cs="Times New Roman"/>
                <w:b/>
                <w:bCs/>
                <w:sz w:val="24"/>
                <w:lang w:val="en-GB"/>
              </w:rPr>
              <w:t>eferences to Regulation (EU) No 575/2013 included in this document</w:t>
            </w:r>
          </w:p>
          <w:p w14:paraId="6FA03CB6" w14:textId="77777777" w:rsidR="00ED51A3" w:rsidRPr="00FE3C59" w:rsidRDefault="00ED51A3" w:rsidP="00ED51A3">
            <w:pPr>
              <w:rPr>
                <w:rFonts w:ascii="Times New Roman" w:hAnsi="Times New Roman" w:cs="Times New Roman"/>
                <w:sz w:val="24"/>
                <w:szCs w:val="24"/>
              </w:rPr>
            </w:pPr>
          </w:p>
          <w:p w14:paraId="7A9D29C7" w14:textId="1E1F1C8F" w:rsidR="00ED51A3" w:rsidRPr="00FE3C59" w:rsidRDefault="0091772D" w:rsidP="007F01C0">
            <w:pPr>
              <w:jc w:val="both"/>
              <w:rPr>
                <w:rFonts w:ascii="Times New Roman" w:hAnsi="Times New Roman" w:cs="Times New Roman"/>
                <w:sz w:val="24"/>
                <w:szCs w:val="24"/>
              </w:rPr>
            </w:pPr>
            <w:r w:rsidRPr="00FE3C59">
              <w:rPr>
                <w:rFonts w:ascii="Times New Roman" w:hAnsi="Times New Roman" w:cs="Times New Roman"/>
                <w:sz w:val="24"/>
                <w:szCs w:val="24"/>
              </w:rPr>
              <w:t>T</w:t>
            </w:r>
            <w:r w:rsidR="00BC4C97" w:rsidRPr="00FE3C59">
              <w:rPr>
                <w:rFonts w:ascii="Times New Roman" w:hAnsi="Times New Roman" w:cs="Times New Roman"/>
                <w:sz w:val="24"/>
                <w:szCs w:val="24"/>
              </w:rPr>
              <w:t>he references to Regulation (EU) No 575/2013</w:t>
            </w:r>
            <w:r w:rsidR="00142CC5" w:rsidRPr="00FE3C59">
              <w:rPr>
                <w:rFonts w:ascii="Times New Roman" w:hAnsi="Times New Roman" w:cs="Times New Roman"/>
                <w:sz w:val="24"/>
                <w:szCs w:val="24"/>
              </w:rPr>
              <w:t xml:space="preserve"> (Capital Requirements Regulation – CRR) </w:t>
            </w:r>
            <w:r w:rsidR="00CC4914" w:rsidRPr="00FE3C59">
              <w:rPr>
                <w:rFonts w:ascii="Times New Roman" w:hAnsi="Times New Roman" w:cs="Times New Roman"/>
                <w:sz w:val="24"/>
                <w:szCs w:val="24"/>
              </w:rPr>
              <w:t>in</w:t>
            </w:r>
            <w:r w:rsidR="00AA4D3F" w:rsidRPr="00FE3C59">
              <w:rPr>
                <w:rFonts w:ascii="Times New Roman" w:hAnsi="Times New Roman" w:cs="Times New Roman"/>
                <w:sz w:val="24"/>
                <w:szCs w:val="24"/>
              </w:rPr>
              <w:t xml:space="preserve">cluded in this document </w:t>
            </w:r>
            <w:r w:rsidRPr="00FE3C59">
              <w:rPr>
                <w:rFonts w:ascii="Times New Roman" w:hAnsi="Times New Roman" w:cs="Times New Roman"/>
                <w:sz w:val="24"/>
                <w:szCs w:val="24"/>
              </w:rPr>
              <w:t xml:space="preserve">point, </w:t>
            </w:r>
            <w:r w:rsidR="00B40075" w:rsidRPr="00FE3C59">
              <w:rPr>
                <w:rFonts w:ascii="Times New Roman" w:hAnsi="Times New Roman" w:cs="Times New Roman"/>
                <w:sz w:val="24"/>
                <w:szCs w:val="24"/>
              </w:rPr>
              <w:t xml:space="preserve">in </w:t>
            </w:r>
            <w:r w:rsidR="00CC4914" w:rsidRPr="00FE3C59">
              <w:rPr>
                <w:rFonts w:ascii="Times New Roman" w:hAnsi="Times New Roman" w:cs="Times New Roman"/>
                <w:sz w:val="24"/>
                <w:szCs w:val="24"/>
              </w:rPr>
              <w:t>some instances</w:t>
            </w:r>
            <w:r w:rsidRPr="00FE3C59">
              <w:rPr>
                <w:rFonts w:ascii="Times New Roman" w:hAnsi="Times New Roman" w:cs="Times New Roman"/>
                <w:sz w:val="24"/>
                <w:szCs w:val="24"/>
              </w:rPr>
              <w:t>,</w:t>
            </w:r>
            <w:r w:rsidR="004B6480" w:rsidRPr="00FE3C59">
              <w:rPr>
                <w:rFonts w:ascii="Times New Roman" w:hAnsi="Times New Roman" w:cs="Times New Roman"/>
                <w:sz w:val="24"/>
                <w:szCs w:val="24"/>
              </w:rPr>
              <w:t xml:space="preserve"> </w:t>
            </w:r>
            <w:r w:rsidRPr="00FE3C59">
              <w:rPr>
                <w:rFonts w:ascii="Times New Roman" w:hAnsi="Times New Roman" w:cs="Times New Roman"/>
                <w:sz w:val="24"/>
                <w:szCs w:val="24"/>
              </w:rPr>
              <w:t>to</w:t>
            </w:r>
            <w:r w:rsidR="001C1D76" w:rsidRPr="00FE3C59">
              <w:rPr>
                <w:rFonts w:ascii="Times New Roman" w:hAnsi="Times New Roman" w:cs="Times New Roman"/>
                <w:sz w:val="24"/>
                <w:szCs w:val="24"/>
              </w:rPr>
              <w:t xml:space="preserve"> </w:t>
            </w:r>
            <w:r w:rsidR="005E60BD" w:rsidRPr="00FE3C59">
              <w:rPr>
                <w:rFonts w:ascii="Times New Roman" w:hAnsi="Times New Roman" w:cs="Times New Roman"/>
                <w:sz w:val="24"/>
                <w:szCs w:val="24"/>
              </w:rPr>
              <w:t xml:space="preserve">the CRR3 legislative proposal issued by the European Commission </w:t>
            </w:r>
            <w:r w:rsidR="00473D6C" w:rsidRPr="00FE3C59">
              <w:rPr>
                <w:rFonts w:ascii="Times New Roman" w:hAnsi="Times New Roman" w:cs="Times New Roman"/>
                <w:sz w:val="24"/>
                <w:szCs w:val="24"/>
              </w:rPr>
              <w:t>on 27 October 2021</w:t>
            </w:r>
            <w:r w:rsidR="00473D6C" w:rsidRPr="00FE3C59">
              <w:rPr>
                <w:rStyle w:val="FootnoteReference"/>
                <w:rFonts w:ascii="Times New Roman" w:hAnsi="Times New Roman" w:cs="Times New Roman"/>
                <w:sz w:val="24"/>
                <w:szCs w:val="24"/>
              </w:rPr>
              <w:footnoteReference w:id="3"/>
            </w:r>
            <w:r w:rsidR="00473D6C" w:rsidRPr="00FE3C59">
              <w:rPr>
                <w:rFonts w:ascii="Times New Roman" w:hAnsi="Times New Roman" w:cs="Times New Roman"/>
                <w:sz w:val="24"/>
                <w:szCs w:val="24"/>
              </w:rPr>
              <w:t xml:space="preserve">. </w:t>
            </w:r>
            <w:r w:rsidR="00DD3B70" w:rsidRPr="00FE3C59">
              <w:rPr>
                <w:rFonts w:ascii="Times New Roman" w:hAnsi="Times New Roman" w:cs="Times New Roman"/>
                <w:sz w:val="24"/>
                <w:szCs w:val="24"/>
              </w:rPr>
              <w:t>Considering the envisaged application date, th</w:t>
            </w:r>
            <w:r w:rsidR="00A0696C" w:rsidRPr="00FE3C59">
              <w:rPr>
                <w:rFonts w:ascii="Times New Roman" w:hAnsi="Times New Roman" w:cs="Times New Roman"/>
                <w:sz w:val="24"/>
                <w:szCs w:val="24"/>
              </w:rPr>
              <w:t xml:space="preserve">e future FRTB reporting templates </w:t>
            </w:r>
            <w:r w:rsidR="00DD3B70" w:rsidRPr="00FE3C59">
              <w:rPr>
                <w:rFonts w:ascii="Times New Roman" w:hAnsi="Times New Roman" w:cs="Times New Roman"/>
                <w:sz w:val="24"/>
                <w:szCs w:val="24"/>
              </w:rPr>
              <w:t>should</w:t>
            </w:r>
            <w:r w:rsidR="00BD36DE" w:rsidRPr="00FE3C59">
              <w:rPr>
                <w:rFonts w:ascii="Times New Roman" w:hAnsi="Times New Roman" w:cs="Times New Roman"/>
                <w:sz w:val="24"/>
                <w:szCs w:val="24"/>
              </w:rPr>
              <w:t xml:space="preserve"> </w:t>
            </w:r>
            <w:r w:rsidR="008B1170" w:rsidRPr="00FE3C59">
              <w:rPr>
                <w:rFonts w:ascii="Times New Roman" w:hAnsi="Times New Roman" w:cs="Times New Roman"/>
                <w:sz w:val="24"/>
                <w:szCs w:val="24"/>
              </w:rPr>
              <w:t xml:space="preserve">reflect amendments to </w:t>
            </w:r>
            <w:r w:rsidR="00E6249C" w:rsidRPr="00FE3C59">
              <w:rPr>
                <w:rFonts w:ascii="Times New Roman" w:hAnsi="Times New Roman" w:cs="Times New Roman"/>
                <w:sz w:val="24"/>
                <w:szCs w:val="24"/>
              </w:rPr>
              <w:t xml:space="preserve">the </w:t>
            </w:r>
            <w:r w:rsidR="008B1170" w:rsidRPr="00FE3C59">
              <w:rPr>
                <w:rFonts w:ascii="Times New Roman" w:hAnsi="Times New Roman" w:cs="Times New Roman"/>
                <w:sz w:val="24"/>
                <w:szCs w:val="24"/>
              </w:rPr>
              <w:t>CRR</w:t>
            </w:r>
            <w:r w:rsidR="00DD3B70" w:rsidRPr="00FE3C59">
              <w:rPr>
                <w:rFonts w:ascii="Times New Roman" w:hAnsi="Times New Roman" w:cs="Times New Roman"/>
                <w:sz w:val="24"/>
                <w:szCs w:val="24"/>
              </w:rPr>
              <w:t>,</w:t>
            </w:r>
            <w:r w:rsidR="008B1170" w:rsidRPr="00FE3C59">
              <w:rPr>
                <w:rFonts w:ascii="Times New Roman" w:hAnsi="Times New Roman" w:cs="Times New Roman"/>
                <w:sz w:val="24"/>
                <w:szCs w:val="24"/>
              </w:rPr>
              <w:t xml:space="preserve"> which </w:t>
            </w:r>
            <w:r w:rsidR="00C8310D" w:rsidRPr="00FE3C59">
              <w:rPr>
                <w:rFonts w:ascii="Times New Roman" w:hAnsi="Times New Roman" w:cs="Times New Roman"/>
                <w:sz w:val="24"/>
                <w:szCs w:val="24"/>
              </w:rPr>
              <w:t xml:space="preserve">may be </w:t>
            </w:r>
            <w:r w:rsidR="00497402" w:rsidRPr="00FE3C59">
              <w:rPr>
                <w:rFonts w:ascii="Times New Roman" w:hAnsi="Times New Roman" w:cs="Times New Roman"/>
                <w:sz w:val="24"/>
                <w:szCs w:val="24"/>
              </w:rPr>
              <w:t xml:space="preserve">expected to be </w:t>
            </w:r>
            <w:r w:rsidR="00C8310D" w:rsidRPr="00FE3C59">
              <w:rPr>
                <w:rFonts w:ascii="Times New Roman" w:hAnsi="Times New Roman" w:cs="Times New Roman"/>
                <w:sz w:val="24"/>
                <w:szCs w:val="24"/>
              </w:rPr>
              <w:t xml:space="preserve">included in </w:t>
            </w:r>
            <w:r w:rsidR="00F006D8" w:rsidRPr="00FE3C59">
              <w:rPr>
                <w:rFonts w:ascii="Times New Roman" w:hAnsi="Times New Roman" w:cs="Times New Roman"/>
                <w:sz w:val="24"/>
                <w:szCs w:val="24"/>
              </w:rPr>
              <w:t>that</w:t>
            </w:r>
            <w:r w:rsidR="00C8310D" w:rsidRPr="00FE3C59">
              <w:rPr>
                <w:rFonts w:ascii="Times New Roman" w:hAnsi="Times New Roman" w:cs="Times New Roman"/>
                <w:sz w:val="24"/>
                <w:szCs w:val="24"/>
              </w:rPr>
              <w:t xml:space="preserve"> regulation </w:t>
            </w:r>
            <w:r w:rsidR="00F006D8" w:rsidRPr="00FE3C59">
              <w:rPr>
                <w:rFonts w:ascii="Times New Roman" w:hAnsi="Times New Roman" w:cs="Times New Roman"/>
                <w:sz w:val="24"/>
                <w:szCs w:val="24"/>
              </w:rPr>
              <w:t>once the CRR3 will enter into force</w:t>
            </w:r>
            <w:r w:rsidR="006B7A34" w:rsidRPr="00FE3C59">
              <w:rPr>
                <w:rFonts w:ascii="Times New Roman" w:hAnsi="Times New Roman" w:cs="Times New Roman"/>
                <w:sz w:val="24"/>
                <w:szCs w:val="24"/>
              </w:rPr>
              <w:t>.</w:t>
            </w:r>
            <w:r w:rsidR="001626DD" w:rsidRPr="00FE3C59">
              <w:rPr>
                <w:rFonts w:ascii="Times New Roman" w:hAnsi="Times New Roman" w:cs="Times New Roman"/>
                <w:sz w:val="24"/>
                <w:szCs w:val="24"/>
              </w:rPr>
              <w:t xml:space="preserve"> </w:t>
            </w:r>
            <w:r w:rsidR="00831EC1" w:rsidRPr="00FE3C59">
              <w:rPr>
                <w:rFonts w:ascii="Times New Roman" w:hAnsi="Times New Roman" w:cs="Times New Roman"/>
                <w:sz w:val="24"/>
                <w:szCs w:val="24"/>
              </w:rPr>
              <w:t xml:space="preserve">Where </w:t>
            </w:r>
            <w:r w:rsidR="00E12EE3" w:rsidRPr="00FE3C59">
              <w:rPr>
                <w:rFonts w:ascii="Times New Roman" w:hAnsi="Times New Roman" w:cs="Times New Roman"/>
                <w:sz w:val="24"/>
                <w:szCs w:val="24"/>
              </w:rPr>
              <w:t>amendments</w:t>
            </w:r>
            <w:r w:rsidR="009B4D4A" w:rsidRPr="00FE3C59">
              <w:rPr>
                <w:rFonts w:ascii="Times New Roman" w:hAnsi="Times New Roman" w:cs="Times New Roman"/>
                <w:sz w:val="24"/>
                <w:szCs w:val="24"/>
              </w:rPr>
              <w:t xml:space="preserve"> to the CRR</w:t>
            </w:r>
            <w:r w:rsidR="00E12EE3" w:rsidRPr="00FE3C59">
              <w:rPr>
                <w:rFonts w:ascii="Times New Roman" w:hAnsi="Times New Roman" w:cs="Times New Roman"/>
                <w:sz w:val="24"/>
                <w:szCs w:val="24"/>
              </w:rPr>
              <w:t xml:space="preserve"> </w:t>
            </w:r>
            <w:r w:rsidR="00831EC1" w:rsidRPr="00FE3C59">
              <w:rPr>
                <w:rFonts w:ascii="Times New Roman" w:hAnsi="Times New Roman" w:cs="Times New Roman"/>
                <w:sz w:val="24"/>
                <w:szCs w:val="24"/>
              </w:rPr>
              <w:t>as included in the</w:t>
            </w:r>
            <w:r w:rsidR="00E12EE3" w:rsidRPr="00FE3C59">
              <w:rPr>
                <w:rFonts w:ascii="Times New Roman" w:hAnsi="Times New Roman" w:cs="Times New Roman"/>
                <w:sz w:val="24"/>
                <w:szCs w:val="24"/>
              </w:rPr>
              <w:t xml:space="preserve"> CRR3 legislative proposals </w:t>
            </w:r>
            <w:r w:rsidR="00F34DB7" w:rsidRPr="00FE3C59">
              <w:rPr>
                <w:rFonts w:ascii="Times New Roman" w:hAnsi="Times New Roman" w:cs="Times New Roman"/>
                <w:sz w:val="24"/>
                <w:szCs w:val="24"/>
              </w:rPr>
              <w:t xml:space="preserve">will, </w:t>
            </w:r>
            <w:r w:rsidR="0063542E" w:rsidRPr="00FE3C59">
              <w:rPr>
                <w:rFonts w:ascii="Times New Roman" w:hAnsi="Times New Roman" w:cs="Times New Roman"/>
                <w:sz w:val="24"/>
                <w:szCs w:val="24"/>
              </w:rPr>
              <w:t>eventually</w:t>
            </w:r>
            <w:r w:rsidR="00F34DB7" w:rsidRPr="00FE3C59">
              <w:rPr>
                <w:rFonts w:ascii="Times New Roman" w:hAnsi="Times New Roman" w:cs="Times New Roman"/>
                <w:sz w:val="24"/>
                <w:szCs w:val="24"/>
              </w:rPr>
              <w:t>,</w:t>
            </w:r>
            <w:r w:rsidR="0063542E" w:rsidRPr="00FE3C59">
              <w:rPr>
                <w:rFonts w:ascii="Times New Roman" w:hAnsi="Times New Roman" w:cs="Times New Roman"/>
                <w:sz w:val="24"/>
                <w:szCs w:val="24"/>
              </w:rPr>
              <w:t xml:space="preserve"> </w:t>
            </w:r>
            <w:r w:rsidR="00F34DB7" w:rsidRPr="00FE3C59">
              <w:rPr>
                <w:rFonts w:ascii="Times New Roman" w:hAnsi="Times New Roman" w:cs="Times New Roman"/>
                <w:sz w:val="24"/>
                <w:szCs w:val="24"/>
              </w:rPr>
              <w:t xml:space="preserve">not be </w:t>
            </w:r>
            <w:r w:rsidR="005062A2" w:rsidRPr="00FE3C59">
              <w:rPr>
                <w:rFonts w:ascii="Times New Roman" w:hAnsi="Times New Roman" w:cs="Times New Roman"/>
                <w:sz w:val="24"/>
                <w:szCs w:val="24"/>
              </w:rPr>
              <w:t xml:space="preserve">confirmed </w:t>
            </w:r>
            <w:r w:rsidR="00F34DB7" w:rsidRPr="00FE3C59">
              <w:rPr>
                <w:rFonts w:ascii="Times New Roman" w:hAnsi="Times New Roman" w:cs="Times New Roman"/>
                <w:sz w:val="24"/>
                <w:szCs w:val="24"/>
              </w:rPr>
              <w:t xml:space="preserve">(or will be amended) </w:t>
            </w:r>
            <w:r w:rsidR="009B4D4A" w:rsidRPr="00FE3C59">
              <w:rPr>
                <w:rFonts w:ascii="Times New Roman" w:hAnsi="Times New Roman" w:cs="Times New Roman"/>
                <w:sz w:val="24"/>
                <w:szCs w:val="24"/>
              </w:rPr>
              <w:t xml:space="preserve">by the </w:t>
            </w:r>
            <w:r w:rsidR="00477FA4" w:rsidRPr="00FE3C59">
              <w:rPr>
                <w:rFonts w:ascii="Times New Roman" w:hAnsi="Times New Roman" w:cs="Times New Roman"/>
                <w:sz w:val="24"/>
                <w:szCs w:val="24"/>
              </w:rPr>
              <w:t>co-legislators</w:t>
            </w:r>
            <w:r w:rsidR="009B4D4A" w:rsidRPr="00FE3C59">
              <w:rPr>
                <w:rFonts w:ascii="Times New Roman" w:hAnsi="Times New Roman" w:cs="Times New Roman"/>
                <w:sz w:val="24"/>
                <w:szCs w:val="24"/>
              </w:rPr>
              <w:t xml:space="preserve"> when adopting the CRR3</w:t>
            </w:r>
            <w:r w:rsidR="0063542E" w:rsidRPr="00FE3C59">
              <w:rPr>
                <w:rFonts w:ascii="Times New Roman" w:hAnsi="Times New Roman" w:cs="Times New Roman"/>
                <w:sz w:val="24"/>
                <w:szCs w:val="24"/>
              </w:rPr>
              <w:t>, they will</w:t>
            </w:r>
            <w:r w:rsidR="003B69E9" w:rsidRPr="00FE3C59">
              <w:rPr>
                <w:rFonts w:ascii="Times New Roman" w:hAnsi="Times New Roman" w:cs="Times New Roman"/>
                <w:sz w:val="24"/>
                <w:szCs w:val="24"/>
              </w:rPr>
              <w:t xml:space="preserve"> be </w:t>
            </w:r>
            <w:r w:rsidR="000C4FB6" w:rsidRPr="00FE3C59">
              <w:rPr>
                <w:rFonts w:ascii="Times New Roman" w:hAnsi="Times New Roman" w:cs="Times New Roman"/>
                <w:sz w:val="24"/>
                <w:szCs w:val="24"/>
              </w:rPr>
              <w:t xml:space="preserve">removed </w:t>
            </w:r>
            <w:r w:rsidR="006C3B9C" w:rsidRPr="00FE3C59">
              <w:rPr>
                <w:rFonts w:ascii="Times New Roman" w:hAnsi="Times New Roman" w:cs="Times New Roman"/>
                <w:sz w:val="24"/>
                <w:szCs w:val="24"/>
              </w:rPr>
              <w:t>from the implementing regulation</w:t>
            </w:r>
            <w:r w:rsidR="00717373" w:rsidRPr="00FE3C59">
              <w:rPr>
                <w:rFonts w:ascii="Times New Roman" w:hAnsi="Times New Roman" w:cs="Times New Roman"/>
                <w:sz w:val="24"/>
                <w:szCs w:val="24"/>
              </w:rPr>
              <w:t xml:space="preserve"> (or will be amended)</w:t>
            </w:r>
            <w:r w:rsidR="006C3B9C" w:rsidRPr="00FE3C59">
              <w:rPr>
                <w:rFonts w:ascii="Times New Roman" w:hAnsi="Times New Roman" w:cs="Times New Roman"/>
                <w:sz w:val="24"/>
                <w:szCs w:val="24"/>
              </w:rPr>
              <w:t>.</w:t>
            </w:r>
            <w:r w:rsidR="00477FA4" w:rsidRPr="00FE3C59">
              <w:rPr>
                <w:rFonts w:ascii="Times New Roman" w:hAnsi="Times New Roman" w:cs="Times New Roman"/>
                <w:sz w:val="24"/>
                <w:szCs w:val="24"/>
              </w:rPr>
              <w:t xml:space="preserve"> </w:t>
            </w:r>
            <w:r w:rsidR="00F04DD0" w:rsidRPr="00FE3C59">
              <w:rPr>
                <w:rFonts w:ascii="Times New Roman" w:hAnsi="Times New Roman" w:cs="Times New Roman"/>
                <w:sz w:val="24"/>
                <w:szCs w:val="24"/>
              </w:rPr>
              <w:t xml:space="preserve">References to </w:t>
            </w:r>
            <w:r w:rsidR="009A7194" w:rsidRPr="00FE3C59">
              <w:rPr>
                <w:rFonts w:ascii="Times New Roman" w:hAnsi="Times New Roman" w:cs="Times New Roman"/>
                <w:sz w:val="24"/>
                <w:szCs w:val="24"/>
              </w:rPr>
              <w:t xml:space="preserve">amendments </w:t>
            </w:r>
            <w:r w:rsidR="009B60E2" w:rsidRPr="00FE3C59">
              <w:rPr>
                <w:rFonts w:ascii="Times New Roman" w:hAnsi="Times New Roman" w:cs="Times New Roman"/>
                <w:sz w:val="24"/>
                <w:szCs w:val="24"/>
              </w:rPr>
              <w:t xml:space="preserve">to the CRR as </w:t>
            </w:r>
            <w:r w:rsidR="00717373" w:rsidRPr="00FE3C59">
              <w:rPr>
                <w:rFonts w:ascii="Times New Roman" w:hAnsi="Times New Roman" w:cs="Times New Roman"/>
                <w:sz w:val="24"/>
                <w:szCs w:val="24"/>
              </w:rPr>
              <w:t>included in</w:t>
            </w:r>
            <w:r w:rsidR="009B60E2" w:rsidRPr="00FE3C59">
              <w:rPr>
                <w:rFonts w:ascii="Times New Roman" w:hAnsi="Times New Roman" w:cs="Times New Roman"/>
                <w:sz w:val="24"/>
                <w:szCs w:val="24"/>
              </w:rPr>
              <w:t xml:space="preserve"> </w:t>
            </w:r>
            <w:r w:rsidR="009A7194" w:rsidRPr="00FE3C59">
              <w:rPr>
                <w:rFonts w:ascii="Times New Roman" w:hAnsi="Times New Roman" w:cs="Times New Roman"/>
                <w:sz w:val="24"/>
                <w:szCs w:val="24"/>
              </w:rPr>
              <w:t xml:space="preserve">the </w:t>
            </w:r>
            <w:r w:rsidR="00717373" w:rsidRPr="00FE3C59">
              <w:rPr>
                <w:rFonts w:ascii="Times New Roman" w:hAnsi="Times New Roman" w:cs="Times New Roman"/>
                <w:sz w:val="24"/>
                <w:szCs w:val="24"/>
              </w:rPr>
              <w:t>Commission’s</w:t>
            </w:r>
            <w:r w:rsidR="009A7194" w:rsidRPr="00FE3C59">
              <w:rPr>
                <w:rFonts w:ascii="Times New Roman" w:hAnsi="Times New Roman" w:cs="Times New Roman"/>
                <w:sz w:val="24"/>
                <w:szCs w:val="24"/>
              </w:rPr>
              <w:t xml:space="preserve"> </w:t>
            </w:r>
            <w:r w:rsidR="00F04DD0" w:rsidRPr="00FE3C59">
              <w:rPr>
                <w:rFonts w:ascii="Times New Roman" w:hAnsi="Times New Roman" w:cs="Times New Roman"/>
                <w:sz w:val="24"/>
                <w:szCs w:val="24"/>
              </w:rPr>
              <w:t>CRR3</w:t>
            </w:r>
            <w:r w:rsidR="009A7194" w:rsidRPr="00FE3C59">
              <w:rPr>
                <w:rFonts w:ascii="Times New Roman" w:hAnsi="Times New Roman" w:cs="Times New Roman"/>
                <w:sz w:val="24"/>
                <w:szCs w:val="24"/>
              </w:rPr>
              <w:t xml:space="preserve"> legislative proposals </w:t>
            </w:r>
            <w:r w:rsidR="00735306" w:rsidRPr="00FE3C59">
              <w:rPr>
                <w:rFonts w:ascii="Times New Roman" w:hAnsi="Times New Roman" w:cs="Times New Roman"/>
                <w:sz w:val="24"/>
                <w:szCs w:val="24"/>
              </w:rPr>
              <w:t xml:space="preserve">are highlighted in this document in </w:t>
            </w:r>
            <w:r w:rsidR="00477FA4" w:rsidRPr="00FE3C59">
              <w:rPr>
                <w:rFonts w:ascii="Times New Roman" w:hAnsi="Times New Roman" w:cs="Times New Roman"/>
                <w:sz w:val="24"/>
                <w:szCs w:val="24"/>
                <w:highlight w:val="yellow"/>
              </w:rPr>
              <w:t>yellow</w:t>
            </w:r>
            <w:r w:rsidR="00477FA4" w:rsidRPr="00FE3C59">
              <w:rPr>
                <w:rFonts w:ascii="Times New Roman" w:hAnsi="Times New Roman" w:cs="Times New Roman"/>
                <w:sz w:val="24"/>
                <w:szCs w:val="24"/>
              </w:rPr>
              <w:t>.</w:t>
            </w:r>
          </w:p>
          <w:p w14:paraId="43BB27CC" w14:textId="50D79C8A" w:rsidR="00ED51A3" w:rsidRPr="00FE3C59" w:rsidRDefault="00ED51A3" w:rsidP="007F01C0">
            <w:pPr>
              <w:rPr>
                <w:rFonts w:ascii="Times New Roman" w:hAnsi="Times New Roman" w:cs="Times New Roman"/>
              </w:rPr>
            </w:pPr>
          </w:p>
        </w:tc>
      </w:tr>
    </w:tbl>
    <w:p w14:paraId="424A9414" w14:textId="77777777" w:rsidR="006527B4" w:rsidRPr="00FE3C59" w:rsidRDefault="006527B4" w:rsidP="008E427A">
      <w:pPr>
        <w:pStyle w:val="InstructionsText2"/>
        <w:ind w:left="0" w:firstLine="0"/>
      </w:pPr>
    </w:p>
    <w:p w14:paraId="3703ACF5" w14:textId="311C82F9" w:rsidR="001C5F9B" w:rsidRPr="00FE3C59" w:rsidRDefault="001C5F9B" w:rsidP="001C5F9B">
      <w:pPr>
        <w:pStyle w:val="Heading2"/>
        <w:rPr>
          <w:rFonts w:ascii="Times New Roman" w:hAnsi="Times New Roman"/>
          <w:lang w:val="en-GB"/>
        </w:rPr>
      </w:pPr>
      <w:r w:rsidRPr="00FE3C59">
        <w:rPr>
          <w:rFonts w:ascii="Times New Roman" w:hAnsi="Times New Roman"/>
          <w:lang w:val="en-GB"/>
        </w:rPr>
        <w:t>PART II: TEMPLATE RELATED INSTRUCTIONS</w:t>
      </w:r>
      <w:bookmarkEnd w:id="15"/>
      <w:bookmarkEnd w:id="16"/>
      <w:bookmarkEnd w:id="17"/>
      <w:bookmarkEnd w:id="18"/>
    </w:p>
    <w:p w14:paraId="60121490" w14:textId="77777777" w:rsidR="001C5F9B" w:rsidRPr="00FE3C59" w:rsidRDefault="001C5F9B" w:rsidP="001C5F9B">
      <w:pPr>
        <w:pStyle w:val="Instructionsberschrift2"/>
        <w:numPr>
          <w:ilvl w:val="0"/>
          <w:numId w:val="0"/>
        </w:numPr>
        <w:ind w:left="357" w:hanging="357"/>
        <w:rPr>
          <w:rFonts w:ascii="Times New Roman" w:hAnsi="Times New Roman" w:cs="Times New Roman"/>
          <w:sz w:val="24"/>
          <w:szCs w:val="24"/>
          <w:u w:val="none"/>
          <w:lang w:val="en-GB"/>
        </w:rPr>
      </w:pPr>
      <w:bookmarkStart w:id="19" w:name="_Toc360188323"/>
      <w:bookmarkStart w:id="20" w:name="_Toc473560871"/>
      <w:bookmarkStart w:id="21" w:name="_Toc7084156"/>
      <w:bookmarkStart w:id="22" w:name="_Toc37168636"/>
      <w:r w:rsidRPr="00FE3C59">
        <w:rPr>
          <w:rFonts w:ascii="Times New Roman" w:hAnsi="Times New Roman" w:cs="Times New Roman"/>
          <w:sz w:val="24"/>
          <w:szCs w:val="24"/>
          <w:u w:val="none"/>
          <w:lang w:val="en-GB"/>
        </w:rPr>
        <w:t>1.</w:t>
      </w:r>
      <w:r w:rsidRPr="00FE3C59">
        <w:rPr>
          <w:rFonts w:ascii="Times New Roman" w:hAnsi="Times New Roman" w:cs="Times New Roman"/>
          <w:lang w:val="en-GB"/>
        </w:rPr>
        <w:tab/>
      </w:r>
      <w:bookmarkEnd w:id="19"/>
      <w:bookmarkEnd w:id="20"/>
      <w:bookmarkEnd w:id="21"/>
      <w:r w:rsidRPr="00FE3C59">
        <w:rPr>
          <w:rFonts w:ascii="Times New Roman" w:hAnsi="Times New Roman" w:cs="Times New Roman"/>
          <w:sz w:val="24"/>
          <w:szCs w:val="24"/>
          <w:u w:val="none"/>
          <w:lang w:val="en-GB"/>
        </w:rPr>
        <w:t>C 90.00 – Trading book and market risk thresholds</w:t>
      </w:r>
      <w:bookmarkEnd w:id="22"/>
    </w:p>
    <w:p w14:paraId="30ABB42D" w14:textId="77777777" w:rsidR="001C5F9B" w:rsidRPr="00FE3C59" w:rsidRDefault="001C5F9B" w:rsidP="001C5F9B">
      <w:pPr>
        <w:pStyle w:val="Instructionsberschrift2"/>
        <w:numPr>
          <w:ilvl w:val="0"/>
          <w:numId w:val="0"/>
        </w:numPr>
        <w:ind w:left="357" w:hanging="357"/>
        <w:rPr>
          <w:rFonts w:ascii="Times New Roman" w:hAnsi="Times New Roman" w:cs="Times New Roman"/>
          <w:sz w:val="24"/>
          <w:szCs w:val="24"/>
          <w:u w:val="none"/>
          <w:lang w:val="en-GB"/>
        </w:rPr>
      </w:pPr>
      <w:bookmarkStart w:id="23" w:name="_Toc308175819"/>
      <w:bookmarkStart w:id="24" w:name="_Toc360188324"/>
      <w:bookmarkStart w:id="25" w:name="_Toc473560872"/>
      <w:bookmarkStart w:id="26" w:name="_Toc7084157"/>
      <w:bookmarkStart w:id="27" w:name="_Toc37168637"/>
      <w:r w:rsidRPr="00FE3C59">
        <w:rPr>
          <w:rFonts w:ascii="Times New Roman" w:hAnsi="Times New Roman" w:cs="Times New Roman"/>
          <w:sz w:val="24"/>
          <w:szCs w:val="24"/>
          <w:u w:val="none"/>
          <w:lang w:val="en-GB"/>
        </w:rPr>
        <w:t>1.1</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General remarks</w:t>
      </w:r>
      <w:bookmarkEnd w:id="23"/>
      <w:bookmarkEnd w:id="24"/>
      <w:bookmarkEnd w:id="25"/>
      <w:bookmarkEnd w:id="26"/>
      <w:bookmarkEnd w:id="27"/>
    </w:p>
    <w:p w14:paraId="462BF059" w14:textId="5333BA01" w:rsidR="00B5624A" w:rsidRPr="00FE3C59" w:rsidRDefault="001C5F9B" w:rsidP="00F5375A">
      <w:pPr>
        <w:pStyle w:val="InstructionsText2"/>
        <w:numPr>
          <w:ilvl w:val="0"/>
          <w:numId w:val="57"/>
        </w:numPr>
      </w:pPr>
      <w:r w:rsidRPr="00FE3C59">
        <w:t xml:space="preserve">The </w:t>
      </w:r>
      <w:r w:rsidR="00B5624A" w:rsidRPr="00FE3C59">
        <w:t>information provided in this template</w:t>
      </w:r>
      <w:r w:rsidRPr="00FE3C59">
        <w:t xml:space="preserve"> </w:t>
      </w:r>
      <w:r w:rsidR="0073121C" w:rsidRPr="00FE3C59">
        <w:t xml:space="preserve">shall reflect </w:t>
      </w:r>
      <w:r w:rsidRPr="00FE3C59">
        <w:t xml:space="preserve">the result of the calculation </w:t>
      </w:r>
      <w:r w:rsidR="00022E55" w:rsidRPr="00FE3C59">
        <w:t xml:space="preserve">referred to in </w:t>
      </w:r>
      <w:r w:rsidRPr="00FE3C59">
        <w:t>Art</w:t>
      </w:r>
      <w:r w:rsidR="00B5624A" w:rsidRPr="00FE3C59">
        <w:t>icle</w:t>
      </w:r>
      <w:r w:rsidRPr="00FE3C59">
        <w:t xml:space="preserve"> 94</w:t>
      </w:r>
      <w:r w:rsidRPr="00FE3C59" w:rsidDel="001C5F9B">
        <w:t xml:space="preserve"> </w:t>
      </w:r>
      <w:r w:rsidR="00FD7136" w:rsidRPr="00FE3C59">
        <w:t>of Regulation (EU) No 575/2013</w:t>
      </w:r>
      <w:r w:rsidRPr="00FE3C59">
        <w:t xml:space="preserve"> </w:t>
      </w:r>
      <w:r w:rsidR="00B5624A" w:rsidRPr="00FE3C59">
        <w:t>(derogation for small trading book business)</w:t>
      </w:r>
      <w:r w:rsidR="00022E55" w:rsidRPr="00FE3C59">
        <w:t>,</w:t>
      </w:r>
      <w:r w:rsidR="00B5624A" w:rsidRPr="00FE3C59">
        <w:t xml:space="preserve"> </w:t>
      </w:r>
      <w:r w:rsidRPr="00FE3C59">
        <w:t xml:space="preserve">and </w:t>
      </w:r>
      <w:r w:rsidR="0073121C" w:rsidRPr="00FE3C59">
        <w:t>the size of an institutions’ on</w:t>
      </w:r>
      <w:r w:rsidR="00485C29" w:rsidRPr="00FE3C59">
        <w:t>–</w:t>
      </w:r>
      <w:r w:rsidR="0073121C" w:rsidRPr="00FE3C59">
        <w:t xml:space="preserve"> and off</w:t>
      </w:r>
      <w:r w:rsidR="00485C29" w:rsidRPr="00FE3C59">
        <w:t>–</w:t>
      </w:r>
      <w:r w:rsidR="0073121C" w:rsidRPr="00FE3C59">
        <w:lastRenderedPageBreak/>
        <w:t xml:space="preserve">balance sheet </w:t>
      </w:r>
      <w:r w:rsidR="004D2F41" w:rsidRPr="00FE3C59">
        <w:t xml:space="preserve">business </w:t>
      </w:r>
      <w:r w:rsidR="0073121C" w:rsidRPr="00FE3C59">
        <w:t xml:space="preserve">subject to market risk </w:t>
      </w:r>
      <w:r w:rsidR="00CB659C" w:rsidRPr="00FE3C59">
        <w:t xml:space="preserve">calculated </w:t>
      </w:r>
      <w:r w:rsidR="0073121C" w:rsidRPr="00FE3C59">
        <w:t>in accordance with Article</w:t>
      </w:r>
      <w:r w:rsidR="00FE4C65" w:rsidRPr="00FE3C59">
        <w:t> </w:t>
      </w:r>
      <w:r w:rsidR="0073121C" w:rsidRPr="00FE3C59">
        <w:t>325a</w:t>
      </w:r>
      <w:r w:rsidRPr="00FE3C59" w:rsidDel="0073121C">
        <w:t xml:space="preserve"> </w:t>
      </w:r>
      <w:r w:rsidR="00FD7136" w:rsidRPr="00FE3C59">
        <w:t>of Regulation (EU) No 575/2013</w:t>
      </w:r>
      <w:r w:rsidR="00AA1622" w:rsidRPr="00FE3C59">
        <w:t>.</w:t>
      </w:r>
    </w:p>
    <w:p w14:paraId="1EB0638C" w14:textId="751E39C4" w:rsidR="00B5624A" w:rsidRPr="00FE3C59" w:rsidRDefault="00B5624A" w:rsidP="00B970E7">
      <w:pPr>
        <w:pStyle w:val="Instructionsberschrift2"/>
        <w:numPr>
          <w:ilvl w:val="0"/>
          <w:numId w:val="0"/>
        </w:numPr>
        <w:ind w:left="357" w:hanging="357"/>
        <w:rPr>
          <w:rFonts w:ascii="Times New Roman" w:hAnsi="Times New Roman" w:cs="Times New Roman"/>
          <w:sz w:val="24"/>
          <w:szCs w:val="24"/>
          <w:u w:val="none"/>
          <w:lang w:val="en-GB"/>
        </w:rPr>
      </w:pPr>
      <w:bookmarkStart w:id="28" w:name="_Toc37168638"/>
      <w:r w:rsidRPr="00FE3C59">
        <w:rPr>
          <w:rFonts w:ascii="Times New Roman" w:hAnsi="Times New Roman" w:cs="Times New Roman"/>
          <w:sz w:val="24"/>
          <w:szCs w:val="24"/>
          <w:u w:val="none"/>
          <w:lang w:val="en-GB"/>
        </w:rPr>
        <w:t>1.2</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Instructions concerning specific positions</w:t>
      </w:r>
      <w:bookmarkEnd w:id="28"/>
    </w:p>
    <w:p w14:paraId="6FE7A3D5" w14:textId="35735E88" w:rsidR="001C5F9B" w:rsidRPr="00FE3C59" w:rsidRDefault="0073121C" w:rsidP="00F5375A">
      <w:pPr>
        <w:pStyle w:val="InstructionsText2"/>
        <w:numPr>
          <w:ilvl w:val="0"/>
          <w:numId w:val="57"/>
        </w:numPr>
      </w:pPr>
      <w:r w:rsidRPr="00FE3C59">
        <w:t>The result of the calculation</w:t>
      </w:r>
      <w:r w:rsidR="0023780F" w:rsidRPr="00FE3C59">
        <w:t xml:space="preserve"> </w:t>
      </w:r>
      <w:r w:rsidR="00022E55" w:rsidRPr="00FE3C59">
        <w:t>referred to in</w:t>
      </w:r>
      <w:r w:rsidRPr="00FE3C59">
        <w:t xml:space="preserve"> Article 94</w:t>
      </w:r>
      <w:r w:rsidRPr="00FE3C59" w:rsidDel="00FD7136">
        <w:t xml:space="preserve"> </w:t>
      </w:r>
      <w:r w:rsidR="00FD7136" w:rsidRPr="00FE3C59">
        <w:t>of Regulation (EU) No 575/2013</w:t>
      </w:r>
      <w:r w:rsidRPr="00FE3C59">
        <w:t xml:space="preserve"> and </w:t>
      </w:r>
      <w:r w:rsidR="00700DEA" w:rsidRPr="00FE3C59">
        <w:t xml:space="preserve">the </w:t>
      </w:r>
      <w:r w:rsidRPr="00FE3C59">
        <w:t>information on the size of an institutions’ on</w:t>
      </w:r>
      <w:r w:rsidR="00485C29" w:rsidRPr="00FE3C59">
        <w:t>–</w:t>
      </w:r>
      <w:r w:rsidRPr="00FE3C59">
        <w:t xml:space="preserve"> and off</w:t>
      </w:r>
      <w:r w:rsidR="00485C29" w:rsidRPr="00FE3C59">
        <w:t>–</w:t>
      </w:r>
      <w:r w:rsidRPr="00FE3C59">
        <w:t xml:space="preserve">balance sheet </w:t>
      </w:r>
      <w:r w:rsidR="004D2F41" w:rsidRPr="00FE3C59">
        <w:t xml:space="preserve">business </w:t>
      </w:r>
      <w:r w:rsidRPr="00FE3C59">
        <w:t xml:space="preserve">subject to market risk </w:t>
      </w:r>
      <w:r w:rsidR="00CB659C" w:rsidRPr="00FE3C59">
        <w:t>calculated</w:t>
      </w:r>
      <w:r w:rsidR="00022E55" w:rsidRPr="00FE3C59">
        <w:t xml:space="preserve"> </w:t>
      </w:r>
      <w:r w:rsidRPr="00FE3C59">
        <w:t>in accordance with Article 325a</w:t>
      </w:r>
      <w:r w:rsidR="00FD7136" w:rsidRPr="00FE3C59">
        <w:t xml:space="preserve"> of Regulation (EU) No 575/2013</w:t>
      </w:r>
      <w:r w:rsidRPr="00FE3C59">
        <w:t xml:space="preserve"> shall be reported </w:t>
      </w:r>
      <w:r w:rsidR="00801263" w:rsidRPr="00FE3C59">
        <w:t xml:space="preserve">separately </w:t>
      </w:r>
      <w:r w:rsidRPr="00FE3C59">
        <w:t>for each month</w:t>
      </w:r>
      <w:r w:rsidR="00485C29" w:rsidRPr="00FE3C59">
        <w:t>–</w:t>
      </w:r>
      <w:r w:rsidRPr="00FE3C59">
        <w:t xml:space="preserve">end </w:t>
      </w:r>
      <w:r w:rsidR="00801263" w:rsidRPr="00FE3C59">
        <w:t>in the quarter the report refers to</w:t>
      </w:r>
      <w:r w:rsidR="00807352" w:rsidRPr="00FE3C59">
        <w:t xml:space="preserve"> </w:t>
      </w:r>
      <w:r w:rsidRPr="00FE3C59">
        <w:t>in rows 0010 to 0</w:t>
      </w:r>
      <w:r w:rsidR="00807352" w:rsidRPr="00FE3C59">
        <w:t>03</w:t>
      </w:r>
      <w:r w:rsidRPr="00FE3C59">
        <w:t>0.</w:t>
      </w:r>
    </w:p>
    <w:tbl>
      <w:tblPr>
        <w:tblStyle w:val="TableGrid"/>
        <w:tblW w:w="0" w:type="auto"/>
        <w:tblLook w:val="04A0" w:firstRow="1" w:lastRow="0" w:firstColumn="1" w:lastColumn="0" w:noHBand="0" w:noVBand="1"/>
      </w:tblPr>
      <w:tblGrid>
        <w:gridCol w:w="1063"/>
        <w:gridCol w:w="7953"/>
      </w:tblGrid>
      <w:tr w:rsidR="00B5624A" w:rsidRPr="00FE3C59" w14:paraId="0AD021F8" w14:textId="77777777" w:rsidTr="54276580">
        <w:tc>
          <w:tcPr>
            <w:tcW w:w="1063" w:type="dxa"/>
            <w:shd w:val="clear" w:color="auto" w:fill="BFBFBF" w:themeFill="background1" w:themeFillShade="BF"/>
          </w:tcPr>
          <w:p w14:paraId="24852881" w14:textId="77777777" w:rsidR="00B5624A" w:rsidRPr="00FE3C59" w:rsidRDefault="00B5624A" w:rsidP="00B970E7">
            <w:pPr>
              <w:pStyle w:val="BodyText"/>
              <w:spacing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236F95BC" w14:textId="77777777" w:rsidR="00B5624A" w:rsidRPr="00FE3C59" w:rsidRDefault="00B5624A" w:rsidP="00B970E7">
            <w:pPr>
              <w:pStyle w:val="BodyText"/>
              <w:spacing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801263" w:rsidRPr="00FE3C59" w14:paraId="28894AD0" w14:textId="77777777" w:rsidTr="54276580">
        <w:tc>
          <w:tcPr>
            <w:tcW w:w="1063" w:type="dxa"/>
          </w:tcPr>
          <w:p w14:paraId="6DB3E44F" w14:textId="77777777" w:rsidR="00801263" w:rsidRPr="00FE3C59" w:rsidRDefault="00801263" w:rsidP="00801263">
            <w:pPr>
              <w:pStyle w:val="BodyText"/>
              <w:spacing w:after="120"/>
              <w:rPr>
                <w:rFonts w:ascii="Times New Roman" w:hAnsi="Times New Roman" w:cs="Times New Roman"/>
                <w:lang w:val="en-GB"/>
              </w:rPr>
            </w:pPr>
            <w:r w:rsidRPr="00FE3C59">
              <w:rPr>
                <w:rFonts w:ascii="Times New Roman" w:hAnsi="Times New Roman" w:cs="Times New Roman"/>
                <w:lang w:val="en-GB"/>
              </w:rPr>
              <w:t>0010</w:t>
            </w:r>
          </w:p>
        </w:tc>
        <w:tc>
          <w:tcPr>
            <w:tcW w:w="7953" w:type="dxa"/>
          </w:tcPr>
          <w:p w14:paraId="294A93E6" w14:textId="77777777" w:rsidR="00801263" w:rsidRPr="00FE3C59" w:rsidRDefault="00801263" w:rsidP="00801263">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Month 3</w:t>
            </w:r>
          </w:p>
          <w:p w14:paraId="2D18B94B" w14:textId="7131BB43" w:rsidR="00801263" w:rsidRPr="00FE3C59" w:rsidRDefault="1F629CE9" w:rsidP="54276580">
            <w:pPr>
              <w:pStyle w:val="Tabelleninhalt"/>
              <w:spacing w:after="120"/>
              <w:rPr>
                <w:rFonts w:ascii="Times New Roman" w:hAnsi="Times New Roman" w:cs="Times New Roman"/>
                <w:lang w:val="en-GB"/>
              </w:rPr>
            </w:pPr>
            <w:r w:rsidRPr="00FE3C59">
              <w:rPr>
                <w:rFonts w:ascii="Times New Roman" w:hAnsi="Times New Roman" w:cs="Times New Roman"/>
                <w:lang w:val="en-GB"/>
              </w:rPr>
              <w:t>Data as of the last day of the third month of the quarter the report refers to</w:t>
            </w:r>
            <w:r w:rsidR="00D9074B" w:rsidRPr="00FE3C59">
              <w:rPr>
                <w:rFonts w:ascii="Times New Roman" w:hAnsi="Times New Roman" w:cs="Times New Roman"/>
                <w:lang w:val="en-GB"/>
              </w:rPr>
              <w:t>.</w:t>
            </w:r>
          </w:p>
        </w:tc>
      </w:tr>
      <w:tr w:rsidR="00801263" w:rsidRPr="00FE3C59" w14:paraId="2319F963" w14:textId="77777777" w:rsidTr="54276580">
        <w:tc>
          <w:tcPr>
            <w:tcW w:w="1063" w:type="dxa"/>
          </w:tcPr>
          <w:p w14:paraId="3607DBDD" w14:textId="77777777" w:rsidR="00801263" w:rsidRPr="00FE3C59" w:rsidRDefault="00801263" w:rsidP="00801263">
            <w:pPr>
              <w:pStyle w:val="BodyText"/>
              <w:spacing w:after="120"/>
              <w:rPr>
                <w:rFonts w:ascii="Times New Roman" w:hAnsi="Times New Roman" w:cs="Times New Roman"/>
                <w:lang w:val="en-GB"/>
              </w:rPr>
            </w:pPr>
            <w:r w:rsidRPr="00FE3C59">
              <w:rPr>
                <w:rFonts w:ascii="Times New Roman" w:hAnsi="Times New Roman" w:cs="Times New Roman"/>
                <w:lang w:val="en-GB"/>
              </w:rPr>
              <w:t>0020</w:t>
            </w:r>
          </w:p>
        </w:tc>
        <w:tc>
          <w:tcPr>
            <w:tcW w:w="7953" w:type="dxa"/>
          </w:tcPr>
          <w:p w14:paraId="668A8001" w14:textId="77777777" w:rsidR="00801263" w:rsidRPr="00FE3C59" w:rsidRDefault="00801263" w:rsidP="00801263">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Month 2</w:t>
            </w:r>
          </w:p>
          <w:p w14:paraId="6A5D9495" w14:textId="1BE9FC2B" w:rsidR="00801263" w:rsidRPr="00FE3C59" w:rsidRDefault="1F629CE9" w:rsidP="54276580">
            <w:pPr>
              <w:pStyle w:val="Tabelleninhalt"/>
              <w:spacing w:after="120"/>
              <w:rPr>
                <w:rFonts w:ascii="Times New Roman" w:hAnsi="Times New Roman" w:cs="Times New Roman"/>
                <w:lang w:val="en-GB"/>
              </w:rPr>
            </w:pPr>
            <w:r w:rsidRPr="00FE3C59">
              <w:rPr>
                <w:rFonts w:ascii="Times New Roman" w:hAnsi="Times New Roman" w:cs="Times New Roman"/>
                <w:lang w:val="en-GB"/>
              </w:rPr>
              <w:t>Data as of the last day of the second month of the quarter the report refers to</w:t>
            </w:r>
            <w:r w:rsidR="00D9074B" w:rsidRPr="00FE3C59">
              <w:rPr>
                <w:rFonts w:ascii="Times New Roman" w:hAnsi="Times New Roman" w:cs="Times New Roman"/>
                <w:lang w:val="en-GB"/>
              </w:rPr>
              <w:t>.</w:t>
            </w:r>
          </w:p>
        </w:tc>
      </w:tr>
      <w:tr w:rsidR="00801263" w:rsidRPr="00FE3C59" w14:paraId="4410EBB2" w14:textId="77777777" w:rsidTr="54276580">
        <w:tc>
          <w:tcPr>
            <w:tcW w:w="1063" w:type="dxa"/>
          </w:tcPr>
          <w:p w14:paraId="36811BF7" w14:textId="77777777" w:rsidR="00801263" w:rsidRPr="00FE3C59" w:rsidRDefault="00801263" w:rsidP="00801263">
            <w:pPr>
              <w:pStyle w:val="BodyText"/>
              <w:spacing w:after="120"/>
              <w:rPr>
                <w:rFonts w:ascii="Times New Roman" w:hAnsi="Times New Roman" w:cs="Times New Roman"/>
                <w:lang w:val="en-GB"/>
              </w:rPr>
            </w:pPr>
            <w:r w:rsidRPr="00FE3C59">
              <w:rPr>
                <w:rFonts w:ascii="Times New Roman" w:hAnsi="Times New Roman" w:cs="Times New Roman"/>
                <w:lang w:val="en-GB"/>
              </w:rPr>
              <w:t>0030</w:t>
            </w:r>
          </w:p>
        </w:tc>
        <w:tc>
          <w:tcPr>
            <w:tcW w:w="7953" w:type="dxa"/>
          </w:tcPr>
          <w:p w14:paraId="121A93C5" w14:textId="77777777" w:rsidR="00801263" w:rsidRPr="00FE3C59" w:rsidRDefault="00801263" w:rsidP="00801263">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Month 1</w:t>
            </w:r>
          </w:p>
          <w:p w14:paraId="20A3B985" w14:textId="7A7BB6CA" w:rsidR="00801263" w:rsidRPr="00FE3C59" w:rsidRDefault="1F629CE9" w:rsidP="54276580">
            <w:pPr>
              <w:pStyle w:val="Tabelleninhalt"/>
              <w:spacing w:after="120"/>
              <w:rPr>
                <w:rFonts w:ascii="Times New Roman" w:hAnsi="Times New Roman" w:cs="Times New Roman"/>
                <w:lang w:val="en-GB"/>
              </w:rPr>
            </w:pPr>
            <w:r w:rsidRPr="00FE3C59">
              <w:rPr>
                <w:rFonts w:ascii="Times New Roman" w:hAnsi="Times New Roman" w:cs="Times New Roman"/>
                <w:lang w:val="en-GB"/>
              </w:rPr>
              <w:t>Data as of the last day of the first month of the quarter the report refers to</w:t>
            </w:r>
            <w:r w:rsidR="00D9074B" w:rsidRPr="00FE3C59">
              <w:rPr>
                <w:rFonts w:ascii="Times New Roman" w:hAnsi="Times New Roman" w:cs="Times New Roman"/>
                <w:lang w:val="en-GB"/>
              </w:rPr>
              <w:t>.</w:t>
            </w:r>
          </w:p>
        </w:tc>
      </w:tr>
    </w:tbl>
    <w:p w14:paraId="582EF756" w14:textId="77777777" w:rsidR="00C3721C" w:rsidRPr="00FE3C59" w:rsidRDefault="00C3721C" w:rsidP="00C3721C">
      <w:pPr>
        <w:pStyle w:val="InstructionsText2"/>
        <w:ind w:left="0" w:firstLine="0"/>
      </w:pPr>
    </w:p>
    <w:tbl>
      <w:tblPr>
        <w:tblStyle w:val="TableGrid"/>
        <w:tblW w:w="0" w:type="auto"/>
        <w:tblLook w:val="04A0" w:firstRow="1" w:lastRow="0" w:firstColumn="1" w:lastColumn="0" w:noHBand="0" w:noVBand="1"/>
      </w:tblPr>
      <w:tblGrid>
        <w:gridCol w:w="1043"/>
        <w:gridCol w:w="7973"/>
      </w:tblGrid>
      <w:tr w:rsidR="00F21ABD" w:rsidRPr="00FE3C59" w14:paraId="78AA0F60" w14:textId="77777777" w:rsidTr="0087640E">
        <w:tc>
          <w:tcPr>
            <w:tcW w:w="1043" w:type="dxa"/>
            <w:shd w:val="clear" w:color="auto" w:fill="BFBFBF" w:themeFill="background1" w:themeFillShade="BF"/>
          </w:tcPr>
          <w:p w14:paraId="1CD378C2" w14:textId="77777777" w:rsidR="005E43AB" w:rsidRPr="00FE3C59" w:rsidRDefault="005E43AB" w:rsidP="00F21ABD">
            <w:pPr>
              <w:pStyle w:val="BodyText"/>
              <w:spacing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77CC6E22" w14:textId="77777777" w:rsidR="005E43AB" w:rsidRPr="00FE3C59" w:rsidRDefault="005E43AB" w:rsidP="00F21ABD">
            <w:pPr>
              <w:pStyle w:val="BodyText"/>
              <w:spacing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F21ABD" w:rsidRPr="00FE3C59" w14:paraId="14F8551F" w14:textId="77777777" w:rsidTr="005E43AB">
        <w:tc>
          <w:tcPr>
            <w:tcW w:w="1043" w:type="dxa"/>
          </w:tcPr>
          <w:p w14:paraId="2F1CCDFD" w14:textId="77777777" w:rsidR="005E43AB" w:rsidRPr="00FE3C59" w:rsidRDefault="005E43AB" w:rsidP="00F21ABD">
            <w:pPr>
              <w:pStyle w:val="BodyText"/>
              <w:spacing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7F171CFA" w14:textId="4E2175BE" w:rsidR="005E43AB" w:rsidRPr="00FE3C59" w:rsidRDefault="005E43AB" w:rsidP="001E0F49">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On</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and off</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balance sheet business subject to market risk</w:t>
            </w:r>
          </w:p>
          <w:p w14:paraId="34BF9A42" w14:textId="42D5DD3D" w:rsidR="005E43AB" w:rsidRPr="00FE3C59" w:rsidRDefault="005E43AB" w:rsidP="001E0F49">
            <w:pPr>
              <w:pStyle w:val="Tabelleninhalt"/>
              <w:spacing w:after="120"/>
              <w:rPr>
                <w:rFonts w:ascii="Times New Roman" w:hAnsi="Times New Roman" w:cs="Times New Roman"/>
                <w:lang w:val="en-GB"/>
              </w:rPr>
            </w:pPr>
            <w:r w:rsidRPr="00FE3C59">
              <w:rPr>
                <w:rFonts w:ascii="Times New Roman" w:hAnsi="Times New Roman" w:cs="Times New Roman"/>
                <w:lang w:val="en-GB"/>
              </w:rPr>
              <w:t>Art</w:t>
            </w:r>
            <w:r w:rsidR="00333903" w:rsidRPr="00FE3C59">
              <w:rPr>
                <w:rFonts w:ascii="Times New Roman" w:hAnsi="Times New Roman" w:cs="Times New Roman"/>
                <w:lang w:val="en-GB"/>
              </w:rPr>
              <w:t>icle</w:t>
            </w:r>
            <w:r w:rsidRPr="00FE3C59">
              <w:rPr>
                <w:rFonts w:ascii="Times New Roman" w:hAnsi="Times New Roman" w:cs="Times New Roman"/>
                <w:lang w:val="en-GB"/>
              </w:rPr>
              <w:t xml:space="preserve"> 325a(</w:t>
            </w:r>
            <w:r w:rsidR="00FD4822" w:rsidRPr="00FE3C59">
              <w:rPr>
                <w:rFonts w:ascii="Times New Roman" w:hAnsi="Times New Roman" w:cs="Times New Roman"/>
                <w:lang w:val="en-GB"/>
              </w:rPr>
              <w:t>2</w:t>
            </w:r>
            <w:r w:rsidRPr="00FE3C59">
              <w:rPr>
                <w:rFonts w:ascii="Times New Roman" w:hAnsi="Times New Roman" w:cs="Times New Roman"/>
                <w:lang w:val="en-GB"/>
              </w:rPr>
              <w:t>)</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A55C7C" w:rsidRPr="00FE3C59">
              <w:rPr>
                <w:rFonts w:ascii="Times New Roman" w:hAnsi="Times New Roman" w:cs="Times New Roman"/>
                <w:lang w:val="en-GB"/>
              </w:rPr>
              <w:t>.</w:t>
            </w:r>
          </w:p>
          <w:p w14:paraId="358D9E22" w14:textId="03334603" w:rsidR="005E43AB" w:rsidRPr="00FE3C59" w:rsidRDefault="002D45ED" w:rsidP="00FD4822">
            <w:pPr>
              <w:pStyle w:val="Tabelleninhalt"/>
              <w:spacing w:after="120"/>
              <w:rPr>
                <w:rFonts w:ascii="Times New Roman" w:hAnsi="Times New Roman" w:cs="Times New Roman"/>
                <w:lang w:val="en-GB"/>
              </w:rPr>
            </w:pPr>
            <w:r w:rsidRPr="00FE3C59">
              <w:rPr>
                <w:rFonts w:ascii="Times New Roman" w:hAnsi="Times New Roman" w:cs="Times New Roman"/>
                <w:lang w:val="en-GB"/>
              </w:rPr>
              <w:t>Institutions shall report t</w:t>
            </w:r>
            <w:r w:rsidR="00F21ABD" w:rsidRPr="00FE3C59">
              <w:rPr>
                <w:rFonts w:ascii="Times New Roman" w:hAnsi="Times New Roman" w:cs="Times New Roman"/>
                <w:lang w:val="en-GB"/>
              </w:rPr>
              <w:t xml:space="preserve">he absolute </w:t>
            </w:r>
            <w:r w:rsidR="006A329F" w:rsidRPr="00FE3C59">
              <w:rPr>
                <w:rFonts w:ascii="Times New Roman" w:hAnsi="Times New Roman" w:cs="Times New Roman"/>
                <w:lang w:val="en-GB"/>
              </w:rPr>
              <w:t>amount reflecting</w:t>
            </w:r>
            <w:r w:rsidR="00C3721C" w:rsidRPr="00FE3C59">
              <w:rPr>
                <w:rFonts w:ascii="Times New Roman" w:hAnsi="Times New Roman" w:cs="Times New Roman"/>
                <w:lang w:val="en-GB"/>
              </w:rPr>
              <w:t xml:space="preserve"> </w:t>
            </w:r>
            <w:r w:rsidR="00F21ABD" w:rsidRPr="00FE3C59">
              <w:rPr>
                <w:rFonts w:ascii="Times New Roman" w:hAnsi="Times New Roman" w:cs="Times New Roman"/>
                <w:lang w:val="en-GB"/>
              </w:rPr>
              <w:t>the institution’s on</w:t>
            </w:r>
            <w:r w:rsidR="00485C29" w:rsidRPr="00FE3C59">
              <w:rPr>
                <w:rFonts w:ascii="Times New Roman" w:hAnsi="Times New Roman" w:cs="Times New Roman"/>
                <w:lang w:val="en-GB"/>
              </w:rPr>
              <w:t>–</w:t>
            </w:r>
            <w:r w:rsidR="00F21ABD" w:rsidRPr="00FE3C59">
              <w:rPr>
                <w:rFonts w:ascii="Times New Roman" w:hAnsi="Times New Roman" w:cs="Times New Roman"/>
                <w:lang w:val="en-GB"/>
              </w:rPr>
              <w:t xml:space="preserve"> and off</w:t>
            </w:r>
            <w:r w:rsidR="00485C29" w:rsidRPr="00FE3C59">
              <w:rPr>
                <w:rFonts w:ascii="Times New Roman" w:hAnsi="Times New Roman" w:cs="Times New Roman"/>
                <w:lang w:val="en-GB"/>
              </w:rPr>
              <w:t>–</w:t>
            </w:r>
            <w:r w:rsidR="00F21ABD" w:rsidRPr="00FE3C59">
              <w:rPr>
                <w:rFonts w:ascii="Times New Roman" w:hAnsi="Times New Roman" w:cs="Times New Roman"/>
                <w:lang w:val="en-GB"/>
              </w:rPr>
              <w:t>b</w:t>
            </w:r>
            <w:r w:rsidR="002475E5" w:rsidRPr="00FE3C59">
              <w:rPr>
                <w:rFonts w:ascii="Times New Roman" w:hAnsi="Times New Roman" w:cs="Times New Roman"/>
                <w:lang w:val="en-GB"/>
              </w:rPr>
              <w:t>a</w:t>
            </w:r>
            <w:r w:rsidR="00F21ABD" w:rsidRPr="00FE3C59">
              <w:rPr>
                <w:rFonts w:ascii="Times New Roman" w:hAnsi="Times New Roman" w:cs="Times New Roman"/>
                <w:lang w:val="en-GB"/>
              </w:rPr>
              <w:t xml:space="preserve">lance sheet business subject to market risk </w:t>
            </w:r>
            <w:r w:rsidR="00FD4822" w:rsidRPr="00FE3C59">
              <w:rPr>
                <w:rFonts w:ascii="Times New Roman" w:hAnsi="Times New Roman" w:cs="Times New Roman"/>
                <w:lang w:val="en-GB"/>
              </w:rPr>
              <w:t>calculated in accordance with</w:t>
            </w:r>
            <w:r w:rsidR="00F21ABD" w:rsidRPr="00FE3C59">
              <w:rPr>
                <w:rFonts w:ascii="Times New Roman" w:hAnsi="Times New Roman" w:cs="Times New Roman"/>
                <w:lang w:val="en-GB"/>
              </w:rPr>
              <w:t xml:space="preserve"> Article 325a</w:t>
            </w:r>
            <w:r w:rsidR="00FD4822" w:rsidRPr="00FE3C59">
              <w:rPr>
                <w:rFonts w:ascii="Times New Roman" w:hAnsi="Times New Roman" w:cs="Times New Roman"/>
                <w:lang w:val="en-GB"/>
              </w:rPr>
              <w:t>(2)</w:t>
            </w:r>
            <w:r w:rsidR="00F21ABD"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F21ABD" w:rsidRPr="00FE3C59">
              <w:rPr>
                <w:rFonts w:ascii="Times New Roman" w:hAnsi="Times New Roman" w:cs="Times New Roman"/>
                <w:lang w:val="en-GB"/>
              </w:rPr>
              <w:t>.</w:t>
            </w:r>
            <w:r w:rsidR="005E43AB" w:rsidRPr="00FE3C59">
              <w:rPr>
                <w:rFonts w:ascii="Times New Roman" w:hAnsi="Times New Roman" w:cs="Times New Roman"/>
                <w:lang w:val="en-GB"/>
              </w:rPr>
              <w:t xml:space="preserve"> </w:t>
            </w:r>
          </w:p>
        </w:tc>
      </w:tr>
      <w:tr w:rsidR="00F21ABD" w:rsidRPr="00FE3C59" w14:paraId="516D8792" w14:textId="77777777" w:rsidTr="005E43AB">
        <w:tc>
          <w:tcPr>
            <w:tcW w:w="1043" w:type="dxa"/>
          </w:tcPr>
          <w:p w14:paraId="15E646C7" w14:textId="77777777" w:rsidR="005E43AB" w:rsidRPr="00FE3C59" w:rsidRDefault="005E43AB" w:rsidP="00C33501">
            <w:pPr>
              <w:pStyle w:val="BodyText"/>
              <w:spacing w:after="120"/>
              <w:rPr>
                <w:rFonts w:ascii="Times New Roman" w:hAnsi="Times New Roman" w:cs="Times New Roman"/>
                <w:lang w:val="en-GB"/>
              </w:rPr>
            </w:pPr>
            <w:r w:rsidRPr="00FE3C59">
              <w:rPr>
                <w:rFonts w:ascii="Times New Roman" w:hAnsi="Times New Roman" w:cs="Times New Roman"/>
                <w:lang w:val="en-GB"/>
              </w:rPr>
              <w:t>00</w:t>
            </w:r>
            <w:r w:rsidR="00C33501" w:rsidRPr="00FE3C59">
              <w:rPr>
                <w:rFonts w:ascii="Times New Roman" w:hAnsi="Times New Roman" w:cs="Times New Roman"/>
                <w:lang w:val="en-GB"/>
              </w:rPr>
              <w:t>2</w:t>
            </w:r>
            <w:r w:rsidRPr="00FE3C59">
              <w:rPr>
                <w:rFonts w:ascii="Times New Roman" w:hAnsi="Times New Roman" w:cs="Times New Roman"/>
                <w:lang w:val="en-GB"/>
              </w:rPr>
              <w:t>0</w:t>
            </w:r>
            <w:r w:rsidR="00234842" w:rsidRPr="00FE3C59">
              <w:rPr>
                <w:rFonts w:ascii="Times New Roman" w:hAnsi="Times New Roman" w:cs="Times New Roman"/>
                <w:lang w:val="en-GB"/>
              </w:rPr>
              <w:t xml:space="preserve"> – 0</w:t>
            </w:r>
            <w:r w:rsidR="00C33501" w:rsidRPr="00FE3C59">
              <w:rPr>
                <w:rFonts w:ascii="Times New Roman" w:hAnsi="Times New Roman" w:cs="Times New Roman"/>
                <w:lang w:val="en-GB"/>
              </w:rPr>
              <w:t>06</w:t>
            </w:r>
            <w:r w:rsidR="00234842" w:rsidRPr="00FE3C59">
              <w:rPr>
                <w:rFonts w:ascii="Times New Roman" w:hAnsi="Times New Roman" w:cs="Times New Roman"/>
                <w:lang w:val="en-GB"/>
              </w:rPr>
              <w:t>0</w:t>
            </w:r>
          </w:p>
        </w:tc>
        <w:tc>
          <w:tcPr>
            <w:tcW w:w="7973" w:type="dxa"/>
          </w:tcPr>
          <w:p w14:paraId="3E3602D4" w14:textId="77777777" w:rsidR="005E43AB" w:rsidRPr="00FE3C59" w:rsidRDefault="005E43AB" w:rsidP="001E0F49">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Breakdown by regulatory book</w:t>
            </w:r>
          </w:p>
          <w:p w14:paraId="3917643F" w14:textId="7143827C" w:rsidR="005E43AB" w:rsidRPr="00FE3C59" w:rsidRDefault="005E43AB" w:rsidP="001E0F49">
            <w:pPr>
              <w:pStyle w:val="Tabelleninhalt"/>
              <w:spacing w:after="120"/>
              <w:rPr>
                <w:rFonts w:ascii="Times New Roman" w:hAnsi="Times New Roman" w:cs="Times New Roman"/>
                <w:lang w:val="en-GB"/>
              </w:rPr>
            </w:pPr>
            <w:r w:rsidRPr="00FE3C59">
              <w:rPr>
                <w:rFonts w:ascii="Times New Roman" w:hAnsi="Times New Roman" w:cs="Times New Roman"/>
                <w:lang w:val="en-GB"/>
              </w:rPr>
              <w:t>On</w:t>
            </w:r>
            <w:r w:rsidR="00485C29" w:rsidRPr="00FE3C59">
              <w:rPr>
                <w:rFonts w:ascii="Times New Roman" w:hAnsi="Times New Roman" w:cs="Times New Roman"/>
                <w:lang w:val="en-GB"/>
              </w:rPr>
              <w:t>–</w:t>
            </w:r>
            <w:r w:rsidRPr="00FE3C59">
              <w:rPr>
                <w:rFonts w:ascii="Times New Roman" w:hAnsi="Times New Roman" w:cs="Times New Roman"/>
                <w:lang w:val="en-GB"/>
              </w:rPr>
              <w:t xml:space="preserve"> and off</w:t>
            </w:r>
            <w:r w:rsidR="00485C29" w:rsidRPr="00FE3C59">
              <w:rPr>
                <w:rFonts w:ascii="Times New Roman" w:hAnsi="Times New Roman" w:cs="Times New Roman"/>
                <w:lang w:val="en-GB"/>
              </w:rPr>
              <w:t>–</w:t>
            </w:r>
            <w:r w:rsidRPr="00FE3C59">
              <w:rPr>
                <w:rFonts w:ascii="Times New Roman" w:hAnsi="Times New Roman" w:cs="Times New Roman"/>
                <w:lang w:val="en-GB"/>
              </w:rPr>
              <w:t xml:space="preserve">balance sheet business subject to market risk </w:t>
            </w:r>
            <w:r w:rsidR="002D45ED" w:rsidRPr="00FE3C59">
              <w:rPr>
                <w:rFonts w:ascii="Times New Roman" w:hAnsi="Times New Roman" w:cs="Times New Roman"/>
                <w:lang w:val="en-GB"/>
              </w:rPr>
              <w:t>shall be</w:t>
            </w:r>
            <w:r w:rsidRPr="00FE3C59">
              <w:rPr>
                <w:rFonts w:ascii="Times New Roman" w:hAnsi="Times New Roman" w:cs="Times New Roman"/>
                <w:lang w:val="en-GB"/>
              </w:rPr>
              <w:t xml:space="preserve"> broken down by trading book and non</w:t>
            </w:r>
            <w:r w:rsidR="00485C29" w:rsidRPr="00FE3C59">
              <w:rPr>
                <w:rFonts w:ascii="Times New Roman" w:hAnsi="Times New Roman" w:cs="Times New Roman"/>
                <w:lang w:val="en-GB"/>
              </w:rPr>
              <w:t>–</w:t>
            </w:r>
            <w:r w:rsidRPr="00FE3C59">
              <w:rPr>
                <w:rFonts w:ascii="Times New Roman" w:hAnsi="Times New Roman" w:cs="Times New Roman"/>
                <w:lang w:val="en-GB"/>
              </w:rPr>
              <w:t xml:space="preserve">trading book. </w:t>
            </w:r>
          </w:p>
        </w:tc>
      </w:tr>
      <w:tr w:rsidR="00F21ABD" w:rsidRPr="00FE3C59" w14:paraId="59CBC587" w14:textId="77777777" w:rsidTr="005E43AB">
        <w:tc>
          <w:tcPr>
            <w:tcW w:w="1043" w:type="dxa"/>
          </w:tcPr>
          <w:p w14:paraId="71F6DF33" w14:textId="1C79099D" w:rsidR="005E43AB" w:rsidRPr="00FE3C59" w:rsidRDefault="005E43AB" w:rsidP="00C33501">
            <w:pPr>
              <w:pStyle w:val="BodyText"/>
              <w:spacing w:after="120"/>
              <w:rPr>
                <w:rFonts w:ascii="Times New Roman" w:hAnsi="Times New Roman" w:cs="Times New Roman"/>
                <w:lang w:val="en-GB"/>
              </w:rPr>
            </w:pPr>
            <w:r w:rsidRPr="00FE3C59">
              <w:rPr>
                <w:rFonts w:ascii="Times New Roman" w:hAnsi="Times New Roman" w:cs="Times New Roman"/>
                <w:lang w:val="en-GB"/>
              </w:rPr>
              <w:t>00</w:t>
            </w:r>
            <w:r w:rsidR="00C33501" w:rsidRPr="00FE3C59">
              <w:rPr>
                <w:rFonts w:ascii="Times New Roman" w:hAnsi="Times New Roman" w:cs="Times New Roman"/>
                <w:lang w:val="en-GB"/>
              </w:rPr>
              <w:t>2</w:t>
            </w:r>
            <w:r w:rsidRPr="00FE3C59">
              <w:rPr>
                <w:rFonts w:ascii="Times New Roman" w:hAnsi="Times New Roman" w:cs="Times New Roman"/>
                <w:lang w:val="en-GB"/>
              </w:rPr>
              <w:t>0</w:t>
            </w:r>
            <w:r w:rsidR="00D76C91" w:rsidRPr="00FE3C59">
              <w:rPr>
                <w:rFonts w:ascii="Times New Roman" w:hAnsi="Times New Roman" w:cs="Times New Roman"/>
                <w:lang w:val="en-GB"/>
              </w:rPr>
              <w:t>-0040</w:t>
            </w:r>
          </w:p>
        </w:tc>
        <w:tc>
          <w:tcPr>
            <w:tcW w:w="7973" w:type="dxa"/>
          </w:tcPr>
          <w:p w14:paraId="26DDAEB3" w14:textId="77777777" w:rsidR="005E43AB" w:rsidRPr="00FE3C59" w:rsidRDefault="005E43AB" w:rsidP="001E0F49">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Trading book</w:t>
            </w:r>
          </w:p>
          <w:p w14:paraId="2183D695" w14:textId="219546DA" w:rsidR="00152FAE" w:rsidRPr="00FE3C59" w:rsidRDefault="00C01B7E" w:rsidP="00DC301D">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Positions assigned to the trading book which are included in the calculation of </w:t>
            </w:r>
            <w:r w:rsidR="005E43AB" w:rsidRPr="00FE3C59">
              <w:rPr>
                <w:rFonts w:ascii="Times New Roman" w:hAnsi="Times New Roman" w:cs="Times New Roman"/>
                <w:lang w:val="en-GB"/>
              </w:rPr>
              <w:t>Art</w:t>
            </w:r>
            <w:r w:rsidR="00F21ABD" w:rsidRPr="00FE3C59">
              <w:rPr>
                <w:rFonts w:ascii="Times New Roman" w:hAnsi="Times New Roman" w:cs="Times New Roman"/>
                <w:lang w:val="en-GB"/>
              </w:rPr>
              <w:t>icle</w:t>
            </w:r>
            <w:r w:rsidR="005E43AB" w:rsidRPr="00FE3C59">
              <w:rPr>
                <w:rFonts w:ascii="Times New Roman" w:hAnsi="Times New Roman" w:cs="Times New Roman"/>
                <w:lang w:val="en-GB"/>
              </w:rPr>
              <w:t xml:space="preserve"> 325a(2)</w:t>
            </w:r>
            <w:r w:rsidR="005E43AB"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A55C7C" w:rsidRPr="00FE3C59">
              <w:rPr>
                <w:rFonts w:ascii="Times New Roman" w:hAnsi="Times New Roman" w:cs="Times New Roman"/>
                <w:lang w:val="en-GB"/>
              </w:rPr>
              <w:t>.</w:t>
            </w:r>
          </w:p>
        </w:tc>
      </w:tr>
      <w:tr w:rsidR="00F21ABD" w:rsidRPr="00FE3C59" w14:paraId="06137699" w14:textId="77777777" w:rsidTr="005E43AB">
        <w:tc>
          <w:tcPr>
            <w:tcW w:w="1043" w:type="dxa"/>
          </w:tcPr>
          <w:p w14:paraId="7965BD1B" w14:textId="77777777" w:rsidR="005E43AB" w:rsidRPr="00FE3C59" w:rsidRDefault="005E43AB" w:rsidP="00234842">
            <w:pPr>
              <w:pStyle w:val="BodyText"/>
              <w:spacing w:after="120"/>
              <w:rPr>
                <w:rFonts w:ascii="Times New Roman" w:hAnsi="Times New Roman" w:cs="Times New Roman"/>
                <w:lang w:val="en-GB"/>
              </w:rPr>
            </w:pPr>
            <w:r w:rsidRPr="00FE3C59">
              <w:rPr>
                <w:rFonts w:ascii="Times New Roman" w:hAnsi="Times New Roman" w:cs="Times New Roman"/>
                <w:lang w:val="en-GB"/>
              </w:rPr>
              <w:t>00</w:t>
            </w:r>
            <w:r w:rsidR="00C33501" w:rsidRPr="00FE3C59">
              <w:rPr>
                <w:rFonts w:ascii="Times New Roman" w:hAnsi="Times New Roman" w:cs="Times New Roman"/>
                <w:lang w:val="en-GB"/>
              </w:rPr>
              <w:t>3</w:t>
            </w:r>
            <w:r w:rsidR="00234842" w:rsidRPr="00FE3C59">
              <w:rPr>
                <w:rFonts w:ascii="Times New Roman" w:hAnsi="Times New Roman" w:cs="Times New Roman"/>
                <w:lang w:val="en-GB"/>
              </w:rPr>
              <w:t>0 – 00</w:t>
            </w:r>
            <w:r w:rsidR="00C33501" w:rsidRPr="00FE3C59">
              <w:rPr>
                <w:rFonts w:ascii="Times New Roman" w:hAnsi="Times New Roman" w:cs="Times New Roman"/>
                <w:lang w:val="en-GB"/>
              </w:rPr>
              <w:t>4</w:t>
            </w:r>
            <w:r w:rsidRPr="00FE3C59">
              <w:rPr>
                <w:rFonts w:ascii="Times New Roman" w:hAnsi="Times New Roman" w:cs="Times New Roman"/>
                <w:lang w:val="en-GB"/>
              </w:rPr>
              <w:t>0</w:t>
            </w:r>
          </w:p>
        </w:tc>
        <w:tc>
          <w:tcPr>
            <w:tcW w:w="7973" w:type="dxa"/>
          </w:tcPr>
          <w:p w14:paraId="4F14B8AF" w14:textId="77EB0DF6" w:rsidR="005E43AB" w:rsidRPr="00FE3C59" w:rsidRDefault="005E43AB" w:rsidP="001E0F49">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of which: Trading book business for the purpose</w:t>
            </w:r>
            <w:r w:rsidR="00022E55" w:rsidRPr="00FE3C59">
              <w:rPr>
                <w:rFonts w:ascii="Times New Roman" w:hAnsi="Times New Roman" w:cs="Times New Roman"/>
                <w:b/>
                <w:u w:val="single"/>
                <w:lang w:val="en-GB"/>
              </w:rPr>
              <w:t>s</w:t>
            </w:r>
            <w:r w:rsidRPr="00FE3C59">
              <w:rPr>
                <w:rFonts w:ascii="Times New Roman" w:hAnsi="Times New Roman" w:cs="Times New Roman"/>
                <w:b/>
                <w:u w:val="single"/>
                <w:lang w:val="en-GB"/>
              </w:rPr>
              <w:t xml:space="preserve"> of Article 94</w:t>
            </w:r>
            <w:r w:rsidRPr="00FE3C59" w:rsidDel="00FD7136">
              <w:rPr>
                <w:rFonts w:ascii="Times New Roman" w:hAnsi="Times New Roman" w:cs="Times New Roman"/>
                <w:b/>
                <w:u w:val="single"/>
                <w:lang w:val="en-GB"/>
              </w:rPr>
              <w:t xml:space="preserve"> </w:t>
            </w:r>
            <w:r w:rsidR="00FD7136" w:rsidRPr="00FE3C59">
              <w:rPr>
                <w:rFonts w:ascii="Times New Roman" w:hAnsi="Times New Roman" w:cs="Times New Roman"/>
                <w:b/>
                <w:u w:val="single"/>
                <w:lang w:val="en-GB"/>
              </w:rPr>
              <w:t>of Regulation (EU) No 575/2013</w:t>
            </w:r>
          </w:p>
          <w:p w14:paraId="68FDDF6C" w14:textId="76CBDCED" w:rsidR="005E43AB" w:rsidRPr="00FE3C59" w:rsidRDefault="005E43AB" w:rsidP="001E0F49">
            <w:pPr>
              <w:pStyle w:val="Tabelleninhalt"/>
              <w:spacing w:after="120"/>
              <w:rPr>
                <w:rFonts w:ascii="Times New Roman" w:hAnsi="Times New Roman" w:cs="Times New Roman"/>
                <w:lang w:val="en-GB"/>
              </w:rPr>
            </w:pPr>
            <w:r w:rsidRPr="00FE3C59">
              <w:rPr>
                <w:rFonts w:ascii="Times New Roman" w:hAnsi="Times New Roman" w:cs="Times New Roman"/>
                <w:lang w:val="en-GB"/>
              </w:rPr>
              <w:t>Article 94(3)</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A55C7C" w:rsidRPr="00FE3C59">
              <w:rPr>
                <w:rFonts w:ascii="Times New Roman" w:hAnsi="Times New Roman" w:cs="Times New Roman"/>
                <w:lang w:val="en-GB"/>
              </w:rPr>
              <w:t>.</w:t>
            </w:r>
          </w:p>
          <w:p w14:paraId="6E7127DF" w14:textId="7EACC7BE" w:rsidR="002D45ED" w:rsidRPr="00FE3C59" w:rsidRDefault="00022E55" w:rsidP="00344EAB">
            <w:pPr>
              <w:pStyle w:val="Tabelleninhalt"/>
              <w:spacing w:after="120"/>
              <w:rPr>
                <w:rFonts w:ascii="Times New Roman" w:hAnsi="Times New Roman" w:cs="Times New Roman"/>
                <w:lang w:val="en-GB"/>
              </w:rPr>
            </w:pPr>
            <w:r w:rsidRPr="00FE3C59">
              <w:rPr>
                <w:rFonts w:ascii="Times New Roman" w:hAnsi="Times New Roman" w:cs="Times New Roman"/>
                <w:lang w:val="en-GB"/>
              </w:rPr>
              <w:t>As required by</w:t>
            </w:r>
            <w:r w:rsidR="002D45ED" w:rsidRPr="00FE3C59">
              <w:rPr>
                <w:rFonts w:ascii="Times New Roman" w:hAnsi="Times New Roman" w:cs="Times New Roman"/>
                <w:lang w:val="en-GB"/>
              </w:rPr>
              <w:t xml:space="preserve"> Article 94(3)</w:t>
            </w:r>
            <w:r w:rsidR="006A5DC0" w:rsidRPr="00FE3C59">
              <w:rPr>
                <w:rFonts w:ascii="Times New Roman" w:hAnsi="Times New Roman" w:cs="Times New Roman"/>
                <w:lang w:val="en-GB"/>
              </w:rPr>
              <w:t>, point (b),</w:t>
            </w:r>
            <w:r w:rsidR="002D45ED"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2D45ED" w:rsidRPr="00FE3C59">
              <w:rPr>
                <w:rFonts w:ascii="Times New Roman" w:hAnsi="Times New Roman" w:cs="Times New Roman"/>
                <w:lang w:val="en-GB"/>
              </w:rPr>
              <w:t>, institution</w:t>
            </w:r>
            <w:r w:rsidRPr="00FE3C59">
              <w:rPr>
                <w:rFonts w:ascii="Times New Roman" w:hAnsi="Times New Roman" w:cs="Times New Roman"/>
                <w:lang w:val="en-GB"/>
              </w:rPr>
              <w:t>s</w:t>
            </w:r>
            <w:r w:rsidR="002D45ED" w:rsidRPr="00FE3C59">
              <w:rPr>
                <w:rFonts w:ascii="Times New Roman" w:hAnsi="Times New Roman" w:cs="Times New Roman"/>
                <w:lang w:val="en-GB"/>
              </w:rPr>
              <w:t xml:space="preserve"> shall </w:t>
            </w:r>
            <w:r w:rsidR="0043071A" w:rsidRPr="00FE3C59">
              <w:rPr>
                <w:rFonts w:ascii="Times New Roman" w:hAnsi="Times New Roman" w:cs="Times New Roman"/>
                <w:lang w:val="en-GB"/>
              </w:rPr>
              <w:t xml:space="preserve">report </w:t>
            </w:r>
            <w:r w:rsidR="005E43AB" w:rsidRPr="00FE3C59">
              <w:rPr>
                <w:rFonts w:ascii="Times New Roman" w:hAnsi="Times New Roman" w:cs="Times New Roman"/>
                <w:lang w:val="en-GB"/>
              </w:rPr>
              <w:t>market values</w:t>
            </w:r>
            <w:r w:rsidR="008855E5" w:rsidRPr="00FE3C59">
              <w:rPr>
                <w:rFonts w:ascii="Times New Roman" w:hAnsi="Times New Roman" w:cs="Times New Roman"/>
                <w:lang w:val="en-GB"/>
              </w:rPr>
              <w:t xml:space="preserve"> </w:t>
            </w:r>
            <w:r w:rsidR="00344EAB" w:rsidRPr="00FE3C59">
              <w:rPr>
                <w:rFonts w:ascii="Times New Roman" w:hAnsi="Times New Roman" w:cs="Times New Roman"/>
                <w:lang w:val="en-GB"/>
              </w:rPr>
              <w:t>as of the last day of the month</w:t>
            </w:r>
            <w:r w:rsidR="008855E5" w:rsidRPr="00FE3C59">
              <w:rPr>
                <w:rFonts w:ascii="Times New Roman" w:hAnsi="Times New Roman" w:cs="Times New Roman"/>
                <w:lang w:val="en-GB"/>
              </w:rPr>
              <w:t xml:space="preserve">; </w:t>
            </w:r>
            <w:r w:rsidR="00CB659C" w:rsidRPr="00FE3C59">
              <w:rPr>
                <w:rFonts w:ascii="Times New Roman" w:hAnsi="Times New Roman" w:cs="Times New Roman"/>
                <w:lang w:val="en-GB"/>
              </w:rPr>
              <w:t>where</w:t>
            </w:r>
            <w:r w:rsidR="008855E5" w:rsidRPr="00FE3C59">
              <w:rPr>
                <w:rFonts w:ascii="Times New Roman" w:hAnsi="Times New Roman" w:cs="Times New Roman"/>
                <w:lang w:val="en-GB"/>
              </w:rPr>
              <w:t xml:space="preserve"> market values are not available</w:t>
            </w:r>
            <w:r w:rsidR="00FE4C65" w:rsidRPr="00FE3C59">
              <w:rPr>
                <w:rFonts w:ascii="Times New Roman" w:hAnsi="Times New Roman" w:cs="Times New Roman"/>
                <w:lang w:val="en-GB"/>
              </w:rPr>
              <w:t>,</w:t>
            </w:r>
            <w:r w:rsidR="005E43AB" w:rsidRPr="00FE3C59">
              <w:rPr>
                <w:rFonts w:ascii="Times New Roman" w:hAnsi="Times New Roman" w:cs="Times New Roman"/>
                <w:lang w:val="en-GB"/>
              </w:rPr>
              <w:t xml:space="preserve"> fair values </w:t>
            </w:r>
            <w:r w:rsidR="008855E5" w:rsidRPr="00FE3C59">
              <w:rPr>
                <w:rFonts w:ascii="Times New Roman" w:hAnsi="Times New Roman" w:cs="Times New Roman"/>
                <w:lang w:val="en-GB"/>
              </w:rPr>
              <w:t xml:space="preserve">at the same date, </w:t>
            </w:r>
            <w:r w:rsidR="005E43AB" w:rsidRPr="00FE3C59">
              <w:rPr>
                <w:rFonts w:ascii="Times New Roman" w:hAnsi="Times New Roman" w:cs="Times New Roman"/>
                <w:lang w:val="en-GB"/>
              </w:rPr>
              <w:t>or</w:t>
            </w:r>
            <w:r w:rsidR="008855E5" w:rsidRPr="00FE3C59">
              <w:rPr>
                <w:rFonts w:ascii="Times New Roman" w:hAnsi="Times New Roman" w:cs="Times New Roman"/>
                <w:lang w:val="en-GB"/>
              </w:rPr>
              <w:t xml:space="preserve">, </w:t>
            </w:r>
            <w:r w:rsidR="00CB659C" w:rsidRPr="00FE3C59">
              <w:rPr>
                <w:rFonts w:ascii="Times New Roman" w:hAnsi="Times New Roman" w:cs="Times New Roman"/>
                <w:lang w:val="en-GB"/>
              </w:rPr>
              <w:t>where</w:t>
            </w:r>
            <w:r w:rsidR="008855E5" w:rsidRPr="00FE3C59">
              <w:rPr>
                <w:rFonts w:ascii="Times New Roman" w:hAnsi="Times New Roman" w:cs="Times New Roman"/>
                <w:lang w:val="en-GB"/>
              </w:rPr>
              <w:t xml:space="preserve"> market values </w:t>
            </w:r>
            <w:r w:rsidR="00CB659C" w:rsidRPr="00FE3C59">
              <w:rPr>
                <w:rFonts w:ascii="Times New Roman" w:hAnsi="Times New Roman" w:cs="Times New Roman"/>
                <w:lang w:val="en-GB"/>
              </w:rPr>
              <w:t>and</w:t>
            </w:r>
            <w:r w:rsidR="008855E5" w:rsidRPr="00FE3C59">
              <w:rPr>
                <w:rFonts w:ascii="Times New Roman" w:hAnsi="Times New Roman" w:cs="Times New Roman"/>
                <w:lang w:val="en-GB"/>
              </w:rPr>
              <w:t xml:space="preserve"> fair values are not available at th</w:t>
            </w:r>
            <w:r w:rsidR="00344EAB" w:rsidRPr="00FE3C59">
              <w:rPr>
                <w:rFonts w:ascii="Times New Roman" w:hAnsi="Times New Roman" w:cs="Times New Roman"/>
                <w:lang w:val="en-GB"/>
              </w:rPr>
              <w:t>at</w:t>
            </w:r>
            <w:r w:rsidR="008855E5" w:rsidRPr="00FE3C59">
              <w:rPr>
                <w:rFonts w:ascii="Times New Roman" w:hAnsi="Times New Roman" w:cs="Times New Roman"/>
                <w:lang w:val="en-GB"/>
              </w:rPr>
              <w:t xml:space="preserve"> given date,</w:t>
            </w:r>
            <w:r w:rsidR="005E43AB" w:rsidRPr="00FE3C59">
              <w:rPr>
                <w:rFonts w:ascii="Times New Roman" w:hAnsi="Times New Roman" w:cs="Times New Roman"/>
                <w:lang w:val="en-GB"/>
              </w:rPr>
              <w:t xml:space="preserve"> the most recent market value or fair value. </w:t>
            </w:r>
          </w:p>
        </w:tc>
      </w:tr>
      <w:tr w:rsidR="00F21ABD" w:rsidRPr="00FE3C59" w14:paraId="1E41D6A6" w14:textId="77777777" w:rsidTr="005E43AB">
        <w:tc>
          <w:tcPr>
            <w:tcW w:w="1043" w:type="dxa"/>
          </w:tcPr>
          <w:p w14:paraId="33B9844E" w14:textId="77777777" w:rsidR="005E43AB" w:rsidRPr="00FE3C59" w:rsidRDefault="005E43AB" w:rsidP="00F21ABD">
            <w:pPr>
              <w:pStyle w:val="BodyText"/>
              <w:spacing w:after="120"/>
              <w:rPr>
                <w:rFonts w:ascii="Times New Roman" w:hAnsi="Times New Roman" w:cs="Times New Roman"/>
                <w:lang w:val="en-GB"/>
              </w:rPr>
            </w:pPr>
            <w:r w:rsidRPr="00FE3C59">
              <w:rPr>
                <w:rFonts w:ascii="Times New Roman" w:hAnsi="Times New Roman" w:cs="Times New Roman"/>
                <w:lang w:val="en-GB"/>
              </w:rPr>
              <w:t>00</w:t>
            </w:r>
            <w:r w:rsidR="00C33501" w:rsidRPr="00FE3C59">
              <w:rPr>
                <w:rFonts w:ascii="Times New Roman" w:hAnsi="Times New Roman" w:cs="Times New Roman"/>
                <w:lang w:val="en-GB"/>
              </w:rPr>
              <w:t>3</w:t>
            </w:r>
            <w:r w:rsidRPr="00FE3C59">
              <w:rPr>
                <w:rFonts w:ascii="Times New Roman" w:hAnsi="Times New Roman" w:cs="Times New Roman"/>
                <w:lang w:val="en-GB"/>
              </w:rPr>
              <w:t>0</w:t>
            </w:r>
          </w:p>
        </w:tc>
        <w:tc>
          <w:tcPr>
            <w:tcW w:w="7973" w:type="dxa"/>
          </w:tcPr>
          <w:p w14:paraId="6F156B11" w14:textId="77777777" w:rsidR="005E43AB" w:rsidRPr="00FE3C59" w:rsidRDefault="005E43AB" w:rsidP="001E0F49">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Total</w:t>
            </w:r>
          </w:p>
          <w:p w14:paraId="23B95700" w14:textId="5CE210E5" w:rsidR="005E43AB" w:rsidRPr="00FE3C59" w:rsidRDefault="00234842" w:rsidP="001E0F49">
            <w:pPr>
              <w:pStyle w:val="Tabelleninhalt"/>
              <w:spacing w:after="120"/>
              <w:rPr>
                <w:rFonts w:ascii="Times New Roman" w:hAnsi="Times New Roman" w:cs="Times New Roman"/>
                <w:lang w:val="en-GB"/>
              </w:rPr>
            </w:pPr>
            <w:r w:rsidRPr="00FE3C59">
              <w:rPr>
                <w:rFonts w:ascii="Times New Roman" w:hAnsi="Times New Roman" w:cs="Times New Roman"/>
                <w:lang w:val="en-GB"/>
              </w:rPr>
              <w:lastRenderedPageBreak/>
              <w:t xml:space="preserve">Article </w:t>
            </w:r>
            <w:r w:rsidR="005E43AB" w:rsidRPr="00FE3C59">
              <w:rPr>
                <w:rFonts w:ascii="Times New Roman" w:hAnsi="Times New Roman" w:cs="Times New Roman"/>
                <w:lang w:val="en-GB"/>
              </w:rPr>
              <w:t>94(3)</w:t>
            </w:r>
            <w:r w:rsidR="005E43AB"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AD000F" w:rsidRPr="00FE3C59">
              <w:rPr>
                <w:rFonts w:ascii="Times New Roman" w:hAnsi="Times New Roman" w:cs="Times New Roman"/>
                <w:lang w:val="en-GB"/>
              </w:rPr>
              <w:t>.</w:t>
            </w:r>
          </w:p>
          <w:p w14:paraId="184B5D2A" w14:textId="472BB547" w:rsidR="005E43AB" w:rsidRPr="00FE3C59" w:rsidRDefault="005E43AB" w:rsidP="00022E5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The absolute </w:t>
            </w:r>
            <w:r w:rsidR="002D45ED" w:rsidRPr="00FE3C59">
              <w:rPr>
                <w:rFonts w:ascii="Times New Roman" w:hAnsi="Times New Roman" w:cs="Times New Roman"/>
                <w:lang w:val="en-GB"/>
              </w:rPr>
              <w:t xml:space="preserve">amount </w:t>
            </w:r>
            <w:r w:rsidRPr="00FE3C59">
              <w:rPr>
                <w:rFonts w:ascii="Times New Roman" w:hAnsi="Times New Roman" w:cs="Times New Roman"/>
                <w:lang w:val="en-GB"/>
              </w:rPr>
              <w:t xml:space="preserve">of long and short positions </w:t>
            </w:r>
            <w:r w:rsidR="00BA63C2" w:rsidRPr="00FE3C59">
              <w:rPr>
                <w:rFonts w:ascii="Times New Roman" w:hAnsi="Times New Roman" w:cs="Times New Roman"/>
                <w:lang w:val="en-GB"/>
              </w:rPr>
              <w:t>shall</w:t>
            </w:r>
            <w:r w:rsidR="002D45ED" w:rsidRPr="00FE3C59">
              <w:rPr>
                <w:rFonts w:ascii="Times New Roman" w:hAnsi="Times New Roman" w:cs="Times New Roman"/>
                <w:lang w:val="en-GB"/>
              </w:rPr>
              <w:t xml:space="preserve"> </w:t>
            </w:r>
            <w:r w:rsidRPr="00FE3C59">
              <w:rPr>
                <w:rFonts w:ascii="Times New Roman" w:hAnsi="Times New Roman" w:cs="Times New Roman"/>
                <w:lang w:val="en-GB"/>
              </w:rPr>
              <w:t xml:space="preserve">be summed up </w:t>
            </w:r>
            <w:r w:rsidR="00022E55" w:rsidRPr="00FE3C59">
              <w:rPr>
                <w:rFonts w:ascii="Times New Roman" w:hAnsi="Times New Roman" w:cs="Times New Roman"/>
                <w:lang w:val="en-GB"/>
              </w:rPr>
              <w:t xml:space="preserve">as required by </w:t>
            </w:r>
            <w:r w:rsidR="00234842" w:rsidRPr="00FE3C59">
              <w:rPr>
                <w:rFonts w:ascii="Times New Roman" w:hAnsi="Times New Roman" w:cs="Times New Roman"/>
                <w:lang w:val="en-GB"/>
              </w:rPr>
              <w:t xml:space="preserve">Article </w:t>
            </w:r>
            <w:r w:rsidRPr="00FE3C59">
              <w:rPr>
                <w:rFonts w:ascii="Times New Roman" w:hAnsi="Times New Roman" w:cs="Times New Roman"/>
                <w:lang w:val="en-GB"/>
              </w:rPr>
              <w:t>94(3)</w:t>
            </w:r>
            <w:r w:rsidR="006A5DC0" w:rsidRPr="00FE3C59">
              <w:rPr>
                <w:rFonts w:ascii="Times New Roman" w:hAnsi="Times New Roman" w:cs="Times New Roman"/>
                <w:lang w:val="en-GB"/>
              </w:rPr>
              <w:t>, point (c),</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Pr="00FE3C59">
              <w:rPr>
                <w:rFonts w:ascii="Times New Roman" w:hAnsi="Times New Roman" w:cs="Times New Roman"/>
                <w:lang w:val="en-GB"/>
              </w:rPr>
              <w:t>.</w:t>
            </w:r>
          </w:p>
        </w:tc>
      </w:tr>
      <w:tr w:rsidR="005E43AB" w:rsidRPr="00FE3C59" w14:paraId="7435F06E" w14:textId="77777777" w:rsidTr="005E43AB">
        <w:tc>
          <w:tcPr>
            <w:tcW w:w="1043" w:type="dxa"/>
          </w:tcPr>
          <w:p w14:paraId="5ED44F3B" w14:textId="77777777" w:rsidR="005E43AB" w:rsidRPr="00FE3C59" w:rsidRDefault="005E43AB" w:rsidP="00234842">
            <w:pPr>
              <w:pStyle w:val="BodyText"/>
              <w:spacing w:after="120"/>
              <w:rPr>
                <w:rFonts w:ascii="Times New Roman" w:hAnsi="Times New Roman" w:cs="Times New Roman"/>
                <w:lang w:val="en-GB"/>
              </w:rPr>
            </w:pPr>
            <w:r w:rsidRPr="00FE3C59">
              <w:rPr>
                <w:rFonts w:ascii="Times New Roman" w:hAnsi="Times New Roman" w:cs="Times New Roman"/>
                <w:lang w:val="en-GB"/>
              </w:rPr>
              <w:lastRenderedPageBreak/>
              <w:t>00</w:t>
            </w:r>
            <w:r w:rsidR="00C33501" w:rsidRPr="00FE3C59">
              <w:rPr>
                <w:rFonts w:ascii="Times New Roman" w:hAnsi="Times New Roman" w:cs="Times New Roman"/>
                <w:lang w:val="en-GB"/>
              </w:rPr>
              <w:t>4</w:t>
            </w:r>
            <w:r w:rsidRPr="00FE3C59">
              <w:rPr>
                <w:rFonts w:ascii="Times New Roman" w:hAnsi="Times New Roman" w:cs="Times New Roman"/>
                <w:lang w:val="en-GB"/>
              </w:rPr>
              <w:t>0</w:t>
            </w:r>
          </w:p>
        </w:tc>
        <w:tc>
          <w:tcPr>
            <w:tcW w:w="7973" w:type="dxa"/>
          </w:tcPr>
          <w:p w14:paraId="11F07BBA" w14:textId="77777777" w:rsidR="005E43AB" w:rsidRPr="00FE3C59" w:rsidRDefault="005E43AB" w:rsidP="001E0F49">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in % of total assets</w:t>
            </w:r>
          </w:p>
          <w:p w14:paraId="51C75A9F" w14:textId="72D64586" w:rsidR="005E43AB" w:rsidRPr="00FE3C59" w:rsidRDefault="00234842" w:rsidP="001E0F49">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w:t>
            </w:r>
            <w:r w:rsidR="005E43AB" w:rsidRPr="00FE3C59">
              <w:rPr>
                <w:rFonts w:ascii="Times New Roman" w:hAnsi="Times New Roman" w:cs="Times New Roman"/>
                <w:lang w:val="en-GB"/>
              </w:rPr>
              <w:t>94(1)</w:t>
            </w:r>
            <w:r w:rsidR="006A5DC0" w:rsidRPr="00FE3C59">
              <w:rPr>
                <w:rFonts w:ascii="Times New Roman" w:hAnsi="Times New Roman" w:cs="Times New Roman"/>
                <w:lang w:val="en-GB"/>
              </w:rPr>
              <w:t>, point (a),</w:t>
            </w:r>
            <w:r w:rsidR="005E43AB"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92218C" w:rsidRPr="00FE3C59">
              <w:rPr>
                <w:rFonts w:ascii="Times New Roman" w:hAnsi="Times New Roman" w:cs="Times New Roman"/>
                <w:lang w:val="en-GB"/>
              </w:rPr>
              <w:t>.</w:t>
            </w:r>
          </w:p>
          <w:p w14:paraId="67EC6D9C" w14:textId="72F7808E" w:rsidR="005E43AB" w:rsidRPr="00FE3C59" w:rsidRDefault="003705D2" w:rsidP="00DC301D">
            <w:pPr>
              <w:pStyle w:val="Tabelleninhalt"/>
              <w:spacing w:after="120"/>
              <w:rPr>
                <w:rFonts w:ascii="Times New Roman" w:hAnsi="Times New Roman" w:cs="Times New Roman"/>
                <w:lang w:val="en-GB"/>
              </w:rPr>
            </w:pPr>
            <w:r w:rsidRPr="00FE3C59">
              <w:rPr>
                <w:rFonts w:ascii="Times New Roman" w:hAnsi="Times New Roman" w:cs="Times New Roman"/>
                <w:lang w:val="en-GB"/>
              </w:rPr>
              <w:t>T</w:t>
            </w:r>
            <w:r w:rsidR="00234842" w:rsidRPr="00FE3C59">
              <w:rPr>
                <w:rFonts w:ascii="Times New Roman" w:hAnsi="Times New Roman" w:cs="Times New Roman"/>
                <w:lang w:val="en-GB"/>
              </w:rPr>
              <w:t xml:space="preserve">he </w:t>
            </w:r>
            <w:r w:rsidR="002D45ED" w:rsidRPr="00FE3C59">
              <w:rPr>
                <w:rFonts w:ascii="Times New Roman" w:hAnsi="Times New Roman" w:cs="Times New Roman"/>
                <w:lang w:val="en-GB"/>
              </w:rPr>
              <w:t xml:space="preserve">size </w:t>
            </w:r>
            <w:r w:rsidR="00234842" w:rsidRPr="00FE3C59">
              <w:rPr>
                <w:rFonts w:ascii="Times New Roman" w:hAnsi="Times New Roman" w:cs="Times New Roman"/>
                <w:lang w:val="en-GB"/>
              </w:rPr>
              <w:t>of the trading book business for the purposes of Article 94</w:t>
            </w:r>
            <w:r w:rsidR="00234842"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234842" w:rsidRPr="00FE3C59">
              <w:rPr>
                <w:rFonts w:ascii="Times New Roman" w:hAnsi="Times New Roman" w:cs="Times New Roman"/>
                <w:lang w:val="en-GB"/>
              </w:rPr>
              <w:t xml:space="preserve"> </w:t>
            </w:r>
            <w:r w:rsidRPr="00FE3C59">
              <w:rPr>
                <w:rFonts w:ascii="Times New Roman" w:hAnsi="Times New Roman" w:cs="Times New Roman"/>
                <w:lang w:val="en-GB"/>
              </w:rPr>
              <w:t xml:space="preserve">shall be expressed as a percentage of </w:t>
            </w:r>
            <w:r w:rsidR="00234842" w:rsidRPr="00FE3C59">
              <w:rPr>
                <w:rFonts w:ascii="Times New Roman" w:hAnsi="Times New Roman" w:cs="Times New Roman"/>
                <w:lang w:val="en-GB"/>
              </w:rPr>
              <w:t>the total assets</w:t>
            </w:r>
            <w:r w:rsidR="005E43AB" w:rsidRPr="00FE3C59">
              <w:rPr>
                <w:rFonts w:ascii="Times New Roman" w:hAnsi="Times New Roman" w:cs="Times New Roman"/>
                <w:lang w:val="en-GB"/>
              </w:rPr>
              <w:t>.</w:t>
            </w:r>
          </w:p>
        </w:tc>
      </w:tr>
      <w:tr w:rsidR="005E43AB" w:rsidRPr="00FE3C59" w14:paraId="79D4AF70" w14:textId="77777777" w:rsidTr="005E43AB">
        <w:tc>
          <w:tcPr>
            <w:tcW w:w="1043" w:type="dxa"/>
          </w:tcPr>
          <w:p w14:paraId="5455A857" w14:textId="77777777" w:rsidR="005E43AB" w:rsidRPr="00FE3C59" w:rsidRDefault="005E43AB" w:rsidP="00234842">
            <w:pPr>
              <w:pStyle w:val="BodyText"/>
              <w:spacing w:after="120"/>
              <w:rPr>
                <w:rFonts w:ascii="Times New Roman" w:hAnsi="Times New Roman" w:cs="Times New Roman"/>
                <w:lang w:val="en-GB"/>
              </w:rPr>
            </w:pPr>
            <w:r w:rsidRPr="00FE3C59">
              <w:rPr>
                <w:rFonts w:ascii="Times New Roman" w:hAnsi="Times New Roman" w:cs="Times New Roman"/>
                <w:lang w:val="en-GB"/>
              </w:rPr>
              <w:t>00</w:t>
            </w:r>
            <w:r w:rsidR="00C33501" w:rsidRPr="00FE3C59">
              <w:rPr>
                <w:rFonts w:ascii="Times New Roman" w:hAnsi="Times New Roman" w:cs="Times New Roman"/>
                <w:lang w:val="en-GB"/>
              </w:rPr>
              <w:t>5</w:t>
            </w:r>
            <w:r w:rsidRPr="00FE3C59">
              <w:rPr>
                <w:rFonts w:ascii="Times New Roman" w:hAnsi="Times New Roman" w:cs="Times New Roman"/>
                <w:lang w:val="en-GB"/>
              </w:rPr>
              <w:t>0</w:t>
            </w:r>
            <w:r w:rsidR="00234842" w:rsidRPr="00FE3C59">
              <w:rPr>
                <w:rFonts w:ascii="Times New Roman" w:hAnsi="Times New Roman" w:cs="Times New Roman"/>
                <w:lang w:val="en-GB"/>
              </w:rPr>
              <w:t xml:space="preserve"> – 0</w:t>
            </w:r>
            <w:r w:rsidR="00C33501" w:rsidRPr="00FE3C59">
              <w:rPr>
                <w:rFonts w:ascii="Times New Roman" w:hAnsi="Times New Roman" w:cs="Times New Roman"/>
                <w:lang w:val="en-GB"/>
              </w:rPr>
              <w:t>06</w:t>
            </w:r>
            <w:r w:rsidR="00234842" w:rsidRPr="00FE3C59">
              <w:rPr>
                <w:rFonts w:ascii="Times New Roman" w:hAnsi="Times New Roman" w:cs="Times New Roman"/>
                <w:lang w:val="en-GB"/>
              </w:rPr>
              <w:t>0</w:t>
            </w:r>
          </w:p>
        </w:tc>
        <w:tc>
          <w:tcPr>
            <w:tcW w:w="7973" w:type="dxa"/>
          </w:tcPr>
          <w:p w14:paraId="7527FF86" w14:textId="641F503E" w:rsidR="005E43AB" w:rsidRPr="00FE3C59" w:rsidRDefault="005E43AB" w:rsidP="001E0F49">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Non</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trading book </w:t>
            </w:r>
          </w:p>
          <w:p w14:paraId="1A82A36E" w14:textId="76B8DB8F" w:rsidR="005E43AB" w:rsidRPr="00FE3C59" w:rsidRDefault="00C01B7E" w:rsidP="2707431F">
            <w:pPr>
              <w:pStyle w:val="Tabelleninhalt"/>
              <w:spacing w:after="120" w:line="259" w:lineRule="auto"/>
              <w:rPr>
                <w:rFonts w:ascii="Times New Roman" w:hAnsi="Times New Roman" w:cs="Times New Roman"/>
                <w:lang w:val="en-GB"/>
              </w:rPr>
            </w:pPr>
            <w:r w:rsidRPr="00FE3C59">
              <w:rPr>
                <w:rFonts w:ascii="Times New Roman" w:hAnsi="Times New Roman" w:cs="Times New Roman"/>
                <w:lang w:val="en-GB"/>
              </w:rPr>
              <w:t xml:space="preserve">Positions assigned to the non-trading book which are included in the calculation of </w:t>
            </w:r>
            <w:r w:rsidR="00234842" w:rsidRPr="00FE3C59">
              <w:rPr>
                <w:rFonts w:ascii="Times New Roman" w:hAnsi="Times New Roman" w:cs="Times New Roman"/>
                <w:lang w:val="en-GB"/>
              </w:rPr>
              <w:t xml:space="preserve">Article </w:t>
            </w:r>
            <w:r w:rsidR="005E43AB" w:rsidRPr="00FE3C59">
              <w:rPr>
                <w:rFonts w:ascii="Times New Roman" w:hAnsi="Times New Roman" w:cs="Times New Roman"/>
                <w:lang w:val="en-GB"/>
              </w:rPr>
              <w:t>325a(2)</w:t>
            </w:r>
            <w:r w:rsidR="00022E55"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92218C" w:rsidRPr="00FE3C59">
              <w:rPr>
                <w:rFonts w:ascii="Times New Roman" w:hAnsi="Times New Roman" w:cs="Times New Roman"/>
                <w:lang w:val="en-GB"/>
              </w:rPr>
              <w:t>.</w:t>
            </w:r>
          </w:p>
          <w:p w14:paraId="20C46E3B" w14:textId="29681FD3" w:rsidR="003705D2" w:rsidRPr="00FE3C59" w:rsidRDefault="002D45ED" w:rsidP="003705D2">
            <w:pPr>
              <w:pStyle w:val="Tabelleninhalt"/>
              <w:spacing w:after="120"/>
              <w:rPr>
                <w:rFonts w:ascii="Times New Roman" w:hAnsi="Times New Roman" w:cs="Times New Roman"/>
                <w:lang w:val="en-GB"/>
              </w:rPr>
            </w:pPr>
            <w:r w:rsidRPr="00FE3C59">
              <w:rPr>
                <w:rFonts w:ascii="Times New Roman" w:hAnsi="Times New Roman" w:cs="Times New Roman"/>
                <w:lang w:val="en-GB"/>
              </w:rPr>
              <w:t>Non</w:t>
            </w:r>
            <w:r w:rsidR="00485C29" w:rsidRPr="00FE3C59">
              <w:rPr>
                <w:rFonts w:ascii="Times New Roman" w:hAnsi="Times New Roman" w:cs="Times New Roman"/>
                <w:lang w:val="en-GB"/>
              </w:rPr>
              <w:t>–</w:t>
            </w:r>
            <w:r w:rsidR="005E43AB" w:rsidRPr="00FE3C59">
              <w:rPr>
                <w:rFonts w:ascii="Times New Roman" w:hAnsi="Times New Roman" w:cs="Times New Roman"/>
                <w:lang w:val="en-GB"/>
              </w:rPr>
              <w:t>trading book positions</w:t>
            </w:r>
            <w:r w:rsidR="00C3721C" w:rsidRPr="00FE3C59">
              <w:rPr>
                <w:rFonts w:ascii="Times New Roman" w:hAnsi="Times New Roman" w:cs="Times New Roman"/>
                <w:lang w:val="en-GB"/>
              </w:rPr>
              <w:t xml:space="preserve"> </w:t>
            </w:r>
            <w:r w:rsidR="005E43AB" w:rsidRPr="00FE3C59">
              <w:rPr>
                <w:rFonts w:ascii="Times New Roman" w:hAnsi="Times New Roman" w:cs="Times New Roman"/>
                <w:lang w:val="en-GB"/>
              </w:rPr>
              <w:t xml:space="preserve">subject to </w:t>
            </w:r>
            <w:r w:rsidR="003705D2" w:rsidRPr="00FE3C59">
              <w:rPr>
                <w:rFonts w:ascii="Times New Roman" w:hAnsi="Times New Roman" w:cs="Times New Roman"/>
                <w:lang w:val="en-GB"/>
              </w:rPr>
              <w:t>market risk</w:t>
            </w:r>
            <w:r w:rsidR="00BA63C2" w:rsidRPr="00FE3C59">
              <w:rPr>
                <w:rFonts w:ascii="Times New Roman" w:hAnsi="Times New Roman" w:cs="Times New Roman"/>
                <w:lang w:val="en-GB"/>
              </w:rPr>
              <w:t xml:space="preserve"> </w:t>
            </w:r>
            <w:r w:rsidR="005E43AB" w:rsidRPr="00FE3C59">
              <w:rPr>
                <w:rFonts w:ascii="Times New Roman" w:hAnsi="Times New Roman" w:cs="Times New Roman"/>
                <w:lang w:val="en-GB"/>
              </w:rPr>
              <w:t>shall be reported broken down</w:t>
            </w:r>
            <w:r w:rsidR="003705D2" w:rsidRPr="00FE3C59">
              <w:rPr>
                <w:rFonts w:ascii="Times New Roman" w:hAnsi="Times New Roman" w:cs="Times New Roman"/>
                <w:lang w:val="en-GB"/>
              </w:rPr>
              <w:t xml:space="preserve"> into positions subject </w:t>
            </w:r>
            <w:r w:rsidR="006A329F" w:rsidRPr="00FE3C59">
              <w:rPr>
                <w:rFonts w:ascii="Times New Roman" w:hAnsi="Times New Roman" w:cs="Times New Roman"/>
                <w:lang w:val="en-GB"/>
              </w:rPr>
              <w:t xml:space="preserve">to </w:t>
            </w:r>
            <w:r w:rsidR="003705D2" w:rsidRPr="00FE3C59">
              <w:rPr>
                <w:rFonts w:ascii="Times New Roman" w:hAnsi="Times New Roman" w:cs="Times New Roman"/>
                <w:lang w:val="en-GB"/>
              </w:rPr>
              <w:t xml:space="preserve">foreign exchange risk and </w:t>
            </w:r>
            <w:r w:rsidR="006A329F" w:rsidRPr="00FE3C59">
              <w:rPr>
                <w:rFonts w:ascii="Times New Roman" w:hAnsi="Times New Roman" w:cs="Times New Roman"/>
                <w:lang w:val="en-GB"/>
              </w:rPr>
              <w:t xml:space="preserve">positions subject to </w:t>
            </w:r>
            <w:r w:rsidR="003705D2" w:rsidRPr="00FE3C59">
              <w:rPr>
                <w:rFonts w:ascii="Times New Roman" w:hAnsi="Times New Roman" w:cs="Times New Roman"/>
                <w:lang w:val="en-GB"/>
              </w:rPr>
              <w:t>commodity risk</w:t>
            </w:r>
            <w:r w:rsidR="005E43AB" w:rsidRPr="00FE3C59">
              <w:rPr>
                <w:rFonts w:ascii="Times New Roman" w:hAnsi="Times New Roman" w:cs="Times New Roman"/>
                <w:lang w:val="en-GB"/>
              </w:rPr>
              <w:t>.</w:t>
            </w:r>
          </w:p>
          <w:p w14:paraId="2AC59AE9" w14:textId="3045F96F" w:rsidR="005E43AB" w:rsidRPr="00FE3C59" w:rsidRDefault="005E43AB" w:rsidP="0002566C">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The </w:t>
            </w:r>
            <w:r w:rsidR="006A329F" w:rsidRPr="00FE3C59">
              <w:rPr>
                <w:rFonts w:ascii="Times New Roman" w:hAnsi="Times New Roman" w:cs="Times New Roman"/>
                <w:lang w:val="en-GB"/>
              </w:rPr>
              <w:t>relevant amounts</w:t>
            </w:r>
            <w:r w:rsidRPr="00FE3C59">
              <w:rPr>
                <w:rFonts w:ascii="Times New Roman" w:hAnsi="Times New Roman" w:cs="Times New Roman"/>
                <w:lang w:val="en-GB"/>
              </w:rPr>
              <w:t xml:space="preserve"> </w:t>
            </w:r>
            <w:r w:rsidR="006A329F" w:rsidRPr="00FE3C59">
              <w:rPr>
                <w:rFonts w:ascii="Times New Roman" w:hAnsi="Times New Roman" w:cs="Times New Roman"/>
                <w:lang w:val="en-GB"/>
              </w:rPr>
              <w:t>shall be determined in accordance with</w:t>
            </w:r>
            <w:r w:rsidRPr="00FE3C59">
              <w:rPr>
                <w:rFonts w:ascii="Times New Roman" w:hAnsi="Times New Roman" w:cs="Times New Roman"/>
                <w:lang w:val="en-GB"/>
              </w:rPr>
              <w:t xml:space="preserve"> </w:t>
            </w:r>
            <w:r w:rsidR="00234842" w:rsidRPr="00FE3C59">
              <w:rPr>
                <w:rFonts w:ascii="Times New Roman" w:hAnsi="Times New Roman" w:cs="Times New Roman"/>
                <w:lang w:val="en-GB"/>
              </w:rPr>
              <w:t xml:space="preserve">Article </w:t>
            </w:r>
            <w:r w:rsidRPr="00FE3C59">
              <w:rPr>
                <w:rFonts w:ascii="Times New Roman" w:hAnsi="Times New Roman" w:cs="Times New Roman"/>
                <w:lang w:val="en-GB"/>
              </w:rPr>
              <w:t>325a(2)</w:t>
            </w:r>
            <w:r w:rsidR="00A4336A" w:rsidRPr="00FE3C59">
              <w:rPr>
                <w:rFonts w:ascii="Times New Roman" w:hAnsi="Times New Roman" w:cs="Times New Roman"/>
                <w:lang w:val="en-GB"/>
              </w:rPr>
              <w:t>, points (d) and (e),</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Pr="00FE3C59">
              <w:rPr>
                <w:rFonts w:ascii="Times New Roman" w:hAnsi="Times New Roman" w:cs="Times New Roman"/>
                <w:lang w:val="en-GB"/>
              </w:rPr>
              <w:t xml:space="preserve">. </w:t>
            </w:r>
          </w:p>
        </w:tc>
      </w:tr>
      <w:tr w:rsidR="005E43AB" w:rsidRPr="00FE3C59" w14:paraId="3A4DCE7D" w14:textId="77777777" w:rsidTr="005E43AB">
        <w:tc>
          <w:tcPr>
            <w:tcW w:w="1043" w:type="dxa"/>
          </w:tcPr>
          <w:p w14:paraId="6F5B50DF" w14:textId="77777777" w:rsidR="005E43AB" w:rsidRPr="00FE3C59" w:rsidRDefault="005E43AB" w:rsidP="003705D2">
            <w:pPr>
              <w:pStyle w:val="BodyText"/>
              <w:spacing w:after="120"/>
              <w:rPr>
                <w:rFonts w:ascii="Times New Roman" w:hAnsi="Times New Roman" w:cs="Times New Roman"/>
                <w:lang w:val="en-GB"/>
              </w:rPr>
            </w:pPr>
            <w:r w:rsidRPr="00FE3C59">
              <w:rPr>
                <w:rFonts w:ascii="Times New Roman" w:hAnsi="Times New Roman" w:cs="Times New Roman"/>
                <w:lang w:val="en-GB"/>
              </w:rPr>
              <w:t>0</w:t>
            </w:r>
            <w:r w:rsidR="00C33501" w:rsidRPr="00FE3C59">
              <w:rPr>
                <w:rFonts w:ascii="Times New Roman" w:hAnsi="Times New Roman" w:cs="Times New Roman"/>
                <w:lang w:val="en-GB"/>
              </w:rPr>
              <w:t>07</w:t>
            </w:r>
            <w:r w:rsidRPr="00FE3C59">
              <w:rPr>
                <w:rFonts w:ascii="Times New Roman" w:hAnsi="Times New Roman" w:cs="Times New Roman"/>
                <w:lang w:val="en-GB"/>
              </w:rPr>
              <w:t>0</w:t>
            </w:r>
          </w:p>
        </w:tc>
        <w:tc>
          <w:tcPr>
            <w:tcW w:w="7973" w:type="dxa"/>
          </w:tcPr>
          <w:p w14:paraId="1D3A7E83" w14:textId="77777777" w:rsidR="005E43AB" w:rsidRPr="00FE3C59" w:rsidRDefault="005E43AB" w:rsidP="001E0F49">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in % of total assets</w:t>
            </w:r>
          </w:p>
          <w:p w14:paraId="68143909" w14:textId="3AC116D1" w:rsidR="005E43AB" w:rsidRPr="00FE3C59" w:rsidRDefault="00234842" w:rsidP="001E0F49">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w:t>
            </w:r>
            <w:r w:rsidR="005E43AB" w:rsidRPr="00FE3C59">
              <w:rPr>
                <w:rFonts w:ascii="Times New Roman" w:hAnsi="Times New Roman" w:cs="Times New Roman"/>
                <w:lang w:val="en-GB"/>
              </w:rPr>
              <w:t>325a(1)</w:t>
            </w:r>
            <w:r w:rsidR="00A4336A" w:rsidRPr="00FE3C59">
              <w:rPr>
                <w:rFonts w:ascii="Times New Roman" w:hAnsi="Times New Roman" w:cs="Times New Roman"/>
                <w:lang w:val="en-GB"/>
              </w:rPr>
              <w:t>, point (a),</w:t>
            </w:r>
            <w:r w:rsidR="005E43AB"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p>
          <w:p w14:paraId="6ADCF91D" w14:textId="1C12C8E1" w:rsidR="005E43AB" w:rsidRPr="00FE3C59" w:rsidRDefault="003705D2" w:rsidP="00807352">
            <w:pPr>
              <w:pStyle w:val="Tabelleninhalt"/>
              <w:spacing w:after="120"/>
              <w:rPr>
                <w:rFonts w:ascii="Times New Roman" w:hAnsi="Times New Roman" w:cs="Times New Roman"/>
                <w:lang w:val="en-GB"/>
              </w:rPr>
            </w:pPr>
            <w:r w:rsidRPr="00FE3C59">
              <w:rPr>
                <w:rFonts w:ascii="Times New Roman" w:hAnsi="Times New Roman" w:cs="Times New Roman"/>
                <w:lang w:val="en-GB"/>
              </w:rPr>
              <w:t>The on</w:t>
            </w:r>
            <w:r w:rsidR="00485C29" w:rsidRPr="00FE3C59">
              <w:rPr>
                <w:rFonts w:ascii="Times New Roman" w:hAnsi="Times New Roman" w:cs="Times New Roman"/>
                <w:lang w:val="en-GB"/>
              </w:rPr>
              <w:t>–</w:t>
            </w:r>
            <w:r w:rsidRPr="00FE3C59">
              <w:rPr>
                <w:rFonts w:ascii="Times New Roman" w:hAnsi="Times New Roman" w:cs="Times New Roman"/>
                <w:lang w:val="en-GB"/>
              </w:rPr>
              <w:t xml:space="preserve"> and off</w:t>
            </w:r>
            <w:r w:rsidR="00485C29" w:rsidRPr="00FE3C59">
              <w:rPr>
                <w:rFonts w:ascii="Times New Roman" w:hAnsi="Times New Roman" w:cs="Times New Roman"/>
                <w:lang w:val="en-GB"/>
              </w:rPr>
              <w:t>–</w:t>
            </w:r>
            <w:r w:rsidRPr="00FE3C59">
              <w:rPr>
                <w:rFonts w:ascii="Times New Roman" w:hAnsi="Times New Roman" w:cs="Times New Roman"/>
                <w:lang w:val="en-GB"/>
              </w:rPr>
              <w:t>b</w:t>
            </w:r>
            <w:r w:rsidR="00CE1EC1" w:rsidRPr="00FE3C59">
              <w:rPr>
                <w:rFonts w:ascii="Times New Roman" w:hAnsi="Times New Roman" w:cs="Times New Roman"/>
                <w:lang w:val="en-GB"/>
              </w:rPr>
              <w:t>a</w:t>
            </w:r>
            <w:r w:rsidRPr="00FE3C59">
              <w:rPr>
                <w:rFonts w:ascii="Times New Roman" w:hAnsi="Times New Roman" w:cs="Times New Roman"/>
                <w:lang w:val="en-GB"/>
              </w:rPr>
              <w:t>lance sheet business subject to market risk</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shall be expressed as a percentage of the total assets</w:t>
            </w:r>
            <w:r w:rsidR="005E43AB" w:rsidRPr="00FE3C59">
              <w:rPr>
                <w:rFonts w:ascii="Times New Roman" w:hAnsi="Times New Roman" w:cs="Times New Roman"/>
                <w:lang w:val="en-GB"/>
              </w:rPr>
              <w:t>.</w:t>
            </w:r>
          </w:p>
        </w:tc>
      </w:tr>
      <w:tr w:rsidR="005E43AB" w:rsidRPr="00FE3C59" w14:paraId="288FAD6A" w14:textId="77777777" w:rsidTr="005E43AB">
        <w:tc>
          <w:tcPr>
            <w:tcW w:w="1043" w:type="dxa"/>
          </w:tcPr>
          <w:p w14:paraId="55F75C1D" w14:textId="77777777" w:rsidR="005E43AB" w:rsidRPr="00FE3C59" w:rsidRDefault="005E43AB" w:rsidP="00C33501">
            <w:pPr>
              <w:pStyle w:val="BodyText"/>
              <w:spacing w:after="120"/>
              <w:rPr>
                <w:rFonts w:ascii="Times New Roman" w:hAnsi="Times New Roman" w:cs="Times New Roman"/>
                <w:lang w:val="en-GB"/>
              </w:rPr>
            </w:pPr>
            <w:r w:rsidRPr="00FE3C59">
              <w:rPr>
                <w:rFonts w:ascii="Times New Roman" w:hAnsi="Times New Roman" w:cs="Times New Roman"/>
                <w:lang w:val="en-GB"/>
              </w:rPr>
              <w:t>0</w:t>
            </w:r>
            <w:r w:rsidR="00C33501" w:rsidRPr="00FE3C59">
              <w:rPr>
                <w:rFonts w:ascii="Times New Roman" w:hAnsi="Times New Roman" w:cs="Times New Roman"/>
                <w:lang w:val="en-GB"/>
              </w:rPr>
              <w:t>08</w:t>
            </w:r>
            <w:r w:rsidRPr="00FE3C59">
              <w:rPr>
                <w:rFonts w:ascii="Times New Roman" w:hAnsi="Times New Roman" w:cs="Times New Roman"/>
                <w:lang w:val="en-GB"/>
              </w:rPr>
              <w:t>0</w:t>
            </w:r>
          </w:p>
        </w:tc>
        <w:tc>
          <w:tcPr>
            <w:tcW w:w="7973" w:type="dxa"/>
          </w:tcPr>
          <w:p w14:paraId="0D95A20D" w14:textId="77777777" w:rsidR="005E43AB" w:rsidRPr="00FE3C59" w:rsidRDefault="005E43AB" w:rsidP="001E0F49">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Total assets</w:t>
            </w:r>
          </w:p>
          <w:p w14:paraId="1B550AE5" w14:textId="1FECC1E8" w:rsidR="005E43AB" w:rsidRPr="00FE3C59" w:rsidRDefault="00234842" w:rsidP="00A4336A">
            <w:pPr>
              <w:pStyle w:val="Tabelleninhalt"/>
              <w:spacing w:after="120"/>
              <w:rPr>
                <w:rFonts w:ascii="Times New Roman" w:hAnsi="Times New Roman" w:cs="Times New Roman"/>
                <w:lang w:val="en-GB"/>
              </w:rPr>
            </w:pPr>
            <w:r w:rsidRPr="00FE3C59">
              <w:rPr>
                <w:rFonts w:ascii="Times New Roman" w:hAnsi="Times New Roman" w:cs="Times New Roman"/>
                <w:lang w:val="en-GB"/>
              </w:rPr>
              <w:t>Article</w:t>
            </w:r>
            <w:r w:rsidR="00777610" w:rsidRPr="00FE3C59">
              <w:rPr>
                <w:rFonts w:ascii="Times New Roman" w:hAnsi="Times New Roman" w:cs="Times New Roman"/>
                <w:lang w:val="en-GB"/>
              </w:rPr>
              <w:t>s</w:t>
            </w:r>
            <w:r w:rsidRPr="00FE3C59">
              <w:rPr>
                <w:rFonts w:ascii="Times New Roman" w:hAnsi="Times New Roman" w:cs="Times New Roman"/>
                <w:lang w:val="en-GB"/>
              </w:rPr>
              <w:t xml:space="preserve"> </w:t>
            </w:r>
            <w:r w:rsidR="005E43AB" w:rsidRPr="00FE3C59">
              <w:rPr>
                <w:rFonts w:ascii="Times New Roman" w:hAnsi="Times New Roman" w:cs="Times New Roman"/>
                <w:lang w:val="en-GB"/>
              </w:rPr>
              <w:t>94(1)</w:t>
            </w:r>
            <w:r w:rsidR="00A4336A" w:rsidRPr="00FE3C59">
              <w:rPr>
                <w:rFonts w:ascii="Times New Roman" w:hAnsi="Times New Roman" w:cs="Times New Roman"/>
                <w:lang w:val="en-GB"/>
              </w:rPr>
              <w:t>, point (a),</w:t>
            </w:r>
            <w:r w:rsidR="005E43AB" w:rsidRPr="00FE3C59" w:rsidDel="00FD7136">
              <w:rPr>
                <w:rFonts w:ascii="Times New Roman" w:hAnsi="Times New Roman" w:cs="Times New Roman"/>
                <w:lang w:val="en-GB"/>
              </w:rPr>
              <w:t xml:space="preserve"> </w:t>
            </w:r>
            <w:r w:rsidR="00A4336A" w:rsidRPr="00FE3C59">
              <w:rPr>
                <w:rFonts w:ascii="Times New Roman" w:hAnsi="Times New Roman" w:cs="Times New Roman"/>
                <w:lang w:val="en-GB"/>
              </w:rPr>
              <w:t xml:space="preserve">and </w:t>
            </w:r>
            <w:r w:rsidR="005E43AB" w:rsidRPr="00FE3C59">
              <w:rPr>
                <w:rFonts w:ascii="Times New Roman" w:hAnsi="Times New Roman" w:cs="Times New Roman"/>
                <w:lang w:val="en-GB"/>
              </w:rPr>
              <w:t>325a(1)</w:t>
            </w:r>
            <w:r w:rsidR="00777610" w:rsidRPr="00FE3C59">
              <w:rPr>
                <w:rFonts w:ascii="Times New Roman" w:hAnsi="Times New Roman" w:cs="Times New Roman"/>
                <w:lang w:val="en-GB"/>
              </w:rPr>
              <w:t>, point (a),</w:t>
            </w:r>
            <w:r w:rsidR="005E43AB"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DF4080" w:rsidRPr="00FE3C59">
              <w:rPr>
                <w:rFonts w:ascii="Times New Roman" w:hAnsi="Times New Roman" w:cs="Times New Roman"/>
                <w:lang w:val="en-GB"/>
              </w:rPr>
              <w:t>.</w:t>
            </w:r>
          </w:p>
        </w:tc>
      </w:tr>
    </w:tbl>
    <w:p w14:paraId="2AFC7428" w14:textId="77777777" w:rsidR="005E43AB" w:rsidRPr="00FE3C59" w:rsidRDefault="005E43AB" w:rsidP="005E43AB">
      <w:pPr>
        <w:pStyle w:val="InstructionsText2"/>
        <w:ind w:left="0" w:firstLine="0"/>
      </w:pPr>
    </w:p>
    <w:p w14:paraId="13332848" w14:textId="6339A795" w:rsidR="00DB6110" w:rsidRPr="00FE3C59" w:rsidRDefault="00EE4F6B" w:rsidP="00EE4F6B">
      <w:pPr>
        <w:pStyle w:val="Instructionsberschrift2"/>
        <w:numPr>
          <w:ilvl w:val="0"/>
          <w:numId w:val="0"/>
        </w:numPr>
        <w:ind w:left="357" w:hanging="357"/>
        <w:rPr>
          <w:rFonts w:ascii="Times New Roman" w:hAnsi="Times New Roman" w:cs="Times New Roman"/>
          <w:sz w:val="24"/>
          <w:szCs w:val="24"/>
          <w:u w:val="none"/>
          <w:lang w:val="en-GB"/>
        </w:rPr>
      </w:pPr>
      <w:bookmarkStart w:id="29" w:name="_Toc37168639"/>
      <w:r w:rsidRPr="00FE3C59">
        <w:rPr>
          <w:rFonts w:ascii="Times New Roman" w:hAnsi="Times New Roman" w:cs="Times New Roman"/>
          <w:sz w:val="24"/>
          <w:szCs w:val="24"/>
          <w:u w:val="none"/>
          <w:lang w:val="en-GB"/>
        </w:rPr>
        <w:t>2.</w:t>
      </w:r>
      <w:r w:rsidRPr="00FE3C59">
        <w:rPr>
          <w:rFonts w:ascii="Times New Roman" w:hAnsi="Times New Roman" w:cs="Times New Roman"/>
          <w:lang w:val="en-GB"/>
        </w:rPr>
        <w:tab/>
      </w:r>
      <w:r w:rsidR="00DB6110" w:rsidRPr="00FE3C59">
        <w:rPr>
          <w:rFonts w:ascii="Times New Roman" w:hAnsi="Times New Roman" w:cs="Times New Roman"/>
          <w:sz w:val="24"/>
          <w:szCs w:val="24"/>
          <w:u w:val="none"/>
          <w:lang w:val="en-GB"/>
        </w:rPr>
        <w:t>Market Risk: Alternative Standardised Approach</w:t>
      </w:r>
      <w:r w:rsidR="007207F1" w:rsidRPr="00FE3C59">
        <w:rPr>
          <w:rFonts w:ascii="Times New Roman" w:hAnsi="Times New Roman" w:cs="Times New Roman"/>
          <w:sz w:val="24"/>
          <w:szCs w:val="24"/>
          <w:u w:val="none"/>
          <w:lang w:val="en-GB"/>
        </w:rPr>
        <w:t xml:space="preserve"> (</w:t>
      </w:r>
      <w:r w:rsidR="00A4168C" w:rsidRPr="00FE3C59">
        <w:rPr>
          <w:rFonts w:ascii="Times New Roman" w:hAnsi="Times New Roman" w:cs="Times New Roman"/>
          <w:sz w:val="24"/>
          <w:szCs w:val="24"/>
          <w:u w:val="none"/>
          <w:lang w:val="en-GB"/>
        </w:rPr>
        <w:t xml:space="preserve">MKR </w:t>
      </w:r>
      <w:r w:rsidR="007207F1" w:rsidRPr="00FE3C59">
        <w:rPr>
          <w:rFonts w:ascii="Times New Roman" w:hAnsi="Times New Roman" w:cs="Times New Roman"/>
          <w:sz w:val="24"/>
          <w:szCs w:val="24"/>
          <w:u w:val="none"/>
          <w:lang w:val="en-GB"/>
        </w:rPr>
        <w:t>ASA)</w:t>
      </w:r>
    </w:p>
    <w:p w14:paraId="43E03B4F" w14:textId="608377CB" w:rsidR="00F5375A" w:rsidRPr="00FE3C59" w:rsidRDefault="00F5375A" w:rsidP="00F5375A">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2.1</w:t>
      </w:r>
      <w:r w:rsidRPr="00FE3C59">
        <w:rPr>
          <w:rFonts w:ascii="Times New Roman" w:hAnsi="Times New Roman" w:cs="Times New Roman"/>
          <w:lang w:val="en-GB"/>
        </w:rPr>
        <w:tab/>
      </w:r>
      <w:r w:rsidR="00420882" w:rsidRPr="00FE3C59">
        <w:rPr>
          <w:rFonts w:ascii="Times New Roman" w:hAnsi="Times New Roman" w:cs="Times New Roman"/>
          <w:sz w:val="24"/>
          <w:szCs w:val="24"/>
          <w:u w:val="none"/>
          <w:lang w:val="en-GB"/>
        </w:rPr>
        <w:t>Scope</w:t>
      </w:r>
    </w:p>
    <w:p w14:paraId="7A76E3E1" w14:textId="0BCEE8FF" w:rsidR="005046AB" w:rsidRPr="00FE3C59" w:rsidRDefault="005046AB" w:rsidP="006E2ED1">
      <w:pPr>
        <w:pStyle w:val="InstructionsText2"/>
        <w:numPr>
          <w:ilvl w:val="0"/>
          <w:numId w:val="57"/>
        </w:numPr>
      </w:pPr>
      <w:r w:rsidRPr="00FE3C59">
        <w:t xml:space="preserve">Institutions shall report </w:t>
      </w:r>
      <w:r w:rsidR="00E21026" w:rsidRPr="00FE3C59">
        <w:t xml:space="preserve">the information specified in </w:t>
      </w:r>
      <w:r w:rsidR="001C1707" w:rsidRPr="00FE3C59">
        <w:t>this section</w:t>
      </w:r>
      <w:r w:rsidR="00E21026" w:rsidRPr="00FE3C59">
        <w:t xml:space="preserve"> for</w:t>
      </w:r>
      <w:r w:rsidRPr="00FE3C59">
        <w:t xml:space="preserve"> each offsetting group in accordance with the specifications in Part I, section 1.4 of this annex.</w:t>
      </w:r>
    </w:p>
    <w:p w14:paraId="7641AC03" w14:textId="13B1555E" w:rsidR="00F5375A" w:rsidRPr="00FE3C59" w:rsidRDefault="0003751F" w:rsidP="006E2ED1">
      <w:pPr>
        <w:pStyle w:val="InstructionsText2"/>
        <w:numPr>
          <w:ilvl w:val="0"/>
          <w:numId w:val="57"/>
        </w:numPr>
      </w:pPr>
      <w:r w:rsidRPr="00FE3C59">
        <w:t xml:space="preserve">Institutions </w:t>
      </w:r>
      <w:r w:rsidR="0098454B" w:rsidRPr="00FE3C59">
        <w:t xml:space="preserve">shall </w:t>
      </w:r>
      <w:r w:rsidR="003161F2" w:rsidRPr="00FE3C59">
        <w:t>report the</w:t>
      </w:r>
      <w:r w:rsidR="00D1387E" w:rsidRPr="00FE3C59">
        <w:t xml:space="preserve"> information </w:t>
      </w:r>
      <w:r w:rsidR="002424AC" w:rsidRPr="00FE3C59">
        <w:t>s</w:t>
      </w:r>
      <w:r w:rsidR="00D1387E" w:rsidRPr="00FE3C59">
        <w:t xml:space="preserve">pecified in this </w:t>
      </w:r>
      <w:r w:rsidR="001C1707" w:rsidRPr="00FE3C59">
        <w:t>section</w:t>
      </w:r>
      <w:r w:rsidR="00D1387E" w:rsidRPr="00FE3C59">
        <w:t xml:space="preserve"> </w:t>
      </w:r>
      <w:r w:rsidR="003161F2" w:rsidRPr="00FE3C59">
        <w:t xml:space="preserve">for the </w:t>
      </w:r>
      <w:r w:rsidR="00057EFD" w:rsidRPr="00FE3C59">
        <w:t>following scopes</w:t>
      </w:r>
      <w:r w:rsidR="003161F2" w:rsidRPr="00FE3C59">
        <w:t xml:space="preserve"> of positions</w:t>
      </w:r>
      <w:r w:rsidR="00057EFD" w:rsidRPr="00FE3C59">
        <w:t>:</w:t>
      </w:r>
    </w:p>
    <w:p w14:paraId="24BE906B" w14:textId="5E1225D0" w:rsidR="00057EFD" w:rsidRPr="00FE3C59" w:rsidRDefault="00057EFD" w:rsidP="00057EFD">
      <w:pPr>
        <w:pStyle w:val="InstructionsText2"/>
        <w:numPr>
          <w:ilvl w:val="1"/>
          <w:numId w:val="57"/>
        </w:numPr>
      </w:pPr>
      <w:r w:rsidRPr="00FE3C59">
        <w:t xml:space="preserve">All institutions shall </w:t>
      </w:r>
      <w:r w:rsidR="00DF1351" w:rsidRPr="00FE3C59">
        <w:t>fill in the template</w:t>
      </w:r>
      <w:r w:rsidR="00006694" w:rsidRPr="00FE3C59">
        <w:t>s</w:t>
      </w:r>
      <w:r w:rsidR="00DF1351" w:rsidRPr="00FE3C59">
        <w:t xml:space="preserve"> </w:t>
      </w:r>
      <w:r w:rsidR="00006694" w:rsidRPr="00FE3C59">
        <w:t>with regard to</w:t>
      </w:r>
      <w:r w:rsidR="00DF1351" w:rsidRPr="00FE3C59">
        <w:t xml:space="preserve"> positions to which they apply</w:t>
      </w:r>
      <w:r w:rsidR="002B3EF6" w:rsidRPr="00FE3C59">
        <w:t xml:space="preserve"> the alternative standardised approach</w:t>
      </w:r>
      <w:r w:rsidR="00FC2418" w:rsidRPr="00FE3C59">
        <w:t xml:space="preserve"> for market risk</w:t>
      </w:r>
      <w:r w:rsidR="00270E49" w:rsidRPr="00FE3C59">
        <w:t>)</w:t>
      </w:r>
      <w:r w:rsidR="00BF7EC2" w:rsidRPr="00FE3C59">
        <w:t>,</w:t>
      </w:r>
      <w:r w:rsidR="005F1EA5" w:rsidRPr="00FE3C59">
        <w:t xml:space="preserve"> </w:t>
      </w:r>
      <w:r w:rsidR="00006694" w:rsidRPr="00FE3C59">
        <w:t>(identified as ‘</w:t>
      </w:r>
      <w:r w:rsidR="00381B09" w:rsidRPr="00FE3C59">
        <w:t>A</w:t>
      </w:r>
      <w:r w:rsidR="002C445C" w:rsidRPr="00FE3C59">
        <w:t xml:space="preserve">SA own funds requirements for </w:t>
      </w:r>
      <w:r w:rsidR="00381B09" w:rsidRPr="00FE3C59">
        <w:t>A</w:t>
      </w:r>
      <w:r w:rsidR="002C445C" w:rsidRPr="00FE3C59">
        <w:t>SA positions</w:t>
      </w:r>
      <w:r w:rsidR="00F16025" w:rsidRPr="00FE3C59">
        <w:t>’</w:t>
      </w:r>
      <w:r w:rsidR="004F1EFB" w:rsidRPr="00FE3C59">
        <w:t xml:space="preserve"> (C</w:t>
      </w:r>
      <w:r w:rsidR="004F1EFB" w:rsidRPr="00FE3C59">
        <w:rPr>
          <w:vertAlign w:val="subscript"/>
        </w:rPr>
        <w:t>U</w:t>
      </w:r>
      <w:r w:rsidR="004F1EFB" w:rsidRPr="00FE3C59">
        <w:t>)</w:t>
      </w:r>
      <w:r w:rsidR="00704383" w:rsidRPr="00FE3C59">
        <w:t>)</w:t>
      </w:r>
    </w:p>
    <w:p w14:paraId="55BF3596" w14:textId="401EC911" w:rsidR="00006694" w:rsidRPr="00FE3C59" w:rsidRDefault="3EB44550" w:rsidP="00057EFD">
      <w:pPr>
        <w:pStyle w:val="InstructionsText2"/>
        <w:numPr>
          <w:ilvl w:val="1"/>
          <w:numId w:val="57"/>
        </w:numPr>
      </w:pPr>
      <w:r w:rsidRPr="00FE3C59">
        <w:t>I</w:t>
      </w:r>
      <w:r w:rsidR="5DC66E1C" w:rsidRPr="00FE3C59">
        <w:t>n addition, i</w:t>
      </w:r>
      <w:r w:rsidRPr="00FE3C59">
        <w:t>nstitutions applying the</w:t>
      </w:r>
      <w:r w:rsidR="304594DC" w:rsidRPr="00FE3C59">
        <w:t xml:space="preserve"> alternative</w:t>
      </w:r>
      <w:r w:rsidRPr="00FE3C59">
        <w:t xml:space="preserve"> internal model approach </w:t>
      </w:r>
      <w:r w:rsidR="47FB8431" w:rsidRPr="00FE3C59">
        <w:t>for</w:t>
      </w:r>
      <w:r w:rsidRPr="00FE3C59">
        <w:t xml:space="preserve"> market risk shall fill in the templates </w:t>
      </w:r>
      <w:r w:rsidR="790CBBCD" w:rsidRPr="00FE3C59">
        <w:t>for the following scope of positions</w:t>
      </w:r>
      <w:r w:rsidR="17CEA066" w:rsidRPr="00FE3C59">
        <w:t>:</w:t>
      </w:r>
    </w:p>
    <w:p w14:paraId="73D614A4" w14:textId="2C97C216" w:rsidR="00006694" w:rsidRPr="00FE3C59" w:rsidRDefault="00C76087" w:rsidP="00DC237D">
      <w:pPr>
        <w:pStyle w:val="InstructionsText2"/>
        <w:numPr>
          <w:ilvl w:val="2"/>
          <w:numId w:val="57"/>
        </w:numPr>
      </w:pPr>
      <w:r w:rsidRPr="00FE3C59">
        <w:lastRenderedPageBreak/>
        <w:t>Once for</w:t>
      </w:r>
      <w:r w:rsidR="000B0471" w:rsidRPr="00FE3C59">
        <w:t xml:space="preserve"> the portfolio of positions which they apply the </w:t>
      </w:r>
      <w:r w:rsidR="00206A96" w:rsidRPr="00FE3C59">
        <w:t xml:space="preserve">alternative internal model approach (identified as </w:t>
      </w:r>
      <w:r w:rsidR="00173DEF" w:rsidRPr="00FE3C59">
        <w:t>‘</w:t>
      </w:r>
      <w:r w:rsidR="00381B09" w:rsidRPr="00FE3C59">
        <w:t>A</w:t>
      </w:r>
      <w:r w:rsidR="00173DEF" w:rsidRPr="00FE3C59">
        <w:t xml:space="preserve">SA own funds requirements for </w:t>
      </w:r>
      <w:r w:rsidR="00BF13EF" w:rsidRPr="00FE3C59">
        <w:t xml:space="preserve">the </w:t>
      </w:r>
      <w:r w:rsidR="00173DEF" w:rsidRPr="00FE3C59">
        <w:t>IMA desks’</w:t>
      </w:r>
      <w:r w:rsidR="00111738" w:rsidRPr="00FE3C59">
        <w:t xml:space="preserve"> (SA</w:t>
      </w:r>
      <w:r w:rsidR="00111738" w:rsidRPr="00FE3C59">
        <w:rPr>
          <w:vertAlign w:val="subscript"/>
        </w:rPr>
        <w:t>IMA</w:t>
      </w:r>
      <w:r w:rsidR="00111738" w:rsidRPr="00FE3C59">
        <w:t>)</w:t>
      </w:r>
      <w:r w:rsidR="00173DEF" w:rsidRPr="00FE3C59">
        <w:t>)</w:t>
      </w:r>
      <w:r w:rsidR="00B94092" w:rsidRPr="00FE3C59">
        <w:t xml:space="preserve"> </w:t>
      </w:r>
      <w:r w:rsidR="00635EB7" w:rsidRPr="00FE3C59">
        <w:t xml:space="preserve">to </w:t>
      </w:r>
      <w:r w:rsidR="00B94092" w:rsidRPr="00FE3C59">
        <w:t>and</w:t>
      </w:r>
    </w:p>
    <w:p w14:paraId="7522F0CF" w14:textId="35666D17" w:rsidR="00B94092" w:rsidRDefault="00B94092" w:rsidP="002424AC">
      <w:pPr>
        <w:pStyle w:val="InstructionsText2"/>
        <w:numPr>
          <w:ilvl w:val="2"/>
          <w:numId w:val="57"/>
        </w:numPr>
      </w:pPr>
      <w:r w:rsidRPr="00FE3C59">
        <w:t>Once for all their positions subject to market risk (identified as ‘</w:t>
      </w:r>
      <w:r w:rsidR="00381B09" w:rsidRPr="00FE3C59">
        <w:t>A</w:t>
      </w:r>
      <w:r w:rsidRPr="00FE3C59">
        <w:t xml:space="preserve">SA own funds requirements for </w:t>
      </w:r>
      <w:r w:rsidR="006449EF" w:rsidRPr="00FE3C59">
        <w:t>all positions (SA</w:t>
      </w:r>
      <w:r w:rsidR="006449EF" w:rsidRPr="00FE3C59">
        <w:rPr>
          <w:vertAlign w:val="subscript"/>
        </w:rPr>
        <w:t>All positi</w:t>
      </w:r>
      <w:r w:rsidR="000750F7" w:rsidRPr="00FE3C59">
        <w:rPr>
          <w:vertAlign w:val="subscript"/>
        </w:rPr>
        <w:t>o</w:t>
      </w:r>
      <w:r w:rsidR="006449EF" w:rsidRPr="00FE3C59">
        <w:rPr>
          <w:vertAlign w:val="subscript"/>
        </w:rPr>
        <w:t>ns</w:t>
      </w:r>
      <w:r w:rsidR="006449EF" w:rsidRPr="00FE3C59">
        <w:t>)</w:t>
      </w:r>
      <w:r w:rsidR="0097728A" w:rsidRPr="00FE3C59">
        <w:t>’</w:t>
      </w:r>
      <w:r w:rsidR="00D13926" w:rsidRPr="00FE3C59">
        <w:t>).</w:t>
      </w:r>
    </w:p>
    <w:p w14:paraId="72C9FF18" w14:textId="77777777" w:rsidR="00EE029D" w:rsidRPr="00FE3C59" w:rsidRDefault="00EE029D" w:rsidP="00EE029D">
      <w:pPr>
        <w:pStyle w:val="InstructionsText2"/>
      </w:pPr>
    </w:p>
    <w:p w14:paraId="3200E24C" w14:textId="195BA5F3" w:rsidR="00EE4F6B" w:rsidRPr="00FE3C59" w:rsidRDefault="00DB6110" w:rsidP="00EE4F6B">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7B52F1" w:rsidRPr="00FE3C59">
        <w:rPr>
          <w:rFonts w:ascii="Times New Roman" w:hAnsi="Times New Roman" w:cs="Times New Roman"/>
          <w:sz w:val="24"/>
          <w:szCs w:val="24"/>
          <w:u w:val="none"/>
          <w:lang w:val="en-GB"/>
        </w:rPr>
        <w:t>2</w:t>
      </w:r>
      <w:r w:rsidRPr="00FE3C59">
        <w:rPr>
          <w:rFonts w:ascii="Times New Roman" w:hAnsi="Times New Roman" w:cs="Times New Roman"/>
          <w:lang w:val="en-GB"/>
        </w:rPr>
        <w:tab/>
      </w:r>
      <w:r w:rsidR="00EE4F6B" w:rsidRPr="00FE3C59">
        <w:rPr>
          <w:rFonts w:ascii="Times New Roman" w:hAnsi="Times New Roman" w:cs="Times New Roman"/>
          <w:sz w:val="24"/>
          <w:szCs w:val="24"/>
          <w:u w:val="none"/>
          <w:lang w:val="en-GB"/>
        </w:rPr>
        <w:t>C 91.00 –Summary (MKR ASA SUM)</w:t>
      </w:r>
      <w:bookmarkEnd w:id="29"/>
    </w:p>
    <w:p w14:paraId="66F64730" w14:textId="04FC9959" w:rsidR="00EE4F6B" w:rsidRPr="00FE3C59" w:rsidRDefault="00EE4F6B" w:rsidP="00EE4F6B">
      <w:pPr>
        <w:pStyle w:val="Instructionsberschrift2"/>
        <w:numPr>
          <w:ilvl w:val="0"/>
          <w:numId w:val="0"/>
        </w:numPr>
        <w:ind w:left="357" w:hanging="357"/>
        <w:rPr>
          <w:rFonts w:ascii="Times New Roman" w:hAnsi="Times New Roman" w:cs="Times New Roman"/>
          <w:sz w:val="24"/>
          <w:szCs w:val="24"/>
          <w:u w:val="none"/>
          <w:lang w:val="en-GB"/>
        </w:rPr>
      </w:pPr>
      <w:bookmarkStart w:id="30" w:name="_Toc262566427"/>
      <w:bookmarkStart w:id="31" w:name="_Toc295829997"/>
      <w:bookmarkStart w:id="32" w:name="_Toc308426674"/>
      <w:bookmarkStart w:id="33" w:name="_Toc310415058"/>
      <w:bookmarkStart w:id="34" w:name="_Toc360188393"/>
      <w:bookmarkStart w:id="35" w:name="_Toc516210684"/>
      <w:bookmarkStart w:id="36" w:name="_Toc473561033"/>
      <w:bookmarkStart w:id="37" w:name="_Toc37168640"/>
      <w:r w:rsidRPr="00FE3C59">
        <w:rPr>
          <w:rFonts w:ascii="Times New Roman" w:hAnsi="Times New Roman" w:cs="Times New Roman"/>
          <w:sz w:val="24"/>
          <w:szCs w:val="24"/>
          <w:u w:val="none"/>
          <w:lang w:val="en-GB"/>
        </w:rPr>
        <w:t>2.</w:t>
      </w:r>
      <w:r w:rsidR="007B52F1" w:rsidRPr="00FE3C59">
        <w:rPr>
          <w:rFonts w:ascii="Times New Roman" w:hAnsi="Times New Roman" w:cs="Times New Roman"/>
          <w:sz w:val="24"/>
          <w:szCs w:val="24"/>
          <w:u w:val="none"/>
          <w:lang w:val="en-GB"/>
        </w:rPr>
        <w:t>2</w:t>
      </w:r>
      <w:r w:rsidR="00DB6110" w:rsidRPr="00FE3C59">
        <w:rPr>
          <w:rFonts w:ascii="Times New Roman" w:hAnsi="Times New Roman" w:cs="Times New Roman"/>
          <w:sz w:val="24"/>
          <w:szCs w:val="24"/>
          <w:u w:val="none"/>
          <w:lang w:val="en-GB"/>
        </w:rPr>
        <w:t>.1</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General Remarks</w:t>
      </w:r>
      <w:bookmarkEnd w:id="30"/>
      <w:bookmarkEnd w:id="31"/>
      <w:bookmarkEnd w:id="32"/>
      <w:bookmarkEnd w:id="33"/>
      <w:bookmarkEnd w:id="34"/>
      <w:bookmarkEnd w:id="35"/>
      <w:bookmarkEnd w:id="36"/>
      <w:bookmarkEnd w:id="37"/>
    </w:p>
    <w:p w14:paraId="43313180" w14:textId="102CDC6C" w:rsidR="006637AB" w:rsidRPr="00FE3C59" w:rsidRDefault="00EE4F6B" w:rsidP="006E2ED1">
      <w:pPr>
        <w:pStyle w:val="InstructionsText2"/>
        <w:numPr>
          <w:ilvl w:val="0"/>
          <w:numId w:val="57"/>
        </w:numPr>
      </w:pPr>
      <w:r w:rsidRPr="00FE3C59">
        <w:t xml:space="preserve">This template provides summary information on the calculation of own funds requirements for Market Risk </w:t>
      </w:r>
      <w:r w:rsidR="00150FE0" w:rsidRPr="00FE3C59">
        <w:t xml:space="preserve">in accordance with </w:t>
      </w:r>
      <w:r w:rsidRPr="00FE3C59">
        <w:t>the Alternative Standardised Approach</w:t>
      </w:r>
      <w:r w:rsidR="00022E55" w:rsidRPr="00FE3C59">
        <w:t>,</w:t>
      </w:r>
      <w:r w:rsidRPr="00FE3C59">
        <w:t xml:space="preserve"> </w:t>
      </w:r>
      <w:r w:rsidR="0023780F" w:rsidRPr="00FE3C59">
        <w:t>set out in</w:t>
      </w:r>
      <w:r w:rsidR="006D7DDF" w:rsidRPr="00FE3C59">
        <w:t xml:space="preserve"> </w:t>
      </w:r>
      <w:r w:rsidR="00EF18B2" w:rsidRPr="00FE3C59">
        <w:t>Part Three, Title IV, Chapter 1a,</w:t>
      </w:r>
      <w:r w:rsidR="00FD7136" w:rsidRPr="00FE3C59">
        <w:t xml:space="preserve"> of Regulation (EU) No </w:t>
      </w:r>
      <w:r w:rsidR="006637AB" w:rsidRPr="00FE3C59">
        <w:t>575/2013</w:t>
      </w:r>
      <w:r w:rsidR="00B350A0" w:rsidRPr="00FE3C59">
        <w:t>.</w:t>
      </w:r>
    </w:p>
    <w:p w14:paraId="12FE0057" w14:textId="21727139" w:rsidR="004E0B5D" w:rsidRPr="00FE3C59" w:rsidRDefault="004E0B5D" w:rsidP="004E0B5D">
      <w:pPr>
        <w:pStyle w:val="InstructionsText2"/>
        <w:numPr>
          <w:ilvl w:val="0"/>
          <w:numId w:val="57"/>
        </w:numPr>
      </w:pPr>
      <w:r w:rsidRPr="00FE3C59">
        <w:t>Where information is reported on a consolidated level, institutions shall also provide the information specified in this template for the aggregate of all offsetting groups, in addition to the reporting of this template for each offsetting group in accordance with Part II, paragraph 3 of this Annex.</w:t>
      </w:r>
    </w:p>
    <w:p w14:paraId="0FEC5AE5" w14:textId="12708EFC" w:rsidR="00EE4F6B" w:rsidRPr="00FE3C59" w:rsidRDefault="008129D3" w:rsidP="006E2ED1">
      <w:pPr>
        <w:pStyle w:val="InstructionsText2"/>
        <w:numPr>
          <w:ilvl w:val="0"/>
          <w:numId w:val="57"/>
        </w:numPr>
      </w:pPr>
      <w:r w:rsidRPr="00FE3C59">
        <w:t xml:space="preserve">Where institutions apply </w:t>
      </w:r>
      <w:r w:rsidR="00EE4F6B" w:rsidRPr="00FE3C59">
        <w:t xml:space="preserve">the Alternative Standardised Approach </w:t>
      </w:r>
      <w:r w:rsidRPr="00FE3C59">
        <w:t>for market risk</w:t>
      </w:r>
      <w:r w:rsidR="00022E55" w:rsidRPr="00FE3C59">
        <w:t>,</w:t>
      </w:r>
      <w:r w:rsidR="00EE4F6B" w:rsidRPr="00FE3C59">
        <w:t xml:space="preserve"> </w:t>
      </w:r>
      <w:r w:rsidRPr="00FE3C59">
        <w:t>they</w:t>
      </w:r>
      <w:r w:rsidR="00EE4F6B" w:rsidRPr="00FE3C59">
        <w:t xml:space="preserve"> shall calculate the own funds requirements for market risk for a portfolio of trading book positions or non</w:t>
      </w:r>
      <w:r w:rsidR="00485C29" w:rsidRPr="00FE3C59">
        <w:t>–</w:t>
      </w:r>
      <w:r w:rsidR="00EE4F6B" w:rsidRPr="00FE3C59">
        <w:t>trading book positions that are subject to foreign exchange or commodity risk as the sum of the following three components:</w:t>
      </w:r>
    </w:p>
    <w:p w14:paraId="7967CCD8" w14:textId="3416E8CF" w:rsidR="00EE4F6B" w:rsidRPr="00FE3C59" w:rsidRDefault="00EE4F6B" w:rsidP="006D7DDF">
      <w:pPr>
        <w:pStyle w:val="InstructionsText2"/>
        <w:numPr>
          <w:ilvl w:val="0"/>
          <w:numId w:val="21"/>
        </w:numPr>
      </w:pPr>
      <w:r w:rsidRPr="00FE3C59">
        <w:t>The own funds requirement under the sensitivities</w:t>
      </w:r>
      <w:r w:rsidR="00485C29" w:rsidRPr="00FE3C59">
        <w:t>–</w:t>
      </w:r>
      <w:r w:rsidRPr="00FE3C59">
        <w:t>based method</w:t>
      </w:r>
      <w:r w:rsidR="000D3EF4">
        <w:t xml:space="preserve"> (SBM)</w:t>
      </w:r>
      <w:r w:rsidRPr="00FE3C59">
        <w:t xml:space="preserve"> as set out in </w:t>
      </w:r>
      <w:r w:rsidR="00EF18B2" w:rsidRPr="00FE3C59">
        <w:t>Part Three, Title IV, Chapter 1a,</w:t>
      </w:r>
      <w:r w:rsidR="00FD7136" w:rsidRPr="00FE3C59">
        <w:t xml:space="preserve"> </w:t>
      </w:r>
      <w:r w:rsidR="00174091" w:rsidRPr="00FE3C59">
        <w:t xml:space="preserve">Section 2, </w:t>
      </w:r>
      <w:r w:rsidR="00FD7136" w:rsidRPr="00FE3C59">
        <w:t>of Regulation (EU) No 575/2013</w:t>
      </w:r>
      <w:r w:rsidRPr="00FE3C59">
        <w:t>;</w:t>
      </w:r>
    </w:p>
    <w:p w14:paraId="722E1FA6" w14:textId="4FDD7943" w:rsidR="00CD70B3" w:rsidRPr="00FE3C59" w:rsidRDefault="00CD70B3" w:rsidP="00CD70B3">
      <w:pPr>
        <w:pStyle w:val="InstructionsText2"/>
        <w:numPr>
          <w:ilvl w:val="0"/>
          <w:numId w:val="21"/>
        </w:numPr>
      </w:pPr>
      <w:r w:rsidRPr="00FE3C59">
        <w:t xml:space="preserve">The own funds requirements for residual risks as set out in Part Three, Title IV, Chapter 1a, </w:t>
      </w:r>
      <w:r w:rsidR="00174091" w:rsidRPr="00FE3C59">
        <w:t xml:space="preserve">Section 4, </w:t>
      </w:r>
      <w:r w:rsidRPr="00FE3C59">
        <w:t>of Regulation (EU) No 575/2013 for positions in the trading book.</w:t>
      </w:r>
    </w:p>
    <w:p w14:paraId="1E2A6984" w14:textId="4D022D28" w:rsidR="00EE4F6B" w:rsidRPr="00FE3C59" w:rsidRDefault="00EE4F6B" w:rsidP="0087640E">
      <w:pPr>
        <w:pStyle w:val="InstructionsText2"/>
        <w:numPr>
          <w:ilvl w:val="0"/>
          <w:numId w:val="21"/>
        </w:numPr>
      </w:pPr>
      <w:r w:rsidRPr="00FE3C59">
        <w:t xml:space="preserve">The own funds requirement for the default risk as set out in </w:t>
      </w:r>
      <w:r w:rsidR="00BB6C55" w:rsidRPr="00FE3C59">
        <w:t xml:space="preserve">Section 5 of </w:t>
      </w:r>
      <w:r w:rsidR="00EF18B2" w:rsidRPr="00FE3C59">
        <w:t>Part Three, Title IV, Chapter 1a,</w:t>
      </w:r>
      <w:r w:rsidR="00FD7136" w:rsidRPr="00FE3C59">
        <w:t xml:space="preserve"> of Regulation (EU) No 575/2013</w:t>
      </w:r>
      <w:r w:rsidR="006D7DDF" w:rsidRPr="00FE3C59">
        <w:t xml:space="preserve"> for positions in the trading book</w:t>
      </w:r>
      <w:r w:rsidRPr="00FE3C59">
        <w:t>;</w:t>
      </w:r>
    </w:p>
    <w:p w14:paraId="1F1CE0B4" w14:textId="476A4D6C" w:rsidR="00EE4F6B" w:rsidRPr="00FE3C59" w:rsidRDefault="00ED17D3" w:rsidP="00ED17D3">
      <w:pPr>
        <w:pStyle w:val="Instructionsberschrift2"/>
        <w:numPr>
          <w:ilvl w:val="0"/>
          <w:numId w:val="0"/>
        </w:numPr>
        <w:ind w:left="357" w:hanging="357"/>
        <w:rPr>
          <w:rFonts w:ascii="Times New Roman" w:hAnsi="Times New Roman" w:cs="Times New Roman"/>
          <w:sz w:val="24"/>
          <w:szCs w:val="24"/>
          <w:u w:val="none"/>
          <w:lang w:val="en-GB"/>
        </w:rPr>
      </w:pPr>
      <w:bookmarkStart w:id="38" w:name="_Toc37168641"/>
      <w:r w:rsidRPr="00FE3C59">
        <w:rPr>
          <w:rFonts w:ascii="Times New Roman" w:hAnsi="Times New Roman" w:cs="Times New Roman"/>
          <w:sz w:val="24"/>
          <w:szCs w:val="24"/>
          <w:u w:val="none"/>
          <w:lang w:val="en-GB"/>
        </w:rPr>
        <w:t>2.</w:t>
      </w:r>
      <w:r w:rsidR="007B52F1" w:rsidRPr="00FE3C59">
        <w:rPr>
          <w:rFonts w:ascii="Times New Roman" w:hAnsi="Times New Roman" w:cs="Times New Roman"/>
          <w:sz w:val="24"/>
          <w:szCs w:val="24"/>
          <w:u w:val="none"/>
          <w:lang w:val="en-GB"/>
        </w:rPr>
        <w:t>2</w:t>
      </w:r>
      <w:r w:rsidR="00DB6110" w:rsidRPr="00FE3C59">
        <w:rPr>
          <w:rFonts w:ascii="Times New Roman" w:hAnsi="Times New Roman" w:cs="Times New Roman"/>
          <w:sz w:val="24"/>
          <w:szCs w:val="24"/>
          <w:u w:val="none"/>
          <w:lang w:val="en-GB"/>
        </w:rPr>
        <w:t>.</w:t>
      </w:r>
      <w:r w:rsidRPr="00FE3C59">
        <w:rPr>
          <w:rFonts w:ascii="Times New Roman" w:hAnsi="Times New Roman" w:cs="Times New Roman"/>
          <w:sz w:val="24"/>
          <w:szCs w:val="24"/>
          <w:u w:val="none"/>
          <w:lang w:val="en-GB"/>
        </w:rPr>
        <w:t>2</w:t>
      </w:r>
      <w:r w:rsidRPr="00FE3C59">
        <w:rPr>
          <w:rFonts w:ascii="Times New Roman" w:hAnsi="Times New Roman" w:cs="Times New Roman"/>
          <w:lang w:val="en-GB"/>
        </w:rPr>
        <w:tab/>
      </w:r>
      <w:r w:rsidR="00EE4F6B" w:rsidRPr="00FE3C59">
        <w:rPr>
          <w:rFonts w:ascii="Times New Roman" w:hAnsi="Times New Roman" w:cs="Times New Roman"/>
          <w:sz w:val="24"/>
          <w:szCs w:val="24"/>
          <w:u w:val="none"/>
          <w:lang w:val="en-GB"/>
        </w:rPr>
        <w:t>Instructions concerning specific positions</w:t>
      </w:r>
      <w:bookmarkEnd w:id="38"/>
    </w:p>
    <w:tbl>
      <w:tblPr>
        <w:tblStyle w:val="TableGrid"/>
        <w:tblW w:w="0" w:type="auto"/>
        <w:tblLook w:val="04A0" w:firstRow="1" w:lastRow="0" w:firstColumn="1" w:lastColumn="0" w:noHBand="0" w:noVBand="1"/>
      </w:tblPr>
      <w:tblGrid>
        <w:gridCol w:w="1043"/>
        <w:gridCol w:w="7973"/>
      </w:tblGrid>
      <w:tr w:rsidR="0087640E" w:rsidRPr="00FE3C59" w14:paraId="5375AB67" w14:textId="77777777" w:rsidTr="409D00E9">
        <w:tc>
          <w:tcPr>
            <w:tcW w:w="1043" w:type="dxa"/>
            <w:shd w:val="clear" w:color="auto" w:fill="BFBFBF" w:themeFill="background1" w:themeFillShade="BF"/>
          </w:tcPr>
          <w:p w14:paraId="31E5164F" w14:textId="77777777" w:rsidR="0087640E" w:rsidRPr="00FE3C59" w:rsidRDefault="0087640E" w:rsidP="00DE0B30">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3C95A207" w14:textId="77777777" w:rsidR="0087640E" w:rsidRPr="00FE3C59" w:rsidRDefault="0087640E" w:rsidP="00DE0B30">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57242D" w:rsidRPr="00FE3C59" w14:paraId="1E53172D" w14:textId="77777777" w:rsidTr="409D00E9">
        <w:tc>
          <w:tcPr>
            <w:tcW w:w="1043" w:type="dxa"/>
          </w:tcPr>
          <w:p w14:paraId="643D657C" w14:textId="77777777" w:rsidR="0057242D" w:rsidRPr="00FE3C59" w:rsidRDefault="0057242D" w:rsidP="006B40A6">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 – 01</w:t>
            </w:r>
            <w:r w:rsidR="006B40A6" w:rsidRPr="00FE3C59">
              <w:rPr>
                <w:rFonts w:ascii="Times New Roman" w:hAnsi="Times New Roman" w:cs="Times New Roman"/>
                <w:lang w:val="en-GB"/>
              </w:rPr>
              <w:t>5</w:t>
            </w:r>
            <w:r w:rsidRPr="00FE3C59">
              <w:rPr>
                <w:rFonts w:ascii="Times New Roman" w:hAnsi="Times New Roman" w:cs="Times New Roman"/>
                <w:lang w:val="en-GB"/>
              </w:rPr>
              <w:t>0</w:t>
            </w:r>
          </w:p>
        </w:tc>
        <w:tc>
          <w:tcPr>
            <w:tcW w:w="7973" w:type="dxa"/>
          </w:tcPr>
          <w:p w14:paraId="226B2270" w14:textId="36CCE744" w:rsidR="0057242D" w:rsidRPr="00FE3C59" w:rsidRDefault="0057242D" w:rsidP="00DE0B3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Positions subject to the sensitivities</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based method</w:t>
            </w:r>
          </w:p>
          <w:p w14:paraId="0314D4BE" w14:textId="0475968D" w:rsidR="0057242D" w:rsidRPr="00FE3C59" w:rsidRDefault="00573B4B" w:rsidP="00DE0B30">
            <w:pPr>
              <w:pStyle w:val="Tabelleninhalt"/>
              <w:spacing w:before="120" w:after="120"/>
              <w:rPr>
                <w:rFonts w:ascii="Times New Roman" w:hAnsi="Times New Roman" w:cs="Times New Roman"/>
                <w:lang w:val="en-GB"/>
              </w:rPr>
            </w:pPr>
            <w:r w:rsidRPr="00FE3C59">
              <w:rPr>
                <w:rFonts w:ascii="Times New Roman" w:hAnsi="Times New Roman" w:cs="Times New Roman"/>
                <w:lang w:val="en-GB"/>
              </w:rPr>
              <w:t xml:space="preserve">The own funds requirements </w:t>
            </w:r>
            <w:r w:rsidR="006A329F" w:rsidRPr="00FE3C59">
              <w:rPr>
                <w:rFonts w:ascii="Times New Roman" w:hAnsi="Times New Roman" w:cs="Times New Roman"/>
                <w:lang w:val="en-GB"/>
              </w:rPr>
              <w:t>calculated under the sensitivities</w:t>
            </w:r>
            <w:r w:rsidR="00485C29" w:rsidRPr="00FE3C59">
              <w:rPr>
                <w:rFonts w:ascii="Times New Roman" w:hAnsi="Times New Roman" w:cs="Times New Roman"/>
                <w:lang w:val="en-GB"/>
              </w:rPr>
              <w:t>–</w:t>
            </w:r>
            <w:r w:rsidR="006A329F" w:rsidRPr="00FE3C59">
              <w:rPr>
                <w:rFonts w:ascii="Times New Roman" w:hAnsi="Times New Roman" w:cs="Times New Roman"/>
                <w:lang w:val="en-GB"/>
              </w:rPr>
              <w:t xml:space="preserve">based method </w:t>
            </w:r>
            <w:r w:rsidRPr="00FE3C59">
              <w:rPr>
                <w:rFonts w:ascii="Times New Roman" w:hAnsi="Times New Roman" w:cs="Times New Roman"/>
                <w:lang w:val="en-GB"/>
              </w:rPr>
              <w:t>for delta, vega and curvature risks</w:t>
            </w:r>
            <w:r w:rsidR="00925EB8" w:rsidRPr="00FE3C59">
              <w:rPr>
                <w:rFonts w:ascii="Times New Roman" w:hAnsi="Times New Roman" w:cs="Times New Roman"/>
                <w:lang w:val="en-GB"/>
              </w:rPr>
              <w:t xml:space="preserve"> for instruments with and without optionality, as applicable,</w:t>
            </w:r>
            <w:r w:rsidRPr="00FE3C59">
              <w:rPr>
                <w:rFonts w:ascii="Times New Roman" w:hAnsi="Times New Roman" w:cs="Times New Roman"/>
                <w:lang w:val="en-GB"/>
              </w:rPr>
              <w:t xml:space="preserve"> shall be reported separately</w:t>
            </w:r>
            <w:r w:rsidR="008B0588" w:rsidRPr="00FE3C59">
              <w:rPr>
                <w:rFonts w:ascii="Times New Roman" w:hAnsi="Times New Roman" w:cs="Times New Roman"/>
                <w:lang w:val="en-GB"/>
              </w:rPr>
              <w:t xml:space="preserve"> and as a sum</w:t>
            </w:r>
            <w:r w:rsidRPr="00FE3C59">
              <w:rPr>
                <w:rFonts w:ascii="Times New Roman" w:hAnsi="Times New Roman" w:cs="Times New Roman"/>
                <w:lang w:val="en-GB"/>
              </w:rPr>
              <w:t xml:space="preserve"> in the template.</w:t>
            </w:r>
          </w:p>
          <w:p w14:paraId="51323D63" w14:textId="385BD348" w:rsidR="0057242D" w:rsidRPr="00FE3C59" w:rsidRDefault="0057242D" w:rsidP="00DE0B30">
            <w:pPr>
              <w:pStyle w:val="Tabelleninhalt"/>
              <w:spacing w:before="120" w:after="120"/>
              <w:rPr>
                <w:rFonts w:ascii="Times New Roman" w:hAnsi="Times New Roman" w:cs="Times New Roman"/>
                <w:lang w:val="en-GB"/>
              </w:rPr>
            </w:pPr>
            <w:r w:rsidRPr="00FE3C59">
              <w:rPr>
                <w:rFonts w:ascii="Times New Roman" w:hAnsi="Times New Roman" w:cs="Times New Roman"/>
                <w:lang w:val="en-GB"/>
              </w:rPr>
              <w:lastRenderedPageBreak/>
              <w:t>The process to calculate the risk</w:t>
            </w:r>
            <w:r w:rsidR="00485C29" w:rsidRPr="00FE3C59">
              <w:rPr>
                <w:rFonts w:ascii="Times New Roman" w:hAnsi="Times New Roman" w:cs="Times New Roman"/>
                <w:lang w:val="en-GB"/>
              </w:rPr>
              <w:t>–</w:t>
            </w:r>
            <w:r w:rsidRPr="00FE3C59">
              <w:rPr>
                <w:rFonts w:ascii="Times New Roman" w:hAnsi="Times New Roman" w:cs="Times New Roman"/>
                <w:lang w:val="en-GB"/>
              </w:rPr>
              <w:t xml:space="preserve">class specific own funds requirements </w:t>
            </w:r>
            <w:r w:rsidR="00022E55" w:rsidRPr="00FE3C59">
              <w:rPr>
                <w:rFonts w:ascii="Times New Roman" w:hAnsi="Times New Roman" w:cs="Times New Roman"/>
                <w:lang w:val="en-GB"/>
              </w:rPr>
              <w:t>shall be</w:t>
            </w:r>
            <w:r w:rsidRPr="00FE3C59">
              <w:rPr>
                <w:rFonts w:ascii="Times New Roman" w:hAnsi="Times New Roman" w:cs="Times New Roman"/>
                <w:lang w:val="en-GB"/>
              </w:rPr>
              <w:t xml:space="preserve"> performed for three different scenarios per risk class, which </w:t>
            </w:r>
            <w:r w:rsidR="00573B4B" w:rsidRPr="00FE3C59">
              <w:rPr>
                <w:rFonts w:ascii="Times New Roman" w:hAnsi="Times New Roman" w:cs="Times New Roman"/>
                <w:lang w:val="en-GB"/>
              </w:rPr>
              <w:t>shall be</w:t>
            </w:r>
            <w:r w:rsidRPr="00FE3C59">
              <w:rPr>
                <w:rFonts w:ascii="Times New Roman" w:hAnsi="Times New Roman" w:cs="Times New Roman"/>
                <w:lang w:val="en-GB"/>
              </w:rPr>
              <w:t xml:space="preserve"> reflected in separate section of the template:</w:t>
            </w:r>
          </w:p>
          <w:p w14:paraId="0F69D9EF" w14:textId="77777777" w:rsidR="00573B4B" w:rsidRPr="00FE3C59" w:rsidRDefault="0057242D" w:rsidP="00573B4B">
            <w:pPr>
              <w:pStyle w:val="Tabelleninhalt"/>
              <w:numPr>
                <w:ilvl w:val="0"/>
                <w:numId w:val="27"/>
              </w:numPr>
              <w:spacing w:before="120" w:after="120"/>
              <w:rPr>
                <w:rFonts w:ascii="Times New Roman" w:hAnsi="Times New Roman" w:cs="Times New Roman"/>
                <w:lang w:val="en-GB"/>
              </w:rPr>
            </w:pPr>
            <w:r w:rsidRPr="00FE3C59">
              <w:rPr>
                <w:rFonts w:ascii="Times New Roman" w:hAnsi="Times New Roman" w:cs="Times New Roman"/>
                <w:lang w:val="en-GB"/>
              </w:rPr>
              <w:t>the low correlation scenario in columns 00</w:t>
            </w:r>
            <w:r w:rsidR="006B40A6" w:rsidRPr="00FE3C59">
              <w:rPr>
                <w:rFonts w:ascii="Times New Roman" w:hAnsi="Times New Roman" w:cs="Times New Roman"/>
                <w:lang w:val="en-GB"/>
              </w:rPr>
              <w:t>4</w:t>
            </w:r>
            <w:r w:rsidRPr="00FE3C59">
              <w:rPr>
                <w:rFonts w:ascii="Times New Roman" w:hAnsi="Times New Roman" w:cs="Times New Roman"/>
                <w:lang w:val="en-GB"/>
              </w:rPr>
              <w:t>0 to 00</w:t>
            </w:r>
            <w:r w:rsidR="006B40A6" w:rsidRPr="00FE3C59">
              <w:rPr>
                <w:rFonts w:ascii="Times New Roman" w:hAnsi="Times New Roman" w:cs="Times New Roman"/>
                <w:lang w:val="en-GB"/>
              </w:rPr>
              <w:t>7</w:t>
            </w:r>
            <w:r w:rsidR="008B0588" w:rsidRPr="00FE3C59">
              <w:rPr>
                <w:rFonts w:ascii="Times New Roman" w:hAnsi="Times New Roman" w:cs="Times New Roman"/>
                <w:lang w:val="en-GB"/>
              </w:rPr>
              <w:t>0</w:t>
            </w:r>
            <w:r w:rsidR="00022E55" w:rsidRPr="00FE3C59">
              <w:rPr>
                <w:rFonts w:ascii="Times New Roman" w:hAnsi="Times New Roman" w:cs="Times New Roman"/>
                <w:lang w:val="en-GB"/>
              </w:rPr>
              <w:t>;</w:t>
            </w:r>
          </w:p>
          <w:p w14:paraId="6ADA5D92" w14:textId="047E400D" w:rsidR="00573B4B" w:rsidRPr="00FE3C59" w:rsidRDefault="00F634AC" w:rsidP="00573B4B">
            <w:pPr>
              <w:pStyle w:val="Tabelleninhalt"/>
              <w:numPr>
                <w:ilvl w:val="0"/>
                <w:numId w:val="27"/>
              </w:numPr>
              <w:spacing w:before="120" w:after="120"/>
              <w:rPr>
                <w:rFonts w:ascii="Times New Roman" w:hAnsi="Times New Roman" w:cs="Times New Roman"/>
                <w:lang w:val="en-GB"/>
              </w:rPr>
            </w:pPr>
            <w:r w:rsidRPr="00FE3C59">
              <w:rPr>
                <w:rFonts w:ascii="Times New Roman" w:hAnsi="Times New Roman" w:cs="Times New Roman"/>
                <w:lang w:val="en-GB"/>
              </w:rPr>
              <w:t>the medi</w:t>
            </w:r>
            <w:r w:rsidR="0057242D" w:rsidRPr="00FE3C59">
              <w:rPr>
                <w:rFonts w:ascii="Times New Roman" w:hAnsi="Times New Roman" w:cs="Times New Roman"/>
                <w:lang w:val="en-GB"/>
              </w:rPr>
              <w:t>um correlation scenario in columns 00</w:t>
            </w:r>
            <w:r w:rsidR="006B40A6" w:rsidRPr="00FE3C59">
              <w:rPr>
                <w:rFonts w:ascii="Times New Roman" w:hAnsi="Times New Roman" w:cs="Times New Roman"/>
                <w:lang w:val="en-GB"/>
              </w:rPr>
              <w:t>8</w:t>
            </w:r>
            <w:r w:rsidR="0057242D" w:rsidRPr="00FE3C59">
              <w:rPr>
                <w:rFonts w:ascii="Times New Roman" w:hAnsi="Times New Roman" w:cs="Times New Roman"/>
                <w:lang w:val="en-GB"/>
              </w:rPr>
              <w:t>0 to 01</w:t>
            </w:r>
            <w:r w:rsidR="006B40A6" w:rsidRPr="00FE3C59">
              <w:rPr>
                <w:rFonts w:ascii="Times New Roman" w:hAnsi="Times New Roman" w:cs="Times New Roman"/>
                <w:lang w:val="en-GB"/>
              </w:rPr>
              <w:t>1</w:t>
            </w:r>
            <w:r w:rsidR="0057242D" w:rsidRPr="00FE3C59">
              <w:rPr>
                <w:rFonts w:ascii="Times New Roman" w:hAnsi="Times New Roman" w:cs="Times New Roman"/>
                <w:lang w:val="en-GB"/>
              </w:rPr>
              <w:t>0</w:t>
            </w:r>
            <w:r w:rsidR="00022E55" w:rsidRPr="00FE3C59">
              <w:rPr>
                <w:rFonts w:ascii="Times New Roman" w:hAnsi="Times New Roman" w:cs="Times New Roman"/>
                <w:lang w:val="en-GB"/>
              </w:rPr>
              <w:t>;</w:t>
            </w:r>
          </w:p>
          <w:p w14:paraId="56448946" w14:textId="77777777" w:rsidR="0057242D" w:rsidRPr="00FE3C59" w:rsidRDefault="0057242D" w:rsidP="006B40A6">
            <w:pPr>
              <w:pStyle w:val="Tabelleninhalt"/>
              <w:numPr>
                <w:ilvl w:val="0"/>
                <w:numId w:val="27"/>
              </w:numPr>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the high corre</w:t>
            </w:r>
            <w:r w:rsidR="00573B4B" w:rsidRPr="00FE3C59">
              <w:rPr>
                <w:rFonts w:ascii="Times New Roman" w:hAnsi="Times New Roman" w:cs="Times New Roman"/>
                <w:lang w:val="en-GB"/>
              </w:rPr>
              <w:t>lation scenario in columns 01</w:t>
            </w:r>
            <w:r w:rsidR="006B40A6" w:rsidRPr="00FE3C59">
              <w:rPr>
                <w:rFonts w:ascii="Times New Roman" w:hAnsi="Times New Roman" w:cs="Times New Roman"/>
                <w:lang w:val="en-GB"/>
              </w:rPr>
              <w:t>2</w:t>
            </w:r>
            <w:r w:rsidR="00573B4B" w:rsidRPr="00FE3C59">
              <w:rPr>
                <w:rFonts w:ascii="Times New Roman" w:hAnsi="Times New Roman" w:cs="Times New Roman"/>
                <w:lang w:val="en-GB"/>
              </w:rPr>
              <w:t>0 to 01</w:t>
            </w:r>
            <w:r w:rsidR="006B40A6" w:rsidRPr="00FE3C59">
              <w:rPr>
                <w:rFonts w:ascii="Times New Roman" w:hAnsi="Times New Roman" w:cs="Times New Roman"/>
                <w:lang w:val="en-GB"/>
              </w:rPr>
              <w:t>5</w:t>
            </w:r>
            <w:r w:rsidR="00573B4B" w:rsidRPr="00FE3C59">
              <w:rPr>
                <w:rFonts w:ascii="Times New Roman" w:hAnsi="Times New Roman" w:cs="Times New Roman"/>
                <w:lang w:val="en-GB"/>
              </w:rPr>
              <w:t>0.</w:t>
            </w:r>
          </w:p>
        </w:tc>
      </w:tr>
      <w:tr w:rsidR="008B0588" w:rsidRPr="00FE3C59" w14:paraId="047C633D" w14:textId="77777777" w:rsidTr="409D00E9">
        <w:tc>
          <w:tcPr>
            <w:tcW w:w="1043" w:type="dxa"/>
          </w:tcPr>
          <w:p w14:paraId="74ACDD88" w14:textId="77777777" w:rsidR="008B0588" w:rsidRPr="00FE3C59" w:rsidRDefault="00DD48A9" w:rsidP="0009021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0010 – 00</w:t>
            </w:r>
            <w:r w:rsidR="00090210" w:rsidRPr="00FE3C59">
              <w:rPr>
                <w:rFonts w:ascii="Times New Roman" w:hAnsi="Times New Roman" w:cs="Times New Roman"/>
                <w:lang w:val="en-GB"/>
              </w:rPr>
              <w:t>3</w:t>
            </w:r>
            <w:r w:rsidRPr="00FE3C59">
              <w:rPr>
                <w:rFonts w:ascii="Times New Roman" w:hAnsi="Times New Roman" w:cs="Times New Roman"/>
                <w:lang w:val="en-GB"/>
              </w:rPr>
              <w:t>0</w:t>
            </w:r>
          </w:p>
        </w:tc>
        <w:tc>
          <w:tcPr>
            <w:tcW w:w="7973" w:type="dxa"/>
          </w:tcPr>
          <w:p w14:paraId="26BB8F7D" w14:textId="77777777" w:rsidR="00090210" w:rsidRPr="00FE3C59" w:rsidRDefault="00DD48A9" w:rsidP="000902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Unweighted delta sensitivities</w:t>
            </w:r>
          </w:p>
        </w:tc>
      </w:tr>
      <w:tr w:rsidR="0087640E" w:rsidRPr="00FE3C59" w14:paraId="1EDFFC7A" w14:textId="77777777" w:rsidTr="409D00E9">
        <w:tc>
          <w:tcPr>
            <w:tcW w:w="1043" w:type="dxa"/>
          </w:tcPr>
          <w:p w14:paraId="32F7D0CF" w14:textId="77777777" w:rsidR="0087640E" w:rsidRPr="00FE3C59" w:rsidRDefault="0087640E" w:rsidP="00DD48A9">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68127122" w14:textId="77777777" w:rsidR="005A5515" w:rsidRPr="00FE3C59" w:rsidRDefault="0087640E" w:rsidP="00DD48A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Unweighted delta sensitivities </w:t>
            </w:r>
            <w:r w:rsidR="00DD48A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Positive</w:t>
            </w:r>
          </w:p>
          <w:p w14:paraId="75872B4B" w14:textId="47346D75" w:rsidR="006637AB" w:rsidRPr="00FE3C59" w:rsidRDefault="1E5BE675" w:rsidP="1BD18A93">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Articles 325</w:t>
            </w:r>
            <w:r w:rsidR="253BF534" w:rsidRPr="00FE3C59">
              <w:rPr>
                <w:rFonts w:ascii="Times New Roman" w:hAnsi="Times New Roman" w:cs="Times New Roman"/>
                <w:lang w:val="en-GB"/>
              </w:rPr>
              <w:t>f(3)</w:t>
            </w:r>
            <w:r w:rsidR="00BB6C55" w:rsidRPr="00FE3C59">
              <w:rPr>
                <w:rFonts w:ascii="Times New Roman" w:hAnsi="Times New Roman" w:cs="Times New Roman"/>
                <w:lang w:val="en-GB"/>
              </w:rPr>
              <w:t xml:space="preserve"> and </w:t>
            </w:r>
            <w:r w:rsidR="1F6B801D" w:rsidRPr="00FE3C59">
              <w:rPr>
                <w:rFonts w:ascii="Times New Roman" w:hAnsi="Times New Roman" w:cs="Times New Roman"/>
                <w:lang w:val="en-GB"/>
              </w:rPr>
              <w:t>325r</w:t>
            </w:r>
            <w:r w:rsidR="00FD7136" w:rsidRPr="00FE3C59">
              <w:rPr>
                <w:rFonts w:ascii="Times New Roman" w:hAnsi="Times New Roman" w:cs="Times New Roman"/>
                <w:lang w:val="en-GB"/>
              </w:rPr>
              <w:t xml:space="preserve"> of Regulation (EU) No </w:t>
            </w:r>
            <w:r w:rsidR="006637AB" w:rsidRPr="00FE3C59">
              <w:rPr>
                <w:rFonts w:ascii="Times New Roman" w:hAnsi="Times New Roman" w:cs="Times New Roman"/>
                <w:lang w:val="en-GB"/>
              </w:rPr>
              <w:t>575/2013</w:t>
            </w:r>
            <w:r w:rsidR="005F6B39" w:rsidRPr="00FE3C59">
              <w:rPr>
                <w:rFonts w:ascii="Times New Roman" w:hAnsi="Times New Roman" w:cs="Times New Roman"/>
                <w:lang w:val="en-GB"/>
              </w:rPr>
              <w:t>.</w:t>
            </w:r>
          </w:p>
          <w:p w14:paraId="4271B2AA" w14:textId="78ADA341" w:rsidR="0087640E" w:rsidRPr="00FE3C59" w:rsidRDefault="0087640E" w:rsidP="00DC301D">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 xml:space="preserve">Institutions shall </w:t>
            </w:r>
            <w:r w:rsidR="00090210" w:rsidRPr="00FE3C59">
              <w:rPr>
                <w:rFonts w:ascii="Times New Roman" w:hAnsi="Times New Roman" w:cs="Times New Roman"/>
                <w:lang w:val="en-GB"/>
              </w:rPr>
              <w:t>calculate the sensitivity of their portfolio for each risk factor within the risk class in accordance with Article 325f (3)</w:t>
            </w:r>
            <w:r w:rsidR="00FD7136" w:rsidRPr="00FE3C59">
              <w:rPr>
                <w:rFonts w:ascii="Times New Roman" w:hAnsi="Times New Roman" w:cs="Times New Roman"/>
                <w:lang w:val="en-GB"/>
              </w:rPr>
              <w:t xml:space="preserve"> of Regulation (EU) No 575/2013</w:t>
            </w:r>
            <w:r w:rsidR="00090210" w:rsidRPr="00FE3C59">
              <w:rPr>
                <w:rFonts w:ascii="Times New Roman" w:hAnsi="Times New Roman" w:cs="Times New Roman"/>
                <w:lang w:val="en-GB"/>
              </w:rPr>
              <w:t xml:space="preserve">. They shall </w:t>
            </w:r>
            <w:r w:rsidR="00BA63C2" w:rsidRPr="00FE3C59">
              <w:rPr>
                <w:rFonts w:ascii="Times New Roman" w:hAnsi="Times New Roman" w:cs="Times New Roman"/>
                <w:lang w:val="en-GB"/>
              </w:rPr>
              <w:t xml:space="preserve">report the </w:t>
            </w:r>
            <w:r w:rsidR="00090210" w:rsidRPr="00FE3C59">
              <w:rPr>
                <w:rFonts w:ascii="Times New Roman" w:hAnsi="Times New Roman" w:cs="Times New Roman"/>
                <w:lang w:val="en-GB"/>
              </w:rPr>
              <w:t xml:space="preserve">sum </w:t>
            </w:r>
            <w:r w:rsidR="00BA63C2" w:rsidRPr="00FE3C59">
              <w:rPr>
                <w:rFonts w:ascii="Times New Roman" w:hAnsi="Times New Roman" w:cs="Times New Roman"/>
                <w:lang w:val="en-GB"/>
              </w:rPr>
              <w:t>of</w:t>
            </w:r>
            <w:r w:rsidR="00090210" w:rsidRPr="00FE3C59">
              <w:rPr>
                <w:rFonts w:ascii="Times New Roman" w:hAnsi="Times New Roman" w:cs="Times New Roman"/>
                <w:lang w:val="en-GB"/>
              </w:rPr>
              <w:t xml:space="preserve"> all positive sensitivities to delta risk factors within the risk class. </w:t>
            </w:r>
          </w:p>
        </w:tc>
      </w:tr>
      <w:tr w:rsidR="0087640E" w:rsidRPr="00FE3C59" w14:paraId="69F62C0D" w14:textId="77777777" w:rsidTr="409D00E9">
        <w:tc>
          <w:tcPr>
            <w:tcW w:w="1043" w:type="dxa"/>
          </w:tcPr>
          <w:p w14:paraId="11E58A32" w14:textId="77777777" w:rsidR="0087640E" w:rsidRPr="00FE3C59" w:rsidRDefault="0087640E" w:rsidP="00DD48A9">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2DF36AA5" w14:textId="77777777" w:rsidR="0087640E" w:rsidRPr="00FE3C59" w:rsidRDefault="0087640E" w:rsidP="00DD48A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Unweighted delta sensitivities – Negative</w:t>
            </w:r>
          </w:p>
          <w:p w14:paraId="3C3FD8A4" w14:textId="4157F1E7" w:rsidR="006637AB" w:rsidRPr="00FE3C59" w:rsidRDefault="1E5BE675" w:rsidP="1BD18A93">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Articles </w:t>
            </w:r>
            <w:r w:rsidR="1F6B801D" w:rsidRPr="00FE3C59">
              <w:rPr>
                <w:rFonts w:ascii="Times New Roman" w:hAnsi="Times New Roman" w:cs="Times New Roman"/>
                <w:lang w:val="en-GB"/>
              </w:rPr>
              <w:t>325f(3)</w:t>
            </w:r>
            <w:r w:rsidR="00BB6C55" w:rsidRPr="00FE3C59">
              <w:rPr>
                <w:rFonts w:ascii="Times New Roman" w:hAnsi="Times New Roman" w:cs="Times New Roman"/>
                <w:lang w:val="en-GB"/>
              </w:rPr>
              <w:t xml:space="preserve"> and </w:t>
            </w:r>
            <w:r w:rsidRPr="00FE3C59">
              <w:rPr>
                <w:rFonts w:ascii="Times New Roman" w:hAnsi="Times New Roman" w:cs="Times New Roman"/>
                <w:lang w:val="en-GB"/>
              </w:rPr>
              <w:t>325r</w:t>
            </w:r>
            <w:r w:rsidR="00FD7136" w:rsidRPr="00FE3C59">
              <w:rPr>
                <w:rFonts w:ascii="Times New Roman" w:hAnsi="Times New Roman" w:cs="Times New Roman"/>
                <w:lang w:val="en-GB"/>
              </w:rPr>
              <w:t xml:space="preserve"> of Regulation (EU) No </w:t>
            </w:r>
            <w:r w:rsidR="006637AB" w:rsidRPr="00FE3C59">
              <w:rPr>
                <w:rFonts w:ascii="Times New Roman" w:hAnsi="Times New Roman" w:cs="Times New Roman"/>
                <w:lang w:val="en-GB"/>
              </w:rPr>
              <w:t>575/2013</w:t>
            </w:r>
            <w:r w:rsidR="005F6B39" w:rsidRPr="00FE3C59">
              <w:rPr>
                <w:rFonts w:ascii="Times New Roman" w:hAnsi="Times New Roman" w:cs="Times New Roman"/>
                <w:lang w:val="en-GB"/>
              </w:rPr>
              <w:t>.</w:t>
            </w:r>
          </w:p>
          <w:p w14:paraId="686E4912" w14:textId="569D3AB0" w:rsidR="00AB276C" w:rsidRPr="00FE3C59" w:rsidRDefault="00090210" w:rsidP="00DC301D">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Institutions shall calculate the sensitivity of their portfolio for each risk factor within the risk class in accordance with Article 325f (3)</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Pr="00FE3C59">
              <w:rPr>
                <w:rFonts w:ascii="Times New Roman" w:hAnsi="Times New Roman" w:cs="Times New Roman"/>
                <w:lang w:val="en-GB"/>
              </w:rPr>
              <w:t xml:space="preserve">. They shall </w:t>
            </w:r>
            <w:r w:rsidR="00BA63C2" w:rsidRPr="00FE3C59">
              <w:rPr>
                <w:rFonts w:ascii="Times New Roman" w:hAnsi="Times New Roman" w:cs="Times New Roman"/>
                <w:lang w:val="en-GB"/>
              </w:rPr>
              <w:t xml:space="preserve">report the </w:t>
            </w:r>
            <w:r w:rsidRPr="00FE3C59">
              <w:rPr>
                <w:rFonts w:ascii="Times New Roman" w:hAnsi="Times New Roman" w:cs="Times New Roman"/>
                <w:lang w:val="en-GB"/>
              </w:rPr>
              <w:t xml:space="preserve">sum </w:t>
            </w:r>
            <w:r w:rsidR="00BA63C2" w:rsidRPr="00FE3C59">
              <w:rPr>
                <w:rFonts w:ascii="Times New Roman" w:hAnsi="Times New Roman" w:cs="Times New Roman"/>
                <w:lang w:val="en-GB"/>
              </w:rPr>
              <w:t>of</w:t>
            </w:r>
            <w:r w:rsidRPr="00FE3C59">
              <w:rPr>
                <w:rFonts w:ascii="Times New Roman" w:hAnsi="Times New Roman" w:cs="Times New Roman"/>
                <w:lang w:val="en-GB"/>
              </w:rPr>
              <w:t xml:space="preserve"> all negat</w:t>
            </w:r>
            <w:r w:rsidR="00925EB8" w:rsidRPr="00FE3C59">
              <w:rPr>
                <w:rFonts w:ascii="Times New Roman" w:hAnsi="Times New Roman" w:cs="Times New Roman"/>
                <w:lang w:val="en-GB"/>
              </w:rPr>
              <w:t>ive</w:t>
            </w:r>
            <w:r w:rsidRPr="00FE3C59">
              <w:rPr>
                <w:rFonts w:ascii="Times New Roman" w:hAnsi="Times New Roman" w:cs="Times New Roman"/>
                <w:lang w:val="en-GB"/>
              </w:rPr>
              <w:t xml:space="preserve"> sensitivities to delta risk factors within the risk class. </w:t>
            </w:r>
          </w:p>
        </w:tc>
      </w:tr>
      <w:tr w:rsidR="00090210" w:rsidRPr="00FE3C59" w14:paraId="4F820540" w14:textId="77777777" w:rsidTr="409D00E9">
        <w:tc>
          <w:tcPr>
            <w:tcW w:w="1043" w:type="dxa"/>
          </w:tcPr>
          <w:p w14:paraId="2404D9DF" w14:textId="77777777" w:rsidR="00090210" w:rsidRPr="00FE3C59" w:rsidRDefault="00090210" w:rsidP="000902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6927101C" w14:textId="77777777" w:rsidR="00090210" w:rsidRPr="00FE3C59" w:rsidRDefault="00090210" w:rsidP="00DD48A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Unweighted delta sensitivities – Net sensitivities per risk class</w:t>
            </w:r>
          </w:p>
          <w:p w14:paraId="1AA1E2AF" w14:textId="6EA8EE6B" w:rsidR="00090210" w:rsidRPr="00FE3C59" w:rsidRDefault="00090210" w:rsidP="00CA72D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 xml:space="preserve">Institutions shall </w:t>
            </w:r>
            <w:r w:rsidR="00B140F9" w:rsidRPr="00FE3C59">
              <w:rPr>
                <w:rFonts w:ascii="Times New Roman" w:hAnsi="Times New Roman" w:cs="Times New Roman"/>
                <w:lang w:val="en-GB"/>
              </w:rPr>
              <w:t xml:space="preserve">report the </w:t>
            </w:r>
            <w:r w:rsidR="006C3FAD" w:rsidRPr="00FE3C59">
              <w:rPr>
                <w:rFonts w:ascii="Times New Roman" w:hAnsi="Times New Roman" w:cs="Times New Roman"/>
                <w:lang w:val="en-GB"/>
              </w:rPr>
              <w:t xml:space="preserve">net </w:t>
            </w:r>
            <w:r w:rsidR="00B140F9" w:rsidRPr="00FE3C59">
              <w:rPr>
                <w:rFonts w:ascii="Times New Roman" w:hAnsi="Times New Roman" w:cs="Times New Roman"/>
                <w:lang w:val="en-GB"/>
              </w:rPr>
              <w:t xml:space="preserve">sum of </w:t>
            </w:r>
            <w:r w:rsidR="00234E83" w:rsidRPr="00FE3C59">
              <w:rPr>
                <w:rFonts w:ascii="Times New Roman" w:hAnsi="Times New Roman" w:cs="Times New Roman"/>
                <w:lang w:val="en-GB"/>
              </w:rPr>
              <w:t>all positive and all negative sensitivities to the different delta risk factors within a risk class</w:t>
            </w:r>
            <w:r w:rsidRPr="00FE3C59">
              <w:rPr>
                <w:rFonts w:ascii="Times New Roman" w:hAnsi="Times New Roman" w:cs="Times New Roman"/>
                <w:lang w:val="en-GB"/>
              </w:rPr>
              <w:t xml:space="preserve">. </w:t>
            </w:r>
          </w:p>
        </w:tc>
      </w:tr>
      <w:tr w:rsidR="0087640E" w:rsidRPr="00FE3C59" w14:paraId="4429C249" w14:textId="77777777" w:rsidTr="409D00E9">
        <w:tc>
          <w:tcPr>
            <w:tcW w:w="1043" w:type="dxa"/>
          </w:tcPr>
          <w:p w14:paraId="4A10527F" w14:textId="77777777" w:rsidR="0087640E" w:rsidRPr="00FE3C59" w:rsidRDefault="0087640E" w:rsidP="006B40A6">
            <w:pPr>
              <w:pStyle w:val="BodyText"/>
              <w:spacing w:before="120" w:after="120"/>
              <w:rPr>
                <w:rFonts w:ascii="Times New Roman" w:hAnsi="Times New Roman" w:cs="Times New Roman"/>
                <w:lang w:val="en-GB"/>
              </w:rPr>
            </w:pPr>
            <w:r w:rsidRPr="00FE3C59">
              <w:rPr>
                <w:rFonts w:ascii="Times New Roman" w:hAnsi="Times New Roman" w:cs="Times New Roman"/>
                <w:lang w:val="en-GB"/>
              </w:rPr>
              <w:t>00</w:t>
            </w:r>
            <w:r w:rsidR="006B40A6" w:rsidRPr="00FE3C59">
              <w:rPr>
                <w:rFonts w:ascii="Times New Roman" w:hAnsi="Times New Roman" w:cs="Times New Roman"/>
                <w:lang w:val="en-GB"/>
              </w:rPr>
              <w:t>4</w:t>
            </w:r>
            <w:r w:rsidR="00090210" w:rsidRPr="00FE3C59">
              <w:rPr>
                <w:rFonts w:ascii="Times New Roman" w:hAnsi="Times New Roman" w:cs="Times New Roman"/>
                <w:lang w:val="en-GB"/>
              </w:rPr>
              <w:t>0, 0080, 012</w:t>
            </w:r>
            <w:r w:rsidRPr="00FE3C59">
              <w:rPr>
                <w:rFonts w:ascii="Times New Roman" w:hAnsi="Times New Roman" w:cs="Times New Roman"/>
                <w:lang w:val="en-GB"/>
              </w:rPr>
              <w:t>0</w:t>
            </w:r>
          </w:p>
        </w:tc>
        <w:tc>
          <w:tcPr>
            <w:tcW w:w="7973" w:type="dxa"/>
          </w:tcPr>
          <w:p w14:paraId="6F39C1B4" w14:textId="77777777" w:rsidR="0087640E" w:rsidRPr="00FE3C59" w:rsidRDefault="0087640E" w:rsidP="00DD48A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p w14:paraId="3357273E" w14:textId="37F56902" w:rsidR="006637AB" w:rsidRPr="00FE3C59" w:rsidRDefault="1E5BE675" w:rsidP="1BD18A93">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Articles 325</w:t>
            </w:r>
            <w:r w:rsidR="2C898BD9" w:rsidRPr="00FE3C59">
              <w:rPr>
                <w:rFonts w:ascii="Times New Roman" w:hAnsi="Times New Roman" w:cs="Times New Roman"/>
                <w:lang w:val="en-GB"/>
              </w:rPr>
              <w:t>e(1)</w:t>
            </w:r>
            <w:r w:rsidR="006F6941" w:rsidRPr="00FE3C59">
              <w:rPr>
                <w:rFonts w:ascii="Times New Roman" w:hAnsi="Times New Roman" w:cs="Times New Roman"/>
                <w:lang w:val="en-GB"/>
              </w:rPr>
              <w:t xml:space="preserve">, point </w:t>
            </w:r>
            <w:r w:rsidR="2C898BD9" w:rsidRPr="00FE3C59">
              <w:rPr>
                <w:rFonts w:ascii="Times New Roman" w:hAnsi="Times New Roman" w:cs="Times New Roman"/>
                <w:lang w:val="en-GB"/>
              </w:rPr>
              <w:t>(a)</w:t>
            </w:r>
            <w:r w:rsidR="006F6941" w:rsidRPr="00FE3C59">
              <w:rPr>
                <w:rFonts w:ascii="Times New Roman" w:hAnsi="Times New Roman" w:cs="Times New Roman"/>
                <w:lang w:val="en-GB"/>
              </w:rPr>
              <w:t>,</w:t>
            </w:r>
            <w:r w:rsidR="00BB6C55" w:rsidRPr="00FE3C59">
              <w:rPr>
                <w:rFonts w:ascii="Times New Roman" w:hAnsi="Times New Roman" w:cs="Times New Roman"/>
                <w:lang w:val="en-GB"/>
              </w:rPr>
              <w:t xml:space="preserve"> and</w:t>
            </w:r>
            <w:r w:rsidR="2C898BD9" w:rsidRPr="00FE3C59">
              <w:rPr>
                <w:rFonts w:ascii="Times New Roman" w:hAnsi="Times New Roman" w:cs="Times New Roman"/>
                <w:lang w:val="en-GB"/>
              </w:rPr>
              <w:t xml:space="preserve"> </w:t>
            </w:r>
            <w:r w:rsidR="2A251D11" w:rsidRPr="00FE3C59">
              <w:rPr>
                <w:rFonts w:ascii="Times New Roman" w:hAnsi="Times New Roman" w:cs="Times New Roman"/>
                <w:lang w:val="en-GB"/>
              </w:rPr>
              <w:t xml:space="preserve">Article </w:t>
            </w:r>
            <w:r w:rsidR="2C898BD9" w:rsidRPr="00FE3C59">
              <w:rPr>
                <w:rFonts w:ascii="Times New Roman" w:hAnsi="Times New Roman" w:cs="Times New Roman"/>
                <w:lang w:val="en-GB"/>
              </w:rPr>
              <w:t>325</w:t>
            </w:r>
            <w:r w:rsidRPr="00FE3C59">
              <w:rPr>
                <w:rFonts w:ascii="Times New Roman" w:hAnsi="Times New Roman" w:cs="Times New Roman"/>
                <w:lang w:val="en-GB"/>
              </w:rPr>
              <w:t>f</w:t>
            </w:r>
            <w:r w:rsidR="00FD7136" w:rsidRPr="00FE3C59">
              <w:rPr>
                <w:rFonts w:ascii="Times New Roman" w:hAnsi="Times New Roman" w:cs="Times New Roman"/>
                <w:lang w:val="en-GB"/>
              </w:rPr>
              <w:t xml:space="preserve"> of Regulation (EU) No </w:t>
            </w:r>
            <w:r w:rsidR="006637AB" w:rsidRPr="00FE3C59">
              <w:rPr>
                <w:rFonts w:ascii="Times New Roman" w:hAnsi="Times New Roman" w:cs="Times New Roman"/>
                <w:lang w:val="en-GB"/>
              </w:rPr>
              <w:t>575/2013</w:t>
            </w:r>
            <w:r w:rsidR="004E21C8" w:rsidRPr="00FE3C59">
              <w:rPr>
                <w:rFonts w:ascii="Times New Roman" w:hAnsi="Times New Roman" w:cs="Times New Roman"/>
                <w:lang w:val="en-GB"/>
              </w:rPr>
              <w:t>.</w:t>
            </w:r>
          </w:p>
          <w:p w14:paraId="5B5E1A74" w14:textId="0E321B8A" w:rsidR="0087640E" w:rsidRPr="00FE3C59" w:rsidRDefault="00DD48A9" w:rsidP="00DC301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Institution</w:t>
            </w:r>
            <w:r w:rsidR="00022E55" w:rsidRPr="00FE3C59">
              <w:rPr>
                <w:rFonts w:ascii="Times New Roman" w:hAnsi="Times New Roman" w:cs="Times New Roman"/>
                <w:lang w:val="en-GB"/>
              </w:rPr>
              <w:t>s</w:t>
            </w:r>
            <w:r w:rsidRPr="00FE3C59">
              <w:rPr>
                <w:rFonts w:ascii="Times New Roman" w:hAnsi="Times New Roman" w:cs="Times New Roman"/>
                <w:lang w:val="en-GB"/>
              </w:rPr>
              <w:t xml:space="preserve"> shall report the risk</w:t>
            </w:r>
            <w:r w:rsidR="00485C29" w:rsidRPr="00FE3C59">
              <w:rPr>
                <w:rFonts w:ascii="Times New Roman" w:hAnsi="Times New Roman" w:cs="Times New Roman"/>
                <w:lang w:val="en-GB"/>
              </w:rPr>
              <w:t>–</w:t>
            </w:r>
            <w:r w:rsidRPr="00FE3C59">
              <w:rPr>
                <w:rFonts w:ascii="Times New Roman" w:hAnsi="Times New Roman" w:cs="Times New Roman"/>
                <w:lang w:val="en-GB"/>
              </w:rPr>
              <w:t>class specific own funds requirement for delta risk referred to in Article 325f(8)</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Pr="00FE3C59">
              <w:rPr>
                <w:rFonts w:ascii="Times New Roman" w:hAnsi="Times New Roman" w:cs="Times New Roman"/>
                <w:lang w:val="en-GB"/>
              </w:rPr>
              <w:t xml:space="preserve"> </w:t>
            </w:r>
            <w:r w:rsidR="006F6941" w:rsidRPr="00FE3C59">
              <w:rPr>
                <w:rFonts w:ascii="Times New Roman" w:hAnsi="Times New Roman" w:cs="Times New Roman"/>
                <w:lang w:val="en-GB"/>
              </w:rPr>
              <w:t>in</w:t>
            </w:r>
            <w:r w:rsidRPr="00FE3C59">
              <w:rPr>
                <w:rFonts w:ascii="Times New Roman" w:hAnsi="Times New Roman" w:cs="Times New Roman"/>
                <w:lang w:val="en-GB"/>
              </w:rPr>
              <w:t xml:space="preserve"> the applicable scenario.</w:t>
            </w:r>
          </w:p>
        </w:tc>
      </w:tr>
      <w:tr w:rsidR="0087640E" w:rsidRPr="00FE3C59" w14:paraId="33912E06" w14:textId="77777777" w:rsidTr="409D00E9">
        <w:tc>
          <w:tcPr>
            <w:tcW w:w="1043" w:type="dxa"/>
          </w:tcPr>
          <w:p w14:paraId="110F44D0" w14:textId="77777777" w:rsidR="0087640E" w:rsidRPr="00FE3C59" w:rsidRDefault="00090210" w:rsidP="00DD48A9">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0050, 0090, 013</w:t>
            </w:r>
            <w:r w:rsidR="0087640E" w:rsidRPr="00FE3C59">
              <w:rPr>
                <w:rFonts w:ascii="Times New Roman" w:hAnsi="Times New Roman" w:cs="Times New Roman"/>
                <w:lang w:val="en-GB"/>
              </w:rPr>
              <w:t>0</w:t>
            </w:r>
          </w:p>
        </w:tc>
        <w:tc>
          <w:tcPr>
            <w:tcW w:w="7973" w:type="dxa"/>
          </w:tcPr>
          <w:p w14:paraId="11CF8E52" w14:textId="77777777" w:rsidR="0087640E" w:rsidRPr="00FE3C59" w:rsidRDefault="0087640E" w:rsidP="00DD48A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p w14:paraId="6293A073" w14:textId="5CCA3AA1" w:rsidR="00DD48A9" w:rsidRPr="00FE3C59" w:rsidRDefault="0087640E" w:rsidP="00DD48A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 325</w:t>
            </w:r>
            <w:r w:rsidR="00DD48A9" w:rsidRPr="00FE3C59">
              <w:rPr>
                <w:rFonts w:ascii="Times New Roman" w:hAnsi="Times New Roman" w:cs="Times New Roman"/>
                <w:lang w:val="en-GB"/>
              </w:rPr>
              <w:t>e(1)</w:t>
            </w:r>
            <w:r w:rsidR="006F6941" w:rsidRPr="00FE3C59">
              <w:rPr>
                <w:rFonts w:ascii="Times New Roman" w:hAnsi="Times New Roman" w:cs="Times New Roman"/>
                <w:lang w:val="en-GB"/>
              </w:rPr>
              <w:t>, point (b),</w:t>
            </w:r>
            <w:r w:rsidR="00BB6C55" w:rsidRPr="00FE3C59">
              <w:rPr>
                <w:rFonts w:ascii="Times New Roman" w:hAnsi="Times New Roman" w:cs="Times New Roman"/>
                <w:lang w:val="en-GB"/>
              </w:rPr>
              <w:t xml:space="preserve"> and</w:t>
            </w:r>
            <w:r w:rsidR="00DD48A9" w:rsidRPr="00FE3C59">
              <w:rPr>
                <w:rFonts w:ascii="Times New Roman" w:hAnsi="Times New Roman" w:cs="Times New Roman"/>
                <w:lang w:val="en-GB"/>
              </w:rPr>
              <w:t xml:space="preserve"> </w:t>
            </w:r>
            <w:r w:rsidR="006A329F" w:rsidRPr="00FE3C59">
              <w:rPr>
                <w:rFonts w:ascii="Times New Roman" w:hAnsi="Times New Roman" w:cs="Times New Roman"/>
                <w:lang w:val="en-GB"/>
              </w:rPr>
              <w:t xml:space="preserve">Article </w:t>
            </w:r>
            <w:r w:rsidR="00DD48A9" w:rsidRPr="00FE3C59">
              <w:rPr>
                <w:rFonts w:ascii="Times New Roman" w:hAnsi="Times New Roman" w:cs="Times New Roman"/>
                <w:lang w:val="en-GB"/>
              </w:rPr>
              <w:t>325</w:t>
            </w:r>
            <w:r w:rsidRPr="00FE3C59">
              <w:rPr>
                <w:rFonts w:ascii="Times New Roman" w:hAnsi="Times New Roman" w:cs="Times New Roman"/>
                <w:lang w:val="en-GB"/>
              </w:rPr>
              <w:t>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4E21C8" w:rsidRPr="00FE3C59">
              <w:rPr>
                <w:rFonts w:ascii="Times New Roman" w:hAnsi="Times New Roman" w:cs="Times New Roman"/>
                <w:lang w:val="en-GB"/>
              </w:rPr>
              <w:t>.</w:t>
            </w:r>
          </w:p>
          <w:p w14:paraId="547F529D" w14:textId="046900BC" w:rsidR="0087640E" w:rsidRPr="00FE3C59" w:rsidRDefault="00DD48A9" w:rsidP="00DC301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Institution</w:t>
            </w:r>
            <w:r w:rsidR="00022E55" w:rsidRPr="00FE3C59">
              <w:rPr>
                <w:rFonts w:ascii="Times New Roman" w:hAnsi="Times New Roman" w:cs="Times New Roman"/>
                <w:lang w:val="en-GB"/>
              </w:rPr>
              <w:t>s</w:t>
            </w:r>
            <w:r w:rsidRPr="00FE3C59">
              <w:rPr>
                <w:rFonts w:ascii="Times New Roman" w:hAnsi="Times New Roman" w:cs="Times New Roman"/>
                <w:lang w:val="en-GB"/>
              </w:rPr>
              <w:t xml:space="preserve"> shall report the risk</w:t>
            </w:r>
            <w:r w:rsidR="00485C29" w:rsidRPr="00FE3C59">
              <w:rPr>
                <w:rFonts w:ascii="Times New Roman" w:hAnsi="Times New Roman" w:cs="Times New Roman"/>
                <w:lang w:val="en-GB"/>
              </w:rPr>
              <w:t>–</w:t>
            </w:r>
            <w:r w:rsidRPr="00FE3C59">
              <w:rPr>
                <w:rFonts w:ascii="Times New Roman" w:hAnsi="Times New Roman" w:cs="Times New Roman"/>
                <w:lang w:val="en-GB"/>
              </w:rPr>
              <w:t xml:space="preserve">class specific own funds requirement for vega risk referred to in </w:t>
            </w:r>
            <w:r w:rsidR="00BB6C55" w:rsidRPr="00FE3C59">
              <w:rPr>
                <w:rFonts w:ascii="Times New Roman" w:hAnsi="Times New Roman" w:cs="Times New Roman"/>
                <w:lang w:val="en-GB"/>
              </w:rPr>
              <w:t>A</w:t>
            </w:r>
            <w:r w:rsidRPr="00FE3C59">
              <w:rPr>
                <w:rFonts w:ascii="Times New Roman" w:hAnsi="Times New Roman" w:cs="Times New Roman"/>
                <w:lang w:val="en-GB"/>
              </w:rPr>
              <w:t>rticle 325f</w:t>
            </w:r>
            <w:r w:rsidR="00FD2C4F" w:rsidRPr="00FE3C59">
              <w:rPr>
                <w:rFonts w:ascii="Times New Roman" w:hAnsi="Times New Roman" w:cs="Times New Roman"/>
                <w:lang w:val="en-GB"/>
              </w:rPr>
              <w:t>(8)</w:t>
            </w:r>
            <w:r w:rsidR="00FD2C4F"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Pr="00FE3C59">
              <w:rPr>
                <w:rFonts w:ascii="Times New Roman" w:hAnsi="Times New Roman" w:cs="Times New Roman"/>
                <w:lang w:val="en-GB"/>
              </w:rPr>
              <w:t xml:space="preserve"> under the applicable scenarios.</w:t>
            </w:r>
          </w:p>
        </w:tc>
      </w:tr>
      <w:tr w:rsidR="006D7DDF" w:rsidRPr="00FE3C59" w14:paraId="047BC539" w14:textId="77777777" w:rsidTr="409D00E9">
        <w:tc>
          <w:tcPr>
            <w:tcW w:w="1043" w:type="dxa"/>
          </w:tcPr>
          <w:p w14:paraId="639F5F9D" w14:textId="77777777" w:rsidR="006D7DDF" w:rsidRPr="00FE3C59" w:rsidRDefault="00090210" w:rsidP="000902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006</w:t>
            </w:r>
            <w:r w:rsidR="006D7DDF" w:rsidRPr="00FE3C59">
              <w:rPr>
                <w:rFonts w:ascii="Times New Roman" w:hAnsi="Times New Roman" w:cs="Times New Roman"/>
                <w:lang w:val="en-GB"/>
              </w:rPr>
              <w:t>0, 0</w:t>
            </w:r>
            <w:r w:rsidRPr="00FE3C59">
              <w:rPr>
                <w:rFonts w:ascii="Times New Roman" w:hAnsi="Times New Roman" w:cs="Times New Roman"/>
                <w:lang w:val="en-GB"/>
              </w:rPr>
              <w:t>100, 014</w:t>
            </w:r>
            <w:r w:rsidR="006D7DDF" w:rsidRPr="00FE3C59">
              <w:rPr>
                <w:rFonts w:ascii="Times New Roman" w:hAnsi="Times New Roman" w:cs="Times New Roman"/>
                <w:lang w:val="en-GB"/>
              </w:rPr>
              <w:t>0</w:t>
            </w:r>
          </w:p>
        </w:tc>
        <w:tc>
          <w:tcPr>
            <w:tcW w:w="7973" w:type="dxa"/>
          </w:tcPr>
          <w:p w14:paraId="7423F627" w14:textId="77777777" w:rsidR="006D7DDF" w:rsidRPr="00FE3C59" w:rsidRDefault="006D7DDF" w:rsidP="00BA35B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p w14:paraId="22A73A7E" w14:textId="55382893" w:rsidR="006D7DDF" w:rsidRPr="00FE3C59" w:rsidRDefault="006D7DDF" w:rsidP="00824A7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w:t>
            </w:r>
            <w:r w:rsidR="00DD48A9" w:rsidRPr="00FE3C59">
              <w:rPr>
                <w:rFonts w:ascii="Times New Roman" w:hAnsi="Times New Roman" w:cs="Times New Roman"/>
                <w:lang w:val="en-GB"/>
              </w:rPr>
              <w:t>e(1)</w:t>
            </w:r>
            <w:r w:rsidR="003C5246" w:rsidRPr="00FE3C59">
              <w:rPr>
                <w:rFonts w:ascii="Times New Roman" w:hAnsi="Times New Roman" w:cs="Times New Roman"/>
                <w:lang w:val="en-GB"/>
              </w:rPr>
              <w:t>, point (c),</w:t>
            </w:r>
            <w:r w:rsidR="00BB6C55" w:rsidRPr="00FE3C59">
              <w:rPr>
                <w:rFonts w:ascii="Times New Roman" w:hAnsi="Times New Roman" w:cs="Times New Roman"/>
                <w:lang w:val="en-GB"/>
              </w:rPr>
              <w:t xml:space="preserve"> and</w:t>
            </w:r>
            <w:r w:rsidR="00DD48A9" w:rsidRPr="00FE3C59">
              <w:rPr>
                <w:rFonts w:ascii="Times New Roman" w:hAnsi="Times New Roman" w:cs="Times New Roman"/>
                <w:lang w:val="en-GB"/>
              </w:rPr>
              <w:t xml:space="preserve"> </w:t>
            </w:r>
            <w:r w:rsidR="006A329F" w:rsidRPr="00FE3C59">
              <w:rPr>
                <w:rFonts w:ascii="Times New Roman" w:hAnsi="Times New Roman" w:cs="Times New Roman"/>
                <w:lang w:val="en-GB"/>
              </w:rPr>
              <w:t xml:space="preserve">Article </w:t>
            </w:r>
            <w:r w:rsidR="00DD48A9" w:rsidRPr="00FE3C59">
              <w:rPr>
                <w:rFonts w:ascii="Times New Roman" w:hAnsi="Times New Roman" w:cs="Times New Roman"/>
                <w:lang w:val="en-GB"/>
              </w:rPr>
              <w:t>325</w:t>
            </w:r>
            <w:r w:rsidRPr="00FE3C59">
              <w:rPr>
                <w:rFonts w:ascii="Times New Roman" w:hAnsi="Times New Roman" w:cs="Times New Roman"/>
                <w:lang w:val="en-GB"/>
              </w:rPr>
              <w:t>g</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4E21C8" w:rsidRPr="00FE3C59">
              <w:rPr>
                <w:rFonts w:ascii="Times New Roman" w:hAnsi="Times New Roman" w:cs="Times New Roman"/>
                <w:lang w:val="en-GB"/>
              </w:rPr>
              <w:t>.</w:t>
            </w:r>
          </w:p>
        </w:tc>
      </w:tr>
      <w:tr w:rsidR="006D7DDF" w:rsidRPr="00FE3C59" w14:paraId="5FF155D4" w14:textId="77777777" w:rsidTr="409D00E9">
        <w:tc>
          <w:tcPr>
            <w:tcW w:w="1043" w:type="dxa"/>
          </w:tcPr>
          <w:p w14:paraId="1B49E032" w14:textId="77777777" w:rsidR="006D7DDF" w:rsidRPr="00FE3C59" w:rsidRDefault="00090210" w:rsidP="0009021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007</w:t>
            </w:r>
            <w:r w:rsidR="006D7DDF" w:rsidRPr="00FE3C59">
              <w:rPr>
                <w:rFonts w:ascii="Times New Roman" w:hAnsi="Times New Roman" w:cs="Times New Roman"/>
                <w:lang w:val="en-GB"/>
              </w:rPr>
              <w:t>0, 01</w:t>
            </w:r>
            <w:r w:rsidRPr="00FE3C59">
              <w:rPr>
                <w:rFonts w:ascii="Times New Roman" w:hAnsi="Times New Roman" w:cs="Times New Roman"/>
                <w:lang w:val="en-GB"/>
              </w:rPr>
              <w:t>1</w:t>
            </w:r>
            <w:r w:rsidR="006D7DDF" w:rsidRPr="00FE3C59">
              <w:rPr>
                <w:rFonts w:ascii="Times New Roman" w:hAnsi="Times New Roman" w:cs="Times New Roman"/>
                <w:lang w:val="en-GB"/>
              </w:rPr>
              <w:t>0, 01</w:t>
            </w:r>
            <w:r w:rsidRPr="00FE3C59">
              <w:rPr>
                <w:rFonts w:ascii="Times New Roman" w:hAnsi="Times New Roman" w:cs="Times New Roman"/>
                <w:lang w:val="en-GB"/>
              </w:rPr>
              <w:t>5</w:t>
            </w:r>
            <w:r w:rsidR="006D7DDF" w:rsidRPr="00FE3C59">
              <w:rPr>
                <w:rFonts w:ascii="Times New Roman" w:hAnsi="Times New Roman" w:cs="Times New Roman"/>
                <w:lang w:val="en-GB"/>
              </w:rPr>
              <w:t>0</w:t>
            </w:r>
          </w:p>
        </w:tc>
        <w:tc>
          <w:tcPr>
            <w:tcW w:w="7973" w:type="dxa"/>
          </w:tcPr>
          <w:p w14:paraId="7C2A9263" w14:textId="77777777" w:rsidR="006D7DDF" w:rsidRPr="00FE3C59" w:rsidRDefault="006D7DDF" w:rsidP="00BA35B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Total </w:t>
            </w:r>
          </w:p>
          <w:p w14:paraId="64089901" w14:textId="6679736E" w:rsidR="006637AB" w:rsidRPr="00FE3C59" w:rsidRDefault="006D7DDF" w:rsidP="00BA35B7">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325h(3)</w:t>
            </w:r>
            <w:r w:rsidR="00FD7136" w:rsidRPr="00FE3C59">
              <w:rPr>
                <w:rFonts w:ascii="Times New Roman" w:hAnsi="Times New Roman" w:cs="Times New Roman"/>
                <w:lang w:val="en-GB"/>
              </w:rPr>
              <w:t xml:space="preserve"> of Regulation (EU) No </w:t>
            </w:r>
            <w:r w:rsidR="006637AB" w:rsidRPr="00FE3C59">
              <w:rPr>
                <w:rFonts w:ascii="Times New Roman" w:hAnsi="Times New Roman" w:cs="Times New Roman"/>
                <w:lang w:val="en-GB"/>
              </w:rPr>
              <w:t>575/2013</w:t>
            </w:r>
            <w:r w:rsidR="004E21C8" w:rsidRPr="00FE3C59">
              <w:rPr>
                <w:rFonts w:ascii="Times New Roman" w:hAnsi="Times New Roman" w:cs="Times New Roman"/>
                <w:lang w:val="en-GB"/>
              </w:rPr>
              <w:t>.</w:t>
            </w:r>
          </w:p>
          <w:p w14:paraId="6CE31D8B" w14:textId="392BE54D" w:rsidR="006D7DDF" w:rsidRPr="00FE3C59" w:rsidRDefault="006D7DDF" w:rsidP="00BA35B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 xml:space="preserve">Institutions shall </w:t>
            </w:r>
            <w:r w:rsidR="006C259B" w:rsidRPr="00FE3C59">
              <w:rPr>
                <w:rFonts w:ascii="Times New Roman" w:hAnsi="Times New Roman" w:cs="Times New Roman"/>
                <w:lang w:val="en-GB"/>
              </w:rPr>
              <w:t xml:space="preserve">report </w:t>
            </w:r>
            <w:r w:rsidRPr="00FE3C59">
              <w:rPr>
                <w:rFonts w:ascii="Times New Roman" w:hAnsi="Times New Roman" w:cs="Times New Roman"/>
                <w:lang w:val="en-GB"/>
              </w:rPr>
              <w:t>the sum of the delta, vega and curvature risk</w:t>
            </w:r>
            <w:r w:rsidR="008670E9" w:rsidRPr="00FE3C59">
              <w:rPr>
                <w:rFonts w:ascii="Times New Roman" w:hAnsi="Times New Roman" w:cs="Times New Roman"/>
                <w:lang w:val="en-GB"/>
              </w:rPr>
              <w:t xml:space="preserve"> </w:t>
            </w:r>
            <w:r w:rsidRPr="00FE3C59">
              <w:rPr>
                <w:rFonts w:ascii="Times New Roman" w:hAnsi="Times New Roman" w:cs="Times New Roman"/>
                <w:lang w:val="en-GB"/>
              </w:rPr>
              <w:t>class specific own funds requirements for each scenario.</w:t>
            </w:r>
          </w:p>
        </w:tc>
      </w:tr>
      <w:tr w:rsidR="006C259B" w:rsidRPr="00FE3C59" w14:paraId="37951D7F" w14:textId="77777777" w:rsidTr="409D00E9">
        <w:tc>
          <w:tcPr>
            <w:tcW w:w="1043" w:type="dxa"/>
          </w:tcPr>
          <w:p w14:paraId="48769B6E" w14:textId="77777777" w:rsidR="006C259B" w:rsidRPr="00FE3C59" w:rsidRDefault="006C259B" w:rsidP="000902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090210" w:rsidRPr="00FE3C59">
              <w:rPr>
                <w:rFonts w:ascii="Times New Roman" w:hAnsi="Times New Roman" w:cs="Times New Roman"/>
                <w:lang w:val="en-GB"/>
              </w:rPr>
              <w:t>60 – 017</w:t>
            </w:r>
            <w:r w:rsidRPr="00FE3C59">
              <w:rPr>
                <w:rFonts w:ascii="Times New Roman" w:hAnsi="Times New Roman" w:cs="Times New Roman"/>
                <w:lang w:val="en-GB"/>
              </w:rPr>
              <w:t>0</w:t>
            </w:r>
          </w:p>
        </w:tc>
        <w:tc>
          <w:tcPr>
            <w:tcW w:w="7973" w:type="dxa"/>
          </w:tcPr>
          <w:p w14:paraId="093596A4" w14:textId="43212A3C" w:rsidR="006C259B" w:rsidRPr="00FE3C59" w:rsidRDefault="006C259B" w:rsidP="006C259B">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Positions subject to default risk – </w:t>
            </w:r>
            <w:r w:rsidR="007202BA" w:rsidRPr="00FE3C59">
              <w:rPr>
                <w:rFonts w:ascii="Times New Roman" w:hAnsi="Times New Roman" w:cs="Times New Roman"/>
                <w:b/>
                <w:u w:val="single"/>
                <w:lang w:val="en-GB"/>
              </w:rPr>
              <w:t>Gross jump</w:t>
            </w:r>
            <w:r w:rsidR="00485C29" w:rsidRPr="00FE3C59">
              <w:rPr>
                <w:rFonts w:ascii="Times New Roman" w:hAnsi="Times New Roman" w:cs="Times New Roman"/>
                <w:b/>
                <w:u w:val="single"/>
                <w:lang w:val="en-GB"/>
              </w:rPr>
              <w:t>–</w:t>
            </w:r>
            <w:r w:rsidR="007202BA" w:rsidRPr="00FE3C59">
              <w:rPr>
                <w:rFonts w:ascii="Times New Roman" w:hAnsi="Times New Roman" w:cs="Times New Roman"/>
                <w:b/>
                <w:u w:val="single"/>
                <w:lang w:val="en-GB"/>
              </w:rPr>
              <w:t>to</w:t>
            </w:r>
            <w:r w:rsidR="00485C29" w:rsidRPr="00FE3C59">
              <w:rPr>
                <w:rFonts w:ascii="Times New Roman" w:hAnsi="Times New Roman" w:cs="Times New Roman"/>
                <w:b/>
                <w:u w:val="single"/>
                <w:lang w:val="en-GB"/>
              </w:rPr>
              <w:t>–</w:t>
            </w:r>
            <w:r w:rsidR="007202BA" w:rsidRPr="00FE3C59">
              <w:rPr>
                <w:rFonts w:ascii="Times New Roman" w:hAnsi="Times New Roman" w:cs="Times New Roman"/>
                <w:b/>
                <w:u w:val="single"/>
                <w:lang w:val="en-GB"/>
              </w:rPr>
              <w:t>default (JTD) amounts</w:t>
            </w:r>
          </w:p>
          <w:p w14:paraId="67E0D696" w14:textId="72C935CB" w:rsidR="00BA35B7" w:rsidRPr="00FE3C59" w:rsidRDefault="007202BA" w:rsidP="005A341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Institutions shall report the gross jump</w:t>
            </w:r>
            <w:r w:rsidR="00485C29" w:rsidRPr="00FE3C59">
              <w:rPr>
                <w:rFonts w:ascii="Times New Roman" w:hAnsi="Times New Roman" w:cs="Times New Roman"/>
                <w:lang w:val="en-GB"/>
              </w:rPr>
              <w:t>–</w:t>
            </w:r>
            <w:r w:rsidRPr="00FE3C59">
              <w:rPr>
                <w:rFonts w:ascii="Times New Roman" w:hAnsi="Times New Roman" w:cs="Times New Roman"/>
                <w:lang w:val="en-GB"/>
              </w:rPr>
              <w:t>to</w:t>
            </w:r>
            <w:r w:rsidR="00485C29" w:rsidRPr="00FE3C59">
              <w:rPr>
                <w:rFonts w:ascii="Times New Roman" w:hAnsi="Times New Roman" w:cs="Times New Roman"/>
                <w:lang w:val="en-GB"/>
              </w:rPr>
              <w:t>–</w:t>
            </w:r>
            <w:r w:rsidRPr="00FE3C59">
              <w:rPr>
                <w:rFonts w:ascii="Times New Roman" w:hAnsi="Times New Roman" w:cs="Times New Roman"/>
                <w:lang w:val="en-GB"/>
              </w:rPr>
              <w:t>default amount</w:t>
            </w:r>
            <w:r w:rsidR="00A14CB6" w:rsidRPr="00FE3C59">
              <w:rPr>
                <w:rFonts w:ascii="Times New Roman" w:hAnsi="Times New Roman" w:cs="Times New Roman"/>
                <w:lang w:val="en-GB"/>
              </w:rPr>
              <w:t>s</w:t>
            </w:r>
            <w:r w:rsidRPr="00FE3C59">
              <w:rPr>
                <w:rFonts w:ascii="Times New Roman" w:hAnsi="Times New Roman" w:cs="Times New Roman"/>
                <w:lang w:val="en-GB"/>
              </w:rPr>
              <w:t xml:space="preserve"> for their exposures to non</w:t>
            </w:r>
            <w:r w:rsidR="00485C29" w:rsidRPr="00FE3C59">
              <w:rPr>
                <w:rFonts w:ascii="Times New Roman" w:hAnsi="Times New Roman" w:cs="Times New Roman"/>
                <w:lang w:val="en-GB"/>
              </w:rPr>
              <w:t>–</w:t>
            </w:r>
            <w:r w:rsidRPr="00FE3C59">
              <w:rPr>
                <w:rFonts w:ascii="Times New Roman" w:hAnsi="Times New Roman" w:cs="Times New Roman"/>
                <w:lang w:val="en-GB"/>
              </w:rPr>
              <w:t xml:space="preserve">securitisation instruments </w:t>
            </w:r>
            <w:r w:rsidR="005A3412" w:rsidRPr="00FE3C59">
              <w:rPr>
                <w:rFonts w:ascii="Times New Roman" w:hAnsi="Times New Roman" w:cs="Times New Roman"/>
                <w:lang w:val="en-GB"/>
              </w:rPr>
              <w:t>calculated in accordance with</w:t>
            </w:r>
            <w:r w:rsidRPr="00FE3C59">
              <w:rPr>
                <w:rFonts w:ascii="Times New Roman" w:hAnsi="Times New Roman" w:cs="Times New Roman"/>
                <w:lang w:val="en-GB"/>
              </w:rPr>
              <w:t xml:space="preserve"> Article</w:t>
            </w:r>
            <w:r w:rsidR="00FE4C65" w:rsidRPr="00FE3C59">
              <w:rPr>
                <w:rFonts w:ascii="Times New Roman" w:hAnsi="Times New Roman" w:cs="Times New Roman"/>
                <w:lang w:val="en-GB"/>
              </w:rPr>
              <w:t> </w:t>
            </w:r>
            <w:r w:rsidRPr="00FE3C59">
              <w:rPr>
                <w:rFonts w:ascii="Times New Roman" w:hAnsi="Times New Roman" w:cs="Times New Roman"/>
                <w:lang w:val="en-GB"/>
              </w:rPr>
              <w:t>325w</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Pr="00FE3C59">
              <w:rPr>
                <w:rFonts w:ascii="Times New Roman" w:hAnsi="Times New Roman" w:cs="Times New Roman"/>
                <w:lang w:val="en-GB"/>
              </w:rPr>
              <w:t xml:space="preserve">, for securitisations not included in the ACTP </w:t>
            </w:r>
            <w:r w:rsidR="005A3412" w:rsidRPr="00FE3C59">
              <w:rPr>
                <w:rFonts w:ascii="Times New Roman" w:hAnsi="Times New Roman" w:cs="Times New Roman"/>
                <w:lang w:val="en-GB"/>
              </w:rPr>
              <w:t>determined in accordance with</w:t>
            </w:r>
            <w:r w:rsidRPr="00FE3C59">
              <w:rPr>
                <w:rFonts w:ascii="Times New Roman" w:hAnsi="Times New Roman" w:cs="Times New Roman"/>
                <w:lang w:val="en-GB"/>
              </w:rPr>
              <w:t xml:space="preserve"> Article</w:t>
            </w:r>
            <w:r w:rsidR="00022E55" w:rsidRPr="00FE3C59">
              <w:rPr>
                <w:rFonts w:ascii="Times New Roman" w:hAnsi="Times New Roman" w:cs="Times New Roman"/>
                <w:lang w:val="en-GB"/>
              </w:rPr>
              <w:t> </w:t>
            </w:r>
            <w:r w:rsidRPr="00FE3C59">
              <w:rPr>
                <w:rFonts w:ascii="Times New Roman" w:hAnsi="Times New Roman" w:cs="Times New Roman"/>
                <w:lang w:val="en-GB"/>
              </w:rPr>
              <w:t xml:space="preserve">325z </w:t>
            </w:r>
            <w:r w:rsidR="00DC301D" w:rsidRPr="00FE3C59">
              <w:rPr>
                <w:rFonts w:ascii="Times New Roman" w:hAnsi="Times New Roman" w:cs="Times New Roman"/>
                <w:lang w:val="en-GB"/>
              </w:rPr>
              <w:t xml:space="preserve">of </w:t>
            </w:r>
            <w:r w:rsidR="00022E55" w:rsidRPr="00FE3C59">
              <w:rPr>
                <w:rFonts w:ascii="Times New Roman" w:hAnsi="Times New Roman" w:cs="Times New Roman"/>
                <w:lang w:val="en-GB"/>
              </w:rPr>
              <w:t>that</w:t>
            </w:r>
            <w:r w:rsidR="00022E55"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022E55" w:rsidRPr="00FE3C59">
              <w:rPr>
                <w:rFonts w:ascii="Times New Roman" w:hAnsi="Times New Roman" w:cs="Times New Roman"/>
                <w:lang w:val="en-GB"/>
              </w:rPr>
              <w:t>,</w:t>
            </w:r>
            <w:r w:rsidRPr="00FE3C59">
              <w:rPr>
                <w:rFonts w:ascii="Times New Roman" w:hAnsi="Times New Roman" w:cs="Times New Roman"/>
                <w:lang w:val="en-GB"/>
              </w:rPr>
              <w:t xml:space="preserve"> and for securitisation exposures and non</w:t>
            </w:r>
            <w:r w:rsidR="00485C29" w:rsidRPr="00FE3C59">
              <w:rPr>
                <w:rFonts w:ascii="Times New Roman" w:hAnsi="Times New Roman" w:cs="Times New Roman"/>
                <w:lang w:val="en-GB"/>
              </w:rPr>
              <w:t>–</w:t>
            </w:r>
            <w:r w:rsidRPr="00FE3C59">
              <w:rPr>
                <w:rFonts w:ascii="Times New Roman" w:hAnsi="Times New Roman" w:cs="Times New Roman"/>
                <w:lang w:val="en-GB"/>
              </w:rPr>
              <w:t xml:space="preserve">securitisation exposures included in the ACTP </w:t>
            </w:r>
            <w:r w:rsidR="005A3412" w:rsidRPr="00FE3C59">
              <w:rPr>
                <w:rFonts w:ascii="Times New Roman" w:hAnsi="Times New Roman" w:cs="Times New Roman"/>
                <w:lang w:val="en-GB"/>
              </w:rPr>
              <w:t>determined in accordance with</w:t>
            </w:r>
            <w:r w:rsidRPr="00FE3C59">
              <w:rPr>
                <w:rFonts w:ascii="Times New Roman" w:hAnsi="Times New Roman" w:cs="Times New Roman"/>
                <w:lang w:val="en-GB"/>
              </w:rPr>
              <w:t xml:space="preserve"> Article 325ac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r w:rsidRPr="00FE3C59">
              <w:rPr>
                <w:rFonts w:ascii="Times New Roman" w:hAnsi="Times New Roman" w:cs="Times New Roman"/>
                <w:lang w:val="en-GB"/>
              </w:rPr>
              <w:t xml:space="preserve"> with a breakdown between long and short exposures</w:t>
            </w:r>
            <w:r w:rsidR="00F533FF" w:rsidRPr="00FE3C59">
              <w:rPr>
                <w:rFonts w:ascii="Times New Roman" w:hAnsi="Times New Roman" w:cs="Times New Roman"/>
                <w:lang w:val="en-GB"/>
              </w:rPr>
              <w:t>.</w:t>
            </w:r>
          </w:p>
        </w:tc>
      </w:tr>
      <w:tr w:rsidR="006D7DDF" w:rsidRPr="00FE3C59" w14:paraId="65E2AD9F" w14:textId="77777777" w:rsidTr="409D00E9">
        <w:tc>
          <w:tcPr>
            <w:tcW w:w="1043" w:type="dxa"/>
          </w:tcPr>
          <w:p w14:paraId="6E996547" w14:textId="77777777" w:rsidR="006D7DDF" w:rsidRPr="00FE3C59" w:rsidRDefault="00090210" w:rsidP="006C259B">
            <w:pPr>
              <w:pStyle w:val="BodyText"/>
              <w:spacing w:before="120" w:after="120"/>
              <w:rPr>
                <w:rFonts w:ascii="Times New Roman" w:hAnsi="Times New Roman" w:cs="Times New Roman"/>
                <w:lang w:val="en-GB"/>
              </w:rPr>
            </w:pPr>
            <w:r w:rsidRPr="00FE3C59">
              <w:rPr>
                <w:rFonts w:ascii="Times New Roman" w:hAnsi="Times New Roman" w:cs="Times New Roman"/>
                <w:lang w:val="en-GB"/>
              </w:rPr>
              <w:t>016</w:t>
            </w:r>
            <w:r w:rsidR="006D7DDF" w:rsidRPr="00FE3C59">
              <w:rPr>
                <w:rFonts w:ascii="Times New Roman" w:hAnsi="Times New Roman" w:cs="Times New Roman"/>
                <w:lang w:val="en-GB"/>
              </w:rPr>
              <w:t>0</w:t>
            </w:r>
          </w:p>
        </w:tc>
        <w:tc>
          <w:tcPr>
            <w:tcW w:w="7973" w:type="dxa"/>
          </w:tcPr>
          <w:p w14:paraId="0DCF5453" w14:textId="77777777" w:rsidR="006D7DDF" w:rsidRPr="00FE3C59" w:rsidRDefault="006D7DDF" w:rsidP="00BA35B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Long</w:t>
            </w:r>
            <w:r w:rsidRPr="00FE3C59">
              <w:rPr>
                <w:rFonts w:ascii="Times New Roman" w:hAnsi="Times New Roman" w:cs="Times New Roman"/>
                <w:b/>
                <w:color w:val="FF0000"/>
                <w:u w:val="single"/>
                <w:lang w:val="en-GB"/>
              </w:rPr>
              <w:t xml:space="preserve"> </w:t>
            </w:r>
          </w:p>
        </w:tc>
      </w:tr>
      <w:tr w:rsidR="006D7DDF" w:rsidRPr="00FE3C59" w14:paraId="241C59F8" w14:textId="77777777" w:rsidTr="409D00E9">
        <w:tc>
          <w:tcPr>
            <w:tcW w:w="1043" w:type="dxa"/>
          </w:tcPr>
          <w:p w14:paraId="442B92D0" w14:textId="77777777" w:rsidR="006D7DDF" w:rsidRPr="00FE3C59" w:rsidRDefault="00090210" w:rsidP="00DE0B30">
            <w:pPr>
              <w:pStyle w:val="BodyText"/>
              <w:spacing w:before="120" w:after="120"/>
              <w:rPr>
                <w:rFonts w:ascii="Times New Roman" w:hAnsi="Times New Roman" w:cs="Times New Roman"/>
                <w:lang w:val="en-GB"/>
              </w:rPr>
            </w:pPr>
            <w:r w:rsidRPr="00FE3C59">
              <w:rPr>
                <w:rFonts w:ascii="Times New Roman" w:hAnsi="Times New Roman" w:cs="Times New Roman"/>
                <w:lang w:val="en-GB"/>
              </w:rPr>
              <w:t>017</w:t>
            </w:r>
            <w:r w:rsidR="006D7DDF" w:rsidRPr="00FE3C59">
              <w:rPr>
                <w:rFonts w:ascii="Times New Roman" w:hAnsi="Times New Roman" w:cs="Times New Roman"/>
                <w:lang w:val="en-GB"/>
              </w:rPr>
              <w:t>0</w:t>
            </w:r>
          </w:p>
        </w:tc>
        <w:tc>
          <w:tcPr>
            <w:tcW w:w="7973" w:type="dxa"/>
          </w:tcPr>
          <w:p w14:paraId="56AC1E89" w14:textId="77777777" w:rsidR="006D7DDF" w:rsidRPr="00FE3C59" w:rsidRDefault="006D7DDF" w:rsidP="00A14CB6">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Short</w:t>
            </w:r>
          </w:p>
        </w:tc>
      </w:tr>
      <w:tr w:rsidR="006D7DDF" w:rsidRPr="00FE3C59" w14:paraId="7E93AC48" w14:textId="77777777" w:rsidTr="409D00E9">
        <w:tc>
          <w:tcPr>
            <w:tcW w:w="1043" w:type="dxa"/>
          </w:tcPr>
          <w:p w14:paraId="6EB43DA8" w14:textId="77777777" w:rsidR="006D7DDF" w:rsidRPr="00FE3C59" w:rsidRDefault="00090210" w:rsidP="00BA35B7">
            <w:pPr>
              <w:pStyle w:val="BodyText"/>
              <w:spacing w:before="120" w:after="120"/>
              <w:rPr>
                <w:rFonts w:ascii="Times New Roman" w:hAnsi="Times New Roman" w:cs="Times New Roman"/>
                <w:lang w:val="en-GB"/>
              </w:rPr>
            </w:pPr>
            <w:r w:rsidRPr="00FE3C59">
              <w:rPr>
                <w:rFonts w:ascii="Times New Roman" w:hAnsi="Times New Roman" w:cs="Times New Roman"/>
                <w:lang w:val="en-GB"/>
              </w:rPr>
              <w:t>018</w:t>
            </w:r>
            <w:r w:rsidR="006D7DDF" w:rsidRPr="00FE3C59">
              <w:rPr>
                <w:rFonts w:ascii="Times New Roman" w:hAnsi="Times New Roman" w:cs="Times New Roman"/>
                <w:lang w:val="en-GB"/>
              </w:rPr>
              <w:t>0</w:t>
            </w:r>
          </w:p>
        </w:tc>
        <w:tc>
          <w:tcPr>
            <w:tcW w:w="7973" w:type="dxa"/>
          </w:tcPr>
          <w:p w14:paraId="13AE4993" w14:textId="77777777" w:rsidR="006D7DDF" w:rsidRPr="00FE3C59" w:rsidRDefault="00BA35B7" w:rsidP="00BA35B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Positions subject to residual risk </w:t>
            </w:r>
            <w:r w:rsidR="003A6B36"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w:t>
            </w:r>
            <w:r w:rsidR="006D7DDF" w:rsidRPr="00FE3C59">
              <w:rPr>
                <w:rFonts w:ascii="Times New Roman" w:hAnsi="Times New Roman" w:cs="Times New Roman"/>
                <w:b/>
                <w:u w:val="single"/>
                <w:lang w:val="en-GB"/>
              </w:rPr>
              <w:t>Gross notional value</w:t>
            </w:r>
          </w:p>
          <w:p w14:paraId="3464992D" w14:textId="4975DA58" w:rsidR="006637AB" w:rsidRPr="00FE3C59" w:rsidRDefault="006D7DDF" w:rsidP="00BA35B7">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325u</w:t>
            </w:r>
            <w:r w:rsidR="00FD7136" w:rsidRPr="00FE3C59">
              <w:rPr>
                <w:rFonts w:ascii="Times New Roman" w:hAnsi="Times New Roman" w:cs="Times New Roman"/>
                <w:lang w:val="en-GB"/>
              </w:rPr>
              <w:t xml:space="preserve"> of Regulation (EU) No </w:t>
            </w:r>
            <w:r w:rsidR="006637AB" w:rsidRPr="00FE3C59">
              <w:rPr>
                <w:rFonts w:ascii="Times New Roman" w:hAnsi="Times New Roman" w:cs="Times New Roman"/>
                <w:lang w:val="en-GB"/>
              </w:rPr>
              <w:t>575/2013</w:t>
            </w:r>
            <w:r w:rsidR="00837BB6" w:rsidRPr="00FE3C59">
              <w:rPr>
                <w:rFonts w:ascii="Times New Roman" w:hAnsi="Times New Roman" w:cs="Times New Roman"/>
                <w:lang w:val="en-GB"/>
              </w:rPr>
              <w:t>.</w:t>
            </w:r>
          </w:p>
          <w:p w14:paraId="35AE6634" w14:textId="1EBC2F05" w:rsidR="006D7DDF" w:rsidRPr="00FE3C59" w:rsidRDefault="006D7DDF" w:rsidP="009E4C2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Institutions shall report the gross notional amounts</w:t>
            </w:r>
            <w:r w:rsidR="00BA35B7" w:rsidRPr="00FE3C59">
              <w:rPr>
                <w:rFonts w:ascii="Times New Roman" w:hAnsi="Times New Roman" w:cs="Times New Roman"/>
                <w:lang w:val="en-GB"/>
              </w:rPr>
              <w:t>, as referred to in Article</w:t>
            </w:r>
            <w:r w:rsidR="00022E55" w:rsidRPr="00FE3C59">
              <w:rPr>
                <w:rFonts w:ascii="Times New Roman" w:hAnsi="Times New Roman" w:cs="Times New Roman"/>
                <w:lang w:val="en-GB"/>
              </w:rPr>
              <w:t> </w:t>
            </w:r>
            <w:r w:rsidR="00BA35B7" w:rsidRPr="00FE3C59">
              <w:rPr>
                <w:rFonts w:ascii="Times New Roman" w:hAnsi="Times New Roman" w:cs="Times New Roman"/>
                <w:lang w:val="en-GB"/>
              </w:rPr>
              <w:t>325u(3)</w:t>
            </w:r>
            <w:r w:rsidR="00BA35B7"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BA35B7" w:rsidRPr="00FE3C59">
              <w:rPr>
                <w:rFonts w:ascii="Times New Roman" w:hAnsi="Times New Roman" w:cs="Times New Roman"/>
                <w:lang w:val="en-GB"/>
              </w:rPr>
              <w:t>,</w:t>
            </w:r>
            <w:r w:rsidRPr="00FE3C59">
              <w:rPr>
                <w:rFonts w:ascii="Times New Roman" w:hAnsi="Times New Roman" w:cs="Times New Roman"/>
                <w:lang w:val="en-GB"/>
              </w:rPr>
              <w:t xml:space="preserve"> of instruments </w:t>
            </w:r>
            <w:r w:rsidR="00530F1F" w:rsidRPr="00FE3C59">
              <w:rPr>
                <w:rFonts w:ascii="Times New Roman" w:hAnsi="Times New Roman" w:cs="Times New Roman"/>
                <w:lang w:val="en-GB"/>
              </w:rPr>
              <w:t>referred to</w:t>
            </w:r>
            <w:r w:rsidRPr="00FE3C59">
              <w:rPr>
                <w:rFonts w:ascii="Times New Roman" w:hAnsi="Times New Roman" w:cs="Times New Roman"/>
                <w:lang w:val="en-GB"/>
              </w:rPr>
              <w:t xml:space="preserve"> in Article 325u(2)</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BA35B7" w:rsidRPr="00FE3C59">
              <w:rPr>
                <w:rFonts w:ascii="Times New Roman" w:hAnsi="Times New Roman" w:cs="Times New Roman"/>
                <w:lang w:val="en-GB"/>
              </w:rPr>
              <w:t xml:space="preserve"> that are subject to the own funds requirement for residual risks </w:t>
            </w:r>
            <w:r w:rsidR="00FE4C65" w:rsidRPr="00FE3C59">
              <w:rPr>
                <w:rFonts w:ascii="Times New Roman" w:hAnsi="Times New Roman" w:cs="Times New Roman"/>
                <w:lang w:val="en-GB"/>
              </w:rPr>
              <w:t xml:space="preserve">as referred to in </w:t>
            </w:r>
            <w:r w:rsidR="00BA35B7" w:rsidRPr="00FE3C59">
              <w:rPr>
                <w:rFonts w:ascii="Times New Roman" w:hAnsi="Times New Roman" w:cs="Times New Roman"/>
                <w:lang w:val="en-GB"/>
              </w:rPr>
              <w:t>Article 325u</w:t>
            </w:r>
            <w:r w:rsidR="004C2F4A" w:rsidRPr="00FE3C59">
              <w:rPr>
                <w:rFonts w:ascii="Times New Roman" w:hAnsi="Times New Roman" w:cs="Times New Roman"/>
                <w:lang w:val="en-GB"/>
              </w:rPr>
              <w:t xml:space="preserve">, </w:t>
            </w:r>
            <w:r w:rsidR="009E4C2E" w:rsidRPr="00FE3C59">
              <w:rPr>
                <w:rFonts w:ascii="Times New Roman" w:hAnsi="Times New Roman" w:cs="Times New Roman"/>
                <w:lang w:val="en-GB"/>
              </w:rPr>
              <w:t>paragraphs (1) and (4</w:t>
            </w:r>
            <w:r w:rsidR="004C2F4A"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r w:rsidR="00BA35B7" w:rsidRPr="00FE3C59">
              <w:rPr>
                <w:rFonts w:ascii="Times New Roman" w:hAnsi="Times New Roman" w:cs="Times New Roman"/>
                <w:lang w:val="en-GB"/>
              </w:rPr>
              <w:t>.</w:t>
            </w:r>
          </w:p>
        </w:tc>
      </w:tr>
      <w:tr w:rsidR="006D7DDF" w:rsidRPr="00FE3C59" w14:paraId="2A8BBE78" w14:textId="77777777" w:rsidTr="409D00E9">
        <w:tc>
          <w:tcPr>
            <w:tcW w:w="1043" w:type="dxa"/>
          </w:tcPr>
          <w:p w14:paraId="02454CBB" w14:textId="77777777" w:rsidR="006D7DDF" w:rsidRPr="00FE3C59" w:rsidRDefault="00090210" w:rsidP="00BA35B7">
            <w:pPr>
              <w:pStyle w:val="BodyText"/>
              <w:spacing w:before="120" w:after="120"/>
              <w:rPr>
                <w:rFonts w:ascii="Times New Roman" w:hAnsi="Times New Roman" w:cs="Times New Roman"/>
                <w:lang w:val="en-GB"/>
              </w:rPr>
            </w:pPr>
            <w:r w:rsidRPr="00FE3C59">
              <w:rPr>
                <w:rFonts w:ascii="Times New Roman" w:hAnsi="Times New Roman" w:cs="Times New Roman"/>
                <w:lang w:val="en-GB"/>
              </w:rPr>
              <w:t>019</w:t>
            </w:r>
            <w:r w:rsidR="006D7DDF" w:rsidRPr="00FE3C59">
              <w:rPr>
                <w:rFonts w:ascii="Times New Roman" w:hAnsi="Times New Roman" w:cs="Times New Roman"/>
                <w:lang w:val="en-GB"/>
              </w:rPr>
              <w:t>0</w:t>
            </w:r>
          </w:p>
        </w:tc>
        <w:tc>
          <w:tcPr>
            <w:tcW w:w="7973" w:type="dxa"/>
          </w:tcPr>
          <w:p w14:paraId="379D5E1A" w14:textId="77777777" w:rsidR="006D7DDF" w:rsidRPr="00FE3C59" w:rsidRDefault="006D7DDF" w:rsidP="00BA35B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Own Funds Requirements</w:t>
            </w:r>
          </w:p>
          <w:p w14:paraId="2B2FDFD2" w14:textId="3C2B9FCA" w:rsidR="00E50B22" w:rsidRPr="00FE3C59" w:rsidRDefault="006D7DDF" w:rsidP="0004479B">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325h(4)</w:t>
            </w:r>
            <w:r w:rsidR="0004479B" w:rsidRPr="00FE3C59">
              <w:rPr>
                <w:rFonts w:ascii="Times New Roman" w:hAnsi="Times New Roman" w:cs="Times New Roman"/>
                <w:lang w:val="en-GB"/>
              </w:rPr>
              <w:t>,</w:t>
            </w:r>
            <w:r w:rsidR="00DC301D" w:rsidRPr="00FE3C59">
              <w:rPr>
                <w:rFonts w:ascii="Times New Roman" w:hAnsi="Times New Roman" w:cs="Times New Roman"/>
                <w:lang w:val="en-GB"/>
              </w:rPr>
              <w:t xml:space="preserve"> Articles</w:t>
            </w:r>
            <w:r w:rsidR="0004479B" w:rsidRPr="00FE3C59">
              <w:rPr>
                <w:rFonts w:ascii="Times New Roman" w:hAnsi="Times New Roman" w:cs="Times New Roman"/>
                <w:lang w:val="en-GB"/>
              </w:rPr>
              <w:t xml:space="preserve"> </w:t>
            </w:r>
            <w:r w:rsidRPr="00FE3C59">
              <w:rPr>
                <w:rFonts w:ascii="Times New Roman" w:hAnsi="Times New Roman" w:cs="Times New Roman"/>
                <w:lang w:val="en-GB"/>
              </w:rPr>
              <w:t>325w to 325ad</w:t>
            </w:r>
            <w:r w:rsidR="00DC301D" w:rsidRPr="00FE3C59">
              <w:rPr>
                <w:rFonts w:ascii="Times New Roman" w:hAnsi="Times New Roman" w:cs="Times New Roman"/>
                <w:lang w:val="en-GB"/>
              </w:rPr>
              <w:t xml:space="preserve"> and Article</w:t>
            </w:r>
            <w:r w:rsidR="0004479B" w:rsidRPr="00FE3C59">
              <w:rPr>
                <w:rFonts w:ascii="Times New Roman" w:hAnsi="Times New Roman" w:cs="Times New Roman"/>
                <w:lang w:val="en-GB"/>
              </w:rPr>
              <w:t xml:space="preserve"> </w:t>
            </w:r>
            <w:r w:rsidRPr="00FE3C59">
              <w:rPr>
                <w:rFonts w:ascii="Times New Roman" w:hAnsi="Times New Roman" w:cs="Times New Roman"/>
                <w:lang w:val="en-GB"/>
              </w:rPr>
              <w:t>325u</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DA71D8" w:rsidRPr="00FE3C59">
              <w:rPr>
                <w:rFonts w:ascii="Times New Roman" w:hAnsi="Times New Roman" w:cs="Times New Roman"/>
                <w:lang w:val="en-GB"/>
              </w:rPr>
              <w:t>.</w:t>
            </w:r>
          </w:p>
          <w:p w14:paraId="41009389" w14:textId="1F439217" w:rsidR="006D7DDF" w:rsidRPr="00FE3C59" w:rsidRDefault="00E50B22"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w:t>
            </w:r>
            <w:r w:rsidR="00C46A2B" w:rsidRPr="00FE3C59">
              <w:rPr>
                <w:rFonts w:ascii="Times New Roman" w:hAnsi="Times New Roman" w:cs="Times New Roman"/>
                <w:lang w:val="en-GB"/>
              </w:rPr>
              <w:t>own funds requirements</w:t>
            </w:r>
            <w:r w:rsidRPr="00FE3C59">
              <w:rPr>
                <w:rFonts w:ascii="Times New Roman" w:hAnsi="Times New Roman" w:cs="Times New Roman"/>
                <w:lang w:val="en-GB"/>
              </w:rPr>
              <w:t xml:space="preserve"> determined </w:t>
            </w:r>
            <w:r w:rsidR="00C46A2B" w:rsidRPr="00FE3C59">
              <w:rPr>
                <w:rFonts w:ascii="Times New Roman" w:hAnsi="Times New Roman" w:cs="Times New Roman"/>
                <w:lang w:val="en-GB"/>
              </w:rPr>
              <w:t>in accordance with</w:t>
            </w:r>
            <w:r w:rsidRPr="00FE3C59">
              <w:rPr>
                <w:rFonts w:ascii="Times New Roman" w:hAnsi="Times New Roman" w:cs="Times New Roman"/>
                <w:lang w:val="en-GB"/>
              </w:rPr>
              <w:t xml:space="preserve"> Part Three</w:t>
            </w:r>
            <w:r w:rsidR="00C46A2B" w:rsidRPr="00FE3C59">
              <w:rPr>
                <w:rFonts w:ascii="Times New Roman" w:hAnsi="Times New Roman" w:cs="Times New Roman"/>
                <w:lang w:val="en-GB"/>
              </w:rPr>
              <w:t>, Title IV,</w:t>
            </w:r>
            <w:r w:rsidRPr="00FE3C59">
              <w:rPr>
                <w:rFonts w:ascii="Times New Roman" w:hAnsi="Times New Roman" w:cs="Times New Roman"/>
                <w:lang w:val="en-GB"/>
              </w:rPr>
              <w:t xml:space="preserve"> </w:t>
            </w:r>
            <w:r w:rsidR="00BB6C55" w:rsidRPr="00FE3C59">
              <w:rPr>
                <w:rFonts w:ascii="Times New Roman" w:hAnsi="Times New Roman" w:cs="Times New Roman"/>
                <w:lang w:val="en-GB"/>
              </w:rPr>
              <w:t xml:space="preserve">Chapter 1a of </w:t>
            </w:r>
            <w:r w:rsidR="00FD7136" w:rsidRPr="00FE3C59">
              <w:rPr>
                <w:rFonts w:ascii="Times New Roman" w:hAnsi="Times New Roman" w:cs="Times New Roman"/>
                <w:lang w:val="en-GB"/>
              </w:rPr>
              <w:t>Regulation (EU) No 575/2013</w:t>
            </w:r>
            <w:r w:rsidRPr="00FE3C59">
              <w:rPr>
                <w:rFonts w:ascii="Times New Roman" w:hAnsi="Times New Roman" w:cs="Times New Roman"/>
                <w:lang w:val="en-GB"/>
              </w:rPr>
              <w:t xml:space="preserve"> for positions within the scope of application of the alternative standardised approach. </w:t>
            </w:r>
          </w:p>
          <w:p w14:paraId="66AA33A2" w14:textId="11DEB902" w:rsidR="006D7DDF" w:rsidRPr="00FE3C59" w:rsidRDefault="00B573CB" w:rsidP="00022E5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Where the </w:t>
            </w:r>
            <w:r w:rsidR="00E50B22" w:rsidRPr="00FE3C59">
              <w:rPr>
                <w:rFonts w:ascii="Times New Roman" w:hAnsi="Times New Roman" w:cs="Times New Roman"/>
                <w:lang w:val="en-GB"/>
              </w:rPr>
              <w:t xml:space="preserve">own funds requirements </w:t>
            </w:r>
            <w:r w:rsidRPr="00FE3C59">
              <w:rPr>
                <w:rFonts w:ascii="Times New Roman" w:hAnsi="Times New Roman" w:cs="Times New Roman"/>
                <w:lang w:val="en-GB"/>
              </w:rPr>
              <w:t xml:space="preserve">reported in this column refer to own funds requirements calculated </w:t>
            </w:r>
            <w:r w:rsidR="00D95F8E" w:rsidRPr="00FE3C59">
              <w:rPr>
                <w:rFonts w:ascii="Times New Roman" w:hAnsi="Times New Roman" w:cs="Times New Roman"/>
                <w:lang w:val="en-GB"/>
              </w:rPr>
              <w:t>on the basis of</w:t>
            </w:r>
            <w:r w:rsidR="00B82F21" w:rsidRPr="00FE3C59">
              <w:rPr>
                <w:rFonts w:ascii="Times New Roman" w:hAnsi="Times New Roman" w:cs="Times New Roman"/>
                <w:lang w:val="en-GB"/>
              </w:rPr>
              <w:t xml:space="preserve"> </w:t>
            </w:r>
            <w:r w:rsidR="00E50B22" w:rsidRPr="00FE3C59">
              <w:rPr>
                <w:rFonts w:ascii="Times New Roman" w:hAnsi="Times New Roman" w:cs="Times New Roman"/>
                <w:lang w:val="en-GB"/>
              </w:rPr>
              <w:t>the sensitivities-based method</w:t>
            </w:r>
            <w:r w:rsidRPr="00FE3C59">
              <w:rPr>
                <w:rFonts w:ascii="Times New Roman" w:hAnsi="Times New Roman" w:cs="Times New Roman"/>
                <w:lang w:val="en-GB"/>
              </w:rPr>
              <w:t>, the amount</w:t>
            </w:r>
            <w:r w:rsidR="59304BCD" w:rsidRPr="00FE3C59">
              <w:rPr>
                <w:rFonts w:ascii="Times New Roman" w:hAnsi="Times New Roman" w:cs="Times New Roman"/>
                <w:lang w:val="en-GB"/>
              </w:rPr>
              <w:t>s</w:t>
            </w:r>
            <w:r w:rsidR="00E50B22" w:rsidRPr="00FE3C59">
              <w:rPr>
                <w:rFonts w:ascii="Times New Roman" w:hAnsi="Times New Roman" w:cs="Times New Roman"/>
                <w:lang w:val="en-GB"/>
              </w:rPr>
              <w:t xml:space="preserve"> reported in this column </w:t>
            </w:r>
            <w:r w:rsidR="5447271E" w:rsidRPr="00FE3C59">
              <w:rPr>
                <w:rFonts w:ascii="Times New Roman" w:hAnsi="Times New Roman" w:cs="Times New Roman"/>
                <w:lang w:val="en-GB"/>
              </w:rPr>
              <w:t xml:space="preserve">for the individual risk classes </w:t>
            </w:r>
            <w:r w:rsidR="00E50B22" w:rsidRPr="00FE3C59">
              <w:rPr>
                <w:rFonts w:ascii="Times New Roman" w:hAnsi="Times New Roman" w:cs="Times New Roman"/>
                <w:lang w:val="en-GB"/>
              </w:rPr>
              <w:t xml:space="preserve">shall correspond to the scenario determining the own funds requirements </w:t>
            </w:r>
            <w:r w:rsidR="00D95F8E" w:rsidRPr="00FE3C59">
              <w:rPr>
                <w:rFonts w:ascii="Times New Roman" w:hAnsi="Times New Roman" w:cs="Times New Roman"/>
                <w:lang w:val="en-GB"/>
              </w:rPr>
              <w:t xml:space="preserve">in </w:t>
            </w:r>
            <w:r w:rsidR="00E50B22" w:rsidRPr="00FE3C59">
              <w:rPr>
                <w:rFonts w:ascii="Times New Roman" w:hAnsi="Times New Roman" w:cs="Times New Roman"/>
                <w:lang w:val="en-GB"/>
              </w:rPr>
              <w:t>accord</w:t>
            </w:r>
            <w:r w:rsidR="00D95F8E" w:rsidRPr="00FE3C59">
              <w:rPr>
                <w:rFonts w:ascii="Times New Roman" w:hAnsi="Times New Roman" w:cs="Times New Roman"/>
                <w:lang w:val="en-GB"/>
              </w:rPr>
              <w:t xml:space="preserve">ance with </w:t>
            </w:r>
            <w:r w:rsidR="00E50B22" w:rsidRPr="00FE3C59">
              <w:rPr>
                <w:rFonts w:ascii="Times New Roman" w:hAnsi="Times New Roman" w:cs="Times New Roman"/>
                <w:lang w:val="en-GB"/>
              </w:rPr>
              <w:t>Art</w:t>
            </w:r>
            <w:r w:rsidR="00D95F8E" w:rsidRPr="00FE3C59">
              <w:rPr>
                <w:rFonts w:ascii="Times New Roman" w:hAnsi="Times New Roman" w:cs="Times New Roman"/>
                <w:lang w:val="en-GB"/>
              </w:rPr>
              <w:t>icle</w:t>
            </w:r>
            <w:r w:rsidR="00E50B22" w:rsidRPr="00FE3C59">
              <w:rPr>
                <w:rFonts w:ascii="Times New Roman" w:hAnsi="Times New Roman" w:cs="Times New Roman"/>
                <w:lang w:val="en-GB"/>
              </w:rPr>
              <w:t xml:space="preserve"> 325h(4)</w:t>
            </w:r>
            <w:r w:rsidR="00D95F8E" w:rsidRPr="00FE3C59">
              <w:rPr>
                <w:rFonts w:ascii="Times New Roman" w:hAnsi="Times New Roman" w:cs="Times New Roman"/>
                <w:lang w:val="en-GB"/>
              </w:rPr>
              <w:t xml:space="preserve"> of Regulation (EU) No 575/2013</w:t>
            </w:r>
            <w:r w:rsidR="00E50B22" w:rsidRPr="00FE3C59">
              <w:rPr>
                <w:rFonts w:ascii="Times New Roman" w:hAnsi="Times New Roman" w:cs="Times New Roman"/>
                <w:lang w:val="en-GB"/>
              </w:rPr>
              <w:t>.</w:t>
            </w:r>
          </w:p>
        </w:tc>
      </w:tr>
      <w:tr w:rsidR="006D7DDF" w:rsidRPr="00FE3C59" w14:paraId="52702D60" w14:textId="77777777" w:rsidTr="409D00E9">
        <w:tc>
          <w:tcPr>
            <w:tcW w:w="1043" w:type="dxa"/>
          </w:tcPr>
          <w:p w14:paraId="4E16DBA8" w14:textId="77777777" w:rsidR="006D7DDF" w:rsidRPr="00FE3C59" w:rsidRDefault="006D7DDF" w:rsidP="00414B96">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090210" w:rsidRPr="00FE3C59">
              <w:rPr>
                <w:rFonts w:ascii="Times New Roman" w:hAnsi="Times New Roman" w:cs="Times New Roman"/>
                <w:lang w:val="en-GB"/>
              </w:rPr>
              <w:t>200</w:t>
            </w:r>
          </w:p>
        </w:tc>
        <w:tc>
          <w:tcPr>
            <w:tcW w:w="7973" w:type="dxa"/>
          </w:tcPr>
          <w:p w14:paraId="5DF5A29B" w14:textId="77777777" w:rsidR="006D7DDF" w:rsidRPr="00FE3C59" w:rsidRDefault="003A6B36"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Total risk exposure amount</w:t>
            </w:r>
          </w:p>
          <w:p w14:paraId="336C07B3" w14:textId="45CD3C73" w:rsidR="003A6B36" w:rsidRPr="00FE3C59" w:rsidRDefault="003A6B36" w:rsidP="00530F1F">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92(</w:t>
            </w:r>
            <w:r w:rsidR="00436086" w:rsidRPr="00FE3C59">
              <w:rPr>
                <w:rFonts w:ascii="Times New Roman" w:hAnsi="Times New Roman" w:cs="Times New Roman"/>
                <w:lang w:val="en-GB"/>
              </w:rPr>
              <w:t>3</w:t>
            </w:r>
            <w:r w:rsidRPr="00FE3C59">
              <w:rPr>
                <w:rFonts w:ascii="Times New Roman" w:hAnsi="Times New Roman" w:cs="Times New Roman"/>
                <w:lang w:val="en-GB"/>
              </w:rPr>
              <w:t>)</w:t>
            </w:r>
            <w:r w:rsidR="004C2F4A" w:rsidRPr="00FE3C59">
              <w:rPr>
                <w:rFonts w:ascii="Times New Roman" w:hAnsi="Times New Roman" w:cs="Times New Roman"/>
                <w:lang w:val="en-GB"/>
              </w:rPr>
              <w:t>, point (b),</w:t>
            </w:r>
            <w:r w:rsidR="00FD7136" w:rsidRPr="00FE3C59">
              <w:rPr>
                <w:rFonts w:ascii="Times New Roman" w:hAnsi="Times New Roman" w:cs="Times New Roman"/>
                <w:lang w:val="en-GB"/>
              </w:rPr>
              <w:t xml:space="preserve"> of Regulation (EU) No 575/2013</w:t>
            </w:r>
            <w:r w:rsidR="00BB6C55" w:rsidRPr="00FE3C59">
              <w:rPr>
                <w:rFonts w:ascii="Times New Roman" w:hAnsi="Times New Roman" w:cs="Times New Roman"/>
                <w:lang w:val="en-GB"/>
              </w:rPr>
              <w:t xml:space="preserve"> and</w:t>
            </w:r>
            <w:r w:rsidR="00925EB8" w:rsidRPr="00FE3C59">
              <w:rPr>
                <w:rFonts w:ascii="Times New Roman" w:hAnsi="Times New Roman" w:cs="Times New Roman"/>
                <w:lang w:val="en-GB"/>
              </w:rPr>
              <w:t xml:space="preserve"> Article 92(4)</w:t>
            </w:r>
            <w:r w:rsidR="00925EB8"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7E7397" w:rsidRPr="00FE3C59">
              <w:rPr>
                <w:rFonts w:ascii="Times New Roman" w:hAnsi="Times New Roman" w:cs="Times New Roman"/>
                <w:lang w:val="en-GB"/>
              </w:rPr>
              <w:t>.</w:t>
            </w:r>
          </w:p>
        </w:tc>
      </w:tr>
    </w:tbl>
    <w:p w14:paraId="3489A36D" w14:textId="77777777" w:rsidR="00EE4F6B" w:rsidRPr="00FE3C59" w:rsidRDefault="00EE4F6B" w:rsidP="00EE4F6B">
      <w:pPr>
        <w:rPr>
          <w:rFonts w:ascii="Times New Roman" w:hAnsi="Times New Roman" w:cs="Times New Roman"/>
        </w:rPr>
      </w:pPr>
    </w:p>
    <w:tbl>
      <w:tblPr>
        <w:tblStyle w:val="TableGrid"/>
        <w:tblW w:w="0" w:type="auto"/>
        <w:tblLook w:val="04A0" w:firstRow="1" w:lastRow="0" w:firstColumn="1" w:lastColumn="0" w:noHBand="0" w:noVBand="1"/>
      </w:tblPr>
      <w:tblGrid>
        <w:gridCol w:w="1043"/>
        <w:gridCol w:w="7973"/>
      </w:tblGrid>
      <w:tr w:rsidR="00E50B22" w:rsidRPr="00FE3C59" w14:paraId="2F367548" w14:textId="77777777" w:rsidTr="002475E5">
        <w:tc>
          <w:tcPr>
            <w:tcW w:w="1043" w:type="dxa"/>
            <w:shd w:val="clear" w:color="auto" w:fill="BFBFBF" w:themeFill="background1" w:themeFillShade="BF"/>
          </w:tcPr>
          <w:p w14:paraId="1F4F677D" w14:textId="77777777" w:rsidR="00E50B22" w:rsidRPr="00FE3C59" w:rsidRDefault="00E50B22" w:rsidP="00E50B22">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4441E68D" w14:textId="77777777" w:rsidR="00E50B22" w:rsidRPr="00FE3C59" w:rsidRDefault="00E50B22" w:rsidP="00E50B22">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E50B22" w:rsidRPr="00FE3C59" w14:paraId="2ECFB362" w14:textId="77777777" w:rsidTr="002475E5">
        <w:tc>
          <w:tcPr>
            <w:tcW w:w="1043" w:type="dxa"/>
          </w:tcPr>
          <w:p w14:paraId="573E1EA0"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0010</w:t>
            </w:r>
          </w:p>
        </w:tc>
        <w:tc>
          <w:tcPr>
            <w:tcW w:w="7973" w:type="dxa"/>
          </w:tcPr>
          <w:p w14:paraId="0529C74E"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Total (alternative standardised approach)</w:t>
            </w:r>
          </w:p>
        </w:tc>
      </w:tr>
      <w:tr w:rsidR="00493271" w:rsidRPr="00FE3C59" w14:paraId="3D90C7C3" w14:textId="77777777" w:rsidTr="002475E5">
        <w:tc>
          <w:tcPr>
            <w:tcW w:w="1043" w:type="dxa"/>
          </w:tcPr>
          <w:p w14:paraId="71218B58" w14:textId="77777777" w:rsidR="00493271" w:rsidRPr="00FE3C59" w:rsidRDefault="00493271" w:rsidP="0049327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0020 – 0080</w:t>
            </w:r>
          </w:p>
        </w:tc>
        <w:tc>
          <w:tcPr>
            <w:tcW w:w="7973" w:type="dxa"/>
          </w:tcPr>
          <w:p w14:paraId="2EEB9985" w14:textId="0CA4777B" w:rsidR="00493271" w:rsidRPr="00FE3C59" w:rsidRDefault="00493271"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Sensitivities</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based method</w:t>
            </w:r>
          </w:p>
          <w:p w14:paraId="1F6D422F" w14:textId="012F1F3C" w:rsidR="00493271" w:rsidRPr="00FE3C59" w:rsidRDefault="00493271" w:rsidP="00022E55">
            <w:pPr>
              <w:pStyle w:val="BodyText"/>
              <w:spacing w:before="120" w:after="120"/>
              <w:rPr>
                <w:rFonts w:ascii="Times New Roman" w:hAnsi="Times New Roman" w:cs="Times New Roman"/>
                <w:b/>
                <w:lang w:val="en-GB" w:eastAsia="nl-BE"/>
              </w:rPr>
            </w:pPr>
            <w:r w:rsidRPr="00FE3C59">
              <w:rPr>
                <w:rFonts w:ascii="Times New Roman" w:hAnsi="Times New Roman" w:cs="Times New Roman"/>
                <w:lang w:val="en-GB"/>
              </w:rPr>
              <w:t>Part Three</w:t>
            </w:r>
            <w:r w:rsidR="00FD7136" w:rsidRPr="00FE3C59">
              <w:rPr>
                <w:rFonts w:ascii="Times New Roman" w:hAnsi="Times New Roman" w:cs="Times New Roman"/>
                <w:lang w:val="en-GB"/>
              </w:rPr>
              <w:t xml:space="preserve"> </w:t>
            </w:r>
            <w:r w:rsidR="004C2F4A" w:rsidRPr="00FE3C59">
              <w:rPr>
                <w:rFonts w:ascii="Times New Roman" w:hAnsi="Times New Roman" w:cs="Times New Roman"/>
                <w:lang w:val="en-GB"/>
              </w:rPr>
              <w:t>Title IV, Chapter 1a</w:t>
            </w:r>
            <w:r w:rsidR="00A73DC9" w:rsidRPr="00FE3C59">
              <w:rPr>
                <w:rFonts w:ascii="Times New Roman" w:hAnsi="Times New Roman" w:cs="Times New Roman"/>
                <w:lang w:val="en-GB"/>
              </w:rPr>
              <w:t xml:space="preserve">, </w:t>
            </w:r>
            <w:r w:rsidR="00BB6C55" w:rsidRPr="00FE3C59">
              <w:rPr>
                <w:rFonts w:ascii="Times New Roman" w:hAnsi="Times New Roman" w:cs="Times New Roman"/>
                <w:lang w:val="en-GB"/>
              </w:rPr>
              <w:t xml:space="preserve">Section 2 of </w:t>
            </w:r>
            <w:r w:rsidR="00FD7136" w:rsidRPr="00FE3C59">
              <w:rPr>
                <w:rFonts w:ascii="Times New Roman" w:hAnsi="Times New Roman" w:cs="Times New Roman"/>
                <w:lang w:val="en-GB"/>
              </w:rPr>
              <w:t>Regulation (EU) No 575/2013</w:t>
            </w:r>
          </w:p>
        </w:tc>
      </w:tr>
      <w:tr w:rsidR="00E50B22" w:rsidRPr="00FE3C59" w14:paraId="6F667CB7" w14:textId="77777777" w:rsidTr="002475E5">
        <w:tc>
          <w:tcPr>
            <w:tcW w:w="1043" w:type="dxa"/>
          </w:tcPr>
          <w:p w14:paraId="764C50A3" w14:textId="77777777" w:rsidR="00E50B22" w:rsidRPr="00FE3C59" w:rsidRDefault="00E50B22" w:rsidP="00E50B22">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68BE8462"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General interest rate risk</w:t>
            </w:r>
            <w:r w:rsidR="00493271" w:rsidRPr="00FE3C59">
              <w:rPr>
                <w:rFonts w:ascii="Times New Roman" w:hAnsi="Times New Roman" w:cs="Times New Roman"/>
                <w:b/>
                <w:u w:val="single"/>
                <w:lang w:val="en-GB"/>
              </w:rPr>
              <w:t xml:space="preserve"> (GIRR)</w:t>
            </w:r>
          </w:p>
          <w:p w14:paraId="6FE99783" w14:textId="2ED288B2" w:rsidR="00E50B22" w:rsidRPr="00FE3C59" w:rsidRDefault="00E50B22" w:rsidP="00334BC4">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325d(1)</w:t>
            </w:r>
            <w:r w:rsidR="00A73DC9" w:rsidRPr="00FE3C59">
              <w:rPr>
                <w:rFonts w:ascii="Times New Roman" w:hAnsi="Times New Roman" w:cs="Times New Roman"/>
                <w:lang w:val="en-GB"/>
              </w:rPr>
              <w:t>, point (i),</w:t>
            </w:r>
            <w:r w:rsidR="00FD7136" w:rsidRPr="00FE3C59">
              <w:rPr>
                <w:rFonts w:ascii="Times New Roman" w:hAnsi="Times New Roman" w:cs="Times New Roman"/>
                <w:lang w:val="en-GB"/>
              </w:rPr>
              <w:t xml:space="preserve"> of Regulation (EU) No 575/2013</w:t>
            </w:r>
          </w:p>
        </w:tc>
      </w:tr>
      <w:tr w:rsidR="00E50B22" w:rsidRPr="00FE3C59" w14:paraId="4454105B" w14:textId="77777777" w:rsidTr="002475E5">
        <w:tc>
          <w:tcPr>
            <w:tcW w:w="1043" w:type="dxa"/>
          </w:tcPr>
          <w:p w14:paraId="49CB69B2" w14:textId="77777777" w:rsidR="00E50B22" w:rsidRPr="00FE3C59" w:rsidRDefault="00E50B22" w:rsidP="00E50B22">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1BA2BD30" w14:textId="399DFAB6"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Credit spread risk for non</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securitisations </w:t>
            </w:r>
            <w:r w:rsidR="00493271" w:rsidRPr="00FE3C59">
              <w:rPr>
                <w:rFonts w:ascii="Times New Roman" w:hAnsi="Times New Roman" w:cs="Times New Roman"/>
                <w:b/>
                <w:u w:val="single"/>
                <w:lang w:val="en-GB"/>
              </w:rPr>
              <w:t>(CSR)</w:t>
            </w:r>
          </w:p>
          <w:p w14:paraId="4D40A704" w14:textId="5DD2CF68" w:rsidR="00E50B22" w:rsidRPr="00FE3C59" w:rsidRDefault="00E50B22" w:rsidP="009E4C2E">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325d(1)</w:t>
            </w:r>
            <w:r w:rsidR="00A73DC9" w:rsidRPr="00FE3C59">
              <w:rPr>
                <w:rFonts w:ascii="Times New Roman" w:hAnsi="Times New Roman" w:cs="Times New Roman"/>
                <w:lang w:val="en-GB"/>
              </w:rPr>
              <w:t>, point (ii),</w:t>
            </w:r>
            <w:r w:rsidR="00FD7136" w:rsidRPr="00FE3C59">
              <w:rPr>
                <w:rFonts w:ascii="Times New Roman" w:hAnsi="Times New Roman" w:cs="Times New Roman"/>
                <w:lang w:val="en-GB"/>
              </w:rPr>
              <w:t xml:space="preserve"> of Regulation (EU) No 575/2013</w:t>
            </w:r>
          </w:p>
        </w:tc>
      </w:tr>
      <w:tr w:rsidR="00E50B22" w:rsidRPr="00FE3C59" w14:paraId="6734BC4B" w14:textId="77777777" w:rsidTr="002475E5">
        <w:tc>
          <w:tcPr>
            <w:tcW w:w="1043" w:type="dxa"/>
          </w:tcPr>
          <w:p w14:paraId="68044CF8"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0040</w:t>
            </w:r>
          </w:p>
        </w:tc>
        <w:tc>
          <w:tcPr>
            <w:tcW w:w="7973" w:type="dxa"/>
          </w:tcPr>
          <w:p w14:paraId="0809C51A" w14:textId="4E5F5F30"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Credit spread risk for securitisation not included in the alternative correlation trading portfolio</w:t>
            </w:r>
            <w:r w:rsidR="00493271" w:rsidRPr="00FE3C59">
              <w:rPr>
                <w:rFonts w:ascii="Times New Roman" w:hAnsi="Times New Roman" w:cs="Times New Roman"/>
                <w:b/>
                <w:u w:val="single"/>
                <w:lang w:val="en-GB"/>
              </w:rPr>
              <w:t xml:space="preserve"> (non</w:t>
            </w:r>
            <w:r w:rsidR="00485C29" w:rsidRPr="00FE3C59">
              <w:rPr>
                <w:rFonts w:ascii="Times New Roman" w:hAnsi="Times New Roman" w:cs="Times New Roman"/>
                <w:b/>
                <w:u w:val="single"/>
                <w:lang w:val="en-GB"/>
              </w:rPr>
              <w:t>–</w:t>
            </w:r>
            <w:r w:rsidR="00493271" w:rsidRPr="00FE3C59">
              <w:rPr>
                <w:rFonts w:ascii="Times New Roman" w:hAnsi="Times New Roman" w:cs="Times New Roman"/>
                <w:b/>
                <w:u w:val="single"/>
                <w:lang w:val="en-GB"/>
              </w:rPr>
              <w:t>ACTP CSR)</w:t>
            </w:r>
          </w:p>
          <w:p w14:paraId="79DB2559" w14:textId="7B6BB234" w:rsidR="00E50B22" w:rsidRPr="00FE3C59" w:rsidRDefault="00E50B22" w:rsidP="009E4C2E">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325d(1)</w:t>
            </w:r>
            <w:r w:rsidR="00A73DC9" w:rsidRPr="00FE3C59">
              <w:rPr>
                <w:rFonts w:ascii="Times New Roman" w:hAnsi="Times New Roman" w:cs="Times New Roman"/>
                <w:lang w:val="en-GB"/>
              </w:rPr>
              <w:t>, point (iii),</w:t>
            </w:r>
            <w:r w:rsidR="00FD7136" w:rsidRPr="00FE3C59">
              <w:rPr>
                <w:rFonts w:ascii="Times New Roman" w:hAnsi="Times New Roman" w:cs="Times New Roman"/>
                <w:lang w:val="en-GB"/>
              </w:rPr>
              <w:t xml:space="preserve"> of Regulation (EU) No 575/2013</w:t>
            </w:r>
          </w:p>
        </w:tc>
      </w:tr>
      <w:tr w:rsidR="00E50B22" w:rsidRPr="00FE3C59" w14:paraId="4D617366" w14:textId="77777777" w:rsidTr="002475E5">
        <w:tc>
          <w:tcPr>
            <w:tcW w:w="1043" w:type="dxa"/>
          </w:tcPr>
          <w:p w14:paraId="6D2877EA"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0050</w:t>
            </w:r>
          </w:p>
        </w:tc>
        <w:tc>
          <w:tcPr>
            <w:tcW w:w="7973" w:type="dxa"/>
          </w:tcPr>
          <w:p w14:paraId="448D30B6"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ACTP CSR – Credit spread risk for securitisation included in the alternative correlation trading portfolio</w:t>
            </w:r>
            <w:r w:rsidR="00493271" w:rsidRPr="00FE3C59">
              <w:rPr>
                <w:rFonts w:ascii="Times New Roman" w:hAnsi="Times New Roman" w:cs="Times New Roman"/>
                <w:b/>
                <w:u w:val="single"/>
                <w:lang w:val="en-GB"/>
              </w:rPr>
              <w:t xml:space="preserve"> (ACTP CSR)</w:t>
            </w:r>
          </w:p>
          <w:p w14:paraId="779294C0" w14:textId="6DA06488" w:rsidR="00E50B22" w:rsidRPr="00FE3C59" w:rsidRDefault="00E50B22" w:rsidP="009E4C2E">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325d(1)</w:t>
            </w:r>
            <w:r w:rsidRPr="00FE3C59" w:rsidDel="00FD7136">
              <w:rPr>
                <w:rFonts w:ascii="Times New Roman" w:hAnsi="Times New Roman" w:cs="Times New Roman"/>
                <w:lang w:val="en-GB"/>
              </w:rPr>
              <w:t xml:space="preserve"> </w:t>
            </w:r>
            <w:r w:rsidR="00A73DC9" w:rsidRPr="00FE3C59">
              <w:rPr>
                <w:rFonts w:ascii="Times New Roman" w:hAnsi="Times New Roman" w:cs="Times New Roman"/>
                <w:lang w:val="en-GB"/>
              </w:rPr>
              <w:t>, point (iv),</w:t>
            </w:r>
            <w:r w:rsidR="00FD7136" w:rsidRPr="00FE3C59">
              <w:rPr>
                <w:rFonts w:ascii="Times New Roman" w:hAnsi="Times New Roman" w:cs="Times New Roman"/>
                <w:lang w:val="en-GB"/>
              </w:rPr>
              <w:t xml:space="preserve"> of Regulation (EU) No 575/2013</w:t>
            </w:r>
          </w:p>
        </w:tc>
      </w:tr>
      <w:tr w:rsidR="00E50B22" w:rsidRPr="00FE3C59" w14:paraId="5F72813D" w14:textId="77777777" w:rsidTr="002475E5">
        <w:tc>
          <w:tcPr>
            <w:tcW w:w="1043" w:type="dxa"/>
          </w:tcPr>
          <w:p w14:paraId="2E94EE64"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0060</w:t>
            </w:r>
          </w:p>
        </w:tc>
        <w:tc>
          <w:tcPr>
            <w:tcW w:w="7973" w:type="dxa"/>
          </w:tcPr>
          <w:p w14:paraId="228A401B"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Equity risk</w:t>
            </w:r>
            <w:r w:rsidR="00493271" w:rsidRPr="00FE3C59">
              <w:rPr>
                <w:rFonts w:ascii="Times New Roman" w:hAnsi="Times New Roman" w:cs="Times New Roman"/>
                <w:b/>
                <w:u w:val="single"/>
                <w:lang w:val="en-GB"/>
              </w:rPr>
              <w:t xml:space="preserve"> (EQU)</w:t>
            </w:r>
          </w:p>
          <w:p w14:paraId="2CCA141E" w14:textId="3D3DA81F" w:rsidR="00E50B22" w:rsidRPr="00FE3C59" w:rsidRDefault="00E50B22" w:rsidP="009E4C2E">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325d(1)</w:t>
            </w:r>
            <w:r w:rsidRPr="00FE3C59" w:rsidDel="00FD7136">
              <w:rPr>
                <w:rFonts w:ascii="Times New Roman" w:hAnsi="Times New Roman" w:cs="Times New Roman"/>
                <w:lang w:val="en-GB"/>
              </w:rPr>
              <w:t xml:space="preserve"> </w:t>
            </w:r>
            <w:r w:rsidR="00A73DC9" w:rsidRPr="00FE3C59">
              <w:rPr>
                <w:rFonts w:ascii="Times New Roman" w:hAnsi="Times New Roman" w:cs="Times New Roman"/>
                <w:lang w:val="en-GB"/>
              </w:rPr>
              <w:t>, point (v),</w:t>
            </w:r>
            <w:r w:rsidR="00FD7136" w:rsidRPr="00FE3C59">
              <w:rPr>
                <w:rFonts w:ascii="Times New Roman" w:hAnsi="Times New Roman" w:cs="Times New Roman"/>
                <w:lang w:val="en-GB"/>
              </w:rPr>
              <w:t xml:space="preserve"> of Regulation (EU) No 575/2013</w:t>
            </w:r>
          </w:p>
        </w:tc>
      </w:tr>
      <w:tr w:rsidR="00E50B22" w:rsidRPr="00FE3C59" w14:paraId="57818FA7" w14:textId="77777777" w:rsidTr="002475E5">
        <w:tc>
          <w:tcPr>
            <w:tcW w:w="1043" w:type="dxa"/>
          </w:tcPr>
          <w:p w14:paraId="46D4DFCB"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0070</w:t>
            </w:r>
          </w:p>
        </w:tc>
        <w:tc>
          <w:tcPr>
            <w:tcW w:w="7973" w:type="dxa"/>
          </w:tcPr>
          <w:p w14:paraId="6F9A5864"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Commodity risk</w:t>
            </w:r>
            <w:r w:rsidR="00493271" w:rsidRPr="00FE3C59">
              <w:rPr>
                <w:rFonts w:ascii="Times New Roman" w:hAnsi="Times New Roman" w:cs="Times New Roman"/>
                <w:b/>
                <w:u w:val="single"/>
                <w:lang w:val="en-GB"/>
              </w:rPr>
              <w:t xml:space="preserve"> (COM)</w:t>
            </w:r>
          </w:p>
          <w:p w14:paraId="0F3DF8E1" w14:textId="01678AB4" w:rsidR="00E50B22" w:rsidRPr="00FE3C59" w:rsidRDefault="00E50B22" w:rsidP="009E4C2E">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325d(1)</w:t>
            </w:r>
            <w:r w:rsidRPr="00FE3C59" w:rsidDel="00FD7136">
              <w:rPr>
                <w:rFonts w:ascii="Times New Roman" w:hAnsi="Times New Roman" w:cs="Times New Roman"/>
                <w:lang w:val="en-GB"/>
              </w:rPr>
              <w:t xml:space="preserve"> </w:t>
            </w:r>
            <w:r w:rsidR="00A73DC9" w:rsidRPr="00FE3C59">
              <w:rPr>
                <w:rFonts w:ascii="Times New Roman" w:hAnsi="Times New Roman" w:cs="Times New Roman"/>
                <w:lang w:val="en-GB"/>
              </w:rPr>
              <w:t>, point (vi),</w:t>
            </w:r>
            <w:r w:rsidR="00FD7136" w:rsidRPr="00FE3C59">
              <w:rPr>
                <w:rFonts w:ascii="Times New Roman" w:hAnsi="Times New Roman" w:cs="Times New Roman"/>
                <w:lang w:val="en-GB"/>
              </w:rPr>
              <w:t xml:space="preserve"> of Regulation (EU) No 575/2013</w:t>
            </w:r>
          </w:p>
        </w:tc>
      </w:tr>
      <w:tr w:rsidR="00E50B22" w:rsidRPr="00FE3C59" w14:paraId="238736DB" w14:textId="77777777" w:rsidTr="002475E5">
        <w:tc>
          <w:tcPr>
            <w:tcW w:w="1043" w:type="dxa"/>
          </w:tcPr>
          <w:p w14:paraId="2070D130"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0080</w:t>
            </w:r>
          </w:p>
        </w:tc>
        <w:tc>
          <w:tcPr>
            <w:tcW w:w="7973" w:type="dxa"/>
          </w:tcPr>
          <w:p w14:paraId="2315D7E9"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Foreign exchange risk</w:t>
            </w:r>
            <w:r w:rsidR="00493271" w:rsidRPr="00FE3C59">
              <w:rPr>
                <w:rFonts w:ascii="Times New Roman" w:hAnsi="Times New Roman" w:cs="Times New Roman"/>
                <w:b/>
                <w:u w:val="single"/>
                <w:lang w:val="en-GB"/>
              </w:rPr>
              <w:t xml:space="preserve"> (FX)</w:t>
            </w:r>
          </w:p>
          <w:p w14:paraId="1808C556" w14:textId="7C40BBE8" w:rsidR="00E50B22" w:rsidRPr="00FE3C59" w:rsidRDefault="00E50B22" w:rsidP="009E4C2E">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w:t>
            </w:r>
            <w:r w:rsidR="00C3721C" w:rsidRPr="00FE3C59">
              <w:rPr>
                <w:rFonts w:ascii="Times New Roman" w:hAnsi="Times New Roman" w:cs="Times New Roman"/>
                <w:lang w:val="en-GB"/>
              </w:rPr>
              <w:t xml:space="preserve"> </w:t>
            </w:r>
            <w:r w:rsidRPr="00FE3C59">
              <w:rPr>
                <w:rFonts w:ascii="Times New Roman" w:hAnsi="Times New Roman" w:cs="Times New Roman"/>
                <w:lang w:val="en-GB"/>
              </w:rPr>
              <w:t>325d(1)</w:t>
            </w:r>
            <w:r w:rsidRPr="00FE3C59" w:rsidDel="00FD7136">
              <w:rPr>
                <w:rFonts w:ascii="Times New Roman" w:hAnsi="Times New Roman" w:cs="Times New Roman"/>
                <w:lang w:val="en-GB"/>
              </w:rPr>
              <w:t xml:space="preserve"> </w:t>
            </w:r>
            <w:r w:rsidR="00A73DC9" w:rsidRPr="00FE3C59">
              <w:rPr>
                <w:rFonts w:ascii="Times New Roman" w:hAnsi="Times New Roman" w:cs="Times New Roman"/>
                <w:lang w:val="en-GB"/>
              </w:rPr>
              <w:t>, point (vii),</w:t>
            </w:r>
            <w:r w:rsidR="00FD7136" w:rsidRPr="00FE3C59">
              <w:rPr>
                <w:rFonts w:ascii="Times New Roman" w:hAnsi="Times New Roman" w:cs="Times New Roman"/>
                <w:lang w:val="en-GB"/>
              </w:rPr>
              <w:t xml:space="preserve"> of Regulation (EU) No 575/2013</w:t>
            </w:r>
          </w:p>
        </w:tc>
      </w:tr>
      <w:tr w:rsidR="00493271" w:rsidRPr="00FE3C59" w14:paraId="5090B474" w14:textId="77777777" w:rsidTr="002475E5">
        <w:tc>
          <w:tcPr>
            <w:tcW w:w="1043" w:type="dxa"/>
          </w:tcPr>
          <w:p w14:paraId="15503565" w14:textId="77777777" w:rsidR="00493271" w:rsidRPr="00FE3C59" w:rsidRDefault="00493271" w:rsidP="0049327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0090 – 0110</w:t>
            </w:r>
          </w:p>
        </w:tc>
        <w:tc>
          <w:tcPr>
            <w:tcW w:w="7973" w:type="dxa"/>
          </w:tcPr>
          <w:p w14:paraId="411D2242" w14:textId="77777777" w:rsidR="00493271" w:rsidRPr="00FE3C59" w:rsidRDefault="00493271"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Default risk</w:t>
            </w:r>
          </w:p>
          <w:p w14:paraId="15B80B28" w14:textId="796F6D00" w:rsidR="00493271" w:rsidRPr="00FE3C59" w:rsidRDefault="00F07D1F" w:rsidP="00022E55">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 xml:space="preserve">Part Three, Title IV, Chapter 1a, </w:t>
            </w:r>
            <w:r w:rsidR="00BB6C55" w:rsidRPr="00FE3C59">
              <w:rPr>
                <w:rFonts w:ascii="Times New Roman" w:hAnsi="Times New Roman" w:cs="Times New Roman"/>
                <w:lang w:val="en-GB"/>
              </w:rPr>
              <w:t xml:space="preserve">Section 5 of </w:t>
            </w:r>
            <w:r w:rsidR="00FD7136" w:rsidRPr="00FE3C59">
              <w:rPr>
                <w:rFonts w:ascii="Times New Roman" w:hAnsi="Times New Roman" w:cs="Times New Roman"/>
                <w:lang w:val="en-GB"/>
              </w:rPr>
              <w:t>Regulation (EU) No 575/2013</w:t>
            </w:r>
          </w:p>
        </w:tc>
      </w:tr>
      <w:tr w:rsidR="00E50B22" w:rsidRPr="00FE3C59" w14:paraId="1FD3524F" w14:textId="77777777" w:rsidTr="002475E5">
        <w:tc>
          <w:tcPr>
            <w:tcW w:w="1043" w:type="dxa"/>
          </w:tcPr>
          <w:p w14:paraId="5A67A573" w14:textId="77777777" w:rsidR="00E50B22" w:rsidRPr="00FE3C59" w:rsidRDefault="00E50B22"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0090</w:t>
            </w:r>
          </w:p>
        </w:tc>
        <w:tc>
          <w:tcPr>
            <w:tcW w:w="7973" w:type="dxa"/>
          </w:tcPr>
          <w:p w14:paraId="5543086A" w14:textId="40BDAC2B"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Non</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securitisations</w:t>
            </w:r>
          </w:p>
          <w:p w14:paraId="07A6A9F8" w14:textId="272ED152" w:rsidR="00E50B22" w:rsidRPr="00FE3C59" w:rsidRDefault="00F07D1F" w:rsidP="00022E55">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 xml:space="preserve">Part Three, Title IV, Chapter 1a, Section 5, </w:t>
            </w:r>
            <w:r w:rsidR="00BB6C55" w:rsidRPr="00FE3C59">
              <w:rPr>
                <w:rFonts w:ascii="Times New Roman" w:hAnsi="Times New Roman" w:cs="Times New Roman"/>
                <w:lang w:val="en-GB"/>
              </w:rPr>
              <w:t xml:space="preserve">Subsection 1 of </w:t>
            </w:r>
            <w:r w:rsidR="00FD7136" w:rsidRPr="00FE3C59">
              <w:rPr>
                <w:rFonts w:ascii="Times New Roman" w:hAnsi="Times New Roman" w:cs="Times New Roman"/>
                <w:lang w:val="en-GB"/>
              </w:rPr>
              <w:t>Regulation (EU) No 575/2013</w:t>
            </w:r>
            <w:r w:rsidR="00763C5B" w:rsidRPr="00FE3C59" w:rsidDel="00763C5B">
              <w:rPr>
                <w:rFonts w:ascii="Times New Roman" w:hAnsi="Times New Roman" w:cs="Times New Roman"/>
                <w:lang w:val="en-GB"/>
              </w:rPr>
              <w:t xml:space="preserve"> </w:t>
            </w:r>
          </w:p>
        </w:tc>
      </w:tr>
      <w:tr w:rsidR="00E50B22" w:rsidRPr="00FE3C59" w14:paraId="56C71162" w14:textId="77777777" w:rsidTr="002475E5">
        <w:tc>
          <w:tcPr>
            <w:tcW w:w="1043" w:type="dxa"/>
          </w:tcPr>
          <w:p w14:paraId="0909518E" w14:textId="77777777" w:rsidR="00E50B22" w:rsidRPr="00FE3C59" w:rsidRDefault="00414B96"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E50B22" w:rsidRPr="00FE3C59">
              <w:rPr>
                <w:rFonts w:ascii="Times New Roman" w:hAnsi="Times New Roman" w:cs="Times New Roman"/>
                <w:lang w:val="en-GB"/>
              </w:rPr>
              <w:t>100</w:t>
            </w:r>
          </w:p>
        </w:tc>
        <w:tc>
          <w:tcPr>
            <w:tcW w:w="7973" w:type="dxa"/>
          </w:tcPr>
          <w:p w14:paraId="458A788C" w14:textId="7F1F4C0E"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Securitisation not included in the alternative correlation trading portfolio</w:t>
            </w:r>
            <w:r w:rsidR="00763C5B" w:rsidRPr="00FE3C59">
              <w:rPr>
                <w:rFonts w:ascii="Times New Roman" w:hAnsi="Times New Roman" w:cs="Times New Roman"/>
                <w:b/>
                <w:u w:val="single"/>
                <w:lang w:val="en-GB"/>
              </w:rPr>
              <w:t xml:space="preserve"> (non</w:t>
            </w:r>
            <w:r w:rsidR="00485C29" w:rsidRPr="00FE3C59">
              <w:rPr>
                <w:rFonts w:ascii="Times New Roman" w:hAnsi="Times New Roman" w:cs="Times New Roman"/>
                <w:b/>
                <w:u w:val="single"/>
                <w:lang w:val="en-GB"/>
              </w:rPr>
              <w:t>–</w:t>
            </w:r>
            <w:r w:rsidR="00763C5B" w:rsidRPr="00FE3C59">
              <w:rPr>
                <w:rFonts w:ascii="Times New Roman" w:hAnsi="Times New Roman" w:cs="Times New Roman"/>
                <w:b/>
                <w:u w:val="single"/>
                <w:lang w:val="en-GB"/>
              </w:rPr>
              <w:t>ACTP)</w:t>
            </w:r>
          </w:p>
          <w:p w14:paraId="6C3F6308" w14:textId="120C4578" w:rsidR="00E50B22" w:rsidRPr="00FE3C59" w:rsidRDefault="00F07D1F" w:rsidP="00022E55">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 xml:space="preserve">Part Three, Title IV, Chapter 1a, Section 5, </w:t>
            </w:r>
            <w:r w:rsidR="00BB6C55" w:rsidRPr="00FE3C59">
              <w:rPr>
                <w:rFonts w:ascii="Times New Roman" w:hAnsi="Times New Roman" w:cs="Times New Roman"/>
                <w:lang w:val="en-GB"/>
              </w:rPr>
              <w:t xml:space="preserve">Subsection 2 of </w:t>
            </w:r>
            <w:r w:rsidR="00FD7136" w:rsidRPr="00FE3C59">
              <w:rPr>
                <w:rFonts w:ascii="Times New Roman" w:hAnsi="Times New Roman" w:cs="Times New Roman"/>
                <w:lang w:val="en-GB"/>
              </w:rPr>
              <w:t>Regulation (EU) No 575/2013</w:t>
            </w:r>
            <w:r w:rsidR="00763C5B" w:rsidRPr="00FE3C59" w:rsidDel="00763C5B">
              <w:rPr>
                <w:rFonts w:ascii="Times New Roman" w:hAnsi="Times New Roman" w:cs="Times New Roman"/>
                <w:lang w:val="en-GB"/>
              </w:rPr>
              <w:t xml:space="preserve"> </w:t>
            </w:r>
          </w:p>
        </w:tc>
      </w:tr>
      <w:tr w:rsidR="00E50B22" w:rsidRPr="00FE3C59" w14:paraId="0455A3FF" w14:textId="77777777" w:rsidTr="002475E5">
        <w:tc>
          <w:tcPr>
            <w:tcW w:w="1043" w:type="dxa"/>
          </w:tcPr>
          <w:p w14:paraId="2DF2B099" w14:textId="77777777" w:rsidR="00E50B22" w:rsidRPr="00FE3C59" w:rsidRDefault="00414B96"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E50B22" w:rsidRPr="00FE3C59">
              <w:rPr>
                <w:rFonts w:ascii="Times New Roman" w:hAnsi="Times New Roman" w:cs="Times New Roman"/>
                <w:lang w:val="en-GB"/>
              </w:rPr>
              <w:t>110</w:t>
            </w:r>
          </w:p>
        </w:tc>
        <w:tc>
          <w:tcPr>
            <w:tcW w:w="7973" w:type="dxa"/>
          </w:tcPr>
          <w:p w14:paraId="526DA8CF" w14:textId="77777777" w:rsidR="00E50B22" w:rsidRPr="00FE3C59" w:rsidRDefault="00763C5B"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S</w:t>
            </w:r>
            <w:r w:rsidR="00E50B22" w:rsidRPr="00FE3C59">
              <w:rPr>
                <w:rFonts w:ascii="Times New Roman" w:hAnsi="Times New Roman" w:cs="Times New Roman"/>
                <w:b/>
                <w:u w:val="single"/>
                <w:lang w:val="en-GB"/>
              </w:rPr>
              <w:t>ecuritisation included in the alternative correlation trading portfolio</w:t>
            </w:r>
            <w:r w:rsidRPr="00FE3C59">
              <w:rPr>
                <w:rFonts w:ascii="Times New Roman" w:hAnsi="Times New Roman" w:cs="Times New Roman"/>
                <w:b/>
                <w:u w:val="single"/>
                <w:lang w:val="en-GB"/>
              </w:rPr>
              <w:t xml:space="preserve"> (ACTP)</w:t>
            </w:r>
          </w:p>
          <w:p w14:paraId="53F1F520" w14:textId="03BABB2B" w:rsidR="00E50B22" w:rsidRPr="00FE3C59" w:rsidRDefault="00F07D1F" w:rsidP="00022E55">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 xml:space="preserve">Part Three, Title IV, Chapter 1a, Section 5, </w:t>
            </w:r>
            <w:r w:rsidR="00BB6C55" w:rsidRPr="00FE3C59">
              <w:rPr>
                <w:rFonts w:ascii="Times New Roman" w:hAnsi="Times New Roman" w:cs="Times New Roman"/>
                <w:lang w:val="en-GB"/>
              </w:rPr>
              <w:t xml:space="preserve">Subsection 3 of </w:t>
            </w:r>
            <w:r w:rsidR="00FD7136" w:rsidRPr="00FE3C59">
              <w:rPr>
                <w:rFonts w:ascii="Times New Roman" w:hAnsi="Times New Roman" w:cs="Times New Roman"/>
                <w:lang w:val="en-GB"/>
              </w:rPr>
              <w:t>Regulation (EU) No 575/2013</w:t>
            </w:r>
            <w:r w:rsidR="00763C5B" w:rsidRPr="00FE3C59">
              <w:rPr>
                <w:rFonts w:ascii="Times New Roman" w:hAnsi="Times New Roman" w:cs="Times New Roman"/>
                <w:lang w:val="en-GB"/>
              </w:rPr>
              <w:t xml:space="preserve"> </w:t>
            </w:r>
          </w:p>
        </w:tc>
      </w:tr>
      <w:tr w:rsidR="00493271" w:rsidRPr="00FE3C59" w14:paraId="77DF53AC" w14:textId="77777777" w:rsidTr="002475E5">
        <w:tc>
          <w:tcPr>
            <w:tcW w:w="1043" w:type="dxa"/>
          </w:tcPr>
          <w:p w14:paraId="6481192B" w14:textId="77777777" w:rsidR="00493271" w:rsidRPr="00FE3C59" w:rsidRDefault="00493271" w:rsidP="0049327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0120 – 0130</w:t>
            </w:r>
          </w:p>
        </w:tc>
        <w:tc>
          <w:tcPr>
            <w:tcW w:w="7973" w:type="dxa"/>
          </w:tcPr>
          <w:p w14:paraId="47AF74EA" w14:textId="77777777" w:rsidR="00493271" w:rsidRPr="00FE3C59" w:rsidRDefault="00493271"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Residual risk</w:t>
            </w:r>
          </w:p>
          <w:p w14:paraId="31251D3C" w14:textId="7CAACAAC" w:rsidR="00493271" w:rsidRPr="00FE3C59" w:rsidRDefault="00F07D1F" w:rsidP="00022E55">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 xml:space="preserve">Part Three, Title IV, Chapter 1a, </w:t>
            </w:r>
            <w:r w:rsidR="00BB6C55" w:rsidRPr="00FE3C59">
              <w:rPr>
                <w:rFonts w:ascii="Times New Roman" w:hAnsi="Times New Roman" w:cs="Times New Roman"/>
                <w:lang w:val="en-GB"/>
              </w:rPr>
              <w:t xml:space="preserve">Section 4 of </w:t>
            </w:r>
            <w:r w:rsidR="00FD7136" w:rsidRPr="00FE3C59">
              <w:rPr>
                <w:rFonts w:ascii="Times New Roman" w:hAnsi="Times New Roman" w:cs="Times New Roman"/>
                <w:lang w:val="en-GB"/>
              </w:rPr>
              <w:t>Regulation (EU) No 575/2013</w:t>
            </w:r>
          </w:p>
        </w:tc>
      </w:tr>
      <w:tr w:rsidR="00E50B22" w:rsidRPr="00FE3C59" w14:paraId="7F08A7D3" w14:textId="77777777" w:rsidTr="002475E5">
        <w:tc>
          <w:tcPr>
            <w:tcW w:w="1043" w:type="dxa"/>
          </w:tcPr>
          <w:p w14:paraId="4D99D542" w14:textId="77777777" w:rsidR="00E50B22" w:rsidRPr="00FE3C59" w:rsidRDefault="00414B96"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E50B22" w:rsidRPr="00FE3C59">
              <w:rPr>
                <w:rFonts w:ascii="Times New Roman" w:hAnsi="Times New Roman" w:cs="Times New Roman"/>
                <w:lang w:val="en-GB"/>
              </w:rPr>
              <w:t>120</w:t>
            </w:r>
          </w:p>
        </w:tc>
        <w:tc>
          <w:tcPr>
            <w:tcW w:w="7973" w:type="dxa"/>
          </w:tcPr>
          <w:p w14:paraId="219734D9"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Exotic underlyings</w:t>
            </w:r>
          </w:p>
          <w:p w14:paraId="40D32393" w14:textId="784D6138" w:rsidR="00E50B22" w:rsidRPr="00FE3C59" w:rsidRDefault="00E50B22" w:rsidP="00334BC4">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 325u(2)</w:t>
            </w:r>
            <w:r w:rsidR="00F07D1F" w:rsidRPr="00FE3C59">
              <w:rPr>
                <w:rFonts w:ascii="Times New Roman" w:hAnsi="Times New Roman" w:cs="Times New Roman"/>
                <w:lang w:val="en-GB"/>
              </w:rPr>
              <w:t>, point (a),</w:t>
            </w:r>
            <w:r w:rsidR="00FD7136" w:rsidRPr="00FE3C59">
              <w:rPr>
                <w:rFonts w:ascii="Times New Roman" w:hAnsi="Times New Roman" w:cs="Times New Roman"/>
                <w:lang w:val="en-GB"/>
              </w:rPr>
              <w:t xml:space="preserve"> of Regulation (EU) No 575/2013</w:t>
            </w:r>
            <w:r w:rsidRPr="00FE3C59">
              <w:rPr>
                <w:rFonts w:ascii="Times New Roman" w:hAnsi="Times New Roman" w:cs="Times New Roman"/>
                <w:lang w:val="en-GB"/>
              </w:rPr>
              <w:t>.</w:t>
            </w:r>
          </w:p>
        </w:tc>
      </w:tr>
      <w:tr w:rsidR="00E50B22" w:rsidRPr="00FE3C59" w14:paraId="01955BDA" w14:textId="77777777" w:rsidTr="002475E5">
        <w:tc>
          <w:tcPr>
            <w:tcW w:w="1043" w:type="dxa"/>
          </w:tcPr>
          <w:p w14:paraId="0A1B394D" w14:textId="77777777" w:rsidR="00E50B22" w:rsidRPr="00FE3C59" w:rsidRDefault="00414B96" w:rsidP="00E50B2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E50B22" w:rsidRPr="00FE3C59">
              <w:rPr>
                <w:rFonts w:ascii="Times New Roman" w:hAnsi="Times New Roman" w:cs="Times New Roman"/>
                <w:lang w:val="en-GB"/>
              </w:rPr>
              <w:t>130</w:t>
            </w:r>
          </w:p>
        </w:tc>
        <w:tc>
          <w:tcPr>
            <w:tcW w:w="7973" w:type="dxa"/>
          </w:tcPr>
          <w:p w14:paraId="5171E4F6" w14:textId="77777777" w:rsidR="00E50B22" w:rsidRPr="00FE3C59" w:rsidRDefault="00E50B22" w:rsidP="00E50B2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Other residual risks</w:t>
            </w:r>
          </w:p>
          <w:p w14:paraId="19698EBB" w14:textId="4B97988E" w:rsidR="00E50B22" w:rsidRPr="00FE3C59" w:rsidRDefault="00E50B22" w:rsidP="00334BC4">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 325u(2)</w:t>
            </w:r>
            <w:r w:rsidR="00F07D1F" w:rsidRPr="00FE3C59">
              <w:rPr>
                <w:rFonts w:ascii="Times New Roman" w:hAnsi="Times New Roman" w:cs="Times New Roman"/>
                <w:lang w:val="en-GB"/>
              </w:rPr>
              <w:t>, point (b),</w:t>
            </w:r>
            <w:r w:rsidR="00FD7136" w:rsidRPr="00FE3C59">
              <w:rPr>
                <w:rFonts w:ascii="Times New Roman" w:hAnsi="Times New Roman" w:cs="Times New Roman"/>
                <w:lang w:val="en-GB"/>
              </w:rPr>
              <w:t xml:space="preserve"> of Regulation (EU) No 575/2013</w:t>
            </w:r>
          </w:p>
        </w:tc>
      </w:tr>
    </w:tbl>
    <w:p w14:paraId="59F16B59" w14:textId="77777777" w:rsidR="001B08C0" w:rsidRPr="00FE3C59" w:rsidRDefault="001B08C0" w:rsidP="00C3721C">
      <w:pPr>
        <w:rPr>
          <w:rFonts w:ascii="Times New Roman" w:hAnsi="Times New Roman" w:cs="Times New Roman"/>
        </w:rPr>
      </w:pPr>
    </w:p>
    <w:p w14:paraId="0BB64322" w14:textId="164368E4" w:rsidR="006760B9" w:rsidRPr="00FE3C59" w:rsidRDefault="00DB6110" w:rsidP="006760B9">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6760B9" w:rsidRPr="00FE3C59">
        <w:rPr>
          <w:rFonts w:ascii="Times New Roman" w:hAnsi="Times New Roman" w:cs="Times New Roman"/>
          <w:sz w:val="24"/>
          <w:szCs w:val="24"/>
          <w:u w:val="none"/>
          <w:lang w:val="en-GB"/>
        </w:rPr>
        <w:t>.</w:t>
      </w:r>
      <w:r w:rsidR="00DC2853" w:rsidRPr="00FE3C59">
        <w:rPr>
          <w:rFonts w:ascii="Times New Roman" w:hAnsi="Times New Roman" w:cs="Times New Roman"/>
          <w:sz w:val="24"/>
          <w:szCs w:val="24"/>
          <w:u w:val="none"/>
          <w:lang w:val="en-GB"/>
        </w:rPr>
        <w:t>3</w:t>
      </w:r>
      <w:r w:rsidR="006760B9" w:rsidRPr="00FE3C59">
        <w:rPr>
          <w:rFonts w:ascii="Times New Roman" w:hAnsi="Times New Roman" w:cs="Times New Roman"/>
          <w:lang w:val="en-GB"/>
        </w:rPr>
        <w:tab/>
      </w:r>
      <w:r w:rsidR="006760B9" w:rsidRPr="00FE3C59">
        <w:rPr>
          <w:rFonts w:ascii="Times New Roman" w:hAnsi="Times New Roman" w:cs="Times New Roman"/>
          <w:sz w:val="24"/>
          <w:szCs w:val="24"/>
          <w:u w:val="none"/>
          <w:lang w:val="en-GB"/>
        </w:rPr>
        <w:t xml:space="preserve">Market Risk: Alternative Standardised Approach </w:t>
      </w:r>
      <w:r w:rsidR="00CA1AF4" w:rsidRPr="00FE3C59">
        <w:rPr>
          <w:rFonts w:ascii="Times New Roman" w:hAnsi="Times New Roman" w:cs="Times New Roman"/>
          <w:sz w:val="24"/>
          <w:szCs w:val="24"/>
          <w:u w:val="none"/>
          <w:lang w:val="en-GB"/>
        </w:rPr>
        <w:t>– Sensitivities</w:t>
      </w:r>
      <w:r w:rsidR="00485C29" w:rsidRPr="00FE3C59">
        <w:rPr>
          <w:rFonts w:ascii="Times New Roman" w:hAnsi="Times New Roman" w:cs="Times New Roman"/>
          <w:sz w:val="24"/>
          <w:szCs w:val="24"/>
          <w:u w:val="none"/>
          <w:lang w:val="en-GB"/>
        </w:rPr>
        <w:t>–</w:t>
      </w:r>
      <w:r w:rsidR="00CA1AF4" w:rsidRPr="00FE3C59">
        <w:rPr>
          <w:rFonts w:ascii="Times New Roman" w:hAnsi="Times New Roman" w:cs="Times New Roman"/>
          <w:sz w:val="24"/>
          <w:szCs w:val="24"/>
          <w:u w:val="none"/>
          <w:lang w:val="en-GB"/>
        </w:rPr>
        <w:t>based method</w:t>
      </w:r>
    </w:p>
    <w:p w14:paraId="6A3A38A1" w14:textId="331BB225" w:rsidR="006760B9" w:rsidRPr="00FE3C59" w:rsidRDefault="00DB6110" w:rsidP="006760B9">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DC2853" w:rsidRPr="00FE3C59">
        <w:rPr>
          <w:rFonts w:ascii="Times New Roman" w:hAnsi="Times New Roman" w:cs="Times New Roman"/>
          <w:sz w:val="24"/>
          <w:szCs w:val="24"/>
          <w:u w:val="none"/>
          <w:lang w:val="en-GB"/>
        </w:rPr>
        <w:t>3</w:t>
      </w:r>
      <w:r w:rsidR="006760B9" w:rsidRPr="00FE3C59">
        <w:rPr>
          <w:rFonts w:ascii="Times New Roman" w:hAnsi="Times New Roman" w:cs="Times New Roman"/>
          <w:sz w:val="24"/>
          <w:szCs w:val="24"/>
          <w:u w:val="none"/>
          <w:lang w:val="en-GB"/>
        </w:rPr>
        <w:t>.1</w:t>
      </w:r>
      <w:r w:rsidR="006760B9" w:rsidRPr="00FE3C59">
        <w:rPr>
          <w:rFonts w:ascii="Times New Roman" w:hAnsi="Times New Roman" w:cs="Times New Roman"/>
          <w:lang w:val="en-GB"/>
        </w:rPr>
        <w:tab/>
      </w:r>
      <w:r w:rsidR="006760B9" w:rsidRPr="00FE3C59">
        <w:rPr>
          <w:rFonts w:ascii="Times New Roman" w:hAnsi="Times New Roman" w:cs="Times New Roman"/>
          <w:sz w:val="24"/>
          <w:szCs w:val="24"/>
          <w:u w:val="none"/>
          <w:lang w:val="en-GB"/>
        </w:rPr>
        <w:t>General Remarks</w:t>
      </w:r>
    </w:p>
    <w:p w14:paraId="55A21FEA" w14:textId="7DCADF9C" w:rsidR="006637AB" w:rsidRPr="00FE3C59" w:rsidRDefault="3EC14266" w:rsidP="006E2ED1">
      <w:pPr>
        <w:pStyle w:val="InstructionsText2"/>
        <w:numPr>
          <w:ilvl w:val="0"/>
          <w:numId w:val="57"/>
        </w:numPr>
      </w:pPr>
      <w:r w:rsidRPr="00FE3C59">
        <w:t xml:space="preserve">This set of templates provide detailed information on the calculation of own funds requirements for Market Risk per risk class </w:t>
      </w:r>
      <w:r w:rsidR="004B7813" w:rsidRPr="00FE3C59">
        <w:t xml:space="preserve">on the basis of </w:t>
      </w:r>
      <w:r w:rsidRPr="00FE3C59">
        <w:t>the sensitivities</w:t>
      </w:r>
      <w:r w:rsidR="1C8675C3" w:rsidRPr="00FE3C59">
        <w:t>–</w:t>
      </w:r>
      <w:r w:rsidRPr="00FE3C59">
        <w:t>based method</w:t>
      </w:r>
      <w:r w:rsidR="4E393395" w:rsidRPr="00FE3C59">
        <w:t xml:space="preserve"> of the </w:t>
      </w:r>
      <w:r w:rsidRPr="00FE3C59">
        <w:t>Alternative Standardised Approach (ASA)</w:t>
      </w:r>
      <w:r w:rsidR="7409972A" w:rsidRPr="00FE3C59">
        <w:t>,</w:t>
      </w:r>
      <w:r w:rsidRPr="00FE3C59">
        <w:t xml:space="preserve"> </w:t>
      </w:r>
      <w:r w:rsidR="2780F523" w:rsidRPr="00FE3C59">
        <w:t>set out in</w:t>
      </w:r>
      <w:r w:rsidR="5201DECF" w:rsidRPr="00FE3C59">
        <w:t xml:space="preserve"> </w:t>
      </w:r>
      <w:r w:rsidR="620C4903" w:rsidRPr="00FE3C59">
        <w:t xml:space="preserve">Section 2 of </w:t>
      </w:r>
      <w:r w:rsidR="00EF18B2" w:rsidRPr="00FE3C59">
        <w:t>Part Three, Title IV, Chapter 1a,</w:t>
      </w:r>
      <w:r w:rsidR="00FD7136" w:rsidRPr="00FE3C59">
        <w:t xml:space="preserve"> of Regulation (EU) No </w:t>
      </w:r>
      <w:r w:rsidR="006637AB" w:rsidRPr="00FE3C59">
        <w:t>575/2013</w:t>
      </w:r>
      <w:r w:rsidR="00205EAE">
        <w:t>.</w:t>
      </w:r>
    </w:p>
    <w:p w14:paraId="32070FFA" w14:textId="57FE6629" w:rsidR="24A481DC" w:rsidRPr="00FE3C59" w:rsidRDefault="00A7C56C" w:rsidP="006E2ED1">
      <w:pPr>
        <w:pStyle w:val="InstructionsText2"/>
        <w:numPr>
          <w:ilvl w:val="0"/>
          <w:numId w:val="57"/>
        </w:numPr>
        <w:rPr>
          <w:rFonts w:eastAsiaTheme="minorEastAsia"/>
        </w:rPr>
      </w:pPr>
      <w:r w:rsidRPr="00FE3C59">
        <w:t xml:space="preserve">Institutions that have obtained </w:t>
      </w:r>
      <w:r w:rsidR="004B7813" w:rsidRPr="00FE3C59">
        <w:t xml:space="preserve">the </w:t>
      </w:r>
      <w:r w:rsidRPr="00FE3C59">
        <w:t xml:space="preserve">permission of their competent authority to use alternative definitions for the calculation of delta risk sensitivities </w:t>
      </w:r>
      <w:r w:rsidR="004B7813" w:rsidRPr="00FE3C59">
        <w:t xml:space="preserve">in </w:t>
      </w:r>
      <w:r w:rsidRPr="00FE3C59">
        <w:t>accord</w:t>
      </w:r>
      <w:r w:rsidR="004B7813" w:rsidRPr="00FE3C59">
        <w:t xml:space="preserve">ance with </w:t>
      </w:r>
      <w:r w:rsidRPr="00FE3C59">
        <w:t>Art</w:t>
      </w:r>
      <w:r w:rsidR="004B7813" w:rsidRPr="00FE3C59">
        <w:t>icle</w:t>
      </w:r>
      <w:r w:rsidRPr="00FE3C59">
        <w:t xml:space="preserve"> 325t(5) of Regulation (EU) No 575/2013 or vega risk sensitivities </w:t>
      </w:r>
      <w:r w:rsidR="00FC0F35" w:rsidRPr="00FE3C59">
        <w:t xml:space="preserve">in </w:t>
      </w:r>
      <w:r w:rsidRPr="00FE3C59">
        <w:t>accord</w:t>
      </w:r>
      <w:r w:rsidR="00FC0F35" w:rsidRPr="00FE3C59">
        <w:t>ance with</w:t>
      </w:r>
      <w:r w:rsidRPr="00FE3C59">
        <w:t xml:space="preserve"> Art</w:t>
      </w:r>
      <w:r w:rsidR="00FC0F35" w:rsidRPr="00FE3C59">
        <w:t>icle</w:t>
      </w:r>
      <w:r w:rsidRPr="00FE3C59">
        <w:t xml:space="preserve"> 325t(6) of Regulation (EU) No 575/2013 shall use those alternative definitions for the reporting of this set of templates.</w:t>
      </w:r>
    </w:p>
    <w:p w14:paraId="3DE96224" w14:textId="77777777" w:rsidR="00037D43" w:rsidRPr="00FE3C59" w:rsidRDefault="00037D43" w:rsidP="006E2ED1">
      <w:pPr>
        <w:pStyle w:val="InstructionsText2"/>
        <w:numPr>
          <w:ilvl w:val="0"/>
          <w:numId w:val="57"/>
        </w:numPr>
      </w:pPr>
      <w:r w:rsidRPr="00FE3C59">
        <w:t>Institutions shall report information related to all buckets and risk factors that they are exposed to, including those buckets or risk factors where the result of the calculation of the sensitivities, curvature risk positions, or the own funds requirements in the different scenarios is zero.</w:t>
      </w:r>
    </w:p>
    <w:tbl>
      <w:tblPr>
        <w:tblStyle w:val="TableGrid"/>
        <w:tblW w:w="0" w:type="auto"/>
        <w:tblInd w:w="-5" w:type="dxa"/>
        <w:tblLook w:val="04A0" w:firstRow="1" w:lastRow="0" w:firstColumn="1" w:lastColumn="0" w:noHBand="0" w:noVBand="1"/>
      </w:tblPr>
      <w:tblGrid>
        <w:gridCol w:w="9021"/>
      </w:tblGrid>
      <w:tr w:rsidR="00F75112" w:rsidRPr="00FE3C59" w14:paraId="6A585337" w14:textId="77777777" w:rsidTr="00CB5E5C">
        <w:tc>
          <w:tcPr>
            <w:tcW w:w="9021" w:type="dxa"/>
          </w:tcPr>
          <w:p w14:paraId="683052C5" w14:textId="77777777" w:rsidR="00F75112" w:rsidRPr="00FE3C59" w:rsidRDefault="00F75112" w:rsidP="008A07E0">
            <w:pPr>
              <w:pStyle w:val="body"/>
              <w:rPr>
                <w:rFonts w:ascii="Times New Roman" w:eastAsia="Times New Roman" w:hAnsi="Times New Roman" w:cs="Times New Roman"/>
                <w:b/>
                <w:bCs/>
                <w:lang w:val="en-GB" w:eastAsia="de-DE"/>
              </w:rPr>
            </w:pPr>
            <w:r w:rsidRPr="00FE3C59">
              <w:rPr>
                <w:rFonts w:ascii="Times New Roman" w:eastAsia="Times New Roman" w:hAnsi="Times New Roman" w:cs="Times New Roman"/>
                <w:b/>
                <w:bCs/>
                <w:sz w:val="24"/>
                <w:lang w:val="en-GB" w:eastAsia="de-DE"/>
              </w:rPr>
              <w:t>Explanatory text for consultation purposes</w:t>
            </w:r>
          </w:p>
          <w:p w14:paraId="3D66C403" w14:textId="05EB918E" w:rsidR="00F75112" w:rsidRPr="00FE3C59" w:rsidRDefault="00F75112" w:rsidP="00F75112">
            <w:pPr>
              <w:pStyle w:val="body"/>
              <w:rPr>
                <w:rFonts w:ascii="Times New Roman" w:eastAsia="Times New Roman" w:hAnsi="Times New Roman" w:cs="Times New Roman"/>
                <w:sz w:val="24"/>
                <w:lang w:val="en-GB" w:eastAsia="de-DE"/>
              </w:rPr>
            </w:pPr>
            <w:r w:rsidRPr="00FE3C59">
              <w:rPr>
                <w:rFonts w:ascii="Times New Roman" w:eastAsia="Times New Roman" w:hAnsi="Times New Roman" w:cs="Times New Roman"/>
                <w:sz w:val="24"/>
                <w:lang w:val="en-GB" w:eastAsia="de-DE"/>
              </w:rPr>
              <w:t xml:space="preserve">An institution is considered ‘exposed’ to a </w:t>
            </w:r>
            <w:r w:rsidR="00307600" w:rsidRPr="00FE3C59">
              <w:rPr>
                <w:rFonts w:ascii="Times New Roman" w:eastAsia="Times New Roman" w:hAnsi="Times New Roman" w:cs="Times New Roman"/>
                <w:sz w:val="24"/>
                <w:lang w:val="en-GB" w:eastAsia="de-DE"/>
              </w:rPr>
              <w:t>risk class</w:t>
            </w:r>
            <w:r w:rsidRPr="00FE3C59">
              <w:rPr>
                <w:rFonts w:ascii="Times New Roman" w:eastAsia="Times New Roman" w:hAnsi="Times New Roman" w:cs="Times New Roman"/>
                <w:sz w:val="24"/>
                <w:lang w:val="en-GB" w:eastAsia="de-DE"/>
              </w:rPr>
              <w:t xml:space="preserve"> if its portfolio includes at least one instrument or position sensitive to a risk factor of the </w:t>
            </w:r>
            <w:r w:rsidR="007F75EB" w:rsidRPr="00FE3C59">
              <w:rPr>
                <w:rFonts w:ascii="Times New Roman" w:eastAsia="Times New Roman" w:hAnsi="Times New Roman" w:cs="Times New Roman"/>
                <w:sz w:val="24"/>
                <w:lang w:val="en-GB" w:eastAsia="de-DE"/>
              </w:rPr>
              <w:t xml:space="preserve">respective risk </w:t>
            </w:r>
            <w:r w:rsidR="00307600" w:rsidRPr="00FE3C59">
              <w:rPr>
                <w:rFonts w:ascii="Times New Roman" w:eastAsia="Times New Roman" w:hAnsi="Times New Roman" w:cs="Times New Roman"/>
                <w:sz w:val="24"/>
                <w:lang w:val="en-GB" w:eastAsia="de-DE"/>
              </w:rPr>
              <w:t>class</w:t>
            </w:r>
            <w:r w:rsidR="007F75EB" w:rsidRPr="00FE3C59">
              <w:rPr>
                <w:rFonts w:ascii="Times New Roman" w:eastAsia="Times New Roman" w:hAnsi="Times New Roman" w:cs="Times New Roman"/>
                <w:sz w:val="24"/>
                <w:lang w:val="en-GB" w:eastAsia="de-DE"/>
              </w:rPr>
              <w:t>.</w:t>
            </w:r>
          </w:p>
          <w:p w14:paraId="471E2403" w14:textId="108D53B3" w:rsidR="00F75112" w:rsidRPr="00FE3C59" w:rsidRDefault="007F75EB" w:rsidP="008A07E0">
            <w:pPr>
              <w:pStyle w:val="body"/>
              <w:rPr>
                <w:rFonts w:ascii="Times New Roman" w:hAnsi="Times New Roman" w:cs="Times New Roman"/>
                <w:lang w:val="en-GB"/>
              </w:rPr>
            </w:pPr>
            <w:r w:rsidRPr="00FE3C59">
              <w:rPr>
                <w:rFonts w:ascii="Times New Roman" w:eastAsia="Times New Roman" w:hAnsi="Times New Roman" w:cs="Times New Roman"/>
                <w:sz w:val="24"/>
                <w:lang w:val="en-GB" w:eastAsia="de-DE"/>
              </w:rPr>
              <w:t xml:space="preserve">An example for the </w:t>
            </w:r>
            <w:r w:rsidR="00EE276E" w:rsidRPr="00FE3C59">
              <w:rPr>
                <w:rFonts w:ascii="Times New Roman" w:eastAsia="Times New Roman" w:hAnsi="Times New Roman" w:cs="Times New Roman"/>
                <w:sz w:val="24"/>
                <w:lang w:val="en-GB" w:eastAsia="de-DE"/>
              </w:rPr>
              <w:t xml:space="preserve">General Interest Risk Class: </w:t>
            </w:r>
            <w:r w:rsidR="00A53723" w:rsidRPr="00FE3C59">
              <w:rPr>
                <w:rFonts w:ascii="Times New Roman" w:eastAsia="Times New Roman" w:hAnsi="Times New Roman" w:cs="Times New Roman"/>
                <w:sz w:val="24"/>
                <w:lang w:val="en-GB" w:eastAsia="de-DE"/>
              </w:rPr>
              <w:t>i</w:t>
            </w:r>
            <w:r w:rsidR="00F75112" w:rsidRPr="00FE3C59">
              <w:rPr>
                <w:rFonts w:ascii="Times New Roman" w:eastAsia="Times New Roman" w:hAnsi="Times New Roman" w:cs="Times New Roman"/>
                <w:sz w:val="24"/>
                <w:lang w:val="en-GB" w:eastAsia="de-DE"/>
              </w:rPr>
              <w:t>f an institution is invested in two different EUR-denominated debt instruments perfectly hedging each other, so that, for example, the unweighted sensitivities to delta risk factors cancel each other out, the EUR would have to be reported as a currency bucket (and a zero should be put into the applicable column or columns</w:t>
            </w:r>
            <w:r w:rsidR="00B95FD0" w:rsidRPr="00FE3C59">
              <w:rPr>
                <w:rFonts w:ascii="Times New Roman" w:eastAsia="Times New Roman" w:hAnsi="Times New Roman" w:cs="Times New Roman"/>
                <w:sz w:val="24"/>
                <w:lang w:val="en-GB" w:eastAsia="de-DE"/>
              </w:rPr>
              <w:t>, ‘interesting zero’</w:t>
            </w:r>
            <w:r w:rsidR="00F75112" w:rsidRPr="00FE3C59">
              <w:rPr>
                <w:rFonts w:ascii="Times New Roman" w:eastAsia="Times New Roman" w:hAnsi="Times New Roman" w:cs="Times New Roman"/>
                <w:sz w:val="24"/>
                <w:lang w:val="en-GB" w:eastAsia="de-DE"/>
              </w:rPr>
              <w:t>). In contrast, if</w:t>
            </w:r>
            <w:r w:rsidR="007C3643" w:rsidRPr="00FE3C59">
              <w:rPr>
                <w:rFonts w:ascii="Times New Roman" w:eastAsia="Times New Roman" w:hAnsi="Times New Roman" w:cs="Times New Roman"/>
                <w:sz w:val="24"/>
                <w:lang w:val="en-GB" w:eastAsia="de-DE"/>
              </w:rPr>
              <w:t xml:space="preserve"> for example</w:t>
            </w:r>
            <w:r w:rsidR="00F75112" w:rsidRPr="00FE3C59">
              <w:rPr>
                <w:rFonts w:ascii="Times New Roman" w:eastAsia="Times New Roman" w:hAnsi="Times New Roman" w:cs="Times New Roman"/>
                <w:sz w:val="24"/>
                <w:lang w:val="en-GB" w:eastAsia="de-DE"/>
              </w:rPr>
              <w:t xml:space="preserve"> the institution does not possess any CAD-denominated debt instrument, the CAD bucket does not have to be included in the report </w:t>
            </w:r>
            <w:r w:rsidR="00B95FD0" w:rsidRPr="00FE3C59">
              <w:rPr>
                <w:rFonts w:ascii="Times New Roman" w:eastAsia="Times New Roman" w:hAnsi="Times New Roman" w:cs="Times New Roman"/>
                <w:sz w:val="24"/>
                <w:lang w:val="en-GB" w:eastAsia="de-DE"/>
              </w:rPr>
              <w:t>(‘non-interesting zero’)</w:t>
            </w:r>
            <w:r w:rsidR="00F75112" w:rsidRPr="00FE3C59">
              <w:rPr>
                <w:rFonts w:ascii="Times New Roman" w:eastAsia="Times New Roman" w:hAnsi="Times New Roman" w:cs="Times New Roman"/>
                <w:sz w:val="24"/>
                <w:lang w:val="en-GB" w:eastAsia="de-DE"/>
              </w:rPr>
              <w:t>.</w:t>
            </w:r>
          </w:p>
        </w:tc>
      </w:tr>
    </w:tbl>
    <w:p w14:paraId="68FAED68" w14:textId="278BEBFF" w:rsidR="3BDF6780" w:rsidRPr="00FE3C59" w:rsidRDefault="3BDF6780" w:rsidP="3D968A84">
      <w:pPr>
        <w:pStyle w:val="InstructionsText2"/>
        <w:ind w:left="0" w:firstLine="0"/>
      </w:pPr>
    </w:p>
    <w:p w14:paraId="0BE85A7D" w14:textId="4D71CD7E" w:rsidR="00D43916" w:rsidRPr="00FE3C59" w:rsidRDefault="00DB6110" w:rsidP="00CA1AF4">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lastRenderedPageBreak/>
        <w:t>2</w:t>
      </w:r>
      <w:r w:rsidR="00CA1AF4" w:rsidRPr="00FE3C59">
        <w:rPr>
          <w:rFonts w:ascii="Times New Roman" w:hAnsi="Times New Roman" w:cs="Times New Roman"/>
          <w:sz w:val="24"/>
          <w:szCs w:val="24"/>
          <w:u w:val="none"/>
          <w:lang w:val="en-GB"/>
        </w:rPr>
        <w:t>.</w:t>
      </w:r>
      <w:r w:rsidR="00DC2853" w:rsidRPr="00FE3C59">
        <w:rPr>
          <w:rFonts w:ascii="Times New Roman" w:hAnsi="Times New Roman" w:cs="Times New Roman"/>
          <w:sz w:val="24"/>
          <w:szCs w:val="24"/>
          <w:u w:val="none"/>
          <w:lang w:val="en-GB"/>
        </w:rPr>
        <w:t>3</w:t>
      </w:r>
      <w:r w:rsidR="00D34F1B" w:rsidRPr="00FE3C59">
        <w:rPr>
          <w:rFonts w:ascii="Times New Roman" w:hAnsi="Times New Roman" w:cs="Times New Roman"/>
          <w:sz w:val="24"/>
          <w:szCs w:val="24"/>
          <w:u w:val="none"/>
          <w:lang w:val="en-GB"/>
        </w:rPr>
        <w:t>.2</w:t>
      </w:r>
      <w:r w:rsidR="00CA1AF4" w:rsidRPr="00FE3C59">
        <w:rPr>
          <w:rFonts w:ascii="Times New Roman" w:hAnsi="Times New Roman" w:cs="Times New Roman"/>
          <w:lang w:val="en-GB"/>
        </w:rPr>
        <w:tab/>
      </w:r>
      <w:r w:rsidR="00D43916" w:rsidRPr="00FE3C59">
        <w:rPr>
          <w:rFonts w:ascii="Times New Roman" w:hAnsi="Times New Roman" w:cs="Times New Roman"/>
          <w:sz w:val="24"/>
          <w:szCs w:val="24"/>
          <w:u w:val="none"/>
          <w:lang w:val="en-GB"/>
        </w:rPr>
        <w:t xml:space="preserve">C 92.01: </w:t>
      </w:r>
      <w:r w:rsidR="00CA1AF4" w:rsidRPr="00FE3C59">
        <w:rPr>
          <w:rFonts w:ascii="Times New Roman" w:hAnsi="Times New Roman" w:cs="Times New Roman"/>
          <w:sz w:val="24"/>
          <w:szCs w:val="24"/>
          <w:u w:val="none"/>
          <w:lang w:val="en-GB"/>
        </w:rPr>
        <w:t>G</w:t>
      </w:r>
      <w:r w:rsidR="00D43916" w:rsidRPr="00FE3C59">
        <w:rPr>
          <w:rFonts w:ascii="Times New Roman" w:hAnsi="Times New Roman" w:cs="Times New Roman"/>
          <w:sz w:val="24"/>
          <w:szCs w:val="24"/>
          <w:u w:val="none"/>
          <w:lang w:val="en-GB"/>
        </w:rPr>
        <w:t>eneral interest rate risk (</w:t>
      </w:r>
      <w:r w:rsidR="00CA1AF4" w:rsidRPr="00FE3C59">
        <w:rPr>
          <w:rFonts w:ascii="Times New Roman" w:hAnsi="Times New Roman" w:cs="Times New Roman"/>
          <w:sz w:val="24"/>
          <w:szCs w:val="24"/>
          <w:u w:val="none"/>
          <w:lang w:val="en-GB"/>
        </w:rPr>
        <w:t>GIRR</w:t>
      </w:r>
      <w:r w:rsidR="00D43916" w:rsidRPr="00FE3C59">
        <w:rPr>
          <w:rFonts w:ascii="Times New Roman" w:hAnsi="Times New Roman" w:cs="Times New Roman"/>
          <w:sz w:val="24"/>
          <w:szCs w:val="24"/>
          <w:u w:val="none"/>
          <w:lang w:val="en-GB"/>
        </w:rPr>
        <w:t>) (MKR SBM GIRR</w:t>
      </w:r>
      <w:r w:rsidR="008770DE" w:rsidRPr="00FE3C59">
        <w:rPr>
          <w:rFonts w:ascii="Times New Roman" w:hAnsi="Times New Roman" w:cs="Times New Roman"/>
          <w:sz w:val="24"/>
          <w:szCs w:val="24"/>
          <w:u w:val="none"/>
          <w:lang w:val="en-GB"/>
        </w:rPr>
        <w:t>)</w:t>
      </w:r>
    </w:p>
    <w:p w14:paraId="1461241C" w14:textId="21E53CC8" w:rsidR="00C850E7" w:rsidRPr="00FE3C59" w:rsidRDefault="00C850E7" w:rsidP="00C850E7">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DC285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.2.1</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General remarks</w:t>
      </w:r>
    </w:p>
    <w:p w14:paraId="4F06F49F" w14:textId="7E08B250" w:rsidR="2164077E" w:rsidRPr="00FE3C59" w:rsidRDefault="3D743111" w:rsidP="006E2ED1">
      <w:pPr>
        <w:pStyle w:val="InstructionsText2"/>
        <w:numPr>
          <w:ilvl w:val="0"/>
          <w:numId w:val="57"/>
        </w:numPr>
        <w:rPr>
          <w:rFonts w:eastAsiaTheme="minorEastAsia"/>
        </w:rPr>
      </w:pPr>
      <w:r w:rsidRPr="00FE3C59">
        <w:t xml:space="preserve">This template provides detailed information on the calculation of own funds requirements </w:t>
      </w:r>
      <w:r w:rsidR="4B24861B" w:rsidRPr="00FE3C59">
        <w:t xml:space="preserve">for </w:t>
      </w:r>
      <w:r w:rsidR="002D2157" w:rsidRPr="00FE3C59">
        <w:t>g</w:t>
      </w:r>
      <w:r w:rsidRPr="00FE3C59">
        <w:t>eneral interest rate risk (GIRR)</w:t>
      </w:r>
      <w:r w:rsidR="002D2157" w:rsidRPr="00FE3C59">
        <w:t xml:space="preserve"> in accordance with the </w:t>
      </w:r>
      <w:r w:rsidR="00642D2A" w:rsidRPr="00FE3C59">
        <w:t>sensitivities-based method</w:t>
      </w:r>
      <w:r w:rsidR="005B669F" w:rsidRPr="00FE3C59">
        <w:t>.</w:t>
      </w:r>
    </w:p>
    <w:p w14:paraId="7A08F8FB" w14:textId="378E8F2E" w:rsidR="00C850E7" w:rsidRPr="00FE3C59" w:rsidRDefault="00C850E7" w:rsidP="00C850E7">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DC285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.2.2</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Instructions concerning specific positions</w:t>
      </w:r>
    </w:p>
    <w:tbl>
      <w:tblPr>
        <w:tblStyle w:val="TableGrid"/>
        <w:tblW w:w="9016" w:type="dxa"/>
        <w:tblLook w:val="04A0" w:firstRow="1" w:lastRow="0" w:firstColumn="1" w:lastColumn="0" w:noHBand="0" w:noVBand="1"/>
      </w:tblPr>
      <w:tblGrid>
        <w:gridCol w:w="1845"/>
        <w:gridCol w:w="7171"/>
      </w:tblGrid>
      <w:tr w:rsidR="00C850E7" w:rsidRPr="00FE3C59" w14:paraId="61C276DB" w14:textId="77777777" w:rsidTr="65EC9DBC">
        <w:trPr>
          <w:trHeight w:val="300"/>
        </w:trPr>
        <w:tc>
          <w:tcPr>
            <w:tcW w:w="1845" w:type="dxa"/>
            <w:shd w:val="clear" w:color="auto" w:fill="BFBFBF" w:themeFill="background1" w:themeFillShade="BF"/>
          </w:tcPr>
          <w:p w14:paraId="3A880714" w14:textId="77777777" w:rsidR="00C850E7" w:rsidRPr="00FE3C59" w:rsidRDefault="00C850E7"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171" w:type="dxa"/>
            <w:shd w:val="clear" w:color="auto" w:fill="BFBFBF" w:themeFill="background1" w:themeFillShade="BF"/>
          </w:tcPr>
          <w:p w14:paraId="0F844E74" w14:textId="77777777" w:rsidR="00C850E7" w:rsidRPr="00FE3C59" w:rsidRDefault="00C850E7"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604F69" w:rsidRPr="00FE3C59" w14:paraId="63514930" w14:textId="77777777" w:rsidTr="65EC9DBC">
        <w:trPr>
          <w:trHeight w:val="300"/>
        </w:trPr>
        <w:tc>
          <w:tcPr>
            <w:tcW w:w="1845" w:type="dxa"/>
          </w:tcPr>
          <w:p w14:paraId="78AE0FE2" w14:textId="6F6A302C"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171" w:type="dxa"/>
          </w:tcPr>
          <w:p w14:paraId="0B85AA09" w14:textId="39F0E86A" w:rsidR="00604F69" w:rsidRPr="00FE3C59" w:rsidRDefault="00604F69" w:rsidP="494D815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w:t>
            </w:r>
          </w:p>
          <w:p w14:paraId="56EB53E8" w14:textId="5CE886C7" w:rsidR="00604F69" w:rsidRPr="00FE3C59" w:rsidRDefault="5D84FDC8"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w:t>
            </w:r>
            <w:r w:rsidR="556F3CC9" w:rsidRPr="00FE3C59">
              <w:rPr>
                <w:rFonts w:ascii="Times New Roman" w:hAnsi="Times New Roman" w:cs="Times New Roman"/>
                <w:lang w:val="en-GB"/>
              </w:rPr>
              <w:t xml:space="preserve"> </w:t>
            </w:r>
            <w:r w:rsidR="4D507A45" w:rsidRPr="00FE3C59">
              <w:rPr>
                <w:rFonts w:ascii="Times New Roman" w:hAnsi="Times New Roman" w:cs="Times New Roman"/>
                <w:lang w:val="en-GB"/>
              </w:rPr>
              <w:t>325l(1)</w:t>
            </w:r>
            <w:r w:rsidR="2CFCBFC5" w:rsidRPr="00FE3C59" w:rsidDel="2AA3D96B">
              <w:rPr>
                <w:rFonts w:ascii="Times New Roman" w:hAnsi="Times New Roman" w:cs="Times New Roman"/>
                <w:lang w:val="en-GB"/>
              </w:rPr>
              <w:t xml:space="preserve"> </w:t>
            </w:r>
            <w:r w:rsidR="00FD7136" w:rsidRPr="00FE3C59">
              <w:rPr>
                <w:rFonts w:ascii="Times New Roman" w:hAnsi="Times New Roman" w:cs="Times New Roman"/>
                <w:lang w:val="en-GB"/>
              </w:rPr>
              <w:t>of Regulation (EU) No 575/2013</w:t>
            </w:r>
            <w:r w:rsidR="00622011" w:rsidRPr="00FE3C59">
              <w:rPr>
                <w:rFonts w:ascii="Times New Roman" w:hAnsi="Times New Roman" w:cs="Times New Roman"/>
                <w:lang w:val="en-GB"/>
              </w:rPr>
              <w:t>.</w:t>
            </w:r>
          </w:p>
          <w:p w14:paraId="6DF556DA" w14:textId="0844C5C4" w:rsidR="00604F69" w:rsidRPr="00FE3C59" w:rsidRDefault="00465B03" w:rsidP="5000F676">
            <w:pPr>
              <w:pStyle w:val="BodyText"/>
              <w:spacing w:before="120" w:after="120"/>
              <w:rPr>
                <w:rFonts w:ascii="Times New Roman" w:hAnsi="Times New Roman" w:cs="Times New Roman"/>
                <w:lang w:val="en-GB"/>
              </w:rPr>
            </w:pPr>
            <w:r w:rsidRPr="00FE3C59">
              <w:rPr>
                <w:rFonts w:ascii="Times New Roman" w:hAnsi="Times New Roman" w:cs="Times New Roman"/>
                <w:lang w:val="en-GB"/>
              </w:rPr>
              <w:t>In accordance with Article 325l of Regulation (EU)</w:t>
            </w:r>
            <w:r w:rsidR="009D3E20">
              <w:rPr>
                <w:rFonts w:ascii="Times New Roman" w:hAnsi="Times New Roman" w:cs="Times New Roman"/>
                <w:lang w:val="en-GB"/>
              </w:rPr>
              <w:t xml:space="preserve"> No </w:t>
            </w:r>
            <w:r w:rsidR="00C66CF1">
              <w:rPr>
                <w:rFonts w:ascii="Times New Roman" w:hAnsi="Times New Roman" w:cs="Times New Roman"/>
                <w:lang w:val="en-GB"/>
              </w:rPr>
              <w:t>575/2013</w:t>
            </w:r>
            <w:r w:rsidRPr="00FE3C59">
              <w:rPr>
                <w:rFonts w:ascii="Times New Roman" w:hAnsi="Times New Roman" w:cs="Times New Roman"/>
                <w:lang w:val="en-GB"/>
              </w:rPr>
              <w:t xml:space="preserve">, </w:t>
            </w:r>
            <w:r w:rsidR="250462C3" w:rsidRPr="00FE3C59">
              <w:rPr>
                <w:rFonts w:ascii="Times New Roman" w:hAnsi="Times New Roman" w:cs="Times New Roman"/>
                <w:lang w:val="en-GB"/>
              </w:rPr>
              <w:t>there shall be one bucket per currency, each containing different types of risk factor</w:t>
            </w:r>
            <w:r w:rsidR="00EF18B2" w:rsidRPr="00FE3C59">
              <w:rPr>
                <w:rFonts w:ascii="Times New Roman" w:hAnsi="Times New Roman" w:cs="Times New Roman"/>
                <w:lang w:val="en-GB"/>
              </w:rPr>
              <w:t>s</w:t>
            </w:r>
            <w:r w:rsidR="00802998" w:rsidRPr="00FE3C59">
              <w:rPr>
                <w:rFonts w:ascii="Times New Roman" w:hAnsi="Times New Roman" w:cs="Times New Roman"/>
                <w:lang w:val="en-GB"/>
              </w:rPr>
              <w:t xml:space="preserve"> for general interest rate risk</w:t>
            </w:r>
            <w:r w:rsidR="250462C3" w:rsidRPr="00FE3C59">
              <w:rPr>
                <w:rFonts w:ascii="Times New Roman" w:hAnsi="Times New Roman" w:cs="Times New Roman"/>
                <w:lang w:val="en-GB"/>
              </w:rPr>
              <w:t>.</w:t>
            </w:r>
          </w:p>
          <w:p w14:paraId="376BFFC3" w14:textId="6999197E" w:rsidR="00336085" w:rsidRPr="00FE3C59" w:rsidRDefault="5000F676" w:rsidP="5000F676">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Every row in this column shall refer to the specific currency of a single bucket. Therefore, the number of rows to be reported shall match the number of currencies an </w:t>
            </w:r>
            <w:r w:rsidR="00622011" w:rsidRPr="00FE3C59">
              <w:rPr>
                <w:rFonts w:ascii="Times New Roman" w:hAnsi="Times New Roman" w:cs="Times New Roman"/>
                <w:lang w:val="en-GB"/>
              </w:rPr>
              <w:t>i</w:t>
            </w:r>
            <w:r w:rsidRPr="00FE3C59">
              <w:rPr>
                <w:rFonts w:ascii="Times New Roman" w:hAnsi="Times New Roman" w:cs="Times New Roman"/>
                <w:lang w:val="en-GB"/>
              </w:rPr>
              <w:t>nstitution is exposed to for positions subject to general interest rate risk factors.</w:t>
            </w:r>
          </w:p>
          <w:p w14:paraId="26672F89" w14:textId="3C878E54" w:rsidR="00EF18B2" w:rsidRPr="00FE3C59" w:rsidRDefault="00EF18B2" w:rsidP="5000F676">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w:t>
            </w:r>
            <w:r w:rsidR="000A7752" w:rsidRPr="00FE3C59">
              <w:rPr>
                <w:rFonts w:ascii="Times New Roman" w:hAnsi="Times New Roman" w:cs="Times New Roman"/>
                <w:lang w:val="en-GB"/>
              </w:rPr>
              <w:t>three-digit ISO code of the currency shall be reported.</w:t>
            </w:r>
          </w:p>
          <w:p w14:paraId="48A454AD" w14:textId="02E4BCB5" w:rsidR="00604F69" w:rsidRPr="00FE3C59" w:rsidRDefault="009C7103" w:rsidP="5000F676">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This is a row identifier and shall be unique fo</w:t>
            </w:r>
            <w:r w:rsidR="00AF7C81" w:rsidRPr="00FE3C59">
              <w:rPr>
                <w:rFonts w:ascii="Times New Roman" w:hAnsi="Times New Roman" w:cs="Times New Roman"/>
                <w:lang w:val="en-GB"/>
              </w:rPr>
              <w:t>r each row in the template.</w:t>
            </w:r>
          </w:p>
        </w:tc>
      </w:tr>
      <w:tr w:rsidR="00604F69" w:rsidRPr="00FE3C59" w14:paraId="03F6D085" w14:textId="77777777" w:rsidTr="65EC9DBC">
        <w:trPr>
          <w:trHeight w:val="300"/>
        </w:trPr>
        <w:tc>
          <w:tcPr>
            <w:tcW w:w="1845" w:type="dxa"/>
          </w:tcPr>
          <w:p w14:paraId="5309E994" w14:textId="67F77F57" w:rsidR="00604F69" w:rsidRPr="00FE3C59" w:rsidRDefault="6F959A3C"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0020 </w:t>
            </w:r>
            <w:r w:rsidR="001B60D7" w:rsidRPr="00FE3C59">
              <w:rPr>
                <w:rFonts w:ascii="Times New Roman" w:hAnsi="Times New Roman" w:cs="Times New Roman"/>
                <w:lang w:val="en-GB"/>
              </w:rPr>
              <w:t>–</w:t>
            </w:r>
            <w:r w:rsidRPr="00FE3C59">
              <w:rPr>
                <w:rFonts w:ascii="Times New Roman" w:hAnsi="Times New Roman" w:cs="Times New Roman"/>
                <w:lang w:val="en-GB"/>
              </w:rPr>
              <w:t xml:space="preserve"> </w:t>
            </w:r>
            <w:r w:rsidR="2074FF50" w:rsidRPr="00FE3C59">
              <w:rPr>
                <w:rFonts w:ascii="Times New Roman" w:hAnsi="Times New Roman" w:cs="Times New Roman"/>
                <w:lang w:val="en-GB"/>
              </w:rPr>
              <w:t>0390</w:t>
            </w:r>
          </w:p>
        </w:tc>
        <w:tc>
          <w:tcPr>
            <w:tcW w:w="7171" w:type="dxa"/>
          </w:tcPr>
          <w:p w14:paraId="5FC04A8A" w14:textId="4F3C9942" w:rsidR="00604F69" w:rsidRPr="00FE3C59" w:rsidRDefault="00604F69" w:rsidP="758C6A7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Unweighted sensitivities</w:t>
            </w:r>
          </w:p>
          <w:p w14:paraId="3E52A7A9" w14:textId="30302040" w:rsidR="00604F69" w:rsidRPr="00FE3C59" w:rsidRDefault="00184EBB" w:rsidP="1BD18A93">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 xml:space="preserve">The </w:t>
            </w:r>
            <w:r w:rsidR="00465B03" w:rsidRPr="00FE3C59">
              <w:rPr>
                <w:rFonts w:ascii="Times New Roman" w:hAnsi="Times New Roman" w:cs="Times New Roman"/>
                <w:lang w:val="en-GB"/>
              </w:rPr>
              <w:t xml:space="preserve">net </w:t>
            </w:r>
            <w:r w:rsidR="54E5338B" w:rsidRPr="00FE3C59">
              <w:rPr>
                <w:rFonts w:ascii="Times New Roman" w:hAnsi="Times New Roman" w:cs="Times New Roman"/>
                <w:lang w:val="en-GB"/>
              </w:rPr>
              <w:t>sensitivities</w:t>
            </w:r>
            <w:r w:rsidR="00465B03" w:rsidRPr="00FE3C59">
              <w:rPr>
                <w:rFonts w:ascii="Times New Roman" w:hAnsi="Times New Roman" w:cs="Times New Roman"/>
                <w:lang w:val="en-GB"/>
              </w:rPr>
              <w:t xml:space="preserve"> per risk factor</w:t>
            </w:r>
            <w:r w:rsidR="009C7103" w:rsidRPr="00FE3C59">
              <w:rPr>
                <w:rFonts w:ascii="Times New Roman" w:hAnsi="Times New Roman" w:cs="Times New Roman"/>
                <w:lang w:val="en-GB"/>
              </w:rPr>
              <w:t>,</w:t>
            </w:r>
            <w:r w:rsidRPr="00FE3C59">
              <w:rPr>
                <w:rFonts w:ascii="Times New Roman" w:hAnsi="Times New Roman" w:cs="Times New Roman"/>
                <w:lang w:val="en-GB"/>
              </w:rPr>
              <w:t xml:space="preserve"> calculated in accordance with Articles 325l</w:t>
            </w:r>
            <w:r w:rsidR="00D71728" w:rsidRPr="00FE3C59">
              <w:rPr>
                <w:rFonts w:ascii="Times New Roman" w:hAnsi="Times New Roman" w:cs="Times New Roman"/>
                <w:lang w:val="en-GB"/>
              </w:rPr>
              <w:t xml:space="preserve">, </w:t>
            </w:r>
            <w:r w:rsidRPr="00FE3C59">
              <w:rPr>
                <w:rFonts w:ascii="Times New Roman" w:hAnsi="Times New Roman" w:cs="Times New Roman"/>
                <w:lang w:val="en-GB"/>
              </w:rPr>
              <w:t xml:space="preserve">325r </w:t>
            </w:r>
            <w:r w:rsidR="00D71728" w:rsidRPr="00FE3C59">
              <w:rPr>
                <w:rFonts w:ascii="Times New Roman" w:hAnsi="Times New Roman" w:cs="Times New Roman"/>
                <w:lang w:val="en-GB"/>
              </w:rPr>
              <w:t xml:space="preserve">and 325s </w:t>
            </w:r>
            <w:r w:rsidRPr="00FE3C59">
              <w:rPr>
                <w:rFonts w:ascii="Times New Roman" w:hAnsi="Times New Roman" w:cs="Times New Roman"/>
                <w:lang w:val="en-GB"/>
              </w:rPr>
              <w:t>of Regulation (EU) No 575/2013</w:t>
            </w:r>
            <w:r w:rsidR="00414A36" w:rsidRPr="00FE3C59">
              <w:rPr>
                <w:rFonts w:ascii="Times New Roman" w:hAnsi="Times New Roman" w:cs="Times New Roman"/>
                <w:lang w:val="en-GB"/>
              </w:rPr>
              <w:t>,</w:t>
            </w:r>
            <w:r w:rsidR="00465B03" w:rsidRPr="00FE3C59">
              <w:rPr>
                <w:rFonts w:ascii="Times New Roman" w:hAnsi="Times New Roman" w:cs="Times New Roman"/>
                <w:lang w:val="en-GB"/>
              </w:rPr>
              <w:t xml:space="preserve"> </w:t>
            </w:r>
            <w:r w:rsidR="54E5338B" w:rsidRPr="00FE3C59">
              <w:rPr>
                <w:rFonts w:ascii="Times New Roman" w:hAnsi="Times New Roman" w:cs="Times New Roman"/>
                <w:lang w:val="en-GB"/>
              </w:rPr>
              <w:t xml:space="preserve">before the application of the corresponding risk weights set out in </w:t>
            </w:r>
            <w:r w:rsidR="00EF18B2" w:rsidRPr="00FE3C59">
              <w:rPr>
                <w:rFonts w:ascii="Times New Roman" w:hAnsi="Times New Roman" w:cs="Times New Roman"/>
                <w:lang w:val="en-GB"/>
              </w:rPr>
              <w:t xml:space="preserve">Part Three, Title IV, </w:t>
            </w:r>
            <w:r w:rsidR="27198197" w:rsidRPr="00FE3C59">
              <w:rPr>
                <w:rFonts w:ascii="Times New Roman" w:hAnsi="Times New Roman" w:cs="Times New Roman"/>
                <w:lang w:val="en-GB"/>
              </w:rPr>
              <w:t>Chapter 1a</w:t>
            </w:r>
            <w:r w:rsidR="009C7103" w:rsidRPr="00FE3C59">
              <w:rPr>
                <w:rFonts w:ascii="Times New Roman" w:hAnsi="Times New Roman" w:cs="Times New Roman"/>
                <w:lang w:val="en-GB"/>
              </w:rPr>
              <w:t>, Section 6</w:t>
            </w:r>
            <w:r w:rsidR="00FD7136" w:rsidRPr="00FE3C59">
              <w:rPr>
                <w:rFonts w:ascii="Times New Roman" w:hAnsi="Times New Roman" w:cs="Times New Roman"/>
                <w:lang w:val="en-GB"/>
              </w:rPr>
              <w:t xml:space="preserve"> of </w:t>
            </w:r>
            <w:r w:rsidR="00E273D8" w:rsidRPr="00FE3C59">
              <w:rPr>
                <w:rFonts w:ascii="Times New Roman" w:hAnsi="Times New Roman" w:cs="Times New Roman"/>
                <w:lang w:val="en-GB"/>
              </w:rPr>
              <w:t>that</w:t>
            </w:r>
            <w:r w:rsidR="00FD7136" w:rsidRPr="00FE3C59">
              <w:rPr>
                <w:rFonts w:ascii="Times New Roman" w:hAnsi="Times New Roman" w:cs="Times New Roman"/>
                <w:lang w:val="en-GB"/>
              </w:rPr>
              <w:t xml:space="preserve"> Regulation</w:t>
            </w:r>
            <w:r w:rsidR="00B0328B" w:rsidRPr="00FE3C59">
              <w:rPr>
                <w:rFonts w:ascii="Times New Roman" w:hAnsi="Times New Roman" w:cs="Times New Roman"/>
                <w:lang w:val="en-GB"/>
              </w:rPr>
              <w:t>,</w:t>
            </w:r>
            <w:r w:rsidR="00465B03" w:rsidRPr="00FE3C59">
              <w:rPr>
                <w:rFonts w:ascii="Times New Roman" w:hAnsi="Times New Roman" w:cs="Times New Roman"/>
                <w:lang w:val="en-GB"/>
              </w:rPr>
              <w:t xml:space="preserve"> shall be aggregated by bucket separately for delta</w:t>
            </w:r>
            <w:r w:rsidR="6AB41457" w:rsidRPr="00FE3C59">
              <w:rPr>
                <w:rFonts w:ascii="Times New Roman" w:hAnsi="Times New Roman" w:cs="Times New Roman"/>
                <w:lang w:val="en-GB"/>
              </w:rPr>
              <w:t xml:space="preserve"> and</w:t>
            </w:r>
            <w:r w:rsidR="00465B03" w:rsidRPr="00FE3C59">
              <w:rPr>
                <w:rFonts w:ascii="Times New Roman" w:hAnsi="Times New Roman" w:cs="Times New Roman"/>
                <w:lang w:val="en-GB"/>
              </w:rPr>
              <w:t xml:space="preserve"> vega and risk and reported in </w:t>
            </w:r>
            <w:r w:rsidR="00B0328B" w:rsidRPr="00FE3C59">
              <w:rPr>
                <w:rFonts w:ascii="Times New Roman" w:hAnsi="Times New Roman" w:cs="Times New Roman"/>
                <w:lang w:val="en-GB"/>
              </w:rPr>
              <w:t xml:space="preserve">the </w:t>
            </w:r>
            <w:r w:rsidR="00465B03" w:rsidRPr="00FE3C59">
              <w:rPr>
                <w:rFonts w:ascii="Times New Roman" w:hAnsi="Times New Roman" w:cs="Times New Roman"/>
                <w:lang w:val="en-GB"/>
              </w:rPr>
              <w:t>applicable columns</w:t>
            </w:r>
            <w:r w:rsidR="00B0328B" w:rsidRPr="00FE3C59">
              <w:rPr>
                <w:rFonts w:ascii="Times New Roman" w:hAnsi="Times New Roman" w:cs="Times New Roman"/>
                <w:lang w:val="en-GB"/>
              </w:rPr>
              <w:t>.</w:t>
            </w:r>
          </w:p>
        </w:tc>
      </w:tr>
      <w:tr w:rsidR="00604F69" w:rsidRPr="00FE3C59" w14:paraId="638EB6BE" w14:textId="77777777" w:rsidTr="65EC9DBC">
        <w:trPr>
          <w:trHeight w:val="300"/>
        </w:trPr>
        <w:tc>
          <w:tcPr>
            <w:tcW w:w="1845" w:type="dxa"/>
          </w:tcPr>
          <w:p w14:paraId="1A058B0F" w14:textId="674A09B4" w:rsidR="00604F69" w:rsidRPr="00FE3C59" w:rsidRDefault="2074FF50"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0020 </w:t>
            </w:r>
            <w:r w:rsidR="001B60D7" w:rsidRPr="00FE3C59">
              <w:rPr>
                <w:rFonts w:ascii="Times New Roman" w:hAnsi="Times New Roman" w:cs="Times New Roman"/>
                <w:lang w:val="en-GB"/>
              </w:rPr>
              <w:t>–</w:t>
            </w:r>
            <w:r w:rsidRPr="00FE3C59">
              <w:rPr>
                <w:rFonts w:ascii="Times New Roman" w:hAnsi="Times New Roman" w:cs="Times New Roman"/>
                <w:lang w:val="en-GB"/>
              </w:rPr>
              <w:t xml:space="preserve"> </w:t>
            </w:r>
            <w:r w:rsidR="76C5483D" w:rsidRPr="00FE3C59">
              <w:rPr>
                <w:rFonts w:ascii="Times New Roman" w:hAnsi="Times New Roman" w:cs="Times New Roman"/>
                <w:lang w:val="en-GB"/>
              </w:rPr>
              <w:t>0140</w:t>
            </w:r>
          </w:p>
        </w:tc>
        <w:tc>
          <w:tcPr>
            <w:tcW w:w="7171" w:type="dxa"/>
          </w:tcPr>
          <w:p w14:paraId="6CDB01D9" w14:textId="15559084" w:rsidR="00604F69" w:rsidRPr="00FE3C59" w:rsidRDefault="00604F69" w:rsidP="758C6A7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 factors</w:t>
            </w:r>
          </w:p>
          <w:p w14:paraId="07786EA1" w14:textId="4B3A020F" w:rsidR="00604F69" w:rsidRPr="00FE3C59" w:rsidRDefault="788198B2"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Articles 325e(1)</w:t>
            </w:r>
            <w:r w:rsidR="00184EBB" w:rsidRPr="00FE3C59">
              <w:rPr>
                <w:rFonts w:ascii="Times New Roman" w:hAnsi="Times New Roman" w:cs="Times New Roman"/>
                <w:lang w:val="en-GB"/>
              </w:rPr>
              <w:t xml:space="preserve">, point </w:t>
            </w:r>
            <w:r w:rsidRPr="00FE3C59">
              <w:rPr>
                <w:rFonts w:ascii="Times New Roman" w:hAnsi="Times New Roman" w:cs="Times New Roman"/>
                <w:lang w:val="en-GB"/>
              </w:rPr>
              <w:t>(a), 325f(1</w:t>
            </w:r>
            <w:r w:rsidR="00184EBB" w:rsidRPr="00FE3C59">
              <w:rPr>
                <w:rFonts w:ascii="Times New Roman" w:hAnsi="Times New Roman" w:cs="Times New Roman"/>
                <w:lang w:val="en-GB"/>
              </w:rPr>
              <w:t>) to (</w:t>
            </w:r>
            <w:r w:rsidRPr="00FE3C59">
              <w:rPr>
                <w:rFonts w:ascii="Times New Roman" w:hAnsi="Times New Roman" w:cs="Times New Roman"/>
                <w:lang w:val="en-GB"/>
              </w:rPr>
              <w:t>5), 325l(1</w:t>
            </w:r>
            <w:r w:rsidR="00184EBB" w:rsidRPr="00FE3C59">
              <w:rPr>
                <w:rFonts w:ascii="Times New Roman" w:hAnsi="Times New Roman" w:cs="Times New Roman"/>
                <w:lang w:val="en-GB"/>
              </w:rPr>
              <w:t>) to (</w:t>
            </w:r>
            <w:r w:rsidRPr="00FE3C59">
              <w:rPr>
                <w:rFonts w:ascii="Times New Roman" w:hAnsi="Times New Roman" w:cs="Times New Roman"/>
                <w:lang w:val="en-GB"/>
              </w:rPr>
              <w:t>6)</w:t>
            </w:r>
            <w:r w:rsidR="00184EBB" w:rsidRPr="00FE3C59">
              <w:rPr>
                <w:rFonts w:ascii="Times New Roman" w:hAnsi="Times New Roman" w:cs="Times New Roman"/>
                <w:lang w:val="en-GB"/>
              </w:rPr>
              <w:t xml:space="preserve"> and</w:t>
            </w:r>
            <w:r w:rsidRPr="00FE3C59">
              <w:rPr>
                <w:rFonts w:ascii="Times New Roman" w:hAnsi="Times New Roman" w:cs="Times New Roman"/>
                <w:lang w:val="en-GB"/>
              </w:rPr>
              <w:t xml:space="preserve"> 325r(1) of</w:t>
            </w:r>
            <w:r w:rsidR="00FD7136" w:rsidRPr="00FE3C59">
              <w:rPr>
                <w:rFonts w:ascii="Times New Roman" w:hAnsi="Times New Roman" w:cs="Times New Roman"/>
                <w:lang w:val="en-GB"/>
              </w:rPr>
              <w:t xml:space="preserve"> Regulation (EU) No 575/2013</w:t>
            </w:r>
            <w:r w:rsidR="004B0248" w:rsidRPr="00FE3C59">
              <w:rPr>
                <w:rFonts w:ascii="Times New Roman" w:hAnsi="Times New Roman" w:cs="Times New Roman"/>
                <w:lang w:val="en-GB"/>
              </w:rPr>
              <w:t>.</w:t>
            </w:r>
          </w:p>
        </w:tc>
      </w:tr>
      <w:tr w:rsidR="00604F69" w:rsidRPr="00FE3C59" w14:paraId="07E28867" w14:textId="77777777" w:rsidTr="65EC9DBC">
        <w:trPr>
          <w:trHeight w:val="300"/>
        </w:trPr>
        <w:tc>
          <w:tcPr>
            <w:tcW w:w="1845" w:type="dxa"/>
          </w:tcPr>
          <w:p w14:paraId="50B2F434" w14:textId="5DB8FDAB" w:rsidR="00604F69" w:rsidRPr="00FE3C59" w:rsidRDefault="76C5483D"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0020 </w:t>
            </w:r>
            <w:r w:rsidR="001B60D7" w:rsidRPr="00FE3C59">
              <w:rPr>
                <w:rFonts w:ascii="Times New Roman" w:hAnsi="Times New Roman" w:cs="Times New Roman"/>
                <w:lang w:val="en-GB"/>
              </w:rPr>
              <w:t>–</w:t>
            </w:r>
            <w:r w:rsidRPr="00FE3C59">
              <w:rPr>
                <w:rFonts w:ascii="Times New Roman" w:hAnsi="Times New Roman" w:cs="Times New Roman"/>
                <w:lang w:val="en-GB"/>
              </w:rPr>
              <w:t xml:space="preserve"> </w:t>
            </w:r>
            <w:r w:rsidR="797263A9" w:rsidRPr="00FE3C59">
              <w:rPr>
                <w:rFonts w:ascii="Times New Roman" w:hAnsi="Times New Roman" w:cs="Times New Roman"/>
                <w:lang w:val="en-GB"/>
              </w:rPr>
              <w:t>0110</w:t>
            </w:r>
          </w:p>
        </w:tc>
        <w:tc>
          <w:tcPr>
            <w:tcW w:w="7171" w:type="dxa"/>
          </w:tcPr>
          <w:p w14:paraId="72BC394E" w14:textId="4B5700BF" w:rsidR="00604F69" w:rsidRPr="00FE3C59" w:rsidRDefault="00604F69" w:rsidP="758C6A7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Maturities</w:t>
            </w:r>
          </w:p>
          <w:p w14:paraId="7C4F43A2" w14:textId="474B1ABF" w:rsidR="00604F69" w:rsidRPr="00FE3C59" w:rsidRDefault="20237B8A"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 325l(1)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tc>
      </w:tr>
      <w:tr w:rsidR="00604F69" w:rsidRPr="00FE3C59" w14:paraId="01E53EE4" w14:textId="77777777" w:rsidTr="65EC9DBC">
        <w:trPr>
          <w:trHeight w:val="300"/>
        </w:trPr>
        <w:tc>
          <w:tcPr>
            <w:tcW w:w="1845" w:type="dxa"/>
          </w:tcPr>
          <w:p w14:paraId="0E229127" w14:textId="0F62DC9C"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171" w:type="dxa"/>
          </w:tcPr>
          <w:p w14:paraId="5F274DEC" w14:textId="1A19EE0D"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0.25 years</w:t>
            </w:r>
          </w:p>
        </w:tc>
      </w:tr>
      <w:tr w:rsidR="00604F69" w:rsidRPr="00FE3C59" w14:paraId="463BA430" w14:textId="77777777" w:rsidTr="65EC9DBC">
        <w:trPr>
          <w:trHeight w:val="300"/>
        </w:trPr>
        <w:tc>
          <w:tcPr>
            <w:tcW w:w="1845" w:type="dxa"/>
          </w:tcPr>
          <w:p w14:paraId="0F738C46" w14:textId="0A10625F"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171" w:type="dxa"/>
          </w:tcPr>
          <w:p w14:paraId="5ED90257" w14:textId="63C479AC"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w:t>
            </w:r>
          </w:p>
        </w:tc>
      </w:tr>
      <w:tr w:rsidR="00604F69" w:rsidRPr="00FE3C59" w14:paraId="41348E80" w14:textId="77777777" w:rsidTr="65EC9DBC">
        <w:trPr>
          <w:trHeight w:val="300"/>
        </w:trPr>
        <w:tc>
          <w:tcPr>
            <w:tcW w:w="1845" w:type="dxa"/>
          </w:tcPr>
          <w:p w14:paraId="51D94BEA" w14:textId="137B2041"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171" w:type="dxa"/>
          </w:tcPr>
          <w:p w14:paraId="184243ED" w14:textId="1C4D8531"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w:t>
            </w:r>
          </w:p>
        </w:tc>
      </w:tr>
      <w:tr w:rsidR="00604F69" w:rsidRPr="00FE3C59" w14:paraId="563D0934" w14:textId="77777777" w:rsidTr="65EC9DBC">
        <w:trPr>
          <w:trHeight w:val="300"/>
        </w:trPr>
        <w:tc>
          <w:tcPr>
            <w:tcW w:w="1845" w:type="dxa"/>
          </w:tcPr>
          <w:p w14:paraId="0407BF5F" w14:textId="5A0CE83B"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171" w:type="dxa"/>
          </w:tcPr>
          <w:p w14:paraId="384550E4" w14:textId="4241C64A"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 years</w:t>
            </w:r>
          </w:p>
        </w:tc>
      </w:tr>
      <w:tr w:rsidR="00604F69" w:rsidRPr="00FE3C59" w14:paraId="7B4C3084" w14:textId="77777777" w:rsidTr="65EC9DBC">
        <w:trPr>
          <w:trHeight w:val="300"/>
        </w:trPr>
        <w:tc>
          <w:tcPr>
            <w:tcW w:w="1845" w:type="dxa"/>
          </w:tcPr>
          <w:p w14:paraId="58B5A444" w14:textId="019C9695"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0060</w:t>
            </w:r>
          </w:p>
        </w:tc>
        <w:tc>
          <w:tcPr>
            <w:tcW w:w="7171" w:type="dxa"/>
          </w:tcPr>
          <w:p w14:paraId="4B6BA2AA" w14:textId="18155173"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w:t>
            </w:r>
          </w:p>
        </w:tc>
      </w:tr>
      <w:tr w:rsidR="00604F69" w:rsidRPr="00FE3C59" w14:paraId="2B912F09" w14:textId="77777777" w:rsidTr="65EC9DBC">
        <w:trPr>
          <w:trHeight w:val="300"/>
        </w:trPr>
        <w:tc>
          <w:tcPr>
            <w:tcW w:w="1845" w:type="dxa"/>
          </w:tcPr>
          <w:p w14:paraId="076C4D5E" w14:textId="739A1157"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171" w:type="dxa"/>
          </w:tcPr>
          <w:p w14:paraId="60E0CFCF" w14:textId="302254DC"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w:t>
            </w:r>
          </w:p>
        </w:tc>
      </w:tr>
      <w:tr w:rsidR="00604F69" w:rsidRPr="00FE3C59" w14:paraId="6258054B" w14:textId="77777777" w:rsidTr="65EC9DBC">
        <w:trPr>
          <w:trHeight w:val="300"/>
        </w:trPr>
        <w:tc>
          <w:tcPr>
            <w:tcW w:w="1845" w:type="dxa"/>
          </w:tcPr>
          <w:p w14:paraId="5258526F" w14:textId="004DCE0A"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171" w:type="dxa"/>
          </w:tcPr>
          <w:p w14:paraId="215F5BF8" w14:textId="740C2479"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w:t>
            </w:r>
          </w:p>
        </w:tc>
      </w:tr>
      <w:tr w:rsidR="00604F69" w:rsidRPr="00FE3C59" w14:paraId="64A0E42E" w14:textId="77777777" w:rsidTr="65EC9DBC">
        <w:trPr>
          <w:trHeight w:val="300"/>
        </w:trPr>
        <w:tc>
          <w:tcPr>
            <w:tcW w:w="1845" w:type="dxa"/>
          </w:tcPr>
          <w:p w14:paraId="2598483E" w14:textId="6B098811"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171" w:type="dxa"/>
          </w:tcPr>
          <w:p w14:paraId="5E184877" w14:textId="579D7783"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15 years</w:t>
            </w:r>
          </w:p>
        </w:tc>
      </w:tr>
      <w:tr w:rsidR="00604F69" w:rsidRPr="00FE3C59" w14:paraId="1A8C279B" w14:textId="77777777" w:rsidTr="65EC9DBC">
        <w:trPr>
          <w:trHeight w:val="300"/>
        </w:trPr>
        <w:tc>
          <w:tcPr>
            <w:tcW w:w="1845" w:type="dxa"/>
          </w:tcPr>
          <w:p w14:paraId="066B3850" w14:textId="48CF119C"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171" w:type="dxa"/>
          </w:tcPr>
          <w:p w14:paraId="5A5C1B32" w14:textId="17E287C5"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20 years</w:t>
            </w:r>
          </w:p>
        </w:tc>
      </w:tr>
      <w:tr w:rsidR="00604F69" w:rsidRPr="00FE3C59" w14:paraId="4491136A" w14:textId="77777777" w:rsidTr="65EC9DBC">
        <w:trPr>
          <w:trHeight w:val="300"/>
        </w:trPr>
        <w:tc>
          <w:tcPr>
            <w:tcW w:w="1845" w:type="dxa"/>
          </w:tcPr>
          <w:p w14:paraId="0734F08C" w14:textId="0EF31631"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171" w:type="dxa"/>
          </w:tcPr>
          <w:p w14:paraId="14FCE2AF" w14:textId="4240495C"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30 years</w:t>
            </w:r>
          </w:p>
        </w:tc>
      </w:tr>
      <w:tr w:rsidR="00604F69" w:rsidRPr="00FE3C59" w14:paraId="736520AD" w14:textId="77777777" w:rsidTr="65EC9DBC">
        <w:trPr>
          <w:trHeight w:val="300"/>
        </w:trPr>
        <w:tc>
          <w:tcPr>
            <w:tcW w:w="1845" w:type="dxa"/>
          </w:tcPr>
          <w:p w14:paraId="4CA0C69D" w14:textId="084FA3A7"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171" w:type="dxa"/>
          </w:tcPr>
          <w:p w14:paraId="2043B14C" w14:textId="4215477B" w:rsidR="00604F69" w:rsidRPr="00FE3C59" w:rsidRDefault="00604F69" w:rsidP="758C6A7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Inflation</w:t>
            </w:r>
          </w:p>
          <w:p w14:paraId="4EF04A74" w14:textId="085089D1" w:rsidR="00604F69" w:rsidRPr="00FE3C59" w:rsidRDefault="20237B8A"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 325l(5), 325r(1)</w:t>
            </w:r>
            <w:r w:rsidR="002D13B2" w:rsidRPr="00FE3C59">
              <w:rPr>
                <w:rFonts w:ascii="Times New Roman" w:hAnsi="Times New Roman" w:cs="Times New Roman"/>
                <w:lang w:val="en-GB"/>
              </w:rPr>
              <w:t xml:space="preserve">, point </w:t>
            </w:r>
            <w:r w:rsidRPr="00FE3C59">
              <w:rPr>
                <w:rFonts w:ascii="Times New Roman" w:hAnsi="Times New Roman" w:cs="Times New Roman"/>
                <w:lang w:val="en-GB"/>
              </w:rPr>
              <w:t>(b)</w:t>
            </w:r>
            <w:r w:rsidR="002D13B2"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r w:rsidR="00430A0F" w:rsidRPr="00FE3C59">
              <w:rPr>
                <w:rFonts w:ascii="Times New Roman" w:hAnsi="Times New Roman" w:cs="Times New Roman"/>
                <w:lang w:val="en-GB"/>
              </w:rPr>
              <w:t>.</w:t>
            </w:r>
          </w:p>
        </w:tc>
      </w:tr>
      <w:tr w:rsidR="00604F69" w:rsidRPr="00FE3C59" w14:paraId="25B62F7D" w14:textId="77777777" w:rsidTr="65EC9DBC">
        <w:trPr>
          <w:trHeight w:val="300"/>
        </w:trPr>
        <w:tc>
          <w:tcPr>
            <w:tcW w:w="1845" w:type="dxa"/>
          </w:tcPr>
          <w:p w14:paraId="26C819C8" w14:textId="7E0AA396"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171" w:type="dxa"/>
          </w:tcPr>
          <w:p w14:paraId="183F7F83" w14:textId="587B14D8" w:rsidR="00604F69" w:rsidRPr="00FE3C59" w:rsidRDefault="00604F69" w:rsidP="758C6A7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Cross</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currency basis (over EUR)</w:t>
            </w:r>
          </w:p>
          <w:p w14:paraId="6591CEC4" w14:textId="5DCEF2FB" w:rsidR="00604F69" w:rsidRPr="00FE3C59" w:rsidRDefault="758C6A71"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 325l(6), 325r(1)</w:t>
            </w:r>
            <w:r w:rsidR="002D13B2" w:rsidRPr="00FE3C59">
              <w:rPr>
                <w:rFonts w:ascii="Times New Roman" w:hAnsi="Times New Roman" w:cs="Times New Roman"/>
                <w:lang w:val="en-GB"/>
              </w:rPr>
              <w:t xml:space="preserve">, point </w:t>
            </w:r>
            <w:r w:rsidRPr="00FE3C59">
              <w:rPr>
                <w:rFonts w:ascii="Times New Roman" w:hAnsi="Times New Roman" w:cs="Times New Roman"/>
                <w:lang w:val="en-GB"/>
              </w:rPr>
              <w:t>(b)</w:t>
            </w:r>
            <w:r w:rsidR="002D13B2"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p>
        </w:tc>
      </w:tr>
      <w:tr w:rsidR="00604F69" w:rsidRPr="00FE3C59" w14:paraId="35B6E541" w14:textId="77777777" w:rsidTr="65EC9DBC">
        <w:trPr>
          <w:trHeight w:val="300"/>
        </w:trPr>
        <w:tc>
          <w:tcPr>
            <w:tcW w:w="1845" w:type="dxa"/>
          </w:tcPr>
          <w:p w14:paraId="1FAD92AF" w14:textId="29B80153"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171" w:type="dxa"/>
          </w:tcPr>
          <w:p w14:paraId="46E12327" w14:textId="526B5F8E" w:rsidR="00604F69" w:rsidRPr="00FE3C59" w:rsidRDefault="00604F69" w:rsidP="758C6A7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Cross</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currency basis (over USD)</w:t>
            </w:r>
          </w:p>
          <w:p w14:paraId="60E11386" w14:textId="7BDEEA8F" w:rsidR="00604F69" w:rsidRPr="00FE3C59" w:rsidRDefault="758C6A71"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 325l(6), 325r(1)</w:t>
            </w:r>
            <w:r w:rsidR="002D13B2" w:rsidRPr="00FE3C59">
              <w:rPr>
                <w:rFonts w:ascii="Times New Roman" w:hAnsi="Times New Roman" w:cs="Times New Roman"/>
                <w:lang w:val="en-GB"/>
              </w:rPr>
              <w:t xml:space="preserve">, point </w:t>
            </w:r>
            <w:r w:rsidRPr="00FE3C59">
              <w:rPr>
                <w:rFonts w:ascii="Times New Roman" w:hAnsi="Times New Roman" w:cs="Times New Roman"/>
                <w:lang w:val="en-GB"/>
              </w:rPr>
              <w:t>(b)</w:t>
            </w:r>
            <w:r w:rsidR="002D13B2"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p>
        </w:tc>
      </w:tr>
      <w:tr w:rsidR="00604F69" w:rsidRPr="00FE3C59" w14:paraId="52DE0157" w14:textId="77777777" w:rsidTr="65EC9DBC">
        <w:trPr>
          <w:trHeight w:val="300"/>
        </w:trPr>
        <w:tc>
          <w:tcPr>
            <w:tcW w:w="1845" w:type="dxa"/>
          </w:tcPr>
          <w:p w14:paraId="78A49651" w14:textId="6E1680C4" w:rsidR="00604F69" w:rsidRPr="00FE3C59" w:rsidRDefault="0C376948"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0150 - 0390</w:t>
            </w:r>
          </w:p>
        </w:tc>
        <w:tc>
          <w:tcPr>
            <w:tcW w:w="7171" w:type="dxa"/>
          </w:tcPr>
          <w:p w14:paraId="20A4514D" w14:textId="09D4743B" w:rsidR="00604F69" w:rsidRPr="00FE3C59" w:rsidRDefault="00604F69" w:rsidP="758C6A7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 factors</w:t>
            </w:r>
            <w:r w:rsidR="00B40AB4" w:rsidRPr="00FE3C59">
              <w:rPr>
                <w:rFonts w:ascii="Times New Roman" w:hAnsi="Times New Roman" w:cs="Times New Roman"/>
                <w:b/>
                <w:u w:val="single"/>
                <w:lang w:val="en-GB"/>
              </w:rPr>
              <w:t>: Maturities (maturity of the option – residual maturity of the underlying)</w:t>
            </w:r>
          </w:p>
          <w:p w14:paraId="7C1E5278" w14:textId="035547D6" w:rsidR="00604F69" w:rsidRPr="00FE3C59" w:rsidRDefault="758C6A71" w:rsidP="758C6A7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w:t>
            </w:r>
            <w:r w:rsidR="002D13B2" w:rsidRPr="00FE3C59">
              <w:rPr>
                <w:rFonts w:ascii="Times New Roman" w:hAnsi="Times New Roman" w:cs="Times New Roman"/>
                <w:lang w:val="en-GB"/>
              </w:rPr>
              <w:t>s</w:t>
            </w:r>
            <w:r w:rsidRPr="00FE3C59">
              <w:rPr>
                <w:rFonts w:ascii="Times New Roman" w:hAnsi="Times New Roman" w:cs="Times New Roman"/>
                <w:lang w:val="en-GB"/>
              </w:rPr>
              <w:t xml:space="preserve"> 325e(1)</w:t>
            </w:r>
            <w:r w:rsidR="002D13B2" w:rsidRPr="00FE3C59">
              <w:rPr>
                <w:rFonts w:ascii="Times New Roman" w:hAnsi="Times New Roman" w:cs="Times New Roman"/>
                <w:lang w:val="en-GB"/>
              </w:rPr>
              <w:t xml:space="preserve">, point </w:t>
            </w:r>
            <w:r w:rsidRPr="00FE3C59">
              <w:rPr>
                <w:rFonts w:ascii="Times New Roman" w:hAnsi="Times New Roman" w:cs="Times New Roman"/>
                <w:lang w:val="en-GB"/>
              </w:rPr>
              <w:t>(b), 325f(1</w:t>
            </w:r>
            <w:r w:rsidR="002D13B2" w:rsidRPr="00FE3C59">
              <w:rPr>
                <w:rFonts w:ascii="Times New Roman" w:hAnsi="Times New Roman" w:cs="Times New Roman"/>
                <w:lang w:val="en-GB"/>
              </w:rPr>
              <w:t>) to (</w:t>
            </w:r>
            <w:r w:rsidRPr="00FE3C59">
              <w:rPr>
                <w:rFonts w:ascii="Times New Roman" w:hAnsi="Times New Roman" w:cs="Times New Roman"/>
                <w:lang w:val="en-GB"/>
              </w:rPr>
              <w:t>5), 325l(7)</w:t>
            </w:r>
            <w:r w:rsidR="002D13B2" w:rsidRPr="00FE3C59">
              <w:rPr>
                <w:rFonts w:ascii="Times New Roman" w:hAnsi="Times New Roman" w:cs="Times New Roman"/>
                <w:lang w:val="en-GB"/>
              </w:rPr>
              <w:t xml:space="preserve"> and</w:t>
            </w:r>
            <w:r w:rsidRPr="00FE3C59">
              <w:rPr>
                <w:rFonts w:ascii="Times New Roman" w:hAnsi="Times New Roman" w:cs="Times New Roman"/>
                <w:lang w:val="en-GB"/>
              </w:rPr>
              <w:t xml:space="preserve"> 325s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p w14:paraId="480455FD" w14:textId="18BDD2E8" w:rsidR="00604F69" w:rsidRPr="00FE3C59" w:rsidRDefault="009B340F"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I</w:t>
            </w:r>
            <w:r w:rsidR="0D1CB00F" w:rsidRPr="00FE3C59">
              <w:rPr>
                <w:rFonts w:ascii="Times New Roman" w:hAnsi="Times New Roman" w:cs="Times New Roman"/>
                <w:lang w:val="en-GB"/>
              </w:rPr>
              <w:t xml:space="preserve">n </w:t>
            </w:r>
            <w:r w:rsidR="00223692" w:rsidRPr="00FE3C59">
              <w:rPr>
                <w:rFonts w:ascii="Times New Roman" w:hAnsi="Times New Roman" w:cs="Times New Roman"/>
                <w:lang w:val="en-GB"/>
              </w:rPr>
              <w:t xml:space="preserve">the light of the provisions of </w:t>
            </w:r>
            <w:r w:rsidR="00567347" w:rsidRPr="00FE3C59">
              <w:rPr>
                <w:rFonts w:ascii="Times New Roman" w:hAnsi="Times New Roman" w:cs="Times New Roman"/>
                <w:lang w:val="en-GB"/>
              </w:rPr>
              <w:t>A</w:t>
            </w:r>
            <w:r w:rsidR="0D1CB00F" w:rsidRPr="00FE3C59">
              <w:rPr>
                <w:rFonts w:ascii="Times New Roman" w:hAnsi="Times New Roman" w:cs="Times New Roman"/>
                <w:lang w:val="en-GB"/>
              </w:rPr>
              <w:t>rticle 325l(7)</w:t>
            </w:r>
            <w:r w:rsidR="00FD7136" w:rsidRPr="00FE3C59">
              <w:rPr>
                <w:rFonts w:ascii="Times New Roman" w:hAnsi="Times New Roman" w:cs="Times New Roman"/>
                <w:lang w:val="en-GB"/>
              </w:rPr>
              <w:t xml:space="preserve"> of Regulation (EU) No 575/2013</w:t>
            </w:r>
            <w:r w:rsidR="00567347" w:rsidRPr="00FE3C59">
              <w:rPr>
                <w:rFonts w:ascii="Times New Roman" w:hAnsi="Times New Roman" w:cs="Times New Roman"/>
                <w:lang w:val="en-GB"/>
              </w:rPr>
              <w:t xml:space="preserve">, </w:t>
            </w:r>
            <w:r w:rsidR="00223692" w:rsidRPr="00FE3C59">
              <w:rPr>
                <w:rFonts w:ascii="Times New Roman" w:hAnsi="Times New Roman" w:cs="Times New Roman"/>
                <w:lang w:val="en-GB"/>
              </w:rPr>
              <w:t xml:space="preserve">the first maturity indicated in columns 0150 to 0390 corresponds to the </w:t>
            </w:r>
            <w:r w:rsidR="250462C3" w:rsidRPr="00FE3C59">
              <w:rPr>
                <w:rFonts w:ascii="Times New Roman" w:hAnsi="Times New Roman" w:cs="Times New Roman"/>
                <w:lang w:val="en-GB"/>
              </w:rPr>
              <w:t>maturity of the option</w:t>
            </w:r>
            <w:r w:rsidR="00223692" w:rsidRPr="00FE3C59">
              <w:rPr>
                <w:rFonts w:ascii="Times New Roman" w:hAnsi="Times New Roman" w:cs="Times New Roman"/>
                <w:lang w:val="en-GB"/>
              </w:rPr>
              <w:t>, while the second</w:t>
            </w:r>
            <w:r w:rsidR="250462C3" w:rsidRPr="00FE3C59">
              <w:rPr>
                <w:rFonts w:ascii="Times New Roman" w:hAnsi="Times New Roman" w:cs="Times New Roman"/>
                <w:lang w:val="en-GB"/>
              </w:rPr>
              <w:t xml:space="preserve"> maturity </w:t>
            </w:r>
            <w:r w:rsidR="008B48B3" w:rsidRPr="00FE3C59">
              <w:rPr>
                <w:rFonts w:ascii="Times New Roman" w:hAnsi="Times New Roman" w:cs="Times New Roman"/>
                <w:lang w:val="en-GB"/>
              </w:rPr>
              <w:t>indicated is</w:t>
            </w:r>
            <w:r w:rsidR="250462C3" w:rsidRPr="00FE3C59">
              <w:rPr>
                <w:rFonts w:ascii="Times New Roman" w:hAnsi="Times New Roman" w:cs="Times New Roman"/>
                <w:lang w:val="en-GB"/>
              </w:rPr>
              <w:t xml:space="preserve"> </w:t>
            </w:r>
            <w:r w:rsidR="008B48B3" w:rsidRPr="00FE3C59">
              <w:rPr>
                <w:rFonts w:ascii="Times New Roman" w:hAnsi="Times New Roman" w:cs="Times New Roman"/>
                <w:lang w:val="en-GB"/>
              </w:rPr>
              <w:t xml:space="preserve">the residual maturity </w:t>
            </w:r>
            <w:r w:rsidR="250462C3" w:rsidRPr="00FE3C59">
              <w:rPr>
                <w:rFonts w:ascii="Times New Roman" w:hAnsi="Times New Roman" w:cs="Times New Roman"/>
                <w:lang w:val="en-GB"/>
              </w:rPr>
              <w:t>of the underlying.</w:t>
            </w:r>
          </w:p>
        </w:tc>
      </w:tr>
      <w:tr w:rsidR="00604F69" w:rsidRPr="00FE3C59" w14:paraId="14E0ED92" w14:textId="77777777" w:rsidTr="65EC9DBC">
        <w:trPr>
          <w:trHeight w:val="300"/>
        </w:trPr>
        <w:tc>
          <w:tcPr>
            <w:tcW w:w="1845" w:type="dxa"/>
          </w:tcPr>
          <w:p w14:paraId="3E92E4B5" w14:textId="2AFAA8F4"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171" w:type="dxa"/>
          </w:tcPr>
          <w:p w14:paraId="245CBD8F" w14:textId="4F7ABBE0" w:rsidR="00604F69" w:rsidRPr="00FE3C59" w:rsidRDefault="00604F6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0.5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0.5 years</w:t>
            </w:r>
          </w:p>
        </w:tc>
      </w:tr>
      <w:tr w:rsidR="00604F69" w:rsidRPr="00FE3C59" w14:paraId="488CBFA0" w14:textId="77777777" w:rsidTr="65EC9DBC">
        <w:trPr>
          <w:trHeight w:val="300"/>
        </w:trPr>
        <w:tc>
          <w:tcPr>
            <w:tcW w:w="1845" w:type="dxa"/>
          </w:tcPr>
          <w:p w14:paraId="16AD497B" w14:textId="742F26AD"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171" w:type="dxa"/>
          </w:tcPr>
          <w:p w14:paraId="10E8A849" w14:textId="20190416"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0.5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1 year</w:t>
            </w:r>
          </w:p>
        </w:tc>
      </w:tr>
      <w:tr w:rsidR="00604F69" w:rsidRPr="00FE3C59" w14:paraId="12DEAFE8" w14:textId="77777777" w:rsidTr="65EC9DBC">
        <w:trPr>
          <w:trHeight w:val="300"/>
        </w:trPr>
        <w:tc>
          <w:tcPr>
            <w:tcW w:w="1845" w:type="dxa"/>
          </w:tcPr>
          <w:p w14:paraId="334A729A" w14:textId="1EAAD38B"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171" w:type="dxa"/>
          </w:tcPr>
          <w:p w14:paraId="4A1B42CE" w14:textId="60DE6446"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0.5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3 years</w:t>
            </w:r>
          </w:p>
        </w:tc>
      </w:tr>
      <w:tr w:rsidR="00604F69" w:rsidRPr="00FE3C59" w14:paraId="23ED39A3" w14:textId="77777777" w:rsidTr="65EC9DBC">
        <w:trPr>
          <w:trHeight w:val="300"/>
        </w:trPr>
        <w:tc>
          <w:tcPr>
            <w:tcW w:w="1845" w:type="dxa"/>
          </w:tcPr>
          <w:p w14:paraId="2C494236" w14:textId="13F9C276"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171" w:type="dxa"/>
          </w:tcPr>
          <w:p w14:paraId="117DD8A7" w14:textId="79357248"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0.5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5 years</w:t>
            </w:r>
          </w:p>
        </w:tc>
      </w:tr>
      <w:tr w:rsidR="00604F69" w:rsidRPr="00FE3C59" w14:paraId="6DF524CF" w14:textId="77777777" w:rsidTr="65EC9DBC">
        <w:trPr>
          <w:trHeight w:val="300"/>
        </w:trPr>
        <w:tc>
          <w:tcPr>
            <w:tcW w:w="1845" w:type="dxa"/>
          </w:tcPr>
          <w:p w14:paraId="643D26C3" w14:textId="4B5BB29C"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171" w:type="dxa"/>
          </w:tcPr>
          <w:p w14:paraId="1904F344" w14:textId="291A7FE6"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0.5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10 years</w:t>
            </w:r>
          </w:p>
        </w:tc>
      </w:tr>
      <w:tr w:rsidR="00604F69" w:rsidRPr="00FE3C59" w14:paraId="5DC3B56B" w14:textId="77777777" w:rsidTr="65EC9DBC">
        <w:trPr>
          <w:trHeight w:val="300"/>
        </w:trPr>
        <w:tc>
          <w:tcPr>
            <w:tcW w:w="1845" w:type="dxa"/>
          </w:tcPr>
          <w:p w14:paraId="17F913CF" w14:textId="0667A392"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171" w:type="dxa"/>
          </w:tcPr>
          <w:p w14:paraId="4979B93A" w14:textId="7E68BB63"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1 year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0.5 years</w:t>
            </w:r>
          </w:p>
        </w:tc>
      </w:tr>
      <w:tr w:rsidR="00604F69" w:rsidRPr="00FE3C59" w14:paraId="1009E57A" w14:textId="77777777" w:rsidTr="65EC9DBC">
        <w:trPr>
          <w:trHeight w:val="300"/>
        </w:trPr>
        <w:tc>
          <w:tcPr>
            <w:tcW w:w="1845" w:type="dxa"/>
          </w:tcPr>
          <w:p w14:paraId="59EC8F4F" w14:textId="4252821F"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171" w:type="dxa"/>
          </w:tcPr>
          <w:p w14:paraId="6342AD94" w14:textId="0174A86B"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1 year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1 year</w:t>
            </w:r>
          </w:p>
        </w:tc>
      </w:tr>
      <w:tr w:rsidR="00604F69" w:rsidRPr="00FE3C59" w14:paraId="2EC6F8B6" w14:textId="77777777" w:rsidTr="65EC9DBC">
        <w:trPr>
          <w:trHeight w:val="300"/>
        </w:trPr>
        <w:tc>
          <w:tcPr>
            <w:tcW w:w="1845" w:type="dxa"/>
          </w:tcPr>
          <w:p w14:paraId="16D6ABD8" w14:textId="05BCD877"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0220</w:t>
            </w:r>
          </w:p>
        </w:tc>
        <w:tc>
          <w:tcPr>
            <w:tcW w:w="7171" w:type="dxa"/>
          </w:tcPr>
          <w:p w14:paraId="448B4AF2" w14:textId="2B043881"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1 year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3 years</w:t>
            </w:r>
          </w:p>
        </w:tc>
      </w:tr>
      <w:tr w:rsidR="00604F69" w:rsidRPr="00FE3C59" w14:paraId="19C14DFE" w14:textId="77777777" w:rsidTr="65EC9DBC">
        <w:trPr>
          <w:trHeight w:val="300"/>
        </w:trPr>
        <w:tc>
          <w:tcPr>
            <w:tcW w:w="1845" w:type="dxa"/>
          </w:tcPr>
          <w:p w14:paraId="185F8E60" w14:textId="103E87AC"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w:t>
            </w:r>
          </w:p>
        </w:tc>
        <w:tc>
          <w:tcPr>
            <w:tcW w:w="7171" w:type="dxa"/>
          </w:tcPr>
          <w:p w14:paraId="24E5AA41" w14:textId="0213A2C8"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1 year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5 years</w:t>
            </w:r>
          </w:p>
        </w:tc>
      </w:tr>
      <w:tr w:rsidR="00604F69" w:rsidRPr="00FE3C59" w14:paraId="12A8677D" w14:textId="77777777" w:rsidTr="65EC9DBC">
        <w:trPr>
          <w:trHeight w:val="300"/>
        </w:trPr>
        <w:tc>
          <w:tcPr>
            <w:tcW w:w="1845" w:type="dxa"/>
          </w:tcPr>
          <w:p w14:paraId="2B819ADF" w14:textId="5490C442"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0240</w:t>
            </w:r>
          </w:p>
        </w:tc>
        <w:tc>
          <w:tcPr>
            <w:tcW w:w="7171" w:type="dxa"/>
          </w:tcPr>
          <w:p w14:paraId="261F1D01" w14:textId="41C4E268"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1 year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10 years</w:t>
            </w:r>
          </w:p>
        </w:tc>
      </w:tr>
      <w:tr w:rsidR="00604F69" w:rsidRPr="00FE3C59" w14:paraId="736E7502" w14:textId="77777777" w:rsidTr="65EC9DBC">
        <w:trPr>
          <w:trHeight w:val="300"/>
        </w:trPr>
        <w:tc>
          <w:tcPr>
            <w:tcW w:w="1845" w:type="dxa"/>
          </w:tcPr>
          <w:p w14:paraId="5305DAC6" w14:textId="574794AA"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0250</w:t>
            </w:r>
          </w:p>
        </w:tc>
        <w:tc>
          <w:tcPr>
            <w:tcW w:w="7171" w:type="dxa"/>
          </w:tcPr>
          <w:p w14:paraId="22A6C8B4" w14:textId="1A5C4F21"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3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0.5 years</w:t>
            </w:r>
          </w:p>
        </w:tc>
      </w:tr>
      <w:tr w:rsidR="00604F69" w:rsidRPr="00FE3C59" w14:paraId="6E46727F" w14:textId="77777777" w:rsidTr="65EC9DBC">
        <w:trPr>
          <w:trHeight w:val="300"/>
        </w:trPr>
        <w:tc>
          <w:tcPr>
            <w:tcW w:w="1845" w:type="dxa"/>
          </w:tcPr>
          <w:p w14:paraId="1AC531B0" w14:textId="729CE87A"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0260</w:t>
            </w:r>
          </w:p>
        </w:tc>
        <w:tc>
          <w:tcPr>
            <w:tcW w:w="7171" w:type="dxa"/>
          </w:tcPr>
          <w:p w14:paraId="1A0FE164" w14:textId="55A28787"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3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1 year</w:t>
            </w:r>
          </w:p>
        </w:tc>
      </w:tr>
      <w:tr w:rsidR="00604F69" w:rsidRPr="00FE3C59" w14:paraId="2D64F494" w14:textId="77777777" w:rsidTr="65EC9DBC">
        <w:trPr>
          <w:trHeight w:val="300"/>
        </w:trPr>
        <w:tc>
          <w:tcPr>
            <w:tcW w:w="1845" w:type="dxa"/>
          </w:tcPr>
          <w:p w14:paraId="386ABA15" w14:textId="0588C35D"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0270</w:t>
            </w:r>
          </w:p>
        </w:tc>
        <w:tc>
          <w:tcPr>
            <w:tcW w:w="7171" w:type="dxa"/>
          </w:tcPr>
          <w:p w14:paraId="717194C3" w14:textId="1117EE89"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3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3 years</w:t>
            </w:r>
          </w:p>
        </w:tc>
      </w:tr>
      <w:tr w:rsidR="00604F69" w:rsidRPr="00FE3C59" w14:paraId="311D41AC" w14:textId="77777777" w:rsidTr="65EC9DBC">
        <w:trPr>
          <w:trHeight w:val="300"/>
        </w:trPr>
        <w:tc>
          <w:tcPr>
            <w:tcW w:w="1845" w:type="dxa"/>
          </w:tcPr>
          <w:p w14:paraId="28DDFDCE" w14:textId="34CCD3D5"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0280</w:t>
            </w:r>
          </w:p>
        </w:tc>
        <w:tc>
          <w:tcPr>
            <w:tcW w:w="7171" w:type="dxa"/>
          </w:tcPr>
          <w:p w14:paraId="675E8B92" w14:textId="14A13CA1"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3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5 years</w:t>
            </w:r>
          </w:p>
        </w:tc>
      </w:tr>
      <w:tr w:rsidR="00604F69" w:rsidRPr="00FE3C59" w14:paraId="5084078D" w14:textId="77777777" w:rsidTr="65EC9DBC">
        <w:trPr>
          <w:trHeight w:val="300"/>
        </w:trPr>
        <w:tc>
          <w:tcPr>
            <w:tcW w:w="1845" w:type="dxa"/>
          </w:tcPr>
          <w:p w14:paraId="7E9BE6AB" w14:textId="3829DDC9"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0290</w:t>
            </w:r>
          </w:p>
        </w:tc>
        <w:tc>
          <w:tcPr>
            <w:tcW w:w="7171" w:type="dxa"/>
          </w:tcPr>
          <w:p w14:paraId="3DED37D7" w14:textId="39E0A72C"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3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10 years</w:t>
            </w:r>
          </w:p>
        </w:tc>
      </w:tr>
      <w:tr w:rsidR="00604F69" w:rsidRPr="00FE3C59" w14:paraId="5EC9AE87" w14:textId="77777777" w:rsidTr="65EC9DBC">
        <w:trPr>
          <w:trHeight w:val="300"/>
        </w:trPr>
        <w:tc>
          <w:tcPr>
            <w:tcW w:w="1845" w:type="dxa"/>
          </w:tcPr>
          <w:p w14:paraId="721F35ED" w14:textId="3D45963E"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0300</w:t>
            </w:r>
          </w:p>
        </w:tc>
        <w:tc>
          <w:tcPr>
            <w:tcW w:w="7171" w:type="dxa"/>
          </w:tcPr>
          <w:p w14:paraId="3264C441" w14:textId="749DD071"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5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0.5 years</w:t>
            </w:r>
          </w:p>
        </w:tc>
      </w:tr>
      <w:tr w:rsidR="00604F69" w:rsidRPr="00FE3C59" w14:paraId="654A70CC" w14:textId="77777777" w:rsidTr="65EC9DBC">
        <w:trPr>
          <w:trHeight w:val="300"/>
        </w:trPr>
        <w:tc>
          <w:tcPr>
            <w:tcW w:w="1845" w:type="dxa"/>
          </w:tcPr>
          <w:p w14:paraId="7FB197C9" w14:textId="20CA7C5D"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0310</w:t>
            </w:r>
          </w:p>
        </w:tc>
        <w:tc>
          <w:tcPr>
            <w:tcW w:w="7171" w:type="dxa"/>
          </w:tcPr>
          <w:p w14:paraId="5B18E65D" w14:textId="31C88400"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5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1 year</w:t>
            </w:r>
          </w:p>
        </w:tc>
      </w:tr>
      <w:tr w:rsidR="00604F69" w:rsidRPr="00FE3C59" w14:paraId="44BF20E1" w14:textId="77777777" w:rsidTr="65EC9DBC">
        <w:trPr>
          <w:trHeight w:val="300"/>
        </w:trPr>
        <w:tc>
          <w:tcPr>
            <w:tcW w:w="1845" w:type="dxa"/>
          </w:tcPr>
          <w:p w14:paraId="21158204" w14:textId="2CBEDE00"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0320</w:t>
            </w:r>
          </w:p>
        </w:tc>
        <w:tc>
          <w:tcPr>
            <w:tcW w:w="7171" w:type="dxa"/>
          </w:tcPr>
          <w:p w14:paraId="51299ED5" w14:textId="245A3278"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5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3 years</w:t>
            </w:r>
          </w:p>
        </w:tc>
      </w:tr>
      <w:tr w:rsidR="00604F69" w:rsidRPr="00FE3C59" w14:paraId="552CE676" w14:textId="77777777" w:rsidTr="65EC9DBC">
        <w:trPr>
          <w:trHeight w:val="300"/>
        </w:trPr>
        <w:tc>
          <w:tcPr>
            <w:tcW w:w="1845" w:type="dxa"/>
          </w:tcPr>
          <w:p w14:paraId="20147DAF" w14:textId="00A5BCC3"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0330</w:t>
            </w:r>
          </w:p>
        </w:tc>
        <w:tc>
          <w:tcPr>
            <w:tcW w:w="7171" w:type="dxa"/>
          </w:tcPr>
          <w:p w14:paraId="4D26663C" w14:textId="1F519FD0"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5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5 years</w:t>
            </w:r>
          </w:p>
        </w:tc>
      </w:tr>
      <w:tr w:rsidR="00604F69" w:rsidRPr="00FE3C59" w14:paraId="73CADD88" w14:textId="77777777" w:rsidTr="65EC9DBC">
        <w:trPr>
          <w:trHeight w:val="300"/>
        </w:trPr>
        <w:tc>
          <w:tcPr>
            <w:tcW w:w="1845" w:type="dxa"/>
          </w:tcPr>
          <w:p w14:paraId="721D3E07" w14:textId="535F7793"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0340</w:t>
            </w:r>
          </w:p>
        </w:tc>
        <w:tc>
          <w:tcPr>
            <w:tcW w:w="7171" w:type="dxa"/>
          </w:tcPr>
          <w:p w14:paraId="66E17ED0" w14:textId="73D612C3"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5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10 years</w:t>
            </w:r>
          </w:p>
        </w:tc>
      </w:tr>
      <w:tr w:rsidR="00604F69" w:rsidRPr="00FE3C59" w14:paraId="686E251A" w14:textId="77777777" w:rsidTr="65EC9DBC">
        <w:trPr>
          <w:trHeight w:val="300"/>
        </w:trPr>
        <w:tc>
          <w:tcPr>
            <w:tcW w:w="1845" w:type="dxa"/>
          </w:tcPr>
          <w:p w14:paraId="59ED8EA1" w14:textId="5DEBC8B6"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0350</w:t>
            </w:r>
          </w:p>
        </w:tc>
        <w:tc>
          <w:tcPr>
            <w:tcW w:w="7171" w:type="dxa"/>
          </w:tcPr>
          <w:p w14:paraId="0985ADED" w14:textId="15976C0B"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10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0.5 years</w:t>
            </w:r>
          </w:p>
        </w:tc>
      </w:tr>
      <w:tr w:rsidR="00604F69" w:rsidRPr="00FE3C59" w14:paraId="0A442EBD" w14:textId="77777777" w:rsidTr="65EC9DBC">
        <w:trPr>
          <w:trHeight w:val="300"/>
        </w:trPr>
        <w:tc>
          <w:tcPr>
            <w:tcW w:w="1845" w:type="dxa"/>
          </w:tcPr>
          <w:p w14:paraId="5E51E37D" w14:textId="788DF7FF"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0360</w:t>
            </w:r>
          </w:p>
        </w:tc>
        <w:tc>
          <w:tcPr>
            <w:tcW w:w="7171" w:type="dxa"/>
          </w:tcPr>
          <w:p w14:paraId="06912BA6" w14:textId="713BDFB7"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10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1 year</w:t>
            </w:r>
          </w:p>
        </w:tc>
      </w:tr>
      <w:tr w:rsidR="00604F69" w:rsidRPr="00FE3C59" w14:paraId="62273597" w14:textId="77777777" w:rsidTr="65EC9DBC">
        <w:trPr>
          <w:trHeight w:val="300"/>
        </w:trPr>
        <w:tc>
          <w:tcPr>
            <w:tcW w:w="1845" w:type="dxa"/>
          </w:tcPr>
          <w:p w14:paraId="629249FD" w14:textId="569D96DA"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0370</w:t>
            </w:r>
          </w:p>
        </w:tc>
        <w:tc>
          <w:tcPr>
            <w:tcW w:w="7171" w:type="dxa"/>
          </w:tcPr>
          <w:p w14:paraId="212D4E72" w14:textId="2B16B39D"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10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3 years</w:t>
            </w:r>
          </w:p>
        </w:tc>
      </w:tr>
      <w:tr w:rsidR="00604F69" w:rsidRPr="00FE3C59" w14:paraId="64A53AC0" w14:textId="77777777" w:rsidTr="65EC9DBC">
        <w:trPr>
          <w:trHeight w:val="300"/>
        </w:trPr>
        <w:tc>
          <w:tcPr>
            <w:tcW w:w="1845" w:type="dxa"/>
          </w:tcPr>
          <w:p w14:paraId="578F0863" w14:textId="00CB3691"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0380</w:t>
            </w:r>
          </w:p>
        </w:tc>
        <w:tc>
          <w:tcPr>
            <w:tcW w:w="7171" w:type="dxa"/>
          </w:tcPr>
          <w:p w14:paraId="2541B40E" w14:textId="09CF648E"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10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5 years</w:t>
            </w:r>
          </w:p>
        </w:tc>
      </w:tr>
      <w:tr w:rsidR="00604F69" w:rsidRPr="00FE3C59" w14:paraId="25B274A2" w14:textId="77777777" w:rsidTr="65EC9DBC">
        <w:trPr>
          <w:trHeight w:val="300"/>
        </w:trPr>
        <w:tc>
          <w:tcPr>
            <w:tcW w:w="1845" w:type="dxa"/>
          </w:tcPr>
          <w:p w14:paraId="07F752A9" w14:textId="00ADA45E"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0390</w:t>
            </w:r>
          </w:p>
        </w:tc>
        <w:tc>
          <w:tcPr>
            <w:tcW w:w="7171" w:type="dxa"/>
          </w:tcPr>
          <w:p w14:paraId="362ADECF" w14:textId="2985A157"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10 years </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10 years</w:t>
            </w:r>
          </w:p>
        </w:tc>
      </w:tr>
      <w:tr w:rsidR="00604F69" w:rsidRPr="00FE3C59" w14:paraId="74ED38F7" w14:textId="77777777" w:rsidTr="65EC9DBC">
        <w:trPr>
          <w:trHeight w:val="300"/>
        </w:trPr>
        <w:tc>
          <w:tcPr>
            <w:tcW w:w="1845" w:type="dxa"/>
          </w:tcPr>
          <w:p w14:paraId="1651F22F" w14:textId="4D5744CF" w:rsidR="00604F69" w:rsidRPr="00FE3C59" w:rsidRDefault="5591A5E1"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0400 </w:t>
            </w:r>
            <w:r w:rsidR="00957F5F" w:rsidRPr="00FE3C59">
              <w:rPr>
                <w:rFonts w:ascii="Times New Roman" w:hAnsi="Times New Roman" w:cs="Times New Roman"/>
                <w:lang w:val="en-GB"/>
              </w:rPr>
              <w:t>–</w:t>
            </w:r>
            <w:r w:rsidRPr="00FE3C59">
              <w:rPr>
                <w:rFonts w:ascii="Times New Roman" w:hAnsi="Times New Roman" w:cs="Times New Roman"/>
                <w:lang w:val="en-GB"/>
              </w:rPr>
              <w:t xml:space="preserve"> 0770</w:t>
            </w:r>
          </w:p>
        </w:tc>
        <w:tc>
          <w:tcPr>
            <w:tcW w:w="7171" w:type="dxa"/>
          </w:tcPr>
          <w:p w14:paraId="4D804F03" w14:textId="7C721EAD" w:rsidR="00604F69" w:rsidRPr="00FE3C59" w:rsidRDefault="00604F69" w:rsidP="5591A5E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Weighted sensitivities</w:t>
            </w:r>
          </w:p>
          <w:p w14:paraId="6D5FB380" w14:textId="330C7EC9" w:rsidR="00604F69" w:rsidRPr="00FE3C59" w:rsidRDefault="5591A5E1" w:rsidP="5591A5E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 325f(6)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p w14:paraId="60C4B1FE" w14:textId="096818F0" w:rsidR="00604F69" w:rsidRPr="00FE3C59" w:rsidRDefault="00465B03"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The net sensitivities per risk factor, calculated in accordance with Articles 325l</w:t>
            </w:r>
            <w:r w:rsidR="00F129CE" w:rsidRPr="00FE3C59">
              <w:rPr>
                <w:rFonts w:ascii="Times New Roman" w:hAnsi="Times New Roman" w:cs="Times New Roman"/>
                <w:lang w:val="en-GB"/>
              </w:rPr>
              <w:t xml:space="preserve">, </w:t>
            </w:r>
            <w:r w:rsidRPr="00FE3C59">
              <w:rPr>
                <w:rFonts w:ascii="Times New Roman" w:hAnsi="Times New Roman" w:cs="Times New Roman"/>
                <w:lang w:val="en-GB"/>
              </w:rPr>
              <w:t>325r</w:t>
            </w:r>
            <w:r w:rsidR="00F129CE" w:rsidRPr="00FE3C59">
              <w:rPr>
                <w:rFonts w:ascii="Times New Roman" w:hAnsi="Times New Roman" w:cs="Times New Roman"/>
                <w:lang w:val="en-GB"/>
              </w:rPr>
              <w:t xml:space="preserve"> </w:t>
            </w:r>
            <w:r w:rsidRPr="00FE3C59">
              <w:rPr>
                <w:rFonts w:ascii="Times New Roman" w:hAnsi="Times New Roman" w:cs="Times New Roman"/>
                <w:lang w:val="en-GB"/>
              </w:rPr>
              <w:t xml:space="preserve">and </w:t>
            </w:r>
            <w:r w:rsidR="00F129CE" w:rsidRPr="00FE3C59">
              <w:rPr>
                <w:rFonts w:ascii="Times New Roman" w:hAnsi="Times New Roman" w:cs="Times New Roman"/>
                <w:lang w:val="en-GB"/>
              </w:rPr>
              <w:t>325s</w:t>
            </w:r>
            <w:r w:rsidRPr="00FE3C59">
              <w:rPr>
                <w:rFonts w:ascii="Times New Roman" w:hAnsi="Times New Roman" w:cs="Times New Roman"/>
                <w:lang w:val="en-GB"/>
              </w:rPr>
              <w:t xml:space="preserve"> of Regulation (EU) No 575/2013 and weighted by the corresponding risk weights set out in Part Three, Title IV, Chapter 1a, Section 6 of Regulation (EU) No 575/2013, shall be aggregated by bucket separately for delta</w:t>
            </w:r>
            <w:r w:rsidR="3530992D" w:rsidRPr="00FE3C59">
              <w:rPr>
                <w:rFonts w:ascii="Times New Roman" w:hAnsi="Times New Roman" w:cs="Times New Roman"/>
                <w:lang w:val="en-GB"/>
              </w:rPr>
              <w:t xml:space="preserve"> and</w:t>
            </w:r>
            <w:r w:rsidRPr="00FE3C59">
              <w:rPr>
                <w:rFonts w:ascii="Times New Roman" w:hAnsi="Times New Roman" w:cs="Times New Roman"/>
                <w:lang w:val="en-GB"/>
              </w:rPr>
              <w:t xml:space="preserve"> vega risk and be reported in </w:t>
            </w:r>
            <w:r w:rsidR="00BF73C3" w:rsidRPr="00FE3C59">
              <w:rPr>
                <w:rFonts w:ascii="Times New Roman" w:hAnsi="Times New Roman" w:cs="Times New Roman"/>
                <w:lang w:val="en-GB"/>
              </w:rPr>
              <w:t xml:space="preserve">the </w:t>
            </w:r>
            <w:r w:rsidRPr="00FE3C59">
              <w:rPr>
                <w:rFonts w:ascii="Times New Roman" w:hAnsi="Times New Roman" w:cs="Times New Roman"/>
                <w:lang w:val="en-GB"/>
              </w:rPr>
              <w:t>applicable columns.</w:t>
            </w:r>
          </w:p>
        </w:tc>
      </w:tr>
      <w:tr w:rsidR="00604F69" w:rsidRPr="00FE3C59" w14:paraId="7AD7DA35" w14:textId="77777777" w:rsidTr="65EC9DBC">
        <w:trPr>
          <w:trHeight w:val="300"/>
        </w:trPr>
        <w:tc>
          <w:tcPr>
            <w:tcW w:w="1845" w:type="dxa"/>
          </w:tcPr>
          <w:p w14:paraId="1941C950" w14:textId="27F7A4A6" w:rsidR="00604F69" w:rsidRPr="00FE3C59" w:rsidRDefault="3BA32B07"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0400 </w:t>
            </w:r>
            <w:r w:rsidR="00957F5F" w:rsidRPr="00FE3C59">
              <w:rPr>
                <w:rFonts w:ascii="Times New Roman" w:hAnsi="Times New Roman" w:cs="Times New Roman"/>
                <w:lang w:val="en-GB"/>
              </w:rPr>
              <w:t>–</w:t>
            </w:r>
            <w:r w:rsidRPr="00FE3C59">
              <w:rPr>
                <w:rFonts w:ascii="Times New Roman" w:hAnsi="Times New Roman" w:cs="Times New Roman"/>
                <w:lang w:val="en-GB"/>
              </w:rPr>
              <w:t xml:space="preserve"> 0520</w:t>
            </w:r>
          </w:p>
        </w:tc>
        <w:tc>
          <w:tcPr>
            <w:tcW w:w="7171" w:type="dxa"/>
          </w:tcPr>
          <w:p w14:paraId="247B36F0" w14:textId="4989D55C" w:rsidR="00604F69" w:rsidRPr="00FE3C59" w:rsidRDefault="00604F69" w:rsidP="496E52F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 factors</w:t>
            </w:r>
          </w:p>
          <w:p w14:paraId="696399BC" w14:textId="764AAF3F" w:rsidR="00604F69" w:rsidRPr="00FE3C59" w:rsidRDefault="20237B8A"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w:t>
            </w:r>
            <w:r w:rsidR="00957F5F" w:rsidRPr="00FE3C59">
              <w:rPr>
                <w:rFonts w:ascii="Times New Roman" w:hAnsi="Times New Roman" w:cs="Times New Roman"/>
                <w:lang w:val="en-GB"/>
              </w:rPr>
              <w:t>s</w:t>
            </w:r>
            <w:r w:rsidRPr="00FE3C59">
              <w:rPr>
                <w:rFonts w:ascii="Times New Roman" w:hAnsi="Times New Roman" w:cs="Times New Roman"/>
                <w:lang w:val="en-GB"/>
              </w:rPr>
              <w:t xml:space="preserve"> 325e(1</w:t>
            </w:r>
            <w:r w:rsidR="00957F5F" w:rsidRPr="00FE3C59">
              <w:rPr>
                <w:rFonts w:ascii="Times New Roman" w:hAnsi="Times New Roman" w:cs="Times New Roman"/>
                <w:lang w:val="en-GB"/>
              </w:rPr>
              <w:t>), point (</w:t>
            </w:r>
            <w:r w:rsidRPr="00FE3C59">
              <w:rPr>
                <w:rFonts w:ascii="Times New Roman" w:hAnsi="Times New Roman" w:cs="Times New Roman"/>
                <w:lang w:val="en-GB"/>
              </w:rPr>
              <w:t>a), 325f(1</w:t>
            </w:r>
            <w:r w:rsidR="00957F5F" w:rsidRPr="00FE3C59">
              <w:rPr>
                <w:rFonts w:ascii="Times New Roman" w:hAnsi="Times New Roman" w:cs="Times New Roman"/>
                <w:lang w:val="en-GB"/>
              </w:rPr>
              <w:t>) to (</w:t>
            </w:r>
            <w:r w:rsidRPr="00FE3C59">
              <w:rPr>
                <w:rFonts w:ascii="Times New Roman" w:hAnsi="Times New Roman" w:cs="Times New Roman"/>
                <w:lang w:val="en-GB"/>
              </w:rPr>
              <w:t>6), 325l(1</w:t>
            </w:r>
            <w:r w:rsidR="00957F5F" w:rsidRPr="00FE3C59">
              <w:rPr>
                <w:rFonts w:ascii="Times New Roman" w:hAnsi="Times New Roman" w:cs="Times New Roman"/>
                <w:lang w:val="en-GB"/>
              </w:rPr>
              <w:t>) to (</w:t>
            </w:r>
            <w:r w:rsidRPr="00FE3C59">
              <w:rPr>
                <w:rFonts w:ascii="Times New Roman" w:hAnsi="Times New Roman" w:cs="Times New Roman"/>
                <w:lang w:val="en-GB"/>
              </w:rPr>
              <w:t>6)</w:t>
            </w:r>
            <w:r w:rsidR="00957F5F" w:rsidRPr="00FE3C59">
              <w:rPr>
                <w:rFonts w:ascii="Times New Roman" w:hAnsi="Times New Roman" w:cs="Times New Roman"/>
                <w:lang w:val="en-GB"/>
              </w:rPr>
              <w:t xml:space="preserve"> and</w:t>
            </w:r>
            <w:r w:rsidRPr="00FE3C59">
              <w:rPr>
                <w:rFonts w:ascii="Times New Roman" w:hAnsi="Times New Roman" w:cs="Times New Roman"/>
                <w:lang w:val="en-GB"/>
              </w:rPr>
              <w:t xml:space="preserve"> 325r(1)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tc>
      </w:tr>
      <w:tr w:rsidR="496E52FC" w:rsidRPr="00FE3C59" w14:paraId="529BD305" w14:textId="77777777" w:rsidTr="65EC9DBC">
        <w:trPr>
          <w:trHeight w:val="300"/>
        </w:trPr>
        <w:tc>
          <w:tcPr>
            <w:tcW w:w="1845" w:type="dxa"/>
          </w:tcPr>
          <w:p w14:paraId="3BEA2626" w14:textId="23294FF3" w:rsidR="496E52FC" w:rsidRPr="00FE3C59" w:rsidRDefault="496E52FC" w:rsidP="496E52FC">
            <w:pPr>
              <w:pStyle w:val="BodyText"/>
              <w:rPr>
                <w:rFonts w:ascii="Times New Roman" w:hAnsi="Times New Roman" w:cs="Times New Roman"/>
                <w:lang w:val="en-GB"/>
              </w:rPr>
            </w:pPr>
            <w:r w:rsidRPr="00FE3C59">
              <w:rPr>
                <w:rFonts w:ascii="Times New Roman" w:hAnsi="Times New Roman" w:cs="Times New Roman"/>
                <w:lang w:val="en-GB"/>
              </w:rPr>
              <w:t xml:space="preserve">0400 </w:t>
            </w:r>
            <w:r w:rsidR="00957F5F" w:rsidRPr="00FE3C59">
              <w:rPr>
                <w:rFonts w:ascii="Times New Roman" w:hAnsi="Times New Roman" w:cs="Times New Roman"/>
                <w:lang w:val="en-GB"/>
              </w:rPr>
              <w:t>–</w:t>
            </w:r>
            <w:r w:rsidRPr="00FE3C59">
              <w:rPr>
                <w:rFonts w:ascii="Times New Roman" w:hAnsi="Times New Roman" w:cs="Times New Roman"/>
                <w:lang w:val="en-GB"/>
              </w:rPr>
              <w:t xml:space="preserve"> 0490</w:t>
            </w:r>
          </w:p>
        </w:tc>
        <w:tc>
          <w:tcPr>
            <w:tcW w:w="7171" w:type="dxa"/>
          </w:tcPr>
          <w:p w14:paraId="760B6D53" w14:textId="1B0F12AC" w:rsidR="1D2ED179" w:rsidRPr="00FE3C59" w:rsidRDefault="1D2ED179" w:rsidP="496E52FC">
            <w:pPr>
              <w:pStyle w:val="BodyText"/>
              <w:rPr>
                <w:rFonts w:ascii="Times New Roman" w:hAnsi="Times New Roman" w:cs="Times New Roman"/>
                <w:b/>
                <w:u w:val="single"/>
                <w:lang w:val="en-GB"/>
              </w:rPr>
            </w:pPr>
            <w:r w:rsidRPr="00FE3C59">
              <w:rPr>
                <w:rFonts w:ascii="Times New Roman" w:hAnsi="Times New Roman" w:cs="Times New Roman"/>
                <w:b/>
                <w:u w:val="single"/>
                <w:lang w:val="en-GB"/>
              </w:rPr>
              <w:t>Maturities</w:t>
            </w:r>
          </w:p>
          <w:p w14:paraId="231C58D8" w14:textId="23EEED27" w:rsidR="20237B8A" w:rsidRPr="00FE3C59" w:rsidRDefault="00957F5F" w:rsidP="496E52FC">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325l(1), 325r(1), point (a), 325f(6) of Regulation (EU) No 575/2013</w:t>
            </w:r>
          </w:p>
        </w:tc>
      </w:tr>
      <w:tr w:rsidR="00604F69" w:rsidRPr="00FE3C59" w14:paraId="5801FD24" w14:textId="77777777" w:rsidTr="65EC9DBC">
        <w:trPr>
          <w:trHeight w:val="300"/>
        </w:trPr>
        <w:tc>
          <w:tcPr>
            <w:tcW w:w="1845" w:type="dxa"/>
          </w:tcPr>
          <w:p w14:paraId="7098BB3A" w14:textId="01D07BF8"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0400</w:t>
            </w:r>
          </w:p>
        </w:tc>
        <w:tc>
          <w:tcPr>
            <w:tcW w:w="7171" w:type="dxa"/>
          </w:tcPr>
          <w:p w14:paraId="7E83D9B1" w14:textId="7E41ACCD"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0.25 years</w:t>
            </w:r>
          </w:p>
        </w:tc>
      </w:tr>
      <w:tr w:rsidR="00604F69" w:rsidRPr="00FE3C59" w14:paraId="00983304" w14:textId="77777777" w:rsidTr="65EC9DBC">
        <w:trPr>
          <w:trHeight w:val="300"/>
        </w:trPr>
        <w:tc>
          <w:tcPr>
            <w:tcW w:w="1845" w:type="dxa"/>
          </w:tcPr>
          <w:p w14:paraId="58CC4AC4" w14:textId="7CAACFF2"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0410</w:t>
            </w:r>
          </w:p>
        </w:tc>
        <w:tc>
          <w:tcPr>
            <w:tcW w:w="7171" w:type="dxa"/>
          </w:tcPr>
          <w:p w14:paraId="2343658C" w14:textId="7A0A8DFE"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w:t>
            </w:r>
          </w:p>
        </w:tc>
      </w:tr>
      <w:tr w:rsidR="00604F69" w:rsidRPr="00FE3C59" w14:paraId="6FBF0862" w14:textId="77777777" w:rsidTr="65EC9DBC">
        <w:trPr>
          <w:trHeight w:val="300"/>
        </w:trPr>
        <w:tc>
          <w:tcPr>
            <w:tcW w:w="1845" w:type="dxa"/>
          </w:tcPr>
          <w:p w14:paraId="329B37A7" w14:textId="3B1DFEB7"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0420</w:t>
            </w:r>
          </w:p>
        </w:tc>
        <w:tc>
          <w:tcPr>
            <w:tcW w:w="7171" w:type="dxa"/>
          </w:tcPr>
          <w:p w14:paraId="6B9B6447" w14:textId="7D1D5BA7"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w:t>
            </w:r>
          </w:p>
        </w:tc>
      </w:tr>
      <w:tr w:rsidR="00604F69" w:rsidRPr="00FE3C59" w14:paraId="294F9F90" w14:textId="77777777" w:rsidTr="65EC9DBC">
        <w:trPr>
          <w:trHeight w:val="300"/>
        </w:trPr>
        <w:tc>
          <w:tcPr>
            <w:tcW w:w="1845" w:type="dxa"/>
          </w:tcPr>
          <w:p w14:paraId="45C5BC39" w14:textId="00E6BD5C"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0430</w:t>
            </w:r>
          </w:p>
        </w:tc>
        <w:tc>
          <w:tcPr>
            <w:tcW w:w="7171" w:type="dxa"/>
          </w:tcPr>
          <w:p w14:paraId="4362EF61" w14:textId="5B29F4D0"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 years</w:t>
            </w:r>
          </w:p>
        </w:tc>
      </w:tr>
      <w:tr w:rsidR="00604F69" w:rsidRPr="00FE3C59" w14:paraId="740AB6C0" w14:textId="77777777" w:rsidTr="65EC9DBC">
        <w:trPr>
          <w:trHeight w:val="300"/>
        </w:trPr>
        <w:tc>
          <w:tcPr>
            <w:tcW w:w="1845" w:type="dxa"/>
          </w:tcPr>
          <w:p w14:paraId="4C0F1BF9" w14:textId="70D33DCA"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0440</w:t>
            </w:r>
          </w:p>
        </w:tc>
        <w:tc>
          <w:tcPr>
            <w:tcW w:w="7171" w:type="dxa"/>
          </w:tcPr>
          <w:p w14:paraId="4586322E" w14:textId="54B5E008"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w:t>
            </w:r>
          </w:p>
        </w:tc>
      </w:tr>
      <w:tr w:rsidR="00604F69" w:rsidRPr="00FE3C59" w14:paraId="341DF3E1" w14:textId="77777777" w:rsidTr="65EC9DBC">
        <w:trPr>
          <w:trHeight w:val="300"/>
        </w:trPr>
        <w:tc>
          <w:tcPr>
            <w:tcW w:w="1845" w:type="dxa"/>
          </w:tcPr>
          <w:p w14:paraId="34F9C4FB" w14:textId="7201BD84"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0450</w:t>
            </w:r>
          </w:p>
        </w:tc>
        <w:tc>
          <w:tcPr>
            <w:tcW w:w="7171" w:type="dxa"/>
          </w:tcPr>
          <w:p w14:paraId="483FF5AA" w14:textId="7C8F204D"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w:t>
            </w:r>
          </w:p>
        </w:tc>
      </w:tr>
      <w:tr w:rsidR="00604F69" w:rsidRPr="00FE3C59" w14:paraId="0BDE6148" w14:textId="77777777" w:rsidTr="65EC9DBC">
        <w:trPr>
          <w:trHeight w:val="300"/>
        </w:trPr>
        <w:tc>
          <w:tcPr>
            <w:tcW w:w="1845" w:type="dxa"/>
          </w:tcPr>
          <w:p w14:paraId="27DB4102" w14:textId="1F953FAE"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0460</w:t>
            </w:r>
          </w:p>
        </w:tc>
        <w:tc>
          <w:tcPr>
            <w:tcW w:w="7171" w:type="dxa"/>
          </w:tcPr>
          <w:p w14:paraId="58C04443" w14:textId="6A6C8DC4"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w:t>
            </w:r>
          </w:p>
        </w:tc>
      </w:tr>
      <w:tr w:rsidR="00604F69" w:rsidRPr="00FE3C59" w14:paraId="41CBE6ED" w14:textId="77777777" w:rsidTr="65EC9DBC">
        <w:trPr>
          <w:trHeight w:val="300"/>
        </w:trPr>
        <w:tc>
          <w:tcPr>
            <w:tcW w:w="1845" w:type="dxa"/>
          </w:tcPr>
          <w:p w14:paraId="7A90D53B" w14:textId="3A99C556"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0470</w:t>
            </w:r>
          </w:p>
        </w:tc>
        <w:tc>
          <w:tcPr>
            <w:tcW w:w="7171" w:type="dxa"/>
          </w:tcPr>
          <w:p w14:paraId="63079F72" w14:textId="0E40A562"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15 years</w:t>
            </w:r>
          </w:p>
        </w:tc>
      </w:tr>
      <w:tr w:rsidR="00604F69" w:rsidRPr="00FE3C59" w14:paraId="29DD6A4E" w14:textId="77777777" w:rsidTr="65EC9DBC">
        <w:trPr>
          <w:trHeight w:val="300"/>
        </w:trPr>
        <w:tc>
          <w:tcPr>
            <w:tcW w:w="1845" w:type="dxa"/>
          </w:tcPr>
          <w:p w14:paraId="011AD5A7" w14:textId="49FD694B"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0480</w:t>
            </w:r>
          </w:p>
        </w:tc>
        <w:tc>
          <w:tcPr>
            <w:tcW w:w="7171" w:type="dxa"/>
          </w:tcPr>
          <w:p w14:paraId="367CC1D7" w14:textId="3C794D2E"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20 years</w:t>
            </w:r>
          </w:p>
        </w:tc>
      </w:tr>
      <w:tr w:rsidR="00604F69" w:rsidRPr="00FE3C59" w14:paraId="15277E41" w14:textId="77777777" w:rsidTr="65EC9DBC">
        <w:trPr>
          <w:trHeight w:val="300"/>
        </w:trPr>
        <w:tc>
          <w:tcPr>
            <w:tcW w:w="1845" w:type="dxa"/>
          </w:tcPr>
          <w:p w14:paraId="495AAB75" w14:textId="09BFE04D"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0490</w:t>
            </w:r>
          </w:p>
        </w:tc>
        <w:tc>
          <w:tcPr>
            <w:tcW w:w="7171" w:type="dxa"/>
          </w:tcPr>
          <w:p w14:paraId="6B251E62" w14:textId="2034D38B" w:rsidR="00604F69" w:rsidRPr="00FE3C59" w:rsidRDefault="00604F69" w:rsidP="00604F6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30 years</w:t>
            </w:r>
          </w:p>
        </w:tc>
      </w:tr>
      <w:tr w:rsidR="00604F69" w:rsidRPr="00FE3C59" w14:paraId="6384AC5C" w14:textId="77777777" w:rsidTr="65EC9DBC">
        <w:trPr>
          <w:trHeight w:val="300"/>
        </w:trPr>
        <w:tc>
          <w:tcPr>
            <w:tcW w:w="1845" w:type="dxa"/>
          </w:tcPr>
          <w:p w14:paraId="2D3F16CA" w14:textId="7AC7C48B"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0500</w:t>
            </w:r>
          </w:p>
        </w:tc>
        <w:tc>
          <w:tcPr>
            <w:tcW w:w="7171" w:type="dxa"/>
          </w:tcPr>
          <w:p w14:paraId="7CFE690F" w14:textId="295C57B8" w:rsidR="00604F69" w:rsidRPr="00FE3C59" w:rsidRDefault="00604F69" w:rsidP="496E52F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Inflation</w:t>
            </w:r>
          </w:p>
          <w:p w14:paraId="685A192C" w14:textId="313F37CD" w:rsidR="00604F69" w:rsidRPr="00FE3C59" w:rsidRDefault="20237B8A"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 325l(5), 325r(1)</w:t>
            </w:r>
            <w:r w:rsidR="00957F5F" w:rsidRPr="00FE3C59">
              <w:rPr>
                <w:rFonts w:ascii="Times New Roman" w:hAnsi="Times New Roman" w:cs="Times New Roman"/>
                <w:lang w:val="en-GB"/>
              </w:rPr>
              <w:t xml:space="preserve">, point </w:t>
            </w:r>
            <w:r w:rsidRPr="00FE3C59">
              <w:rPr>
                <w:rFonts w:ascii="Times New Roman" w:hAnsi="Times New Roman" w:cs="Times New Roman"/>
                <w:lang w:val="en-GB"/>
              </w:rPr>
              <w:t>(b), 325ae(2) of</w:t>
            </w:r>
            <w:r w:rsidR="00FD7136" w:rsidRPr="00FE3C59">
              <w:rPr>
                <w:rFonts w:ascii="Times New Roman" w:hAnsi="Times New Roman" w:cs="Times New Roman"/>
                <w:lang w:val="en-GB"/>
              </w:rPr>
              <w:t xml:space="preserve"> Regulation (EU) No 575/2013</w:t>
            </w:r>
          </w:p>
        </w:tc>
      </w:tr>
      <w:tr w:rsidR="00604F69" w:rsidRPr="00FE3C59" w14:paraId="709E9A13" w14:textId="77777777" w:rsidTr="65EC9DBC">
        <w:trPr>
          <w:trHeight w:val="300"/>
        </w:trPr>
        <w:tc>
          <w:tcPr>
            <w:tcW w:w="1845" w:type="dxa"/>
          </w:tcPr>
          <w:p w14:paraId="6FD982E7" w14:textId="18B900BF"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0510</w:t>
            </w:r>
          </w:p>
        </w:tc>
        <w:tc>
          <w:tcPr>
            <w:tcW w:w="7171" w:type="dxa"/>
          </w:tcPr>
          <w:p w14:paraId="76A211E0" w14:textId="16B6BA11" w:rsidR="00604F69" w:rsidRPr="00FE3C59" w:rsidRDefault="00604F69" w:rsidP="496E52F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Cross</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currency basis (over EUR)</w:t>
            </w:r>
          </w:p>
          <w:p w14:paraId="067FD1C1" w14:textId="1CC32405" w:rsidR="00604F69" w:rsidRPr="00FE3C59" w:rsidRDefault="20237B8A"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w:t>
            </w:r>
            <w:r w:rsidR="00957F5F" w:rsidRPr="00FE3C59">
              <w:rPr>
                <w:rFonts w:ascii="Times New Roman" w:hAnsi="Times New Roman" w:cs="Times New Roman"/>
                <w:lang w:val="en-GB"/>
              </w:rPr>
              <w:t>s</w:t>
            </w:r>
            <w:r w:rsidRPr="00FE3C59">
              <w:rPr>
                <w:rFonts w:ascii="Times New Roman" w:hAnsi="Times New Roman" w:cs="Times New Roman"/>
                <w:lang w:val="en-GB"/>
              </w:rPr>
              <w:t xml:space="preserve"> 325l(6), 325r(1</w:t>
            </w:r>
            <w:r w:rsidR="00957F5F" w:rsidRPr="00FE3C59">
              <w:rPr>
                <w:rFonts w:ascii="Times New Roman" w:hAnsi="Times New Roman" w:cs="Times New Roman"/>
                <w:lang w:val="en-GB"/>
              </w:rPr>
              <w:t>), point (</w:t>
            </w:r>
            <w:r w:rsidRPr="00FE3C59">
              <w:rPr>
                <w:rFonts w:ascii="Times New Roman" w:hAnsi="Times New Roman" w:cs="Times New Roman"/>
                <w:lang w:val="en-GB"/>
              </w:rPr>
              <w:t xml:space="preserve">b), </w:t>
            </w:r>
            <w:r w:rsidR="00957F5F" w:rsidRPr="00FE3C59">
              <w:rPr>
                <w:rFonts w:ascii="Times New Roman" w:hAnsi="Times New Roman" w:cs="Times New Roman"/>
                <w:lang w:val="en-GB"/>
              </w:rPr>
              <w:t>and</w:t>
            </w:r>
            <w:r w:rsidRPr="00FE3C59">
              <w:rPr>
                <w:rFonts w:ascii="Times New Roman" w:hAnsi="Times New Roman" w:cs="Times New Roman"/>
                <w:lang w:val="en-GB"/>
              </w:rPr>
              <w:t xml:space="preserve"> 325ae(2)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tc>
      </w:tr>
      <w:tr w:rsidR="00604F69" w:rsidRPr="00FE3C59" w14:paraId="1262F1A1" w14:textId="77777777" w:rsidTr="65EC9DBC">
        <w:trPr>
          <w:trHeight w:val="300"/>
        </w:trPr>
        <w:tc>
          <w:tcPr>
            <w:tcW w:w="1845" w:type="dxa"/>
          </w:tcPr>
          <w:p w14:paraId="1A02A70C" w14:textId="1D49AFAB" w:rsidR="00604F69" w:rsidRPr="00FE3C59" w:rsidRDefault="00604F69" w:rsidP="00604F69">
            <w:pPr>
              <w:pStyle w:val="BodyText"/>
              <w:spacing w:before="120" w:after="120"/>
              <w:rPr>
                <w:rFonts w:ascii="Times New Roman" w:hAnsi="Times New Roman" w:cs="Times New Roman"/>
                <w:lang w:val="en-GB"/>
              </w:rPr>
            </w:pPr>
            <w:r w:rsidRPr="00FE3C59">
              <w:rPr>
                <w:rFonts w:ascii="Times New Roman" w:hAnsi="Times New Roman" w:cs="Times New Roman"/>
                <w:lang w:val="en-GB"/>
              </w:rPr>
              <w:t>0520</w:t>
            </w:r>
          </w:p>
        </w:tc>
        <w:tc>
          <w:tcPr>
            <w:tcW w:w="7171" w:type="dxa"/>
          </w:tcPr>
          <w:p w14:paraId="7B898AE2" w14:textId="6779427D" w:rsidR="00604F69" w:rsidRPr="00FE3C59" w:rsidRDefault="00604F69" w:rsidP="496E52F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Cross</w:t>
            </w:r>
            <w:r w:rsidR="00485C29" w:rsidRPr="00FE3C59">
              <w:rPr>
                <w:rFonts w:ascii="Times New Roman" w:hAnsi="Times New Roman" w:cs="Times New Roman"/>
                <w:b/>
                <w:u w:val="single"/>
                <w:lang w:val="en-GB"/>
              </w:rPr>
              <w:t>–</w:t>
            </w:r>
            <w:r w:rsidRPr="00FE3C59">
              <w:rPr>
                <w:rFonts w:ascii="Times New Roman" w:hAnsi="Times New Roman" w:cs="Times New Roman"/>
                <w:b/>
                <w:u w:val="single"/>
                <w:lang w:val="en-GB"/>
              </w:rPr>
              <w:t>currency basis (over USD)</w:t>
            </w:r>
          </w:p>
          <w:p w14:paraId="72CF364C" w14:textId="507CD2E7" w:rsidR="00604F69" w:rsidRPr="00FE3C59" w:rsidRDefault="20237B8A" w:rsidP="00604F69">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Article</w:t>
            </w:r>
            <w:r w:rsidR="00957F5F" w:rsidRPr="00FE3C59">
              <w:rPr>
                <w:rFonts w:ascii="Times New Roman" w:hAnsi="Times New Roman" w:cs="Times New Roman"/>
                <w:lang w:val="en-GB"/>
              </w:rPr>
              <w:t>s</w:t>
            </w:r>
            <w:r w:rsidRPr="00FE3C59">
              <w:rPr>
                <w:rFonts w:ascii="Times New Roman" w:hAnsi="Times New Roman" w:cs="Times New Roman"/>
                <w:lang w:val="en-GB"/>
              </w:rPr>
              <w:t xml:space="preserve"> 325l(6), 325r(1</w:t>
            </w:r>
            <w:r w:rsidR="00957F5F" w:rsidRPr="00FE3C59">
              <w:rPr>
                <w:rFonts w:ascii="Times New Roman" w:hAnsi="Times New Roman" w:cs="Times New Roman"/>
                <w:lang w:val="en-GB"/>
              </w:rPr>
              <w:t>), point (</w:t>
            </w:r>
            <w:r w:rsidRPr="00FE3C59">
              <w:rPr>
                <w:rFonts w:ascii="Times New Roman" w:hAnsi="Times New Roman" w:cs="Times New Roman"/>
                <w:lang w:val="en-GB"/>
              </w:rPr>
              <w:t xml:space="preserve">b), </w:t>
            </w:r>
            <w:r w:rsidR="00957F5F" w:rsidRPr="00FE3C59">
              <w:rPr>
                <w:rFonts w:ascii="Times New Roman" w:hAnsi="Times New Roman" w:cs="Times New Roman"/>
                <w:lang w:val="en-GB"/>
              </w:rPr>
              <w:t>and</w:t>
            </w:r>
            <w:r w:rsidRPr="00FE3C59">
              <w:rPr>
                <w:rFonts w:ascii="Times New Roman" w:hAnsi="Times New Roman" w:cs="Times New Roman"/>
                <w:lang w:val="en-GB"/>
              </w:rPr>
              <w:t xml:space="preserve"> 325ae(2)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tc>
      </w:tr>
      <w:tr w:rsidR="00485C29" w:rsidRPr="00FE3C59" w14:paraId="4C7BDA72" w14:textId="77777777" w:rsidTr="65EC9DBC">
        <w:trPr>
          <w:trHeight w:val="300"/>
        </w:trPr>
        <w:tc>
          <w:tcPr>
            <w:tcW w:w="1845" w:type="dxa"/>
          </w:tcPr>
          <w:p w14:paraId="5ACD8B09" w14:textId="75F86489" w:rsidR="00485C29" w:rsidRPr="00FE3C59" w:rsidRDefault="5591A5E1"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0530 - 0770</w:t>
            </w:r>
          </w:p>
        </w:tc>
        <w:tc>
          <w:tcPr>
            <w:tcW w:w="7171" w:type="dxa"/>
          </w:tcPr>
          <w:p w14:paraId="4CB92D9A" w14:textId="54071A1D" w:rsidR="00485C29" w:rsidRPr="00FE3C59" w:rsidRDefault="00485C29" w:rsidP="496E52F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 factors</w:t>
            </w:r>
            <w:r w:rsidR="00B40AB4" w:rsidRPr="00FE3C59">
              <w:rPr>
                <w:rFonts w:ascii="Times New Roman" w:hAnsi="Times New Roman" w:cs="Times New Roman"/>
                <w:b/>
                <w:u w:val="single"/>
                <w:lang w:val="en-GB"/>
              </w:rPr>
              <w:t>: Maturities (maturity of the option – residual maturity of the underlying)</w:t>
            </w:r>
          </w:p>
          <w:p w14:paraId="0724C84B" w14:textId="77777777" w:rsidR="00BD22C7" w:rsidRPr="00FE3C59" w:rsidRDefault="20237B8A"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00957F5F" w:rsidRPr="00FE3C59">
              <w:rPr>
                <w:rFonts w:ascii="Times New Roman" w:hAnsi="Times New Roman" w:cs="Times New Roman"/>
                <w:lang w:val="en-GB"/>
              </w:rPr>
              <w:t>s</w:t>
            </w:r>
            <w:r w:rsidRPr="00FE3C59">
              <w:rPr>
                <w:rFonts w:ascii="Times New Roman" w:hAnsi="Times New Roman" w:cs="Times New Roman"/>
                <w:lang w:val="en-GB"/>
              </w:rPr>
              <w:t xml:space="preserve"> 325e(1</w:t>
            </w:r>
            <w:r w:rsidR="00957F5F" w:rsidRPr="00FE3C59">
              <w:rPr>
                <w:rFonts w:ascii="Times New Roman" w:hAnsi="Times New Roman" w:cs="Times New Roman"/>
                <w:lang w:val="en-GB"/>
              </w:rPr>
              <w:t>), point (</w:t>
            </w:r>
            <w:r w:rsidRPr="00FE3C59">
              <w:rPr>
                <w:rFonts w:ascii="Times New Roman" w:hAnsi="Times New Roman" w:cs="Times New Roman"/>
                <w:lang w:val="en-GB"/>
              </w:rPr>
              <w:t>b), 325f(1</w:t>
            </w:r>
            <w:r w:rsidR="00957F5F" w:rsidRPr="00FE3C59">
              <w:rPr>
                <w:rFonts w:ascii="Times New Roman" w:hAnsi="Times New Roman" w:cs="Times New Roman"/>
                <w:lang w:val="en-GB"/>
              </w:rPr>
              <w:t>) to (</w:t>
            </w:r>
            <w:r w:rsidRPr="00FE3C59">
              <w:rPr>
                <w:rFonts w:ascii="Times New Roman" w:hAnsi="Times New Roman" w:cs="Times New Roman"/>
                <w:lang w:val="en-GB"/>
              </w:rPr>
              <w:t>6), 325l(7)</w:t>
            </w:r>
            <w:r w:rsidR="00957F5F" w:rsidRPr="00FE3C59">
              <w:rPr>
                <w:rFonts w:ascii="Times New Roman" w:hAnsi="Times New Roman" w:cs="Times New Roman"/>
                <w:lang w:val="en-GB"/>
              </w:rPr>
              <w:t xml:space="preserve"> and</w:t>
            </w:r>
            <w:r w:rsidRPr="00FE3C59">
              <w:rPr>
                <w:rFonts w:ascii="Times New Roman" w:hAnsi="Times New Roman" w:cs="Times New Roman"/>
                <w:lang w:val="en-GB"/>
              </w:rPr>
              <w:t xml:space="preserve"> 325s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p w14:paraId="1A5BBD5A" w14:textId="761B0F3F" w:rsidR="00485C29" w:rsidRPr="00FE3C59" w:rsidRDefault="00501B26"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In the light of the provisions of Article 325l(7) of Regulation (EU) No 575/2013, the first maturity indicated in columns </w:t>
            </w:r>
            <w:r w:rsidR="004049FB" w:rsidRPr="00FE3C59">
              <w:rPr>
                <w:rFonts w:ascii="Times New Roman" w:hAnsi="Times New Roman" w:cs="Times New Roman"/>
                <w:lang w:val="en-GB"/>
              </w:rPr>
              <w:t>0530 to 0770</w:t>
            </w:r>
            <w:r w:rsidRPr="00FE3C59">
              <w:rPr>
                <w:rFonts w:ascii="Times New Roman" w:hAnsi="Times New Roman" w:cs="Times New Roman"/>
                <w:lang w:val="en-GB"/>
              </w:rPr>
              <w:t xml:space="preserve"> corresponds to the maturity of the option, while the second maturity indicated is the residual maturity of the underlying.</w:t>
            </w:r>
          </w:p>
        </w:tc>
      </w:tr>
      <w:tr w:rsidR="00485C29" w:rsidRPr="00FE3C59" w14:paraId="2BBD6C71" w14:textId="77777777" w:rsidTr="65EC9DBC">
        <w:trPr>
          <w:trHeight w:val="300"/>
        </w:trPr>
        <w:tc>
          <w:tcPr>
            <w:tcW w:w="1845" w:type="dxa"/>
          </w:tcPr>
          <w:p w14:paraId="4BC974B4" w14:textId="584B5660"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0530</w:t>
            </w:r>
          </w:p>
        </w:tc>
        <w:tc>
          <w:tcPr>
            <w:tcW w:w="7171" w:type="dxa"/>
          </w:tcPr>
          <w:p w14:paraId="0A8F04F2" w14:textId="72042EF0" w:rsidR="00485C29" w:rsidRPr="00FE3C59" w:rsidRDefault="00485C29" w:rsidP="1BD18A9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 – 0.5 years</w:t>
            </w:r>
          </w:p>
        </w:tc>
      </w:tr>
      <w:tr w:rsidR="00485C29" w:rsidRPr="00FE3C59" w14:paraId="0921BC77" w14:textId="77777777" w:rsidTr="65EC9DBC">
        <w:trPr>
          <w:trHeight w:val="300"/>
        </w:trPr>
        <w:tc>
          <w:tcPr>
            <w:tcW w:w="1845" w:type="dxa"/>
          </w:tcPr>
          <w:p w14:paraId="45EA801E" w14:textId="1A0CB67E"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0540</w:t>
            </w:r>
          </w:p>
        </w:tc>
        <w:tc>
          <w:tcPr>
            <w:tcW w:w="7171" w:type="dxa"/>
          </w:tcPr>
          <w:p w14:paraId="5041D8A9" w14:textId="584EEB75"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 – 1 year</w:t>
            </w:r>
          </w:p>
        </w:tc>
      </w:tr>
      <w:tr w:rsidR="00485C29" w:rsidRPr="00FE3C59" w14:paraId="357AF315" w14:textId="77777777" w:rsidTr="65EC9DBC">
        <w:trPr>
          <w:trHeight w:val="300"/>
        </w:trPr>
        <w:tc>
          <w:tcPr>
            <w:tcW w:w="1845" w:type="dxa"/>
          </w:tcPr>
          <w:p w14:paraId="60DDAB46" w14:textId="47793F3D"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0550</w:t>
            </w:r>
          </w:p>
        </w:tc>
        <w:tc>
          <w:tcPr>
            <w:tcW w:w="7171" w:type="dxa"/>
          </w:tcPr>
          <w:p w14:paraId="330081A9" w14:textId="71AF8488"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 – 3 years</w:t>
            </w:r>
          </w:p>
        </w:tc>
      </w:tr>
      <w:tr w:rsidR="00485C29" w:rsidRPr="00FE3C59" w14:paraId="0FB8C96D" w14:textId="77777777" w:rsidTr="65EC9DBC">
        <w:trPr>
          <w:trHeight w:val="300"/>
        </w:trPr>
        <w:tc>
          <w:tcPr>
            <w:tcW w:w="1845" w:type="dxa"/>
          </w:tcPr>
          <w:p w14:paraId="7814BBE3" w14:textId="593705E0"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0560</w:t>
            </w:r>
          </w:p>
        </w:tc>
        <w:tc>
          <w:tcPr>
            <w:tcW w:w="7171" w:type="dxa"/>
          </w:tcPr>
          <w:p w14:paraId="4E78EA13" w14:textId="7EF27F4E"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 – 5 years</w:t>
            </w:r>
          </w:p>
        </w:tc>
      </w:tr>
      <w:tr w:rsidR="00485C29" w:rsidRPr="00FE3C59" w14:paraId="13341853" w14:textId="77777777" w:rsidTr="65EC9DBC">
        <w:trPr>
          <w:trHeight w:val="300"/>
        </w:trPr>
        <w:tc>
          <w:tcPr>
            <w:tcW w:w="1845" w:type="dxa"/>
          </w:tcPr>
          <w:p w14:paraId="64D80DAB" w14:textId="48A5EE63"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0570</w:t>
            </w:r>
          </w:p>
        </w:tc>
        <w:tc>
          <w:tcPr>
            <w:tcW w:w="7171" w:type="dxa"/>
          </w:tcPr>
          <w:p w14:paraId="4F9145EB" w14:textId="37D0E16E"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 – 10 years</w:t>
            </w:r>
          </w:p>
        </w:tc>
      </w:tr>
      <w:tr w:rsidR="00485C29" w:rsidRPr="00FE3C59" w14:paraId="6926E19F" w14:textId="77777777" w:rsidTr="65EC9DBC">
        <w:trPr>
          <w:trHeight w:val="300"/>
        </w:trPr>
        <w:tc>
          <w:tcPr>
            <w:tcW w:w="1845" w:type="dxa"/>
          </w:tcPr>
          <w:p w14:paraId="684475D8" w14:textId="2F7107A5"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0580</w:t>
            </w:r>
          </w:p>
        </w:tc>
        <w:tc>
          <w:tcPr>
            <w:tcW w:w="7171" w:type="dxa"/>
          </w:tcPr>
          <w:p w14:paraId="2569DBED" w14:textId="4C668D13"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 – 0.5 years</w:t>
            </w:r>
          </w:p>
        </w:tc>
      </w:tr>
      <w:tr w:rsidR="00485C29" w:rsidRPr="00FE3C59" w14:paraId="158E9A7F" w14:textId="77777777" w:rsidTr="65EC9DBC">
        <w:trPr>
          <w:trHeight w:val="300"/>
        </w:trPr>
        <w:tc>
          <w:tcPr>
            <w:tcW w:w="1845" w:type="dxa"/>
          </w:tcPr>
          <w:p w14:paraId="78D16808" w14:textId="73B2912D"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0590</w:t>
            </w:r>
          </w:p>
        </w:tc>
        <w:tc>
          <w:tcPr>
            <w:tcW w:w="7171" w:type="dxa"/>
          </w:tcPr>
          <w:p w14:paraId="1490E42F" w14:textId="4944CC62"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 – 1 year</w:t>
            </w:r>
          </w:p>
        </w:tc>
      </w:tr>
      <w:tr w:rsidR="00485C29" w:rsidRPr="00FE3C59" w14:paraId="6CBE7798" w14:textId="77777777" w:rsidTr="65EC9DBC">
        <w:trPr>
          <w:trHeight w:val="300"/>
        </w:trPr>
        <w:tc>
          <w:tcPr>
            <w:tcW w:w="1845" w:type="dxa"/>
          </w:tcPr>
          <w:p w14:paraId="5B2041A6" w14:textId="36958214"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0600</w:t>
            </w:r>
          </w:p>
        </w:tc>
        <w:tc>
          <w:tcPr>
            <w:tcW w:w="7171" w:type="dxa"/>
          </w:tcPr>
          <w:p w14:paraId="7F835771" w14:textId="25BB85B1"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 – 3 years</w:t>
            </w:r>
          </w:p>
        </w:tc>
      </w:tr>
      <w:tr w:rsidR="00485C29" w:rsidRPr="00FE3C59" w14:paraId="52E1B168" w14:textId="77777777" w:rsidTr="65EC9DBC">
        <w:trPr>
          <w:trHeight w:val="300"/>
        </w:trPr>
        <w:tc>
          <w:tcPr>
            <w:tcW w:w="1845" w:type="dxa"/>
          </w:tcPr>
          <w:p w14:paraId="707ABC92" w14:textId="05265BD2"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0610</w:t>
            </w:r>
          </w:p>
        </w:tc>
        <w:tc>
          <w:tcPr>
            <w:tcW w:w="7171" w:type="dxa"/>
          </w:tcPr>
          <w:p w14:paraId="2FA11CFC" w14:textId="6E76E2BB"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 – 5 years</w:t>
            </w:r>
          </w:p>
        </w:tc>
      </w:tr>
      <w:tr w:rsidR="00485C29" w:rsidRPr="00FE3C59" w14:paraId="5E0E31BF" w14:textId="77777777" w:rsidTr="65EC9DBC">
        <w:trPr>
          <w:trHeight w:val="300"/>
        </w:trPr>
        <w:tc>
          <w:tcPr>
            <w:tcW w:w="1845" w:type="dxa"/>
          </w:tcPr>
          <w:p w14:paraId="5DC55618" w14:textId="48B0B0B6"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0620</w:t>
            </w:r>
          </w:p>
        </w:tc>
        <w:tc>
          <w:tcPr>
            <w:tcW w:w="7171" w:type="dxa"/>
          </w:tcPr>
          <w:p w14:paraId="7684C1DD" w14:textId="44777BE0"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 – 10 years</w:t>
            </w:r>
          </w:p>
        </w:tc>
      </w:tr>
      <w:tr w:rsidR="00485C29" w:rsidRPr="00FE3C59" w14:paraId="27D38174" w14:textId="77777777" w:rsidTr="65EC9DBC">
        <w:trPr>
          <w:trHeight w:val="300"/>
        </w:trPr>
        <w:tc>
          <w:tcPr>
            <w:tcW w:w="1845" w:type="dxa"/>
          </w:tcPr>
          <w:p w14:paraId="08D79851" w14:textId="44CEFBBB"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0630</w:t>
            </w:r>
          </w:p>
        </w:tc>
        <w:tc>
          <w:tcPr>
            <w:tcW w:w="7171" w:type="dxa"/>
          </w:tcPr>
          <w:p w14:paraId="51FB114C" w14:textId="1A77BF29"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 – 0.5 years</w:t>
            </w:r>
          </w:p>
        </w:tc>
      </w:tr>
      <w:tr w:rsidR="00485C29" w:rsidRPr="00FE3C59" w14:paraId="2E53B76C" w14:textId="77777777" w:rsidTr="65EC9DBC">
        <w:trPr>
          <w:trHeight w:val="300"/>
        </w:trPr>
        <w:tc>
          <w:tcPr>
            <w:tcW w:w="1845" w:type="dxa"/>
          </w:tcPr>
          <w:p w14:paraId="28701299" w14:textId="278D5578"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0640</w:t>
            </w:r>
          </w:p>
        </w:tc>
        <w:tc>
          <w:tcPr>
            <w:tcW w:w="7171" w:type="dxa"/>
          </w:tcPr>
          <w:p w14:paraId="6E86395E" w14:textId="1966E8B5"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 – 1 year</w:t>
            </w:r>
          </w:p>
        </w:tc>
      </w:tr>
      <w:tr w:rsidR="00485C29" w:rsidRPr="00FE3C59" w14:paraId="5A295093" w14:textId="77777777" w:rsidTr="65EC9DBC">
        <w:trPr>
          <w:trHeight w:val="300"/>
        </w:trPr>
        <w:tc>
          <w:tcPr>
            <w:tcW w:w="1845" w:type="dxa"/>
          </w:tcPr>
          <w:p w14:paraId="147B92BF" w14:textId="596B34B6"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0650</w:t>
            </w:r>
          </w:p>
        </w:tc>
        <w:tc>
          <w:tcPr>
            <w:tcW w:w="7171" w:type="dxa"/>
          </w:tcPr>
          <w:p w14:paraId="63B96374" w14:textId="6171A496"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 – 3 years</w:t>
            </w:r>
          </w:p>
        </w:tc>
      </w:tr>
      <w:tr w:rsidR="00485C29" w:rsidRPr="00FE3C59" w14:paraId="38768A26" w14:textId="77777777" w:rsidTr="65EC9DBC">
        <w:trPr>
          <w:trHeight w:val="300"/>
        </w:trPr>
        <w:tc>
          <w:tcPr>
            <w:tcW w:w="1845" w:type="dxa"/>
          </w:tcPr>
          <w:p w14:paraId="2EB7C60E" w14:textId="1558CF62"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0660</w:t>
            </w:r>
          </w:p>
        </w:tc>
        <w:tc>
          <w:tcPr>
            <w:tcW w:w="7171" w:type="dxa"/>
          </w:tcPr>
          <w:p w14:paraId="5B35C294" w14:textId="74BB0C34"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 – 5 years</w:t>
            </w:r>
          </w:p>
        </w:tc>
      </w:tr>
      <w:tr w:rsidR="00485C29" w:rsidRPr="00FE3C59" w14:paraId="118BCEFC" w14:textId="77777777" w:rsidTr="65EC9DBC">
        <w:trPr>
          <w:trHeight w:val="300"/>
        </w:trPr>
        <w:tc>
          <w:tcPr>
            <w:tcW w:w="1845" w:type="dxa"/>
          </w:tcPr>
          <w:p w14:paraId="5F222841" w14:textId="4BDD3C6F"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0670</w:t>
            </w:r>
          </w:p>
        </w:tc>
        <w:tc>
          <w:tcPr>
            <w:tcW w:w="7171" w:type="dxa"/>
          </w:tcPr>
          <w:p w14:paraId="3C6F3688" w14:textId="32461553"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 – 10 years</w:t>
            </w:r>
          </w:p>
        </w:tc>
      </w:tr>
      <w:tr w:rsidR="00485C29" w:rsidRPr="00FE3C59" w14:paraId="49181461" w14:textId="77777777" w:rsidTr="65EC9DBC">
        <w:trPr>
          <w:trHeight w:val="300"/>
        </w:trPr>
        <w:tc>
          <w:tcPr>
            <w:tcW w:w="1845" w:type="dxa"/>
          </w:tcPr>
          <w:p w14:paraId="7AE16EB0" w14:textId="01C4F74A"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0680</w:t>
            </w:r>
          </w:p>
        </w:tc>
        <w:tc>
          <w:tcPr>
            <w:tcW w:w="7171" w:type="dxa"/>
          </w:tcPr>
          <w:p w14:paraId="356043DC" w14:textId="17767A79"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 – 0.5 years</w:t>
            </w:r>
          </w:p>
        </w:tc>
      </w:tr>
      <w:tr w:rsidR="00485C29" w:rsidRPr="00FE3C59" w14:paraId="0C2A53E5" w14:textId="77777777" w:rsidTr="65EC9DBC">
        <w:trPr>
          <w:trHeight w:val="300"/>
        </w:trPr>
        <w:tc>
          <w:tcPr>
            <w:tcW w:w="1845" w:type="dxa"/>
          </w:tcPr>
          <w:p w14:paraId="2969BCD9" w14:textId="142E9B67"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0690</w:t>
            </w:r>
          </w:p>
        </w:tc>
        <w:tc>
          <w:tcPr>
            <w:tcW w:w="7171" w:type="dxa"/>
          </w:tcPr>
          <w:p w14:paraId="587E9BC2" w14:textId="2030DE28"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 – 1 year</w:t>
            </w:r>
          </w:p>
        </w:tc>
      </w:tr>
      <w:tr w:rsidR="00485C29" w:rsidRPr="00FE3C59" w14:paraId="062B51B9" w14:textId="77777777" w:rsidTr="65EC9DBC">
        <w:trPr>
          <w:trHeight w:val="300"/>
        </w:trPr>
        <w:tc>
          <w:tcPr>
            <w:tcW w:w="1845" w:type="dxa"/>
          </w:tcPr>
          <w:p w14:paraId="2CE91F35" w14:textId="09855854"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0700</w:t>
            </w:r>
          </w:p>
        </w:tc>
        <w:tc>
          <w:tcPr>
            <w:tcW w:w="7171" w:type="dxa"/>
          </w:tcPr>
          <w:p w14:paraId="065F040E" w14:textId="3D2F0FFE"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 – 3 years</w:t>
            </w:r>
          </w:p>
        </w:tc>
      </w:tr>
      <w:tr w:rsidR="00485C29" w:rsidRPr="00FE3C59" w14:paraId="5D4DDEE0" w14:textId="77777777" w:rsidTr="65EC9DBC">
        <w:trPr>
          <w:trHeight w:val="300"/>
        </w:trPr>
        <w:tc>
          <w:tcPr>
            <w:tcW w:w="1845" w:type="dxa"/>
          </w:tcPr>
          <w:p w14:paraId="617CE61D" w14:textId="4A6661FA"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0710</w:t>
            </w:r>
          </w:p>
        </w:tc>
        <w:tc>
          <w:tcPr>
            <w:tcW w:w="7171" w:type="dxa"/>
          </w:tcPr>
          <w:p w14:paraId="0F94DF79" w14:textId="4E0DAD1C"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 – 5 years</w:t>
            </w:r>
          </w:p>
        </w:tc>
      </w:tr>
      <w:tr w:rsidR="00485C29" w:rsidRPr="00FE3C59" w14:paraId="0C824C2F" w14:textId="77777777" w:rsidTr="65EC9DBC">
        <w:trPr>
          <w:trHeight w:val="300"/>
        </w:trPr>
        <w:tc>
          <w:tcPr>
            <w:tcW w:w="1845" w:type="dxa"/>
          </w:tcPr>
          <w:p w14:paraId="3502F91C" w14:textId="52DF22FB"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0720</w:t>
            </w:r>
          </w:p>
        </w:tc>
        <w:tc>
          <w:tcPr>
            <w:tcW w:w="7171" w:type="dxa"/>
          </w:tcPr>
          <w:p w14:paraId="4E1B686F" w14:textId="2C85E6A0"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 – 10 years</w:t>
            </w:r>
          </w:p>
        </w:tc>
      </w:tr>
      <w:tr w:rsidR="00485C29" w:rsidRPr="00FE3C59" w14:paraId="101A2C68" w14:textId="77777777" w:rsidTr="65EC9DBC">
        <w:trPr>
          <w:trHeight w:val="300"/>
        </w:trPr>
        <w:tc>
          <w:tcPr>
            <w:tcW w:w="1845" w:type="dxa"/>
          </w:tcPr>
          <w:p w14:paraId="551171E9" w14:textId="25C02033"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0730</w:t>
            </w:r>
          </w:p>
        </w:tc>
        <w:tc>
          <w:tcPr>
            <w:tcW w:w="7171" w:type="dxa"/>
          </w:tcPr>
          <w:p w14:paraId="194BE844" w14:textId="4649DFB8"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 – 0.5 years</w:t>
            </w:r>
          </w:p>
        </w:tc>
      </w:tr>
      <w:tr w:rsidR="00485C29" w:rsidRPr="00FE3C59" w14:paraId="6B03F9AB" w14:textId="77777777" w:rsidTr="65EC9DBC">
        <w:trPr>
          <w:trHeight w:val="300"/>
        </w:trPr>
        <w:tc>
          <w:tcPr>
            <w:tcW w:w="1845" w:type="dxa"/>
          </w:tcPr>
          <w:p w14:paraId="20B52303" w14:textId="52AC4804"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0740</w:t>
            </w:r>
          </w:p>
        </w:tc>
        <w:tc>
          <w:tcPr>
            <w:tcW w:w="7171" w:type="dxa"/>
          </w:tcPr>
          <w:p w14:paraId="600CED99" w14:textId="78BA6AEF"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 – 1 year</w:t>
            </w:r>
          </w:p>
        </w:tc>
      </w:tr>
      <w:tr w:rsidR="00485C29" w:rsidRPr="00FE3C59" w14:paraId="1D5791CD" w14:textId="77777777" w:rsidTr="65EC9DBC">
        <w:trPr>
          <w:trHeight w:val="300"/>
        </w:trPr>
        <w:tc>
          <w:tcPr>
            <w:tcW w:w="1845" w:type="dxa"/>
          </w:tcPr>
          <w:p w14:paraId="76B5222B" w14:textId="425C4831"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0750</w:t>
            </w:r>
          </w:p>
        </w:tc>
        <w:tc>
          <w:tcPr>
            <w:tcW w:w="7171" w:type="dxa"/>
          </w:tcPr>
          <w:p w14:paraId="1DECB7E5" w14:textId="646F34C6"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 – 3 years</w:t>
            </w:r>
          </w:p>
        </w:tc>
      </w:tr>
      <w:tr w:rsidR="00485C29" w:rsidRPr="00FE3C59" w14:paraId="778B8410" w14:textId="77777777" w:rsidTr="65EC9DBC">
        <w:trPr>
          <w:trHeight w:val="300"/>
        </w:trPr>
        <w:tc>
          <w:tcPr>
            <w:tcW w:w="1845" w:type="dxa"/>
          </w:tcPr>
          <w:p w14:paraId="09E46112" w14:textId="64077E21"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0760</w:t>
            </w:r>
          </w:p>
        </w:tc>
        <w:tc>
          <w:tcPr>
            <w:tcW w:w="7171" w:type="dxa"/>
          </w:tcPr>
          <w:p w14:paraId="196CA1E5" w14:textId="0552965C"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 – 5 years</w:t>
            </w:r>
          </w:p>
        </w:tc>
      </w:tr>
      <w:tr w:rsidR="00485C29" w:rsidRPr="00FE3C59" w14:paraId="037B554B" w14:textId="77777777" w:rsidTr="65EC9DBC">
        <w:trPr>
          <w:trHeight w:val="300"/>
        </w:trPr>
        <w:tc>
          <w:tcPr>
            <w:tcW w:w="1845" w:type="dxa"/>
          </w:tcPr>
          <w:p w14:paraId="048491A0" w14:textId="29E3B5B9"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0770</w:t>
            </w:r>
          </w:p>
        </w:tc>
        <w:tc>
          <w:tcPr>
            <w:tcW w:w="7171" w:type="dxa"/>
          </w:tcPr>
          <w:p w14:paraId="6CD35BF2" w14:textId="7AF1BA7F"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 – 10 years</w:t>
            </w:r>
          </w:p>
        </w:tc>
      </w:tr>
      <w:tr w:rsidR="00485C29" w:rsidRPr="00FE3C59" w14:paraId="72AF2C2F" w14:textId="77777777" w:rsidTr="65EC9DBC">
        <w:trPr>
          <w:trHeight w:val="300"/>
        </w:trPr>
        <w:tc>
          <w:tcPr>
            <w:tcW w:w="1845" w:type="dxa"/>
          </w:tcPr>
          <w:p w14:paraId="739B8A44" w14:textId="237170F6"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0780 - 0790</w:t>
            </w:r>
          </w:p>
        </w:tc>
        <w:tc>
          <w:tcPr>
            <w:tcW w:w="7171" w:type="dxa"/>
          </w:tcPr>
          <w:p w14:paraId="38AEFAEC" w14:textId="07C8BDE0"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Curvature risk positions</w:t>
            </w:r>
          </w:p>
          <w:p w14:paraId="31144BDD" w14:textId="196CAC4E" w:rsidR="00485C29" w:rsidRPr="00FE3C59" w:rsidRDefault="77411CC6"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00957F5F" w:rsidRPr="00FE3C59">
              <w:rPr>
                <w:rFonts w:ascii="Times New Roman" w:hAnsi="Times New Roman" w:cs="Times New Roman"/>
                <w:lang w:val="en-GB"/>
              </w:rPr>
              <w:t>s</w:t>
            </w:r>
            <w:r w:rsidRPr="00FE3C59">
              <w:rPr>
                <w:rFonts w:ascii="Times New Roman" w:hAnsi="Times New Roman" w:cs="Times New Roman"/>
                <w:lang w:val="en-GB"/>
              </w:rPr>
              <w:t xml:space="preserve"> 325g, 325l(8</w:t>
            </w:r>
            <w:r w:rsidR="00957F5F" w:rsidRPr="00FE3C59">
              <w:rPr>
                <w:rFonts w:ascii="Times New Roman" w:hAnsi="Times New Roman" w:cs="Times New Roman"/>
                <w:lang w:val="en-GB"/>
              </w:rPr>
              <w:t>) and (</w:t>
            </w:r>
            <w:r w:rsidRPr="00FE3C59">
              <w:rPr>
                <w:rFonts w:ascii="Times New Roman" w:hAnsi="Times New Roman" w:cs="Times New Roman"/>
                <w:lang w:val="en-GB"/>
              </w:rPr>
              <w:t>9), 325ax(6</w:t>
            </w:r>
            <w:r w:rsidR="00957F5F" w:rsidRPr="00FE3C59">
              <w:rPr>
                <w:rFonts w:ascii="Times New Roman" w:hAnsi="Times New Roman" w:cs="Times New Roman"/>
                <w:lang w:val="en-GB"/>
              </w:rPr>
              <w:t>) and</w:t>
            </w:r>
            <w:r w:rsidRPr="00FE3C59">
              <w:rPr>
                <w:rFonts w:ascii="Times New Roman" w:hAnsi="Times New Roman" w:cs="Times New Roman"/>
                <w:lang w:val="en-GB"/>
              </w:rPr>
              <w:t xml:space="preserve"> 325ay(5)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tc>
      </w:tr>
      <w:tr w:rsidR="00485C29" w:rsidRPr="00FE3C59" w14:paraId="306AFE11" w14:textId="77777777" w:rsidTr="65EC9DBC">
        <w:trPr>
          <w:trHeight w:val="300"/>
        </w:trPr>
        <w:tc>
          <w:tcPr>
            <w:tcW w:w="1845" w:type="dxa"/>
          </w:tcPr>
          <w:p w14:paraId="40FD4F80" w14:textId="32B084A1"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0780</w:t>
            </w:r>
          </w:p>
        </w:tc>
        <w:tc>
          <w:tcPr>
            <w:tcW w:w="7171" w:type="dxa"/>
          </w:tcPr>
          <w:p w14:paraId="1A76D85D" w14:textId="0B9EE96F"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Upward net curvature risk position</w:t>
            </w:r>
          </w:p>
          <w:p w14:paraId="72BFF16A" w14:textId="63B3AB54" w:rsidR="00485C29" w:rsidRPr="00FE3C59" w:rsidRDefault="77411CC6"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325g(2</w:t>
            </w:r>
            <w:r w:rsidR="007E0854" w:rsidRPr="00FE3C59">
              <w:rPr>
                <w:rFonts w:ascii="Times New Roman" w:hAnsi="Times New Roman" w:cs="Times New Roman"/>
                <w:lang w:val="en-GB"/>
              </w:rPr>
              <w:t>) to (</w:t>
            </w:r>
            <w:r w:rsidRPr="00FE3C59">
              <w:rPr>
                <w:rFonts w:ascii="Times New Roman" w:hAnsi="Times New Roman" w:cs="Times New Roman"/>
                <w:lang w:val="en-GB"/>
              </w:rPr>
              <w:t>3)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r w:rsidR="00EA7D47" w:rsidRPr="00FE3C59">
              <w:rPr>
                <w:rFonts w:ascii="Times New Roman" w:hAnsi="Times New Roman" w:cs="Times New Roman"/>
                <w:lang w:val="en-GB"/>
              </w:rPr>
              <w:t>.</w:t>
            </w:r>
          </w:p>
          <w:p w14:paraId="532ED516" w14:textId="35B2C7CD" w:rsidR="00485C29" w:rsidRPr="00FE3C59" w:rsidRDefault="04A7E951"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upward net curvature risk position (</w:t>
            </w:r>
            <m:oMath>
              <m:r>
                <w:rPr>
                  <w:rFonts w:ascii="Cambria Math" w:hAnsi="Cambria Math" w:cs="Times New Roman"/>
                  <w:lang w:val="en-GB"/>
                </w:rPr>
                <m:t>CV</m:t>
              </m:r>
              <m:sSubSup>
                <m:sSubSupPr>
                  <m:ctrlPr>
                    <w:rPr>
                      <w:rFonts w:ascii="Cambria Math" w:hAnsi="Cambria Math" w:cs="Times New Roman"/>
                      <w:lang w:val="en-GB"/>
                    </w:rPr>
                  </m:ctrlPr>
                </m:sSubSupPr>
                <m:e>
                  <m:r>
                    <w:rPr>
                      <w:rFonts w:ascii="Cambria Math" w:hAnsi="Cambria Math" w:cs="Times New Roman"/>
                      <w:lang w:val="en-GB"/>
                    </w:rPr>
                    <m:t>R</m:t>
                  </m:r>
                </m:e>
                <m:sub>
                  <m:r>
                    <w:rPr>
                      <w:rFonts w:ascii="Cambria Math" w:hAnsi="Cambria Math" w:cs="Times New Roman"/>
                      <w:lang w:val="en-GB"/>
                    </w:rPr>
                    <m:t>k</m:t>
                  </m:r>
                </m:sub>
                <m:sup>
                  <m:r>
                    <w:rPr>
                      <w:rFonts w:ascii="Cambria Math" w:hAnsi="Cambria Math" w:cs="Times New Roman"/>
                      <w:lang w:val="en-GB"/>
                    </w:rPr>
                    <m:t>+</m:t>
                  </m:r>
                </m:sup>
              </m:sSubSup>
            </m:oMath>
            <w:r w:rsidRPr="00FE3C59">
              <w:rPr>
                <w:rFonts w:ascii="Times New Roman" w:hAnsi="Times New Roman" w:cs="Times New Roman"/>
                <w:lang w:val="en-GB"/>
              </w:rPr>
              <w:t xml:space="preserve">) of the instruments </w:t>
            </w:r>
            <w:r w:rsidR="00465B03" w:rsidRPr="00FE3C59">
              <w:rPr>
                <w:rFonts w:ascii="Times New Roman" w:hAnsi="Times New Roman" w:cs="Times New Roman"/>
                <w:lang w:val="en-GB"/>
              </w:rPr>
              <w:t xml:space="preserve">in the currency bucket </w:t>
            </w:r>
            <w:r w:rsidRPr="00FE3C59">
              <w:rPr>
                <w:rFonts w:ascii="Times New Roman" w:hAnsi="Times New Roman" w:cs="Times New Roman"/>
                <w:lang w:val="en-GB"/>
              </w:rPr>
              <w:t>to the currency specific risk-free yield curves.</w:t>
            </w:r>
          </w:p>
          <w:p w14:paraId="1ED5D708" w14:textId="370901F7" w:rsidR="00485C29" w:rsidRPr="00FE3C59" w:rsidRDefault="04A7E951"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 xml:space="preserve">The upward net curvature risk position shall be computed </w:t>
            </w:r>
            <w:r w:rsidR="007E0854" w:rsidRPr="00FE3C59">
              <w:rPr>
                <w:rFonts w:ascii="Times New Roman" w:hAnsi="Times New Roman" w:cs="Times New Roman"/>
                <w:lang w:val="en-GB"/>
              </w:rPr>
              <w:t>in accordance with A</w:t>
            </w:r>
            <w:r w:rsidRPr="00FE3C59">
              <w:rPr>
                <w:rFonts w:ascii="Times New Roman" w:hAnsi="Times New Roman" w:cs="Times New Roman"/>
                <w:lang w:val="en-GB"/>
              </w:rPr>
              <w:t xml:space="preserve">rticle 325g(2) </w:t>
            </w:r>
            <w:r w:rsidR="007E0854" w:rsidRPr="00FE3C59">
              <w:rPr>
                <w:rFonts w:ascii="Times New Roman" w:hAnsi="Times New Roman" w:cs="Times New Roman"/>
                <w:lang w:val="en-GB"/>
              </w:rPr>
              <w:t xml:space="preserve">of Regulation (EU) No 575/2013, taking into </w:t>
            </w:r>
            <w:r w:rsidRPr="00FE3C59">
              <w:rPr>
                <w:rFonts w:ascii="Times New Roman" w:hAnsi="Times New Roman" w:cs="Times New Roman"/>
                <w:lang w:val="en-GB"/>
              </w:rPr>
              <w:t xml:space="preserve">account the derogation of </w:t>
            </w:r>
            <w:r w:rsidR="00E914C3" w:rsidRPr="00FE3C59">
              <w:rPr>
                <w:rFonts w:ascii="Times New Roman" w:hAnsi="Times New Roman" w:cs="Times New Roman"/>
                <w:lang w:val="en-GB"/>
              </w:rPr>
              <w:t>paragraph (3) of that article</w:t>
            </w:r>
            <w:r w:rsidRPr="00FE3C59">
              <w:rPr>
                <w:rFonts w:ascii="Times New Roman" w:hAnsi="Times New Roman" w:cs="Times New Roman"/>
                <w:lang w:val="en-GB"/>
              </w:rPr>
              <w:t xml:space="preserve">. </w:t>
            </w:r>
          </w:p>
        </w:tc>
      </w:tr>
      <w:tr w:rsidR="00485C29" w:rsidRPr="00FE3C59" w14:paraId="44D08622" w14:textId="77777777" w:rsidTr="65EC9DBC">
        <w:trPr>
          <w:trHeight w:val="300"/>
        </w:trPr>
        <w:tc>
          <w:tcPr>
            <w:tcW w:w="1845" w:type="dxa"/>
          </w:tcPr>
          <w:p w14:paraId="6A31F1AC" w14:textId="0C9096A2"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0790</w:t>
            </w:r>
          </w:p>
        </w:tc>
        <w:tc>
          <w:tcPr>
            <w:tcW w:w="7171" w:type="dxa"/>
          </w:tcPr>
          <w:p w14:paraId="606A12B1" w14:textId="5BC2EA4B"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Downward net curvature risk </w:t>
            </w:r>
            <w:r w:rsidR="00B40AB4" w:rsidRPr="00FE3C59">
              <w:rPr>
                <w:rFonts w:ascii="Times New Roman" w:hAnsi="Times New Roman" w:cs="Times New Roman"/>
                <w:b/>
                <w:u w:val="single"/>
                <w:lang w:val="en-GB"/>
              </w:rPr>
              <w:t>position</w:t>
            </w:r>
          </w:p>
          <w:p w14:paraId="7C17B405" w14:textId="180E2224" w:rsidR="00485C29" w:rsidRPr="00FE3C59" w:rsidRDefault="77411CC6"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325g(2</w:t>
            </w:r>
            <w:r w:rsidR="00E914C3" w:rsidRPr="00FE3C59">
              <w:rPr>
                <w:rFonts w:ascii="Times New Roman" w:hAnsi="Times New Roman" w:cs="Times New Roman"/>
                <w:lang w:val="en-GB"/>
              </w:rPr>
              <w:t>) to (</w:t>
            </w:r>
            <w:r w:rsidRPr="00FE3C59">
              <w:rPr>
                <w:rFonts w:ascii="Times New Roman" w:hAnsi="Times New Roman" w:cs="Times New Roman"/>
                <w:lang w:val="en-GB"/>
              </w:rPr>
              <w:t>3)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p w14:paraId="6D01E0A5" w14:textId="7A3F2E5A" w:rsidR="00485C29" w:rsidRPr="00FE3C59" w:rsidRDefault="04A7E951"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downward net curvature risk position (</w:t>
            </w:r>
            <m:oMath>
              <m:r>
                <w:rPr>
                  <w:rFonts w:ascii="Cambria Math" w:hAnsi="Cambria Math" w:cs="Times New Roman"/>
                  <w:lang w:val="en-GB"/>
                </w:rPr>
                <m:t>CV</m:t>
              </m:r>
              <m:sSubSup>
                <m:sSubSupPr>
                  <m:ctrlPr>
                    <w:rPr>
                      <w:rFonts w:ascii="Cambria Math" w:hAnsi="Cambria Math" w:cs="Times New Roman"/>
                      <w:lang w:val="en-GB"/>
                    </w:rPr>
                  </m:ctrlPr>
                </m:sSubSupPr>
                <m:e>
                  <m:r>
                    <w:rPr>
                      <w:rFonts w:ascii="Cambria Math" w:hAnsi="Cambria Math" w:cs="Times New Roman"/>
                      <w:lang w:val="en-GB"/>
                    </w:rPr>
                    <m:t>R</m:t>
                  </m:r>
                </m:e>
                <m:sub>
                  <m:r>
                    <w:rPr>
                      <w:rFonts w:ascii="Cambria Math" w:hAnsi="Cambria Math" w:cs="Times New Roman"/>
                      <w:lang w:val="en-GB"/>
                    </w:rPr>
                    <m:t>k</m:t>
                  </m:r>
                </m:sub>
                <m:sup>
                  <m:r>
                    <w:rPr>
                      <w:rFonts w:ascii="Cambria Math" w:hAnsi="Cambria Math" w:cs="Times New Roman"/>
                      <w:lang w:val="en-GB"/>
                    </w:rPr>
                    <m:t>-</m:t>
                  </m:r>
                </m:sup>
              </m:sSubSup>
            </m:oMath>
            <w:r w:rsidRPr="00FE3C59">
              <w:rPr>
                <w:rFonts w:ascii="Times New Roman" w:hAnsi="Times New Roman" w:cs="Times New Roman"/>
                <w:lang w:val="en-GB"/>
              </w:rPr>
              <w:t xml:space="preserve">) of the instruments </w:t>
            </w:r>
            <w:r w:rsidR="00465B03" w:rsidRPr="00FE3C59">
              <w:rPr>
                <w:rFonts w:ascii="Times New Roman" w:hAnsi="Times New Roman" w:cs="Times New Roman"/>
                <w:lang w:val="en-GB"/>
              </w:rPr>
              <w:t>in the currency bucket</w:t>
            </w:r>
            <w:r w:rsidRPr="00FE3C59">
              <w:rPr>
                <w:rFonts w:ascii="Times New Roman" w:hAnsi="Times New Roman" w:cs="Times New Roman"/>
                <w:lang w:val="en-GB"/>
              </w:rPr>
              <w:t xml:space="preserve"> to the currency specific risk-free yield curves.</w:t>
            </w:r>
          </w:p>
          <w:p w14:paraId="1DFB2599" w14:textId="093EE531" w:rsidR="00485C29" w:rsidRPr="00FE3C59" w:rsidRDefault="04A7E951"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w:t>
            </w:r>
            <w:r w:rsidR="00C67F31" w:rsidRPr="00FE3C59">
              <w:rPr>
                <w:rFonts w:ascii="Times New Roman" w:hAnsi="Times New Roman" w:cs="Times New Roman"/>
                <w:lang w:val="en-GB"/>
              </w:rPr>
              <w:t xml:space="preserve">downward </w:t>
            </w:r>
            <w:r w:rsidRPr="00FE3C59">
              <w:rPr>
                <w:rFonts w:ascii="Times New Roman" w:hAnsi="Times New Roman" w:cs="Times New Roman"/>
                <w:lang w:val="en-GB"/>
              </w:rPr>
              <w:t xml:space="preserve">net curvature risk position shall be computed </w:t>
            </w:r>
            <w:r w:rsidR="00E914C3" w:rsidRPr="00FE3C59">
              <w:rPr>
                <w:rFonts w:ascii="Times New Roman" w:hAnsi="Times New Roman" w:cs="Times New Roman"/>
                <w:lang w:val="en-GB"/>
              </w:rPr>
              <w:t>in accordance with</w:t>
            </w:r>
            <w:r w:rsidRPr="00FE3C59">
              <w:rPr>
                <w:rFonts w:ascii="Times New Roman" w:hAnsi="Times New Roman" w:cs="Times New Roman"/>
                <w:lang w:val="en-GB"/>
              </w:rPr>
              <w:t xml:space="preserve"> </w:t>
            </w:r>
            <w:r w:rsidR="00E914C3" w:rsidRPr="00FE3C59">
              <w:rPr>
                <w:rFonts w:ascii="Times New Roman" w:hAnsi="Times New Roman" w:cs="Times New Roman"/>
                <w:lang w:val="en-GB"/>
              </w:rPr>
              <w:t>A</w:t>
            </w:r>
            <w:r w:rsidRPr="00FE3C59">
              <w:rPr>
                <w:rFonts w:ascii="Times New Roman" w:hAnsi="Times New Roman" w:cs="Times New Roman"/>
                <w:lang w:val="en-GB"/>
              </w:rPr>
              <w:t xml:space="preserve">rticle 325g(2) </w:t>
            </w:r>
            <w:r w:rsidR="00E914C3" w:rsidRPr="00FE3C59">
              <w:rPr>
                <w:rFonts w:ascii="Times New Roman" w:hAnsi="Times New Roman" w:cs="Times New Roman"/>
                <w:lang w:val="en-GB"/>
              </w:rPr>
              <w:t xml:space="preserve">of Regulation (EU) No 575/2013, taking into </w:t>
            </w:r>
            <w:r w:rsidRPr="00FE3C59">
              <w:rPr>
                <w:rFonts w:ascii="Times New Roman" w:hAnsi="Times New Roman" w:cs="Times New Roman"/>
                <w:lang w:val="en-GB"/>
              </w:rPr>
              <w:t xml:space="preserve">account the derogation of </w:t>
            </w:r>
            <w:r w:rsidR="00E914C3" w:rsidRPr="00FE3C59">
              <w:rPr>
                <w:rFonts w:ascii="Times New Roman" w:hAnsi="Times New Roman" w:cs="Times New Roman"/>
                <w:lang w:val="en-GB"/>
              </w:rPr>
              <w:t xml:space="preserve">paragraph </w:t>
            </w:r>
            <w:r w:rsidRPr="00FE3C59">
              <w:rPr>
                <w:rFonts w:ascii="Times New Roman" w:hAnsi="Times New Roman" w:cs="Times New Roman"/>
                <w:lang w:val="en-GB"/>
              </w:rPr>
              <w:t>(3)</w:t>
            </w:r>
            <w:r w:rsidR="00E914C3" w:rsidRPr="00FE3C59">
              <w:rPr>
                <w:rFonts w:ascii="Times New Roman" w:hAnsi="Times New Roman" w:cs="Times New Roman"/>
                <w:lang w:val="en-GB"/>
              </w:rPr>
              <w:t xml:space="preserve"> of that article</w:t>
            </w:r>
            <w:r w:rsidRPr="00FE3C59">
              <w:rPr>
                <w:rFonts w:ascii="Times New Roman" w:hAnsi="Times New Roman" w:cs="Times New Roman"/>
                <w:lang w:val="en-GB"/>
              </w:rPr>
              <w:t xml:space="preserve">. </w:t>
            </w:r>
          </w:p>
        </w:tc>
      </w:tr>
      <w:tr w:rsidR="00485C29" w:rsidRPr="00FE3C59" w14:paraId="066A9E44" w14:textId="77777777" w:rsidTr="65EC9DBC">
        <w:trPr>
          <w:trHeight w:val="300"/>
        </w:trPr>
        <w:tc>
          <w:tcPr>
            <w:tcW w:w="1845" w:type="dxa"/>
          </w:tcPr>
          <w:p w14:paraId="151F955F" w14:textId="2A2292C0"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0800 </w:t>
            </w:r>
            <w:r w:rsidR="00E914C3" w:rsidRPr="00FE3C59">
              <w:rPr>
                <w:rFonts w:ascii="Times New Roman" w:hAnsi="Times New Roman" w:cs="Times New Roman"/>
                <w:lang w:val="en-GB"/>
              </w:rPr>
              <w:t>–</w:t>
            </w:r>
            <w:r w:rsidRPr="00FE3C59">
              <w:rPr>
                <w:rFonts w:ascii="Times New Roman" w:hAnsi="Times New Roman" w:cs="Times New Roman"/>
                <w:lang w:val="en-GB"/>
              </w:rPr>
              <w:t xml:space="preserve"> 0810</w:t>
            </w:r>
            <w:r w:rsidR="00E914C3" w:rsidRPr="00FE3C59">
              <w:rPr>
                <w:rFonts w:ascii="Times New Roman" w:hAnsi="Times New Roman" w:cs="Times New Roman"/>
                <w:lang w:val="en-GB"/>
              </w:rPr>
              <w:t xml:space="preserve"> </w:t>
            </w:r>
          </w:p>
        </w:tc>
        <w:tc>
          <w:tcPr>
            <w:tcW w:w="7171" w:type="dxa"/>
          </w:tcPr>
          <w:p w14:paraId="39B3C0A7" w14:textId="241AE2A7"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Sum of weighted sensitivities</w:t>
            </w:r>
          </w:p>
          <w:p w14:paraId="4893F2A7" w14:textId="24DB7951" w:rsidR="00485C29" w:rsidRPr="00FE3C59" w:rsidRDefault="00E914C3"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531A42C" w:rsidRPr="00FE3C59">
              <w:rPr>
                <w:rFonts w:ascii="Times New Roman" w:hAnsi="Times New Roman" w:cs="Times New Roman"/>
                <w:lang w:val="en-GB"/>
              </w:rPr>
              <w:t xml:space="preserve"> 325f(8) </w:t>
            </w:r>
            <w:r w:rsidR="77411CC6" w:rsidRPr="00FE3C59">
              <w:rPr>
                <w:rFonts w:ascii="Times New Roman" w:hAnsi="Times New Roman" w:cs="Times New Roman"/>
                <w:lang w:val="en-GB"/>
              </w:rPr>
              <w:t>of Regulation (EU) No 575/2013</w:t>
            </w:r>
            <w:r w:rsidR="00703468" w:rsidRPr="00FE3C59">
              <w:rPr>
                <w:rFonts w:ascii="Times New Roman" w:hAnsi="Times New Roman" w:cs="Times New Roman"/>
                <w:lang w:val="en-GB"/>
              </w:rPr>
              <w:t>.</w:t>
            </w:r>
          </w:p>
          <w:p w14:paraId="77B218B4" w14:textId="1B1621E0" w:rsidR="00485C29" w:rsidRPr="00FE3C59" w:rsidRDefault="04A7E951"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sSub>
                <m:sSubPr>
                  <m:ctrlPr>
                    <w:rPr>
                      <w:rFonts w:ascii="Cambria Math" w:hAnsi="Cambria Math" w:cs="Times New Roman"/>
                      <w:lang w:val="en-GB"/>
                    </w:rPr>
                  </m:ctrlPr>
                </m:sSubPr>
                <m:e>
                  <m:r>
                    <m:rPr>
                      <m:sty m:val="p"/>
                    </m:rPr>
                    <w:rPr>
                      <w:rFonts w:ascii="Cambria Math" w:hAnsi="Cambria Math" w:cs="Times New Roman"/>
                      <w:lang w:val="en-GB"/>
                    </w:rPr>
                    <m:t>Σ</m:t>
                  </m:r>
                </m:e>
                <m:sub>
                  <m:r>
                    <w:rPr>
                      <w:rFonts w:ascii="Cambria Math" w:hAnsi="Cambria Math" w:cs="Times New Roman"/>
                      <w:lang w:val="en-GB"/>
                    </w:rPr>
                    <m:t>k</m:t>
                  </m:r>
                </m:sub>
              </m:sSub>
              <m:r>
                <w:rPr>
                  <w:rFonts w:ascii="Cambria Math" w:hAnsi="Cambria Math" w:cs="Times New Roman"/>
                  <w:lang w:val="en-GB"/>
                </w:rPr>
                <m:t>W</m:t>
              </m:r>
              <m:sSub>
                <m:sSubPr>
                  <m:ctrlPr>
                    <w:rPr>
                      <w:rFonts w:ascii="Cambria Math" w:hAnsi="Cambria Math" w:cs="Times New Roman"/>
                      <w:lang w:val="en-GB"/>
                    </w:rPr>
                  </m:ctrlPr>
                </m:sSubPr>
                <m:e>
                  <m:r>
                    <w:rPr>
                      <w:rFonts w:ascii="Cambria Math" w:hAnsi="Cambria Math" w:cs="Times New Roman"/>
                      <w:lang w:val="en-GB"/>
                    </w:rPr>
                    <m:t>S</m:t>
                  </m:r>
                </m:e>
                <m:sub>
                  <m:r>
                    <w:rPr>
                      <w:rFonts w:ascii="Cambria Math" w:hAnsi="Cambria Math" w:cs="Times New Roman"/>
                      <w:lang w:val="en-GB"/>
                    </w:rPr>
                    <m:t>k</m:t>
                  </m:r>
                </m:sub>
              </m:sSub>
            </m:oMath>
            <w:r w:rsidRPr="00FE3C59">
              <w:rPr>
                <w:rFonts w:ascii="Times New Roman" w:hAnsi="Times New Roman" w:cs="Times New Roman"/>
                <w:lang w:val="en-GB"/>
              </w:rPr>
              <w:t>) as defined for the purposes of the aggregation within each bucket in Art</w:t>
            </w:r>
            <w:r w:rsidR="00E914C3" w:rsidRPr="00FE3C59">
              <w:rPr>
                <w:rFonts w:ascii="Times New Roman" w:hAnsi="Times New Roman" w:cs="Times New Roman"/>
                <w:lang w:val="en-GB"/>
              </w:rPr>
              <w:t>icle</w:t>
            </w:r>
            <w:r w:rsidRPr="00FE3C59">
              <w:rPr>
                <w:rFonts w:ascii="Times New Roman" w:hAnsi="Times New Roman" w:cs="Times New Roman"/>
                <w:lang w:val="en-GB"/>
              </w:rPr>
              <w:t xml:space="preserve"> 325f(8) of Regulation (EU) No 575/2013 shall be reported.</w:t>
            </w:r>
          </w:p>
        </w:tc>
      </w:tr>
      <w:tr w:rsidR="00485C29" w:rsidRPr="00FE3C59" w14:paraId="553F534E" w14:textId="77777777" w:rsidTr="65EC9DBC">
        <w:trPr>
          <w:trHeight w:val="300"/>
        </w:trPr>
        <w:tc>
          <w:tcPr>
            <w:tcW w:w="1845" w:type="dxa"/>
          </w:tcPr>
          <w:p w14:paraId="02584CEB" w14:textId="1E82E39B"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0800</w:t>
            </w:r>
          </w:p>
        </w:tc>
        <w:tc>
          <w:tcPr>
            <w:tcW w:w="7171" w:type="dxa"/>
          </w:tcPr>
          <w:p w14:paraId="108B90D1" w14:textId="6A541603"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w:t>
            </w:r>
          </w:p>
        </w:tc>
      </w:tr>
      <w:tr w:rsidR="00485C29" w:rsidRPr="00FE3C59" w14:paraId="64A558F2" w14:textId="77777777" w:rsidTr="65EC9DBC">
        <w:trPr>
          <w:trHeight w:val="300"/>
        </w:trPr>
        <w:tc>
          <w:tcPr>
            <w:tcW w:w="1845" w:type="dxa"/>
          </w:tcPr>
          <w:p w14:paraId="37241CFE" w14:textId="4195CF9D"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0810</w:t>
            </w:r>
          </w:p>
        </w:tc>
        <w:tc>
          <w:tcPr>
            <w:tcW w:w="7171" w:type="dxa"/>
          </w:tcPr>
          <w:p w14:paraId="7F791EF3" w14:textId="07B14099"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w:t>
            </w:r>
          </w:p>
        </w:tc>
      </w:tr>
      <w:tr w:rsidR="00485C29" w:rsidRPr="00FE3C59" w14:paraId="1D0751F2" w14:textId="77777777" w:rsidTr="65EC9DBC">
        <w:trPr>
          <w:trHeight w:val="300"/>
        </w:trPr>
        <w:tc>
          <w:tcPr>
            <w:tcW w:w="1845" w:type="dxa"/>
          </w:tcPr>
          <w:p w14:paraId="2447F7D9" w14:textId="133E96F2"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0820</w:t>
            </w:r>
          </w:p>
        </w:tc>
        <w:tc>
          <w:tcPr>
            <w:tcW w:w="7171" w:type="dxa"/>
          </w:tcPr>
          <w:p w14:paraId="67CD7D2F" w14:textId="1FB33AA2" w:rsidR="00485C29" w:rsidRPr="00FE3C59" w:rsidRDefault="00EB4A24" w:rsidP="0D1CB00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Sum of curvature risk positions – </w:t>
            </w:r>
            <w:r w:rsidR="00485C29" w:rsidRPr="00FE3C59">
              <w:rPr>
                <w:rFonts w:ascii="Times New Roman" w:hAnsi="Times New Roman" w:cs="Times New Roman"/>
                <w:b/>
                <w:u w:val="single"/>
                <w:lang w:val="en-GB"/>
              </w:rPr>
              <w:t>Curvature Risk</w:t>
            </w:r>
          </w:p>
          <w:p w14:paraId="463A913C" w14:textId="1CF7B61A" w:rsidR="00485C29" w:rsidRPr="00FE3C59" w:rsidRDefault="00E914C3"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3833FCE3" w:rsidRPr="00FE3C59">
              <w:rPr>
                <w:rFonts w:ascii="Times New Roman" w:hAnsi="Times New Roman" w:cs="Times New Roman"/>
                <w:lang w:val="en-GB"/>
              </w:rPr>
              <w:t xml:space="preserve"> 325g(6) </w:t>
            </w:r>
            <w:r w:rsidR="04A7E951" w:rsidRPr="00FE3C59">
              <w:rPr>
                <w:rFonts w:ascii="Times New Roman" w:hAnsi="Times New Roman" w:cs="Times New Roman"/>
                <w:lang w:val="en-GB"/>
              </w:rPr>
              <w:t>of Regulation (EU) No 575/2013</w:t>
            </w:r>
          </w:p>
          <w:p w14:paraId="77FC16E5" w14:textId="574B2AF0" w:rsidR="00485C29" w:rsidRPr="00FE3C59" w:rsidRDefault="04A7E951" w:rsidP="00BD2865">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sum of curvature risk positions (</w:t>
            </w:r>
            <m:oMath>
              <m:sSub>
                <m:sSubPr>
                  <m:ctrlPr>
                    <w:rPr>
                      <w:rFonts w:ascii="Cambria Math" w:hAnsi="Cambria Math" w:cs="Times New Roman"/>
                      <w:lang w:val="en-GB"/>
                    </w:rPr>
                  </m:ctrlPr>
                </m:sSubPr>
                <m:e>
                  <m:r>
                    <w:rPr>
                      <w:rFonts w:ascii="Cambria Math" w:hAnsi="Cambria Math" w:cs="Times New Roman"/>
                      <w:lang w:val="en-GB"/>
                    </w:rPr>
                    <m:t>S</m:t>
                  </m:r>
                </m:e>
                <m:sub>
                  <m:r>
                    <w:rPr>
                      <w:rFonts w:ascii="Cambria Math" w:hAnsi="Cambria Math" w:cs="Times New Roman"/>
                      <w:lang w:val="en-GB"/>
                    </w:rPr>
                    <m:t>b</m:t>
                  </m:r>
                </m:sub>
              </m:sSub>
            </m:oMath>
            <w:r w:rsidRPr="00FE3C59">
              <w:rPr>
                <w:rFonts w:ascii="Times New Roman" w:hAnsi="Times New Roman" w:cs="Times New Roman"/>
                <w:lang w:val="en-GB"/>
              </w:rPr>
              <w:t xml:space="preserve">) as defined for the purposes of the aggregation across buckets in </w:t>
            </w:r>
            <w:r w:rsidR="00E914C3" w:rsidRPr="00FE3C59">
              <w:rPr>
                <w:rFonts w:ascii="Times New Roman" w:hAnsi="Times New Roman" w:cs="Times New Roman"/>
                <w:lang w:val="en-GB"/>
              </w:rPr>
              <w:t>Article</w:t>
            </w:r>
            <w:r w:rsidRPr="00FE3C59">
              <w:rPr>
                <w:rFonts w:ascii="Times New Roman" w:hAnsi="Times New Roman" w:cs="Times New Roman"/>
                <w:lang w:val="en-GB"/>
              </w:rPr>
              <w:t xml:space="preserve"> 325g(6) of Regulation (EU) No 575/2013. </w:t>
            </w:r>
          </w:p>
        </w:tc>
      </w:tr>
      <w:tr w:rsidR="00485C29" w:rsidRPr="00FE3C59" w14:paraId="3AFD5FFD" w14:textId="77777777" w:rsidTr="65EC9DBC">
        <w:trPr>
          <w:trHeight w:val="300"/>
        </w:trPr>
        <w:tc>
          <w:tcPr>
            <w:tcW w:w="1845" w:type="dxa"/>
          </w:tcPr>
          <w:p w14:paraId="3422CB7D" w14:textId="326101F3"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1000 </w:t>
            </w:r>
            <w:r w:rsidR="00BA3777" w:rsidRPr="00FE3C59">
              <w:rPr>
                <w:rFonts w:ascii="Times New Roman" w:hAnsi="Times New Roman" w:cs="Times New Roman"/>
                <w:lang w:val="en-GB"/>
              </w:rPr>
              <w:t>–</w:t>
            </w:r>
            <w:r w:rsidRPr="00FE3C59">
              <w:rPr>
                <w:rFonts w:ascii="Times New Roman" w:hAnsi="Times New Roman" w:cs="Times New Roman"/>
                <w:lang w:val="en-GB"/>
              </w:rPr>
              <w:t xml:space="preserve"> 1080</w:t>
            </w:r>
          </w:p>
        </w:tc>
        <w:tc>
          <w:tcPr>
            <w:tcW w:w="7171" w:type="dxa"/>
          </w:tcPr>
          <w:p w14:paraId="1DC46187" w14:textId="79BB17AB"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Own funds requirements </w:t>
            </w:r>
            <w:r w:rsidR="00B30779" w:rsidRPr="00FE3C59">
              <w:rPr>
                <w:rFonts w:ascii="Times New Roman" w:hAnsi="Times New Roman" w:cs="Times New Roman"/>
                <w:b/>
                <w:u w:val="single"/>
                <w:lang w:val="en-GB"/>
              </w:rPr>
              <w:t xml:space="preserve">in </w:t>
            </w:r>
            <w:r w:rsidRPr="00FE3C59">
              <w:rPr>
                <w:rFonts w:ascii="Times New Roman" w:hAnsi="Times New Roman" w:cs="Times New Roman"/>
                <w:b/>
                <w:u w:val="single"/>
                <w:lang w:val="en-GB"/>
              </w:rPr>
              <w:t>the different scenarios</w:t>
            </w:r>
          </w:p>
          <w:p w14:paraId="35E55BBE" w14:textId="72C01372" w:rsidR="00485C29" w:rsidRPr="00FE3C59" w:rsidRDefault="34556DC2" w:rsidP="00BA3777">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own funds requirements calculated on the basis of the sensitivities–based method for delta, vega and curvature risks </w:t>
            </w:r>
            <w:r w:rsidR="00BA3777" w:rsidRPr="00FE3C59">
              <w:rPr>
                <w:rFonts w:ascii="Times New Roman" w:hAnsi="Times New Roman" w:cs="Times New Roman"/>
                <w:lang w:val="en-GB"/>
              </w:rPr>
              <w:t xml:space="preserve">in each of the three scenarios referred to in Article 325h of Regulation (EU) No 575/2013 </w:t>
            </w:r>
            <w:r w:rsidRPr="00FE3C59">
              <w:rPr>
                <w:rFonts w:ascii="Times New Roman" w:hAnsi="Times New Roman" w:cs="Times New Roman"/>
                <w:lang w:val="en-GB"/>
              </w:rPr>
              <w:t xml:space="preserve">shall be reported. </w:t>
            </w:r>
          </w:p>
        </w:tc>
      </w:tr>
      <w:tr w:rsidR="00485C29" w:rsidRPr="00FE3C59" w14:paraId="0856037B" w14:textId="77777777" w:rsidTr="65EC9DBC">
        <w:trPr>
          <w:trHeight w:val="300"/>
        </w:trPr>
        <w:tc>
          <w:tcPr>
            <w:tcW w:w="1845" w:type="dxa"/>
          </w:tcPr>
          <w:p w14:paraId="1A46DBEF" w14:textId="52147D30"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w:t>
            </w:r>
            <w:r w:rsidR="000666D1" w:rsidRPr="00FE3C59">
              <w:rPr>
                <w:rFonts w:ascii="Times New Roman" w:hAnsi="Times New Roman" w:cs="Times New Roman"/>
                <w:lang w:val="en-GB"/>
              </w:rPr>
              <w:t xml:space="preserve"> –</w:t>
            </w:r>
            <w:r w:rsidRPr="00FE3C59">
              <w:rPr>
                <w:rFonts w:ascii="Times New Roman" w:hAnsi="Times New Roman" w:cs="Times New Roman"/>
                <w:lang w:val="en-GB"/>
              </w:rPr>
              <w:t>1020</w:t>
            </w:r>
          </w:p>
        </w:tc>
        <w:tc>
          <w:tcPr>
            <w:tcW w:w="7171" w:type="dxa"/>
          </w:tcPr>
          <w:p w14:paraId="0777A998" w14:textId="0DA5E039" w:rsidR="00485C29" w:rsidRPr="00FE3C59" w:rsidRDefault="00485C29" w:rsidP="0D1CB00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Low correlation scenario</w:t>
            </w:r>
          </w:p>
          <w:p w14:paraId="2B70255C" w14:textId="07DF625E"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325h(2</w:t>
            </w:r>
            <w:r w:rsidR="00576DB6" w:rsidRPr="00FE3C59">
              <w:rPr>
                <w:rFonts w:ascii="Times New Roman" w:hAnsi="Times New Roman" w:cs="Times New Roman"/>
                <w:lang w:val="en-GB"/>
              </w:rPr>
              <w:t>), point (</w:t>
            </w:r>
            <w:r w:rsidRPr="00FE3C59">
              <w:rPr>
                <w:rFonts w:ascii="Times New Roman" w:hAnsi="Times New Roman" w:cs="Times New Roman"/>
                <w:lang w:val="en-GB"/>
              </w:rPr>
              <w:t>c)</w:t>
            </w:r>
            <w:r w:rsidR="00A01D91"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p>
        </w:tc>
      </w:tr>
      <w:tr w:rsidR="00485C29" w:rsidRPr="00FE3C59" w14:paraId="01274300" w14:textId="77777777" w:rsidTr="65EC9DBC">
        <w:trPr>
          <w:trHeight w:val="300"/>
        </w:trPr>
        <w:tc>
          <w:tcPr>
            <w:tcW w:w="1845" w:type="dxa"/>
          </w:tcPr>
          <w:p w14:paraId="6D5A7BFF" w14:textId="05283BF9"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w:t>
            </w:r>
          </w:p>
        </w:tc>
        <w:tc>
          <w:tcPr>
            <w:tcW w:w="7171" w:type="dxa"/>
          </w:tcPr>
          <w:p w14:paraId="288BC1BF" w14:textId="74822FEB"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w:t>
            </w:r>
          </w:p>
        </w:tc>
      </w:tr>
      <w:tr w:rsidR="00485C29" w:rsidRPr="00FE3C59" w14:paraId="3506DCE7" w14:textId="77777777" w:rsidTr="65EC9DBC">
        <w:trPr>
          <w:trHeight w:val="300"/>
        </w:trPr>
        <w:tc>
          <w:tcPr>
            <w:tcW w:w="1845" w:type="dxa"/>
          </w:tcPr>
          <w:p w14:paraId="3AC484E6" w14:textId="4AEC4F81"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1010</w:t>
            </w:r>
          </w:p>
        </w:tc>
        <w:tc>
          <w:tcPr>
            <w:tcW w:w="7171" w:type="dxa"/>
          </w:tcPr>
          <w:p w14:paraId="14948DD6" w14:textId="41C90744"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w:t>
            </w:r>
          </w:p>
        </w:tc>
      </w:tr>
      <w:tr w:rsidR="00485C29" w:rsidRPr="00FE3C59" w14:paraId="2C8086D9" w14:textId="77777777" w:rsidTr="65EC9DBC">
        <w:trPr>
          <w:trHeight w:val="300"/>
        </w:trPr>
        <w:tc>
          <w:tcPr>
            <w:tcW w:w="1845" w:type="dxa"/>
          </w:tcPr>
          <w:p w14:paraId="553DB324" w14:textId="14E0E52E"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1020</w:t>
            </w:r>
          </w:p>
        </w:tc>
        <w:tc>
          <w:tcPr>
            <w:tcW w:w="7171" w:type="dxa"/>
          </w:tcPr>
          <w:p w14:paraId="22120F3B" w14:textId="3CB2C3C2"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Curvature Risk</w:t>
            </w:r>
          </w:p>
        </w:tc>
      </w:tr>
      <w:tr w:rsidR="00C044FF" w:rsidRPr="00FE3C59" w14:paraId="70313F77" w14:textId="77777777" w:rsidTr="65EC9DBC">
        <w:trPr>
          <w:trHeight w:val="300"/>
        </w:trPr>
        <w:tc>
          <w:tcPr>
            <w:tcW w:w="1845" w:type="dxa"/>
          </w:tcPr>
          <w:p w14:paraId="67AB44F6" w14:textId="52EE3E38" w:rsidR="00C044FF"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w:t>
            </w:r>
            <w:r w:rsidR="000666D1" w:rsidRPr="00FE3C59">
              <w:rPr>
                <w:rFonts w:ascii="Times New Roman" w:hAnsi="Times New Roman" w:cs="Times New Roman"/>
                <w:lang w:val="en-GB"/>
              </w:rPr>
              <w:t xml:space="preserve"> –</w:t>
            </w:r>
            <w:r w:rsidRPr="00FE3C59">
              <w:rPr>
                <w:rFonts w:ascii="Times New Roman" w:hAnsi="Times New Roman" w:cs="Times New Roman"/>
                <w:lang w:val="en-GB"/>
              </w:rPr>
              <w:t>1050</w:t>
            </w:r>
          </w:p>
        </w:tc>
        <w:tc>
          <w:tcPr>
            <w:tcW w:w="7171" w:type="dxa"/>
          </w:tcPr>
          <w:p w14:paraId="1D29FCAE" w14:textId="55439215" w:rsidR="00C044FF" w:rsidRPr="00FE3C59" w:rsidRDefault="005F1AA1" w:rsidP="0D1CB00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Medium correlation scenario</w:t>
            </w:r>
          </w:p>
          <w:p w14:paraId="30816CA2" w14:textId="00BD3DF9" w:rsidR="00C044FF"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325h(2</w:t>
            </w:r>
            <w:r w:rsidR="00576DB6" w:rsidRPr="00FE3C59">
              <w:rPr>
                <w:rFonts w:ascii="Times New Roman" w:hAnsi="Times New Roman" w:cs="Times New Roman"/>
                <w:lang w:val="en-GB"/>
              </w:rPr>
              <w:t>), point (</w:t>
            </w:r>
            <w:r w:rsidRPr="00FE3C59">
              <w:rPr>
                <w:rFonts w:ascii="Times New Roman" w:hAnsi="Times New Roman" w:cs="Times New Roman"/>
                <w:lang w:val="en-GB"/>
              </w:rPr>
              <w:t>a)</w:t>
            </w:r>
            <w:r w:rsidR="00576DB6"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p>
        </w:tc>
      </w:tr>
      <w:tr w:rsidR="00485C29" w:rsidRPr="00FE3C59" w14:paraId="1588D038" w14:textId="77777777" w:rsidTr="65EC9DBC">
        <w:trPr>
          <w:trHeight w:val="300"/>
        </w:trPr>
        <w:tc>
          <w:tcPr>
            <w:tcW w:w="1845" w:type="dxa"/>
          </w:tcPr>
          <w:p w14:paraId="1A640A79" w14:textId="0C265BD2"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1030</w:t>
            </w:r>
          </w:p>
        </w:tc>
        <w:tc>
          <w:tcPr>
            <w:tcW w:w="7171" w:type="dxa"/>
          </w:tcPr>
          <w:p w14:paraId="29DEFEA9" w14:textId="4818D783" w:rsidR="00485C29" w:rsidRPr="00FE3C59" w:rsidRDefault="005F1AA1"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w:t>
            </w:r>
          </w:p>
        </w:tc>
      </w:tr>
      <w:tr w:rsidR="00485C29" w:rsidRPr="00FE3C59" w14:paraId="72E65884" w14:textId="77777777" w:rsidTr="65EC9DBC">
        <w:trPr>
          <w:trHeight w:val="300"/>
        </w:trPr>
        <w:tc>
          <w:tcPr>
            <w:tcW w:w="1845" w:type="dxa"/>
          </w:tcPr>
          <w:p w14:paraId="52761BB3" w14:textId="6835F63B"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1040</w:t>
            </w:r>
          </w:p>
        </w:tc>
        <w:tc>
          <w:tcPr>
            <w:tcW w:w="7171" w:type="dxa"/>
          </w:tcPr>
          <w:p w14:paraId="6ADC6405" w14:textId="38DD66A7"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Vega </w:t>
            </w:r>
            <w:r w:rsidR="005F1AA1" w:rsidRPr="00FE3C59">
              <w:rPr>
                <w:rFonts w:ascii="Times New Roman" w:hAnsi="Times New Roman" w:cs="Times New Roman"/>
                <w:b/>
                <w:u w:val="single"/>
                <w:lang w:val="en-GB"/>
              </w:rPr>
              <w:t>r</w:t>
            </w:r>
            <w:r w:rsidRPr="00FE3C59">
              <w:rPr>
                <w:rFonts w:ascii="Times New Roman" w:hAnsi="Times New Roman" w:cs="Times New Roman"/>
                <w:b/>
                <w:u w:val="single"/>
                <w:lang w:val="en-GB"/>
              </w:rPr>
              <w:t>isk</w:t>
            </w:r>
          </w:p>
        </w:tc>
      </w:tr>
      <w:tr w:rsidR="00485C29" w:rsidRPr="00FE3C59" w14:paraId="49DAE85F" w14:textId="77777777" w:rsidTr="65EC9DBC">
        <w:trPr>
          <w:trHeight w:val="300"/>
        </w:trPr>
        <w:tc>
          <w:tcPr>
            <w:tcW w:w="1845" w:type="dxa"/>
          </w:tcPr>
          <w:p w14:paraId="6C86FF24" w14:textId="7065554E"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1050</w:t>
            </w:r>
          </w:p>
        </w:tc>
        <w:tc>
          <w:tcPr>
            <w:tcW w:w="7171" w:type="dxa"/>
          </w:tcPr>
          <w:p w14:paraId="23F610B9" w14:textId="6ADC01B1" w:rsidR="00485C29" w:rsidRPr="00FE3C59" w:rsidRDefault="00485C29" w:rsidP="00485C2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Curvature Risk</w:t>
            </w:r>
          </w:p>
        </w:tc>
      </w:tr>
      <w:tr w:rsidR="005F1AA1" w:rsidRPr="00FE3C59" w14:paraId="0C5F435E" w14:textId="77777777" w:rsidTr="65EC9DBC">
        <w:trPr>
          <w:trHeight w:val="300"/>
        </w:trPr>
        <w:tc>
          <w:tcPr>
            <w:tcW w:w="1845" w:type="dxa"/>
          </w:tcPr>
          <w:p w14:paraId="525FE448" w14:textId="72ED4D33" w:rsidR="005F1AA1"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r w:rsidR="000666D1" w:rsidRPr="00FE3C59">
              <w:rPr>
                <w:rFonts w:ascii="Times New Roman" w:hAnsi="Times New Roman" w:cs="Times New Roman"/>
                <w:lang w:val="en-GB"/>
              </w:rPr>
              <w:t xml:space="preserve"> – </w:t>
            </w:r>
            <w:r w:rsidRPr="00FE3C59">
              <w:rPr>
                <w:rFonts w:ascii="Times New Roman" w:hAnsi="Times New Roman" w:cs="Times New Roman"/>
                <w:lang w:val="en-GB"/>
              </w:rPr>
              <w:t>1080</w:t>
            </w:r>
          </w:p>
        </w:tc>
        <w:tc>
          <w:tcPr>
            <w:tcW w:w="7171" w:type="dxa"/>
          </w:tcPr>
          <w:p w14:paraId="2FC8D2BF" w14:textId="524BBD57" w:rsidR="005F1AA1" w:rsidRPr="00FE3C59" w:rsidRDefault="005F1AA1" w:rsidP="0D1CB00F">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 correlation scenario</w:t>
            </w:r>
          </w:p>
          <w:p w14:paraId="43C58A81" w14:textId="6CE427FF" w:rsidR="005F1AA1"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325h(2</w:t>
            </w:r>
            <w:r w:rsidR="00576DB6" w:rsidRPr="00FE3C59">
              <w:rPr>
                <w:rFonts w:ascii="Times New Roman" w:hAnsi="Times New Roman" w:cs="Times New Roman"/>
                <w:lang w:val="en-GB"/>
              </w:rPr>
              <w:t>), point (</w:t>
            </w:r>
            <w:r w:rsidRPr="00FE3C59">
              <w:rPr>
                <w:rFonts w:ascii="Times New Roman" w:hAnsi="Times New Roman" w:cs="Times New Roman"/>
                <w:lang w:val="en-GB"/>
              </w:rPr>
              <w:t>b)</w:t>
            </w:r>
            <w:r w:rsidR="00A01D91" w:rsidRPr="00FE3C59">
              <w:rPr>
                <w:rFonts w:ascii="Times New Roman" w:hAnsi="Times New Roman" w:cs="Times New Roman"/>
                <w:lang w:val="en-GB"/>
              </w:rPr>
              <w:t>,</w:t>
            </w:r>
            <w:r w:rsidR="00FD7136" w:rsidRPr="00FE3C59">
              <w:rPr>
                <w:rFonts w:ascii="Times New Roman" w:hAnsi="Times New Roman" w:cs="Times New Roman"/>
                <w:lang w:val="en-GB"/>
              </w:rPr>
              <w:t xml:space="preserve"> of Regulation (EU) No 575/2013</w:t>
            </w:r>
          </w:p>
        </w:tc>
      </w:tr>
      <w:tr w:rsidR="00485C29" w:rsidRPr="00FE3C59" w14:paraId="7C72EF2C" w14:textId="77777777" w:rsidTr="65EC9DBC">
        <w:trPr>
          <w:trHeight w:val="300"/>
        </w:trPr>
        <w:tc>
          <w:tcPr>
            <w:tcW w:w="1845" w:type="dxa"/>
          </w:tcPr>
          <w:p w14:paraId="3485A58C" w14:textId="12C1ED98"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p>
        </w:tc>
        <w:tc>
          <w:tcPr>
            <w:tcW w:w="7171" w:type="dxa"/>
          </w:tcPr>
          <w:p w14:paraId="31EC5B41" w14:textId="713D6752" w:rsidR="00485C29" w:rsidRPr="00FE3C59" w:rsidRDefault="005F1AA1" w:rsidP="00485C29">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485C29" w:rsidRPr="00FE3C59" w14:paraId="2EFCF6D5" w14:textId="77777777" w:rsidTr="65EC9DBC">
        <w:trPr>
          <w:trHeight w:val="300"/>
        </w:trPr>
        <w:tc>
          <w:tcPr>
            <w:tcW w:w="1845" w:type="dxa"/>
          </w:tcPr>
          <w:p w14:paraId="0D639C56" w14:textId="4B0F559E"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1070</w:t>
            </w:r>
          </w:p>
        </w:tc>
        <w:tc>
          <w:tcPr>
            <w:tcW w:w="7171" w:type="dxa"/>
          </w:tcPr>
          <w:p w14:paraId="5375A27B" w14:textId="280A2C2F"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Vega </w:t>
            </w:r>
            <w:r w:rsidR="005F1AA1" w:rsidRPr="00FE3C59">
              <w:rPr>
                <w:rFonts w:ascii="Times New Roman" w:hAnsi="Times New Roman" w:cs="Times New Roman"/>
                <w:b/>
                <w:u w:val="single"/>
                <w:lang w:val="en-GB"/>
              </w:rPr>
              <w:t>r</w:t>
            </w:r>
            <w:r w:rsidRPr="00FE3C59">
              <w:rPr>
                <w:rFonts w:ascii="Times New Roman" w:hAnsi="Times New Roman" w:cs="Times New Roman"/>
                <w:b/>
                <w:u w:val="single"/>
                <w:lang w:val="en-GB"/>
              </w:rPr>
              <w:t>isk</w:t>
            </w:r>
          </w:p>
        </w:tc>
      </w:tr>
      <w:tr w:rsidR="00485C29" w:rsidRPr="00FE3C59" w14:paraId="20395FFB" w14:textId="77777777" w:rsidTr="65EC9DBC">
        <w:trPr>
          <w:trHeight w:val="300"/>
        </w:trPr>
        <w:tc>
          <w:tcPr>
            <w:tcW w:w="1845" w:type="dxa"/>
          </w:tcPr>
          <w:p w14:paraId="5C7587A4" w14:textId="308588B4" w:rsidR="00485C29" w:rsidRPr="00FE3C59" w:rsidRDefault="0D1CB00F" w:rsidP="00485C29">
            <w:pPr>
              <w:pStyle w:val="BodyText"/>
              <w:spacing w:before="120" w:after="120"/>
              <w:rPr>
                <w:rFonts w:ascii="Times New Roman" w:hAnsi="Times New Roman" w:cs="Times New Roman"/>
                <w:lang w:val="en-GB"/>
              </w:rPr>
            </w:pPr>
            <w:r w:rsidRPr="00FE3C59">
              <w:rPr>
                <w:rFonts w:ascii="Times New Roman" w:hAnsi="Times New Roman" w:cs="Times New Roman"/>
                <w:lang w:val="en-GB"/>
              </w:rPr>
              <w:t>1080</w:t>
            </w:r>
          </w:p>
        </w:tc>
        <w:tc>
          <w:tcPr>
            <w:tcW w:w="7171" w:type="dxa"/>
          </w:tcPr>
          <w:p w14:paraId="23E195B7" w14:textId="5DAE7C16" w:rsidR="00485C29" w:rsidRPr="00FE3C59" w:rsidRDefault="00485C29" w:rsidP="00485C29">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Curvature </w:t>
            </w:r>
            <w:r w:rsidR="7A8D4A55" w:rsidRPr="00FE3C59">
              <w:rPr>
                <w:rFonts w:ascii="Times New Roman" w:hAnsi="Times New Roman" w:cs="Times New Roman"/>
                <w:b/>
                <w:u w:val="single"/>
                <w:lang w:val="en-GB"/>
              </w:rPr>
              <w:t>Risk</w:t>
            </w:r>
          </w:p>
        </w:tc>
      </w:tr>
    </w:tbl>
    <w:p w14:paraId="03E11D10" w14:textId="77777777" w:rsidR="00C850E7" w:rsidRPr="00FE3C59" w:rsidRDefault="00C850E7" w:rsidP="00C850E7">
      <w:pPr>
        <w:rPr>
          <w:rFonts w:ascii="Times New Roman" w:hAnsi="Times New Roman" w:cs="Times New Roman"/>
        </w:rPr>
      </w:pPr>
    </w:p>
    <w:p w14:paraId="6BE4247B" w14:textId="2AF2C74F" w:rsidR="00D43916" w:rsidRPr="00FE3C59" w:rsidRDefault="00D34F1B" w:rsidP="00CA1AF4">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w:t>
      </w:r>
      <w:r w:rsidR="00CA1AF4" w:rsidRPr="00FE3C59">
        <w:rPr>
          <w:rFonts w:ascii="Times New Roman" w:hAnsi="Times New Roman" w:cs="Times New Roman"/>
          <w:sz w:val="24"/>
          <w:szCs w:val="24"/>
          <w:u w:val="none"/>
          <w:lang w:val="en-GB"/>
        </w:rPr>
        <w:t>3</w:t>
      </w:r>
      <w:r w:rsidR="00CA1AF4" w:rsidRPr="00FE3C59">
        <w:rPr>
          <w:rFonts w:ascii="Times New Roman" w:hAnsi="Times New Roman" w:cs="Times New Roman"/>
          <w:lang w:val="en-GB"/>
        </w:rPr>
        <w:tab/>
      </w:r>
      <w:r w:rsidR="00D43916" w:rsidRPr="00FE3C59">
        <w:rPr>
          <w:rFonts w:ascii="Times New Roman" w:hAnsi="Times New Roman" w:cs="Times New Roman"/>
          <w:sz w:val="24"/>
          <w:szCs w:val="24"/>
          <w:u w:val="none"/>
          <w:lang w:val="en-GB"/>
        </w:rPr>
        <w:t xml:space="preserve">C 92.02: </w:t>
      </w:r>
      <w:r w:rsidR="00CA1AF4" w:rsidRPr="00FE3C59">
        <w:rPr>
          <w:rFonts w:ascii="Times New Roman" w:hAnsi="Times New Roman" w:cs="Times New Roman"/>
          <w:sz w:val="24"/>
          <w:szCs w:val="24"/>
          <w:u w:val="none"/>
          <w:lang w:val="en-GB"/>
        </w:rPr>
        <w:t>C</w:t>
      </w:r>
      <w:r w:rsidR="00D43916" w:rsidRPr="00FE3C59">
        <w:rPr>
          <w:rFonts w:ascii="Times New Roman" w:hAnsi="Times New Roman" w:cs="Times New Roman"/>
          <w:sz w:val="24"/>
          <w:szCs w:val="24"/>
          <w:u w:val="none"/>
          <w:lang w:val="en-GB"/>
        </w:rPr>
        <w:t>redit spread risk for non</w:t>
      </w:r>
      <w:r w:rsidR="00485C29" w:rsidRPr="00FE3C59">
        <w:rPr>
          <w:rFonts w:ascii="Times New Roman" w:hAnsi="Times New Roman" w:cs="Times New Roman"/>
          <w:sz w:val="24"/>
          <w:szCs w:val="24"/>
          <w:u w:val="none"/>
          <w:lang w:val="en-GB"/>
        </w:rPr>
        <w:t>–</w:t>
      </w:r>
      <w:r w:rsidR="00D43916" w:rsidRPr="00FE3C59">
        <w:rPr>
          <w:rFonts w:ascii="Times New Roman" w:hAnsi="Times New Roman" w:cs="Times New Roman"/>
          <w:sz w:val="24"/>
          <w:szCs w:val="24"/>
          <w:u w:val="none"/>
          <w:lang w:val="en-GB"/>
        </w:rPr>
        <w:t>securitisations (</w:t>
      </w:r>
      <w:r w:rsidR="00CA1AF4" w:rsidRPr="00FE3C59">
        <w:rPr>
          <w:rFonts w:ascii="Times New Roman" w:hAnsi="Times New Roman" w:cs="Times New Roman"/>
          <w:sz w:val="24"/>
          <w:szCs w:val="24"/>
          <w:u w:val="none"/>
          <w:lang w:val="en-GB"/>
        </w:rPr>
        <w:t>CSR</w:t>
      </w:r>
      <w:r w:rsidR="00D43916" w:rsidRPr="00FE3C59">
        <w:rPr>
          <w:rFonts w:ascii="Times New Roman" w:hAnsi="Times New Roman" w:cs="Times New Roman"/>
          <w:sz w:val="24"/>
          <w:szCs w:val="24"/>
          <w:u w:val="none"/>
          <w:lang w:val="en-GB"/>
        </w:rPr>
        <w:t xml:space="preserve">) (MKR </w:t>
      </w:r>
      <w:r w:rsidR="008770DE" w:rsidRPr="00FE3C59">
        <w:rPr>
          <w:rFonts w:ascii="Times New Roman" w:hAnsi="Times New Roman" w:cs="Times New Roman"/>
          <w:sz w:val="24"/>
          <w:szCs w:val="24"/>
          <w:u w:val="none"/>
          <w:lang w:val="en-GB"/>
        </w:rPr>
        <w:t xml:space="preserve">SBM </w:t>
      </w:r>
      <w:r w:rsidR="00D43916" w:rsidRPr="00FE3C59">
        <w:rPr>
          <w:rFonts w:ascii="Times New Roman" w:hAnsi="Times New Roman" w:cs="Times New Roman"/>
          <w:sz w:val="24"/>
          <w:szCs w:val="24"/>
          <w:u w:val="none"/>
          <w:lang w:val="en-GB"/>
        </w:rPr>
        <w:t>CSR</w:t>
      </w:r>
      <w:r w:rsidR="00CA1AF4" w:rsidRPr="00FE3C59">
        <w:rPr>
          <w:rFonts w:ascii="Times New Roman" w:hAnsi="Times New Roman" w:cs="Times New Roman"/>
          <w:sz w:val="24"/>
          <w:szCs w:val="24"/>
          <w:u w:val="none"/>
          <w:lang w:val="en-GB"/>
        </w:rPr>
        <w:t>)</w:t>
      </w:r>
    </w:p>
    <w:p w14:paraId="02F338E6" w14:textId="08B7B1DB" w:rsidR="00C65F1F" w:rsidRPr="00FE3C59" w:rsidRDefault="004F7DA1"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2.3.3.</w:t>
      </w:r>
      <w:r w:rsidR="00C65F1F" w:rsidRPr="00FE3C59">
        <w:rPr>
          <w:rFonts w:ascii="Times New Roman" w:hAnsi="Times New Roman" w:cs="Times New Roman"/>
          <w:sz w:val="24"/>
          <w:szCs w:val="24"/>
          <w:u w:val="none"/>
          <w:lang w:val="en-GB"/>
        </w:rPr>
        <w:t>1</w:t>
      </w:r>
      <w:r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General remarks</w:t>
      </w:r>
    </w:p>
    <w:p w14:paraId="124DCC84" w14:textId="16A0734A" w:rsidR="08178F94" w:rsidRPr="00FE3C59" w:rsidRDefault="45C0E69E" w:rsidP="3F965E88">
      <w:pPr>
        <w:pStyle w:val="InstructionsText2"/>
        <w:numPr>
          <w:ilvl w:val="0"/>
          <w:numId w:val="57"/>
        </w:numPr>
        <w:rPr>
          <w:rFonts w:eastAsiaTheme="minorEastAsia"/>
        </w:rPr>
      </w:pPr>
      <w:r w:rsidRPr="00FE3C59">
        <w:t xml:space="preserve">This template provides detailed information on the calculation of own funds requirements for </w:t>
      </w:r>
      <w:r w:rsidR="2888FB50" w:rsidRPr="00FE3C59">
        <w:t>C</w:t>
      </w:r>
      <w:r w:rsidR="2E8073D8" w:rsidRPr="00FE3C59">
        <w:t>redit spread risk (</w:t>
      </w:r>
      <w:r w:rsidR="2888FB50" w:rsidRPr="00FE3C59">
        <w:t>CSR</w:t>
      </w:r>
      <w:r w:rsidR="2E8073D8" w:rsidRPr="00FE3C59">
        <w:t>)</w:t>
      </w:r>
      <w:r w:rsidRPr="00FE3C59">
        <w:t xml:space="preserve"> </w:t>
      </w:r>
      <w:r w:rsidR="1B4C42A4" w:rsidRPr="00FE3C59">
        <w:t xml:space="preserve">of </w:t>
      </w:r>
      <w:r w:rsidR="2E8073D8" w:rsidRPr="00FE3C59">
        <w:t>non</w:t>
      </w:r>
      <w:r w:rsidR="7285E5DF" w:rsidRPr="00FE3C59">
        <w:t>–</w:t>
      </w:r>
      <w:r w:rsidR="2E8073D8" w:rsidRPr="00FE3C59">
        <w:t>securitisations</w:t>
      </w:r>
      <w:r w:rsidR="4DC0A61B" w:rsidRPr="00FE3C59">
        <w:t xml:space="preserve"> on the basis of the sensitivities-based method.</w:t>
      </w:r>
    </w:p>
    <w:p w14:paraId="228D48D9" w14:textId="77777777" w:rsidR="00C65F1F" w:rsidRPr="00FE3C59" w:rsidRDefault="004F7DA1" w:rsidP="00BC3D68">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.3.</w:t>
      </w:r>
      <w:r w:rsidR="00C65F1F" w:rsidRPr="00FE3C59">
        <w:rPr>
          <w:rFonts w:ascii="Times New Roman" w:hAnsi="Times New Roman" w:cs="Times New Roman"/>
          <w:sz w:val="24"/>
          <w:szCs w:val="24"/>
          <w:u w:val="none"/>
          <w:lang w:val="en-GB"/>
        </w:rPr>
        <w:t>2</w:t>
      </w:r>
      <w:r w:rsidR="00C65F1F" w:rsidRPr="00FE3C59">
        <w:rPr>
          <w:rFonts w:ascii="Times New Roman" w:hAnsi="Times New Roman" w:cs="Times New Roman"/>
          <w:sz w:val="24"/>
          <w:szCs w:val="24"/>
          <w:u w:val="none"/>
          <w:lang w:val="en-GB"/>
        </w:rPr>
        <w:tab/>
        <w:t>Instructions concerning specific positions</w:t>
      </w:r>
    </w:p>
    <w:tbl>
      <w:tblPr>
        <w:tblStyle w:val="TableGrid"/>
        <w:tblW w:w="0" w:type="auto"/>
        <w:tblLook w:val="04A0" w:firstRow="1" w:lastRow="0" w:firstColumn="1" w:lastColumn="0" w:noHBand="0" w:noVBand="1"/>
      </w:tblPr>
      <w:tblGrid>
        <w:gridCol w:w="1043"/>
        <w:gridCol w:w="7973"/>
      </w:tblGrid>
      <w:tr w:rsidR="005B6B5A" w:rsidRPr="00FE3C59" w14:paraId="37443368" w14:textId="77777777" w:rsidTr="3F965E88">
        <w:tc>
          <w:tcPr>
            <w:tcW w:w="1043" w:type="dxa"/>
            <w:shd w:val="clear" w:color="auto" w:fill="BFBFBF" w:themeFill="background1" w:themeFillShade="BF"/>
          </w:tcPr>
          <w:p w14:paraId="1E45512D" w14:textId="77777777" w:rsidR="005B6B5A" w:rsidRPr="00FE3C59" w:rsidRDefault="005B6B5A" w:rsidP="000D1DC8">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6447F30D" w14:textId="77777777" w:rsidR="005B6B5A" w:rsidRPr="00FE3C59" w:rsidRDefault="005B6B5A" w:rsidP="000D1DC8">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5B6B5A" w:rsidRPr="00FE3C59" w14:paraId="0EEA3CB8" w14:textId="77777777" w:rsidTr="3F965E88">
        <w:tc>
          <w:tcPr>
            <w:tcW w:w="1043" w:type="dxa"/>
          </w:tcPr>
          <w:p w14:paraId="780F0477" w14:textId="598A2B5C"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0010-0100</w:t>
            </w:r>
          </w:p>
        </w:tc>
        <w:tc>
          <w:tcPr>
            <w:tcW w:w="7973" w:type="dxa"/>
            <w:vAlign w:val="bottom"/>
          </w:tcPr>
          <w:p w14:paraId="732B4396" w14:textId="77777777" w:rsidR="005B6B5A" w:rsidRPr="00FE3C59" w:rsidRDefault="16493F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Unweighted sensitivities</w:t>
            </w:r>
          </w:p>
          <w:p w14:paraId="1367C481" w14:textId="614C57C7" w:rsidR="005B6B5A" w:rsidRPr="00FE3C59" w:rsidRDefault="4B732CE1" w:rsidP="3A410EB0">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w:t>
            </w:r>
            <w:r w:rsidR="30365F2B" w:rsidRPr="00FE3C59">
              <w:rPr>
                <w:rFonts w:ascii="Times New Roman" w:hAnsi="Times New Roman" w:cs="Times New Roman"/>
                <w:lang w:val="en-GB"/>
              </w:rPr>
              <w:t xml:space="preserve">net </w:t>
            </w:r>
            <w:r w:rsidR="72128002" w:rsidRPr="00FE3C59">
              <w:rPr>
                <w:rFonts w:ascii="Times New Roman" w:hAnsi="Times New Roman" w:cs="Times New Roman"/>
                <w:lang w:val="en-GB"/>
              </w:rPr>
              <w:t>sensitivities</w:t>
            </w:r>
            <w:r w:rsidR="30365F2B" w:rsidRPr="00FE3C59">
              <w:rPr>
                <w:rFonts w:ascii="Times New Roman" w:hAnsi="Times New Roman" w:cs="Times New Roman"/>
                <w:lang w:val="en-GB"/>
              </w:rPr>
              <w:t xml:space="preserve"> per risk factor,</w:t>
            </w:r>
            <w:r w:rsidRPr="00FE3C59">
              <w:rPr>
                <w:rFonts w:ascii="Times New Roman" w:hAnsi="Times New Roman" w:cs="Times New Roman"/>
                <w:lang w:val="en-GB"/>
              </w:rPr>
              <w:t xml:space="preserve"> calculated in accordance with Articles 325</w:t>
            </w:r>
            <w:r w:rsidR="6ED6E182" w:rsidRPr="00FE3C59">
              <w:rPr>
                <w:rFonts w:ascii="Times New Roman" w:hAnsi="Times New Roman" w:cs="Times New Roman"/>
                <w:lang w:val="en-GB"/>
              </w:rPr>
              <w:t>m</w:t>
            </w:r>
            <w:r w:rsidR="205572BE" w:rsidRPr="00FE3C59">
              <w:rPr>
                <w:rFonts w:ascii="Times New Roman" w:hAnsi="Times New Roman" w:cs="Times New Roman"/>
                <w:lang w:val="en-GB"/>
              </w:rPr>
              <w:t xml:space="preserve">, </w:t>
            </w:r>
            <w:r w:rsidR="6ED6E182" w:rsidRPr="00FE3C59">
              <w:rPr>
                <w:rFonts w:ascii="Times New Roman" w:hAnsi="Times New Roman" w:cs="Times New Roman"/>
                <w:lang w:val="en-GB"/>
              </w:rPr>
              <w:t>325r</w:t>
            </w:r>
            <w:r w:rsidR="205572BE" w:rsidRPr="00FE3C59">
              <w:rPr>
                <w:rFonts w:ascii="Times New Roman" w:hAnsi="Times New Roman" w:cs="Times New Roman"/>
                <w:lang w:val="en-GB"/>
              </w:rPr>
              <w:t xml:space="preserve"> </w:t>
            </w:r>
            <w:r w:rsidR="6ED6E182" w:rsidRPr="00FE3C59">
              <w:rPr>
                <w:rFonts w:ascii="Times New Roman" w:hAnsi="Times New Roman" w:cs="Times New Roman"/>
                <w:lang w:val="en-GB"/>
              </w:rPr>
              <w:t xml:space="preserve">and </w:t>
            </w:r>
            <w:r w:rsidR="205572BE" w:rsidRPr="00FE3C59">
              <w:rPr>
                <w:rFonts w:ascii="Times New Roman" w:hAnsi="Times New Roman" w:cs="Times New Roman"/>
                <w:lang w:val="en-GB"/>
              </w:rPr>
              <w:t>325s</w:t>
            </w:r>
            <w:r w:rsidR="6ED6E182" w:rsidRPr="00FE3C59">
              <w:rPr>
                <w:rFonts w:ascii="Times New Roman" w:hAnsi="Times New Roman" w:cs="Times New Roman"/>
                <w:lang w:val="en-GB"/>
              </w:rPr>
              <w:t xml:space="preserve"> of Regulation (EU) No 575/2013</w:t>
            </w:r>
            <w:r w:rsidR="30365F2B" w:rsidRPr="00FE3C59">
              <w:rPr>
                <w:rFonts w:ascii="Times New Roman" w:hAnsi="Times New Roman" w:cs="Times New Roman"/>
                <w:lang w:val="en-GB"/>
              </w:rPr>
              <w:t xml:space="preserve">, </w:t>
            </w:r>
            <w:r w:rsidR="72128002" w:rsidRPr="00FE3C59">
              <w:rPr>
                <w:rFonts w:ascii="Times New Roman" w:hAnsi="Times New Roman" w:cs="Times New Roman"/>
                <w:lang w:val="en-GB"/>
              </w:rPr>
              <w:t xml:space="preserve">before the application of the corresponding risk weights set out in </w:t>
            </w:r>
            <w:r w:rsidR="10DC48B1" w:rsidRPr="00FE3C59">
              <w:rPr>
                <w:rFonts w:ascii="Times New Roman" w:hAnsi="Times New Roman" w:cs="Times New Roman"/>
                <w:lang w:val="en-GB"/>
              </w:rPr>
              <w:t>Part Three, Title IV, Chapter 1a,</w:t>
            </w:r>
            <w:r w:rsidR="2E50B971" w:rsidRPr="00FE3C59">
              <w:rPr>
                <w:rFonts w:ascii="Times New Roman" w:hAnsi="Times New Roman" w:cs="Times New Roman"/>
                <w:lang w:val="en-GB"/>
              </w:rPr>
              <w:t xml:space="preserve"> Section 6</w:t>
            </w:r>
            <w:r w:rsidR="51DB5354" w:rsidRPr="00FE3C59">
              <w:rPr>
                <w:rFonts w:ascii="Times New Roman" w:hAnsi="Times New Roman" w:cs="Times New Roman"/>
                <w:lang w:val="en-GB"/>
              </w:rPr>
              <w:t xml:space="preserve"> </w:t>
            </w:r>
            <w:r w:rsidR="2B06055E" w:rsidRPr="00FE3C59">
              <w:rPr>
                <w:rFonts w:ascii="Times New Roman" w:hAnsi="Times New Roman" w:cs="Times New Roman"/>
                <w:lang w:val="en-GB"/>
              </w:rPr>
              <w:t>of Regulation (EU) No 575/2013</w:t>
            </w:r>
            <w:r w:rsidR="30365F2B" w:rsidRPr="00FE3C59">
              <w:rPr>
                <w:rFonts w:ascii="Times New Roman" w:hAnsi="Times New Roman" w:cs="Times New Roman"/>
                <w:lang w:val="en-GB"/>
              </w:rPr>
              <w:t>, shall be aggregated by bucket and reported separately for delta</w:t>
            </w:r>
            <w:r w:rsidR="5604B7CF" w:rsidRPr="00FE3C59">
              <w:rPr>
                <w:rFonts w:ascii="Times New Roman" w:hAnsi="Times New Roman" w:cs="Times New Roman"/>
                <w:lang w:val="en-GB"/>
              </w:rPr>
              <w:t xml:space="preserve"> and</w:t>
            </w:r>
            <w:r w:rsidR="30365F2B" w:rsidRPr="00FE3C59">
              <w:rPr>
                <w:rFonts w:ascii="Times New Roman" w:hAnsi="Times New Roman" w:cs="Times New Roman"/>
                <w:lang w:val="en-GB"/>
              </w:rPr>
              <w:t xml:space="preserve"> vega risk in these columns</w:t>
            </w:r>
          </w:p>
        </w:tc>
      </w:tr>
      <w:tr w:rsidR="005B6B5A" w:rsidRPr="00FE3C59" w14:paraId="06546B2C" w14:textId="77777777" w:rsidTr="3F965E88">
        <w:tc>
          <w:tcPr>
            <w:tcW w:w="1043" w:type="dxa"/>
          </w:tcPr>
          <w:p w14:paraId="599339A2" w14:textId="0A7172B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0010-0050</w:t>
            </w:r>
          </w:p>
        </w:tc>
        <w:tc>
          <w:tcPr>
            <w:tcW w:w="7973" w:type="dxa"/>
            <w:vAlign w:val="bottom"/>
          </w:tcPr>
          <w:p w14:paraId="0016F251" w14:textId="77777777" w:rsidR="005B6B5A" w:rsidRPr="00FE3C59" w:rsidRDefault="16493F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 factors: Maturities</w:t>
            </w:r>
          </w:p>
          <w:p w14:paraId="44B5D3FF" w14:textId="776BD1F7" w:rsidR="005B6B5A" w:rsidRPr="00FE3C59" w:rsidRDefault="24A481DC" w:rsidP="00D22D93">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00EB6498" w:rsidRPr="00FE3C59">
              <w:rPr>
                <w:rFonts w:ascii="Times New Roman" w:hAnsi="Times New Roman" w:cs="Times New Roman"/>
                <w:lang w:val="en-GB"/>
              </w:rPr>
              <w:t>s</w:t>
            </w:r>
            <w:r w:rsidRPr="00FE3C59">
              <w:rPr>
                <w:rFonts w:ascii="Times New Roman" w:hAnsi="Times New Roman" w:cs="Times New Roman"/>
                <w:lang w:val="en-GB"/>
              </w:rPr>
              <w:t xml:space="preserve"> 325e(1</w:t>
            </w:r>
            <w:r w:rsidR="00957F5F" w:rsidRPr="00FE3C59">
              <w:rPr>
                <w:rFonts w:ascii="Times New Roman" w:hAnsi="Times New Roman" w:cs="Times New Roman"/>
                <w:lang w:val="en-GB"/>
              </w:rPr>
              <w:t>), point (</w:t>
            </w:r>
            <w:r w:rsidRPr="00FE3C59">
              <w:rPr>
                <w:rFonts w:ascii="Times New Roman" w:hAnsi="Times New Roman" w:cs="Times New Roman"/>
                <w:lang w:val="en-GB"/>
              </w:rPr>
              <w:t>a), 325f(1</w:t>
            </w:r>
            <w:r w:rsidR="00957F5F" w:rsidRPr="00FE3C59">
              <w:rPr>
                <w:rFonts w:ascii="Times New Roman" w:hAnsi="Times New Roman" w:cs="Times New Roman"/>
                <w:lang w:val="en-GB"/>
              </w:rPr>
              <w:t>) to (</w:t>
            </w:r>
            <w:r w:rsidRPr="00FE3C59">
              <w:rPr>
                <w:rFonts w:ascii="Times New Roman" w:hAnsi="Times New Roman" w:cs="Times New Roman"/>
                <w:lang w:val="en-GB"/>
              </w:rPr>
              <w:t>5), 325m(1) and 325r(2) of Regulation (EU) No 575/2013</w:t>
            </w:r>
          </w:p>
        </w:tc>
      </w:tr>
      <w:tr w:rsidR="005B6B5A" w:rsidRPr="00FE3C59" w14:paraId="4C4A9D21" w14:textId="77777777" w:rsidTr="3F965E88">
        <w:tc>
          <w:tcPr>
            <w:tcW w:w="1043" w:type="dxa"/>
          </w:tcPr>
          <w:p w14:paraId="70F3C6BB" w14:textId="77C11C9F"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vAlign w:val="bottom"/>
          </w:tcPr>
          <w:p w14:paraId="71D67B71" w14:textId="20D2DF24" w:rsidR="005B6B5A" w:rsidRPr="00FE3C59" w:rsidRDefault="16493F5A" w:rsidP="00EB649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0.5 years</w:t>
            </w:r>
          </w:p>
        </w:tc>
      </w:tr>
      <w:tr w:rsidR="005B6B5A" w:rsidRPr="00FE3C59" w14:paraId="1DD84796" w14:textId="77777777" w:rsidTr="3F965E88">
        <w:tc>
          <w:tcPr>
            <w:tcW w:w="1043" w:type="dxa"/>
          </w:tcPr>
          <w:p w14:paraId="349F968D" w14:textId="0ADBD220"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vAlign w:val="bottom"/>
          </w:tcPr>
          <w:p w14:paraId="0C1F0A3C" w14:textId="662DFBE3" w:rsidR="005B6B5A" w:rsidRPr="00FE3C59" w:rsidRDefault="16493F5A" w:rsidP="00EB649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 year</w:t>
            </w:r>
          </w:p>
        </w:tc>
      </w:tr>
      <w:tr w:rsidR="005B6B5A" w:rsidRPr="00FE3C59" w14:paraId="1D0BAF68" w14:textId="77777777" w:rsidTr="3F965E88">
        <w:tc>
          <w:tcPr>
            <w:tcW w:w="1043" w:type="dxa"/>
          </w:tcPr>
          <w:p w14:paraId="467A15E4" w14:textId="3E224015"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vAlign w:val="bottom"/>
          </w:tcPr>
          <w:p w14:paraId="192E3749" w14:textId="2EF17C5B" w:rsidR="005B6B5A" w:rsidRPr="00FE3C59" w:rsidRDefault="16493F5A" w:rsidP="00EB649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3 years</w:t>
            </w:r>
          </w:p>
        </w:tc>
      </w:tr>
      <w:tr w:rsidR="005B6B5A" w:rsidRPr="00FE3C59" w14:paraId="09AEA798" w14:textId="77777777" w:rsidTr="3F965E88">
        <w:tc>
          <w:tcPr>
            <w:tcW w:w="1043" w:type="dxa"/>
          </w:tcPr>
          <w:p w14:paraId="29D43C25" w14:textId="3F61E906"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vAlign w:val="bottom"/>
          </w:tcPr>
          <w:p w14:paraId="76C1F3B0" w14:textId="31927B78" w:rsidR="005B6B5A" w:rsidRPr="00FE3C59" w:rsidRDefault="16493F5A" w:rsidP="00EB649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5 years</w:t>
            </w:r>
          </w:p>
        </w:tc>
      </w:tr>
      <w:tr w:rsidR="005B6B5A" w:rsidRPr="00FE3C59" w14:paraId="0E498A4B" w14:textId="77777777" w:rsidTr="3F965E88">
        <w:tc>
          <w:tcPr>
            <w:tcW w:w="1043" w:type="dxa"/>
          </w:tcPr>
          <w:p w14:paraId="5EE0B75A" w14:textId="36653670"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vAlign w:val="bottom"/>
          </w:tcPr>
          <w:p w14:paraId="4EBB9B81" w14:textId="3E439732" w:rsidR="005B6B5A" w:rsidRPr="00FE3C59" w:rsidRDefault="16493F5A" w:rsidP="00EB649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10 years</w:t>
            </w:r>
          </w:p>
        </w:tc>
      </w:tr>
      <w:tr w:rsidR="005B6B5A" w:rsidRPr="00FE3C59" w14:paraId="25F4B0A5" w14:textId="77777777" w:rsidTr="3F965E88">
        <w:tc>
          <w:tcPr>
            <w:tcW w:w="1043" w:type="dxa"/>
          </w:tcPr>
          <w:p w14:paraId="364B1E56"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0060-0100</w:t>
            </w:r>
          </w:p>
        </w:tc>
        <w:tc>
          <w:tcPr>
            <w:tcW w:w="7973" w:type="dxa"/>
            <w:vAlign w:val="bottom"/>
          </w:tcPr>
          <w:p w14:paraId="7AD7A0D5" w14:textId="77777777" w:rsidR="005B6B5A" w:rsidRPr="00FE3C59" w:rsidRDefault="16493F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 factors: Maturities</w:t>
            </w:r>
          </w:p>
          <w:p w14:paraId="3B683130" w14:textId="43302BC1" w:rsidR="005B6B5A" w:rsidRPr="00FE3C59" w:rsidRDefault="24A481DC"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00EB6498" w:rsidRPr="00FE3C59">
              <w:rPr>
                <w:rFonts w:ascii="Times New Roman" w:hAnsi="Times New Roman" w:cs="Times New Roman"/>
                <w:lang w:val="en-GB"/>
              </w:rPr>
              <w:t>s</w:t>
            </w:r>
            <w:r w:rsidRPr="00FE3C59">
              <w:rPr>
                <w:rFonts w:ascii="Times New Roman" w:hAnsi="Times New Roman" w:cs="Times New Roman"/>
                <w:lang w:val="en-GB"/>
              </w:rPr>
              <w:t xml:space="preserve"> 325e(1</w:t>
            </w:r>
            <w:r w:rsidR="00957F5F" w:rsidRPr="00FE3C59">
              <w:rPr>
                <w:rFonts w:ascii="Times New Roman" w:hAnsi="Times New Roman" w:cs="Times New Roman"/>
                <w:lang w:val="en-GB"/>
              </w:rPr>
              <w:t>), point (</w:t>
            </w:r>
            <w:r w:rsidRPr="00FE3C59">
              <w:rPr>
                <w:rFonts w:ascii="Times New Roman" w:hAnsi="Times New Roman" w:cs="Times New Roman"/>
                <w:lang w:val="en-GB"/>
              </w:rPr>
              <w:t>b), 325f(1</w:t>
            </w:r>
            <w:r w:rsidR="00957F5F" w:rsidRPr="00FE3C59">
              <w:rPr>
                <w:rFonts w:ascii="Times New Roman" w:hAnsi="Times New Roman" w:cs="Times New Roman"/>
                <w:lang w:val="en-GB"/>
              </w:rPr>
              <w:t>) to (</w:t>
            </w:r>
            <w:r w:rsidRPr="00FE3C59">
              <w:rPr>
                <w:rFonts w:ascii="Times New Roman" w:hAnsi="Times New Roman" w:cs="Times New Roman"/>
                <w:lang w:val="en-GB"/>
              </w:rPr>
              <w:t>5), 325m(2) and 325s(1) of Regulation (EU) No 575/2013</w:t>
            </w:r>
          </w:p>
          <w:p w14:paraId="3D41F22E" w14:textId="23EE0EBC" w:rsidR="005B6B5A" w:rsidRPr="00FE3C59" w:rsidRDefault="24A481DC" w:rsidP="24A481DC">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aggregated unweighted vega sensitivities to the implied volatilities of the underlying's issuer credit spread rates</w:t>
            </w:r>
            <w:r w:rsidR="00465B03" w:rsidRPr="00FE3C59">
              <w:rPr>
                <w:rFonts w:ascii="Times New Roman" w:hAnsi="Times New Roman" w:cs="Times New Roman"/>
                <w:lang w:val="en-GB"/>
              </w:rPr>
              <w:t xml:space="preserve">, </w:t>
            </w:r>
            <w:r w:rsidR="004B49AF" w:rsidRPr="00FE3C59">
              <w:rPr>
                <w:rFonts w:ascii="Times New Roman" w:hAnsi="Times New Roman" w:cs="Times New Roman"/>
                <w:lang w:val="en-GB"/>
              </w:rPr>
              <w:t>mapped to</w:t>
            </w:r>
            <w:r w:rsidR="00DC32AF" w:rsidRPr="00FE3C59">
              <w:rPr>
                <w:rFonts w:ascii="Times New Roman" w:hAnsi="Times New Roman" w:cs="Times New Roman"/>
                <w:lang w:val="en-GB"/>
              </w:rPr>
              <w:t xml:space="preserve"> </w:t>
            </w:r>
            <w:r w:rsidR="004B49AF" w:rsidRPr="00FE3C59">
              <w:rPr>
                <w:rFonts w:ascii="Times New Roman" w:hAnsi="Times New Roman" w:cs="Times New Roman"/>
                <w:lang w:val="en-GB"/>
              </w:rPr>
              <w:t>the</w:t>
            </w:r>
            <w:r w:rsidRPr="00FE3C59">
              <w:rPr>
                <w:rFonts w:ascii="Times New Roman" w:hAnsi="Times New Roman" w:cs="Times New Roman"/>
                <w:lang w:val="en-GB"/>
              </w:rPr>
              <w:t xml:space="preserve"> maturity of the option. </w:t>
            </w:r>
          </w:p>
        </w:tc>
      </w:tr>
      <w:tr w:rsidR="005B6B5A" w:rsidRPr="00FE3C59" w14:paraId="68DD80A9" w14:textId="77777777" w:rsidTr="3F965E88">
        <w:tc>
          <w:tcPr>
            <w:tcW w:w="1043" w:type="dxa"/>
          </w:tcPr>
          <w:p w14:paraId="37296CEE"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vAlign w:val="bottom"/>
          </w:tcPr>
          <w:p w14:paraId="240B8441" w14:textId="0D5D661D" w:rsidR="005B6B5A"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w:t>
            </w:r>
          </w:p>
        </w:tc>
      </w:tr>
      <w:tr w:rsidR="005B6B5A" w:rsidRPr="00FE3C59" w14:paraId="2E55AF44" w14:textId="77777777" w:rsidTr="3F965E88">
        <w:tc>
          <w:tcPr>
            <w:tcW w:w="1043" w:type="dxa"/>
          </w:tcPr>
          <w:p w14:paraId="149DC570"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vAlign w:val="bottom"/>
          </w:tcPr>
          <w:p w14:paraId="7D2277AA" w14:textId="710E9405" w:rsidR="005B6B5A"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w:t>
            </w:r>
          </w:p>
        </w:tc>
      </w:tr>
      <w:tr w:rsidR="005B6B5A" w:rsidRPr="00FE3C59" w14:paraId="256865B2" w14:textId="77777777" w:rsidTr="3F965E88">
        <w:tc>
          <w:tcPr>
            <w:tcW w:w="1043" w:type="dxa"/>
          </w:tcPr>
          <w:p w14:paraId="28319CF2"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vAlign w:val="bottom"/>
          </w:tcPr>
          <w:p w14:paraId="559A8EE2" w14:textId="5C6F6D8D" w:rsidR="005B6B5A"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w:t>
            </w:r>
          </w:p>
        </w:tc>
      </w:tr>
      <w:tr w:rsidR="005B6B5A" w:rsidRPr="00FE3C59" w14:paraId="25A2976D" w14:textId="77777777" w:rsidTr="3F965E88">
        <w:tc>
          <w:tcPr>
            <w:tcW w:w="1043" w:type="dxa"/>
          </w:tcPr>
          <w:p w14:paraId="31121F3A"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vAlign w:val="bottom"/>
          </w:tcPr>
          <w:p w14:paraId="2D3D5996" w14:textId="20B2116E" w:rsidR="005B6B5A"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w:t>
            </w:r>
          </w:p>
        </w:tc>
      </w:tr>
      <w:tr w:rsidR="005B6B5A" w:rsidRPr="00FE3C59" w14:paraId="6938AEE6" w14:textId="77777777" w:rsidTr="3F965E88">
        <w:tc>
          <w:tcPr>
            <w:tcW w:w="1043" w:type="dxa"/>
          </w:tcPr>
          <w:p w14:paraId="6997F275"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vAlign w:val="bottom"/>
          </w:tcPr>
          <w:p w14:paraId="1F7511CD" w14:textId="3A97C341" w:rsidR="005B6B5A"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w:t>
            </w:r>
          </w:p>
        </w:tc>
      </w:tr>
      <w:tr w:rsidR="005B6B5A" w:rsidRPr="00FE3C59" w14:paraId="43097133" w14:textId="77777777" w:rsidTr="3F965E88">
        <w:tc>
          <w:tcPr>
            <w:tcW w:w="1043" w:type="dxa"/>
          </w:tcPr>
          <w:p w14:paraId="3E9AAE0F"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0110-0200</w:t>
            </w:r>
          </w:p>
        </w:tc>
        <w:tc>
          <w:tcPr>
            <w:tcW w:w="7973" w:type="dxa"/>
            <w:vAlign w:val="bottom"/>
          </w:tcPr>
          <w:p w14:paraId="4F143CA1" w14:textId="77777777" w:rsidR="005B6B5A" w:rsidRPr="00FE3C59" w:rsidRDefault="16493F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Weighted sensitivities</w:t>
            </w:r>
          </w:p>
          <w:p w14:paraId="634FD2B3" w14:textId="6009C0ED" w:rsidR="005B6B5A" w:rsidRPr="00FE3C59" w:rsidRDefault="00E914C3" w:rsidP="24A481DC">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24A481DC" w:rsidRPr="00FE3C59">
              <w:rPr>
                <w:rFonts w:ascii="Times New Roman" w:hAnsi="Times New Roman" w:cs="Times New Roman"/>
                <w:lang w:val="en-GB"/>
              </w:rPr>
              <w:t xml:space="preserve"> 325f(6) of Regulation (EU) No 575/2013</w:t>
            </w:r>
          </w:p>
          <w:p w14:paraId="5666DBC1" w14:textId="4BA37339" w:rsidR="005B6B5A" w:rsidRPr="00FE3C59" w:rsidRDefault="00291D83" w:rsidP="24A481DC">
            <w:pPr>
              <w:pStyle w:val="BodyText"/>
              <w:spacing w:before="120" w:after="120"/>
              <w:rPr>
                <w:rFonts w:ascii="Times New Roman" w:hAnsi="Times New Roman" w:cs="Times New Roman"/>
                <w:lang w:val="en-GB"/>
              </w:rPr>
            </w:pPr>
            <w:r w:rsidRPr="00FE3C59">
              <w:rPr>
                <w:rFonts w:ascii="Times New Roman" w:hAnsi="Times New Roman" w:cs="Times New Roman"/>
                <w:lang w:val="en-GB"/>
              </w:rPr>
              <w:t>The net sensitivities per risk factor, calculated in accordance with Articles 325m</w:t>
            </w:r>
            <w:r w:rsidR="00F129CE" w:rsidRPr="00FE3C59">
              <w:rPr>
                <w:rFonts w:ascii="Times New Roman" w:hAnsi="Times New Roman" w:cs="Times New Roman"/>
                <w:lang w:val="en-GB"/>
              </w:rPr>
              <w:t xml:space="preserve">, 325r </w:t>
            </w:r>
            <w:r w:rsidRPr="00FE3C59">
              <w:rPr>
                <w:rFonts w:ascii="Times New Roman" w:hAnsi="Times New Roman" w:cs="Times New Roman"/>
                <w:lang w:val="en-GB"/>
              </w:rPr>
              <w:t xml:space="preserve">and </w:t>
            </w:r>
            <w:r w:rsidR="00F129CE" w:rsidRPr="00FE3C59">
              <w:rPr>
                <w:rFonts w:ascii="Times New Roman" w:hAnsi="Times New Roman" w:cs="Times New Roman"/>
                <w:lang w:val="en-GB"/>
              </w:rPr>
              <w:t>325s</w:t>
            </w:r>
            <w:r w:rsidRPr="00FE3C59">
              <w:rPr>
                <w:rFonts w:ascii="Times New Roman" w:hAnsi="Times New Roman" w:cs="Times New Roman"/>
                <w:lang w:val="en-GB"/>
              </w:rPr>
              <w:t xml:space="preserve"> of Regulation (EU) No 575/2013</w:t>
            </w:r>
            <w:r w:rsidR="00D61E8E" w:rsidRPr="00FE3C59">
              <w:rPr>
                <w:rFonts w:ascii="Times New Roman" w:hAnsi="Times New Roman" w:cs="Times New Roman"/>
                <w:lang w:val="en-GB"/>
              </w:rPr>
              <w:t>,</w:t>
            </w:r>
            <w:r w:rsidRPr="00FE3C59">
              <w:rPr>
                <w:rFonts w:ascii="Times New Roman" w:hAnsi="Times New Roman" w:cs="Times New Roman"/>
                <w:lang w:val="en-GB"/>
              </w:rPr>
              <w:t xml:space="preserve"> weighted by </w:t>
            </w:r>
            <w:r w:rsidR="4D40667C" w:rsidRPr="00FE3C59">
              <w:rPr>
                <w:rFonts w:ascii="Times New Roman" w:hAnsi="Times New Roman" w:cs="Times New Roman"/>
                <w:lang w:val="en-GB"/>
              </w:rPr>
              <w:t xml:space="preserve">the corresponding risk weights set out in </w:t>
            </w:r>
            <w:r w:rsidR="00E914C3" w:rsidRPr="00FE3C59">
              <w:rPr>
                <w:rFonts w:ascii="Times New Roman" w:hAnsi="Times New Roman" w:cs="Times New Roman"/>
                <w:lang w:val="en-GB"/>
              </w:rPr>
              <w:t>Article</w:t>
            </w:r>
            <w:r w:rsidR="0065156C" w:rsidRPr="00FE3C59">
              <w:rPr>
                <w:rFonts w:ascii="Times New Roman" w:hAnsi="Times New Roman" w:cs="Times New Roman"/>
                <w:lang w:val="en-GB"/>
              </w:rPr>
              <w:t>s</w:t>
            </w:r>
            <w:r w:rsidR="48EE8C2D" w:rsidRPr="00FE3C59">
              <w:rPr>
                <w:rFonts w:ascii="Times New Roman" w:hAnsi="Times New Roman" w:cs="Times New Roman"/>
                <w:lang w:val="en-GB"/>
              </w:rPr>
              <w:t xml:space="preserve"> 325ah and 325ax</w:t>
            </w:r>
            <w:r w:rsidR="4D40667C" w:rsidRPr="00FE3C59">
              <w:rPr>
                <w:rFonts w:ascii="Times New Roman" w:hAnsi="Times New Roman" w:cs="Times New Roman"/>
                <w:lang w:val="en-GB"/>
              </w:rPr>
              <w:t xml:space="preserve"> of </w:t>
            </w:r>
            <w:r w:rsidR="53BAD9B0" w:rsidRPr="00FE3C59">
              <w:rPr>
                <w:rFonts w:ascii="Times New Roman" w:hAnsi="Times New Roman" w:cs="Times New Roman"/>
                <w:lang w:val="en-GB"/>
              </w:rPr>
              <w:t>Regulation (EU) No 575/2013</w:t>
            </w:r>
            <w:r w:rsidRPr="00FE3C59">
              <w:rPr>
                <w:rFonts w:ascii="Times New Roman" w:hAnsi="Times New Roman" w:cs="Times New Roman"/>
                <w:lang w:val="en-GB"/>
              </w:rPr>
              <w:t xml:space="preserve">, </w:t>
            </w:r>
            <w:r w:rsidR="009378D7" w:rsidRPr="00FE3C59">
              <w:rPr>
                <w:rFonts w:ascii="Times New Roman" w:hAnsi="Times New Roman" w:cs="Times New Roman"/>
                <w:lang w:val="en-GB"/>
              </w:rPr>
              <w:t>shall be aggregated by bucket and reported separately for delta</w:t>
            </w:r>
            <w:r w:rsidR="63ACC7E8" w:rsidRPr="00FE3C59">
              <w:rPr>
                <w:rFonts w:ascii="Times New Roman" w:hAnsi="Times New Roman" w:cs="Times New Roman"/>
                <w:lang w:val="en-GB"/>
              </w:rPr>
              <w:t xml:space="preserve"> and</w:t>
            </w:r>
            <w:r w:rsidR="009378D7" w:rsidRPr="00FE3C59">
              <w:rPr>
                <w:rFonts w:ascii="Times New Roman" w:hAnsi="Times New Roman" w:cs="Times New Roman"/>
                <w:lang w:val="en-GB"/>
              </w:rPr>
              <w:t xml:space="preserve"> vega risk in </w:t>
            </w:r>
            <w:r w:rsidR="00BF73C3" w:rsidRPr="00FE3C59">
              <w:rPr>
                <w:rFonts w:ascii="Times New Roman" w:hAnsi="Times New Roman" w:cs="Times New Roman"/>
                <w:lang w:val="en-GB"/>
              </w:rPr>
              <w:t>the applicable columns.</w:t>
            </w:r>
          </w:p>
        </w:tc>
      </w:tr>
      <w:tr w:rsidR="005B6B5A" w:rsidRPr="00FE3C59" w14:paraId="577E0003" w14:textId="77777777" w:rsidTr="3F965E88">
        <w:tc>
          <w:tcPr>
            <w:tcW w:w="1043" w:type="dxa"/>
          </w:tcPr>
          <w:p w14:paraId="5C48958E"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0110-0150</w:t>
            </w:r>
          </w:p>
        </w:tc>
        <w:tc>
          <w:tcPr>
            <w:tcW w:w="7973" w:type="dxa"/>
            <w:vAlign w:val="bottom"/>
          </w:tcPr>
          <w:p w14:paraId="679E553B" w14:textId="77777777" w:rsidR="005B6B5A" w:rsidRPr="00FE3C59" w:rsidRDefault="005B6B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 factors: Maturities</w:t>
            </w:r>
          </w:p>
          <w:p w14:paraId="4041F0F8" w14:textId="27DEF8D9" w:rsidR="005B6B5A" w:rsidRPr="00FE3C59" w:rsidRDefault="65DEE445" w:rsidP="3A410EB0">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325e(1</w:t>
            </w:r>
            <w:r w:rsidR="00957F5F" w:rsidRPr="00FE3C59">
              <w:rPr>
                <w:rFonts w:ascii="Times New Roman" w:hAnsi="Times New Roman" w:cs="Times New Roman"/>
                <w:lang w:val="en-GB"/>
              </w:rPr>
              <w:t>), point (</w:t>
            </w:r>
            <w:r w:rsidRPr="00FE3C59">
              <w:rPr>
                <w:rFonts w:ascii="Times New Roman" w:hAnsi="Times New Roman" w:cs="Times New Roman"/>
                <w:lang w:val="en-GB"/>
              </w:rPr>
              <w:t>a), 325f(1</w:t>
            </w:r>
            <w:r w:rsidR="00957F5F" w:rsidRPr="00FE3C59">
              <w:rPr>
                <w:rFonts w:ascii="Times New Roman" w:hAnsi="Times New Roman" w:cs="Times New Roman"/>
                <w:lang w:val="en-GB"/>
              </w:rPr>
              <w:t>) to (</w:t>
            </w:r>
            <w:r w:rsidRPr="00FE3C59">
              <w:rPr>
                <w:rFonts w:ascii="Times New Roman" w:hAnsi="Times New Roman" w:cs="Times New Roman"/>
                <w:lang w:val="en-GB"/>
              </w:rPr>
              <w:t>5), 325m(1), 325r(2) and 325ah of Regulation (EU) No 575/2013</w:t>
            </w:r>
          </w:p>
          <w:p w14:paraId="4038A0CF" w14:textId="2C365E55" w:rsidR="005B6B5A" w:rsidRPr="00FE3C59" w:rsidRDefault="44AA9FEE" w:rsidP="00EB6498">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Institutions shall report the aggregated </w:t>
            </w:r>
            <w:r w:rsidR="00CF5743" w:rsidRPr="00FE3C59">
              <w:rPr>
                <w:rFonts w:ascii="Times New Roman" w:hAnsi="Times New Roman" w:cs="Times New Roman"/>
                <w:lang w:val="en-GB"/>
              </w:rPr>
              <w:t>net</w:t>
            </w:r>
            <w:r w:rsidRPr="00FE3C59">
              <w:rPr>
                <w:rFonts w:ascii="Times New Roman" w:hAnsi="Times New Roman" w:cs="Times New Roman"/>
                <w:lang w:val="en-GB"/>
              </w:rPr>
              <w:t xml:space="preserve"> weighted delta </w:t>
            </w:r>
            <w:r w:rsidR="00CF5743" w:rsidRPr="00FE3C59">
              <w:rPr>
                <w:rFonts w:ascii="Times New Roman" w:hAnsi="Times New Roman" w:cs="Times New Roman"/>
                <w:lang w:val="en-GB"/>
              </w:rPr>
              <w:t xml:space="preserve">sensitivities to the applicable </w:t>
            </w:r>
            <w:r w:rsidRPr="00FE3C59">
              <w:rPr>
                <w:rFonts w:ascii="Times New Roman" w:hAnsi="Times New Roman" w:cs="Times New Roman"/>
                <w:lang w:val="en-GB"/>
              </w:rPr>
              <w:t xml:space="preserve">credit spread </w:t>
            </w:r>
            <w:r w:rsidR="00CF5743" w:rsidRPr="00FE3C59">
              <w:rPr>
                <w:rFonts w:ascii="Times New Roman" w:hAnsi="Times New Roman" w:cs="Times New Roman"/>
                <w:lang w:val="en-GB"/>
              </w:rPr>
              <w:t>risk factors</w:t>
            </w:r>
            <w:r w:rsidR="00A56203" w:rsidRPr="00FE3C59">
              <w:rPr>
                <w:rFonts w:ascii="Times New Roman" w:hAnsi="Times New Roman" w:cs="Times New Roman"/>
                <w:lang w:val="en-GB"/>
              </w:rPr>
              <w:t xml:space="preserve">, </w:t>
            </w:r>
            <w:r w:rsidR="00CC74E6" w:rsidRPr="00FE3C59">
              <w:rPr>
                <w:rFonts w:ascii="Times New Roman" w:hAnsi="Times New Roman" w:cs="Times New Roman"/>
                <w:lang w:val="en-GB"/>
              </w:rPr>
              <w:t>mapped to</w:t>
            </w:r>
            <w:r w:rsidRPr="00FE3C59">
              <w:rPr>
                <w:rFonts w:ascii="Times New Roman" w:hAnsi="Times New Roman" w:cs="Times New Roman"/>
                <w:lang w:val="en-GB"/>
              </w:rPr>
              <w:t xml:space="preserve"> </w:t>
            </w:r>
            <w:r w:rsidR="00920E08" w:rsidRPr="00FE3C59">
              <w:rPr>
                <w:rFonts w:ascii="Times New Roman" w:hAnsi="Times New Roman" w:cs="Times New Roman"/>
                <w:lang w:val="en-GB"/>
              </w:rPr>
              <w:t xml:space="preserve">the </w:t>
            </w:r>
            <w:r w:rsidRPr="00FE3C59">
              <w:rPr>
                <w:rFonts w:ascii="Times New Roman" w:hAnsi="Times New Roman" w:cs="Times New Roman"/>
                <w:lang w:val="en-GB"/>
              </w:rPr>
              <w:t>maturit</w:t>
            </w:r>
            <w:r w:rsidR="00920E08" w:rsidRPr="00FE3C59">
              <w:rPr>
                <w:rFonts w:ascii="Times New Roman" w:hAnsi="Times New Roman" w:cs="Times New Roman"/>
                <w:lang w:val="en-GB"/>
              </w:rPr>
              <w:t>ies of the instruments</w:t>
            </w:r>
            <w:r w:rsidRPr="00FE3C59">
              <w:rPr>
                <w:rFonts w:ascii="Times New Roman" w:hAnsi="Times New Roman" w:cs="Times New Roman"/>
                <w:lang w:val="en-GB"/>
              </w:rPr>
              <w:t xml:space="preserve">. </w:t>
            </w:r>
          </w:p>
        </w:tc>
      </w:tr>
      <w:tr w:rsidR="005B6B5A" w:rsidRPr="00FE3C59" w14:paraId="6C397BA8" w14:textId="77777777" w:rsidTr="3F965E88">
        <w:tc>
          <w:tcPr>
            <w:tcW w:w="1043" w:type="dxa"/>
          </w:tcPr>
          <w:p w14:paraId="17D352A0"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vAlign w:val="bottom"/>
          </w:tcPr>
          <w:p w14:paraId="6F16FA45" w14:textId="76166EEA" w:rsidR="24A481DC" w:rsidRPr="00FE3C59" w:rsidRDefault="16493F5A" w:rsidP="24A481DC">
            <w:pPr>
              <w:pStyle w:val="BodyText"/>
              <w:spacing w:before="120" w:after="120" w:line="288" w:lineRule="auto"/>
              <w:rPr>
                <w:rFonts w:ascii="Times New Roman" w:hAnsi="Times New Roman" w:cs="Times New Roman"/>
                <w:lang w:val="en-GB"/>
              </w:rPr>
            </w:pPr>
            <w:r w:rsidRPr="00FE3C59">
              <w:rPr>
                <w:rFonts w:ascii="Times New Roman" w:hAnsi="Times New Roman" w:cs="Times New Roman"/>
                <w:b/>
                <w:u w:val="single"/>
                <w:lang w:val="en-GB"/>
              </w:rPr>
              <w:t>0.5 years</w:t>
            </w:r>
          </w:p>
        </w:tc>
      </w:tr>
      <w:tr w:rsidR="005B6B5A" w:rsidRPr="00FE3C59" w14:paraId="4EF38ED9" w14:textId="77777777" w:rsidTr="3F965E88">
        <w:tc>
          <w:tcPr>
            <w:tcW w:w="1043" w:type="dxa"/>
          </w:tcPr>
          <w:p w14:paraId="7449CF0B"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73" w:type="dxa"/>
            <w:vAlign w:val="bottom"/>
          </w:tcPr>
          <w:p w14:paraId="57CDCC18" w14:textId="6CCF121F" w:rsidR="24A481DC" w:rsidRPr="00FE3C59" w:rsidRDefault="16493F5A" w:rsidP="0021252E">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 year</w:t>
            </w:r>
          </w:p>
        </w:tc>
      </w:tr>
      <w:tr w:rsidR="005B6B5A" w:rsidRPr="00FE3C59" w14:paraId="11A9E300" w14:textId="77777777" w:rsidTr="3F965E88">
        <w:tc>
          <w:tcPr>
            <w:tcW w:w="1043" w:type="dxa"/>
          </w:tcPr>
          <w:p w14:paraId="70BBE8D4"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73" w:type="dxa"/>
            <w:vAlign w:val="bottom"/>
          </w:tcPr>
          <w:p w14:paraId="2F421765" w14:textId="544E52C4" w:rsidR="24A481DC" w:rsidRPr="00FE3C59" w:rsidRDefault="16493F5A" w:rsidP="0021252E">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3 years</w:t>
            </w:r>
          </w:p>
        </w:tc>
      </w:tr>
      <w:tr w:rsidR="005B6B5A" w:rsidRPr="00FE3C59" w14:paraId="321CC150" w14:textId="77777777" w:rsidTr="3F965E88">
        <w:tc>
          <w:tcPr>
            <w:tcW w:w="1043" w:type="dxa"/>
          </w:tcPr>
          <w:p w14:paraId="3D7636C4"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973" w:type="dxa"/>
            <w:vAlign w:val="bottom"/>
          </w:tcPr>
          <w:p w14:paraId="6C24D9AE" w14:textId="1DB6749C" w:rsidR="24A481DC" w:rsidRPr="00FE3C59" w:rsidRDefault="16493F5A" w:rsidP="0021252E">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5 years</w:t>
            </w:r>
          </w:p>
        </w:tc>
      </w:tr>
      <w:tr w:rsidR="005B6B5A" w:rsidRPr="00FE3C59" w14:paraId="3F68EE2C" w14:textId="77777777" w:rsidTr="3F965E88">
        <w:tc>
          <w:tcPr>
            <w:tcW w:w="1043" w:type="dxa"/>
          </w:tcPr>
          <w:p w14:paraId="1430EAB0"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973" w:type="dxa"/>
            <w:vAlign w:val="bottom"/>
          </w:tcPr>
          <w:p w14:paraId="476DA4ED" w14:textId="694B53FF" w:rsidR="24A481DC" w:rsidRPr="00FE3C59" w:rsidRDefault="16493F5A" w:rsidP="0021252E">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10 years</w:t>
            </w:r>
          </w:p>
        </w:tc>
      </w:tr>
      <w:tr w:rsidR="005B6B5A" w:rsidRPr="00FE3C59" w14:paraId="7F3062CF" w14:textId="77777777" w:rsidTr="3F965E88">
        <w:tc>
          <w:tcPr>
            <w:tcW w:w="1043" w:type="dxa"/>
          </w:tcPr>
          <w:p w14:paraId="3785E4E7"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0160-0200</w:t>
            </w:r>
          </w:p>
        </w:tc>
        <w:tc>
          <w:tcPr>
            <w:tcW w:w="7973" w:type="dxa"/>
            <w:vAlign w:val="bottom"/>
          </w:tcPr>
          <w:p w14:paraId="26AB405F" w14:textId="77777777" w:rsidR="005B6B5A" w:rsidRPr="00FE3C59" w:rsidRDefault="005B6B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 factors: Maturities</w:t>
            </w:r>
          </w:p>
          <w:p w14:paraId="36340E41" w14:textId="31888492" w:rsidR="005B6B5A" w:rsidRPr="00FE3C59" w:rsidRDefault="65DEE445" w:rsidP="3A410EB0">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00FD6678" w:rsidRPr="00FE3C59">
              <w:rPr>
                <w:rFonts w:ascii="Times New Roman" w:hAnsi="Times New Roman" w:cs="Times New Roman"/>
                <w:lang w:val="en-GB"/>
              </w:rPr>
              <w:t>s</w:t>
            </w:r>
            <w:r w:rsidRPr="00FE3C59">
              <w:rPr>
                <w:rFonts w:ascii="Times New Roman" w:hAnsi="Times New Roman" w:cs="Times New Roman"/>
                <w:lang w:val="en-GB"/>
              </w:rPr>
              <w:t xml:space="preserve"> 325e(1)</w:t>
            </w:r>
            <w:r w:rsidR="0021252E" w:rsidRPr="00FE3C59">
              <w:rPr>
                <w:rFonts w:ascii="Times New Roman" w:hAnsi="Times New Roman" w:cs="Times New Roman"/>
                <w:lang w:val="en-GB"/>
              </w:rPr>
              <w:t xml:space="preserve">, point </w:t>
            </w:r>
            <w:r w:rsidRPr="00FE3C59">
              <w:rPr>
                <w:rFonts w:ascii="Times New Roman" w:hAnsi="Times New Roman" w:cs="Times New Roman"/>
                <w:lang w:val="en-GB"/>
              </w:rPr>
              <w:t>(b), 325f(1</w:t>
            </w:r>
            <w:r w:rsidR="00957F5F" w:rsidRPr="00FE3C59">
              <w:rPr>
                <w:rFonts w:ascii="Times New Roman" w:hAnsi="Times New Roman" w:cs="Times New Roman"/>
                <w:lang w:val="en-GB"/>
              </w:rPr>
              <w:t>) to (</w:t>
            </w:r>
            <w:r w:rsidRPr="00FE3C59">
              <w:rPr>
                <w:rFonts w:ascii="Times New Roman" w:hAnsi="Times New Roman" w:cs="Times New Roman"/>
                <w:lang w:val="en-GB"/>
              </w:rPr>
              <w:t>5), 325m(</w:t>
            </w:r>
            <w:r w:rsidR="00333842" w:rsidRPr="00FE3C59">
              <w:rPr>
                <w:rFonts w:ascii="Times New Roman" w:hAnsi="Times New Roman" w:cs="Times New Roman"/>
                <w:lang w:val="en-GB"/>
              </w:rPr>
              <w:t>2</w:t>
            </w:r>
            <w:r w:rsidRPr="00FE3C59">
              <w:rPr>
                <w:rFonts w:ascii="Times New Roman" w:hAnsi="Times New Roman" w:cs="Times New Roman"/>
                <w:lang w:val="en-GB"/>
              </w:rPr>
              <w:t>), 325r(2) and 325ax of Regulation (EU) No 575/2013</w:t>
            </w:r>
          </w:p>
          <w:p w14:paraId="12D136CF" w14:textId="30686E08" w:rsidR="005B6B5A" w:rsidRPr="00FE3C59" w:rsidRDefault="44AA9FEE" w:rsidP="3A410EB0">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Institutions shall report the aggregated weighted </w:t>
            </w:r>
            <w:r w:rsidR="005A0873" w:rsidRPr="00FE3C59">
              <w:rPr>
                <w:rFonts w:ascii="Times New Roman" w:hAnsi="Times New Roman" w:cs="Times New Roman"/>
                <w:lang w:val="en-GB"/>
              </w:rPr>
              <w:t xml:space="preserve">net </w:t>
            </w:r>
            <w:r w:rsidRPr="00FE3C59">
              <w:rPr>
                <w:rFonts w:ascii="Times New Roman" w:hAnsi="Times New Roman" w:cs="Times New Roman"/>
                <w:lang w:val="en-GB"/>
              </w:rPr>
              <w:t xml:space="preserve">vega sensitivities to the </w:t>
            </w:r>
            <w:r w:rsidR="003110E7" w:rsidRPr="00FE3C59">
              <w:rPr>
                <w:rFonts w:ascii="Times New Roman" w:hAnsi="Times New Roman" w:cs="Times New Roman"/>
                <w:lang w:val="en-GB"/>
              </w:rPr>
              <w:t>applicable vega risk factors, mapped to</w:t>
            </w:r>
            <w:r w:rsidRPr="00FE3C59">
              <w:rPr>
                <w:rFonts w:ascii="Times New Roman" w:hAnsi="Times New Roman" w:cs="Times New Roman"/>
                <w:lang w:val="en-GB"/>
              </w:rPr>
              <w:t xml:space="preserve"> </w:t>
            </w:r>
            <w:r w:rsidR="003110E7" w:rsidRPr="00FE3C59">
              <w:rPr>
                <w:rFonts w:ascii="Times New Roman" w:hAnsi="Times New Roman" w:cs="Times New Roman"/>
                <w:lang w:val="en-GB"/>
              </w:rPr>
              <w:t>the</w:t>
            </w:r>
            <w:r w:rsidRPr="00FE3C59">
              <w:rPr>
                <w:rFonts w:ascii="Times New Roman" w:hAnsi="Times New Roman" w:cs="Times New Roman"/>
                <w:lang w:val="en-GB"/>
              </w:rPr>
              <w:t xml:space="preserve"> maturity of the option. </w:t>
            </w:r>
          </w:p>
        </w:tc>
      </w:tr>
      <w:tr w:rsidR="005B6B5A" w:rsidRPr="00FE3C59" w14:paraId="7F95D695" w14:textId="77777777" w:rsidTr="3F965E88">
        <w:tc>
          <w:tcPr>
            <w:tcW w:w="1043" w:type="dxa"/>
          </w:tcPr>
          <w:p w14:paraId="7E4BA791"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0160</w:t>
            </w:r>
          </w:p>
        </w:tc>
        <w:tc>
          <w:tcPr>
            <w:tcW w:w="7973" w:type="dxa"/>
            <w:vAlign w:val="bottom"/>
          </w:tcPr>
          <w:p w14:paraId="55B77DF1" w14:textId="6F42FA1B" w:rsidR="24A481DC"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w:t>
            </w:r>
          </w:p>
        </w:tc>
      </w:tr>
      <w:tr w:rsidR="005B6B5A" w:rsidRPr="00FE3C59" w14:paraId="6B2E5745" w14:textId="77777777" w:rsidTr="3F965E88">
        <w:tc>
          <w:tcPr>
            <w:tcW w:w="1043" w:type="dxa"/>
          </w:tcPr>
          <w:p w14:paraId="3255FFE6"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973" w:type="dxa"/>
            <w:vAlign w:val="bottom"/>
          </w:tcPr>
          <w:p w14:paraId="230F10FB" w14:textId="370AD1C8" w:rsidR="24A481DC"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w:t>
            </w:r>
          </w:p>
        </w:tc>
      </w:tr>
      <w:tr w:rsidR="005B6B5A" w:rsidRPr="00FE3C59" w14:paraId="08BC321B" w14:textId="77777777" w:rsidTr="3F965E88">
        <w:tc>
          <w:tcPr>
            <w:tcW w:w="1043" w:type="dxa"/>
          </w:tcPr>
          <w:p w14:paraId="6BD6D485"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973" w:type="dxa"/>
            <w:vAlign w:val="bottom"/>
          </w:tcPr>
          <w:p w14:paraId="561A592C" w14:textId="5FA5D611" w:rsidR="24A481DC"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w:t>
            </w:r>
          </w:p>
        </w:tc>
      </w:tr>
      <w:tr w:rsidR="005B6B5A" w:rsidRPr="00FE3C59" w14:paraId="0E15F0D0" w14:textId="77777777" w:rsidTr="3F965E88">
        <w:tc>
          <w:tcPr>
            <w:tcW w:w="1043" w:type="dxa"/>
          </w:tcPr>
          <w:p w14:paraId="36DAE8D6"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73" w:type="dxa"/>
            <w:vAlign w:val="bottom"/>
          </w:tcPr>
          <w:p w14:paraId="2E20CC41" w14:textId="3594BD69" w:rsidR="24A481DC"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w:t>
            </w:r>
          </w:p>
        </w:tc>
      </w:tr>
      <w:tr w:rsidR="005B6B5A" w:rsidRPr="00FE3C59" w14:paraId="7B04C9DA" w14:textId="77777777" w:rsidTr="3F965E88">
        <w:tc>
          <w:tcPr>
            <w:tcW w:w="1043" w:type="dxa"/>
          </w:tcPr>
          <w:p w14:paraId="7AC41614"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73" w:type="dxa"/>
            <w:vAlign w:val="bottom"/>
          </w:tcPr>
          <w:p w14:paraId="2FC228E7" w14:textId="376C2EE2" w:rsidR="24A481DC" w:rsidRPr="00FE3C59" w:rsidRDefault="16493F5A" w:rsidP="24A481D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w:t>
            </w:r>
          </w:p>
        </w:tc>
      </w:tr>
      <w:tr w:rsidR="005B6B5A" w:rsidRPr="00FE3C59" w14:paraId="09B17EE5" w14:textId="77777777" w:rsidTr="3F965E88">
        <w:tc>
          <w:tcPr>
            <w:tcW w:w="1043" w:type="dxa"/>
          </w:tcPr>
          <w:p w14:paraId="01C0B08D"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0210-0220</w:t>
            </w:r>
          </w:p>
        </w:tc>
        <w:tc>
          <w:tcPr>
            <w:tcW w:w="7973" w:type="dxa"/>
            <w:vAlign w:val="bottom"/>
          </w:tcPr>
          <w:p w14:paraId="5841CA8B" w14:textId="25AC8F21" w:rsidR="005B6B5A" w:rsidRPr="00FE3C59" w:rsidRDefault="005B6B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Curvature risk positions </w:t>
            </w:r>
            <w:r w:rsidR="003110E7"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Curvature risk</w:t>
            </w:r>
          </w:p>
          <w:p w14:paraId="6F040E9D" w14:textId="5D52A67C" w:rsidR="005B6B5A" w:rsidRPr="00FE3C59" w:rsidRDefault="77411CC6"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00333842" w:rsidRPr="00FE3C59">
              <w:rPr>
                <w:rFonts w:ascii="Times New Roman" w:hAnsi="Times New Roman" w:cs="Times New Roman"/>
                <w:lang w:val="en-GB"/>
              </w:rPr>
              <w:t>s</w:t>
            </w:r>
            <w:r w:rsidRPr="00FE3C59">
              <w:rPr>
                <w:rFonts w:ascii="Times New Roman" w:hAnsi="Times New Roman" w:cs="Times New Roman"/>
                <w:lang w:val="en-GB"/>
              </w:rPr>
              <w:t xml:space="preserve"> 325g, 325m(3</w:t>
            </w:r>
            <w:r w:rsidR="00333842" w:rsidRPr="00FE3C59">
              <w:rPr>
                <w:rFonts w:ascii="Times New Roman" w:hAnsi="Times New Roman" w:cs="Times New Roman"/>
                <w:lang w:val="en-GB"/>
              </w:rPr>
              <w:t>) to (</w:t>
            </w:r>
            <w:r w:rsidRPr="00FE3C59">
              <w:rPr>
                <w:rFonts w:ascii="Times New Roman" w:hAnsi="Times New Roman" w:cs="Times New Roman"/>
                <w:lang w:val="en-GB"/>
              </w:rPr>
              <w:t>4), 325ax(6), 325ay(5)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tc>
      </w:tr>
      <w:tr w:rsidR="005B6B5A" w:rsidRPr="00FE3C59" w14:paraId="08E2E035" w14:textId="77777777" w:rsidTr="3F965E88">
        <w:tc>
          <w:tcPr>
            <w:tcW w:w="1043" w:type="dxa"/>
          </w:tcPr>
          <w:p w14:paraId="795DD35B"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73" w:type="dxa"/>
            <w:vAlign w:val="bottom"/>
          </w:tcPr>
          <w:p w14:paraId="55B0593B" w14:textId="55EB250A" w:rsidR="005B6B5A" w:rsidRPr="00FE3C59" w:rsidRDefault="005B6B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Upward net curvature risk position</w:t>
            </w:r>
          </w:p>
          <w:p w14:paraId="00057D14" w14:textId="684177B8" w:rsidR="005B6B5A" w:rsidRPr="00FE3C59" w:rsidRDefault="77411CC6" w:rsidP="620E6D28">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325g(2</w:t>
            </w:r>
            <w:r w:rsidR="00333842" w:rsidRPr="00FE3C59">
              <w:rPr>
                <w:rFonts w:ascii="Times New Roman" w:hAnsi="Times New Roman" w:cs="Times New Roman"/>
                <w:lang w:val="en-GB"/>
              </w:rPr>
              <w:t>) to (</w:t>
            </w:r>
            <w:r w:rsidRPr="00FE3C59">
              <w:rPr>
                <w:rFonts w:ascii="Times New Roman" w:hAnsi="Times New Roman" w:cs="Times New Roman"/>
                <w:lang w:val="en-GB"/>
              </w:rPr>
              <w:t>3)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p w14:paraId="6395E79A" w14:textId="1B7BB5F9" w:rsidR="005B6B5A" w:rsidRPr="00FE3C59" w:rsidRDefault="04A7E951" w:rsidP="009F4A3D">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upward net curvature risk position (</w:t>
            </w:r>
            <m:oMath>
              <m:r>
                <w:rPr>
                  <w:rFonts w:ascii="Cambria Math" w:hAnsi="Cambria Math" w:cs="Times New Roman"/>
                  <w:lang w:val="en-GB"/>
                </w:rPr>
                <m:t>CV</m:t>
              </m:r>
              <m:sSubSup>
                <m:sSubSupPr>
                  <m:ctrlPr>
                    <w:rPr>
                      <w:rFonts w:ascii="Cambria Math" w:hAnsi="Cambria Math" w:cs="Times New Roman"/>
                      <w:lang w:val="en-GB"/>
                    </w:rPr>
                  </m:ctrlPr>
                </m:sSubSupPr>
                <m:e>
                  <m:r>
                    <w:rPr>
                      <w:rFonts w:ascii="Cambria Math" w:hAnsi="Cambria Math" w:cs="Times New Roman"/>
                      <w:lang w:val="en-GB"/>
                    </w:rPr>
                    <m:t>R</m:t>
                  </m:r>
                </m:e>
                <m:sub>
                  <m:r>
                    <w:rPr>
                      <w:rFonts w:ascii="Cambria Math" w:hAnsi="Cambria Math" w:cs="Times New Roman"/>
                      <w:lang w:val="en-GB"/>
                    </w:rPr>
                    <m:t>k</m:t>
                  </m:r>
                </m:sub>
                <m:sup>
                  <m:r>
                    <w:rPr>
                      <w:rFonts w:ascii="Cambria Math" w:hAnsi="Cambria Math" w:cs="Times New Roman"/>
                      <w:lang w:val="en-GB"/>
                    </w:rPr>
                    <m:t>+</m:t>
                  </m:r>
                </m:sup>
              </m:sSubSup>
            </m:oMath>
            <w:r w:rsidRPr="00FE3C59">
              <w:rPr>
                <w:rFonts w:ascii="Times New Roman" w:hAnsi="Times New Roman" w:cs="Times New Roman"/>
                <w:lang w:val="en-GB"/>
              </w:rPr>
              <w:t>) of the credit spread curves included in the relevant bucket.</w:t>
            </w:r>
          </w:p>
        </w:tc>
      </w:tr>
      <w:tr w:rsidR="005B6B5A" w:rsidRPr="00FE3C59" w14:paraId="0C938A55" w14:textId="77777777" w:rsidTr="3F965E88">
        <w:tc>
          <w:tcPr>
            <w:tcW w:w="1043" w:type="dxa"/>
          </w:tcPr>
          <w:p w14:paraId="02BFFBE4"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0220</w:t>
            </w:r>
          </w:p>
        </w:tc>
        <w:tc>
          <w:tcPr>
            <w:tcW w:w="7973" w:type="dxa"/>
            <w:vAlign w:val="bottom"/>
          </w:tcPr>
          <w:p w14:paraId="4D058BE7" w14:textId="5BC2EA4B" w:rsidR="005B6B5A" w:rsidRPr="00FE3C59" w:rsidRDefault="005B6B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Downward net curvature risk position</w:t>
            </w:r>
          </w:p>
          <w:p w14:paraId="03CFAD07" w14:textId="3F8674A3" w:rsidR="005B6B5A" w:rsidRPr="00FE3C59" w:rsidRDefault="77411CC6" w:rsidP="620E6D28">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325g(2</w:t>
            </w:r>
            <w:r w:rsidR="00333842" w:rsidRPr="00FE3C59">
              <w:rPr>
                <w:rFonts w:ascii="Times New Roman" w:hAnsi="Times New Roman" w:cs="Times New Roman"/>
                <w:lang w:val="en-GB"/>
              </w:rPr>
              <w:t>) to (</w:t>
            </w:r>
            <w:r w:rsidRPr="00FE3C59">
              <w:rPr>
                <w:rFonts w:ascii="Times New Roman" w:hAnsi="Times New Roman" w:cs="Times New Roman"/>
                <w:lang w:val="en-GB"/>
              </w:rPr>
              <w:t>3) of</w:t>
            </w:r>
            <w:r w:rsidRPr="00FE3C59" w:rsidDel="00FD7136">
              <w:rPr>
                <w:rFonts w:ascii="Times New Roman" w:hAnsi="Times New Roman" w:cs="Times New Roman"/>
                <w:lang w:val="en-GB"/>
              </w:rPr>
              <w:t xml:space="preserve"> </w:t>
            </w:r>
            <w:r w:rsidR="00FD7136" w:rsidRPr="00FE3C59">
              <w:rPr>
                <w:rFonts w:ascii="Times New Roman" w:hAnsi="Times New Roman" w:cs="Times New Roman"/>
                <w:lang w:val="en-GB"/>
              </w:rPr>
              <w:t>Regulation (EU) No 575/2013</w:t>
            </w:r>
          </w:p>
          <w:p w14:paraId="1C26839B" w14:textId="05DD67CD" w:rsidR="005B6B5A" w:rsidRPr="00FE3C59" w:rsidRDefault="04A7E951" w:rsidP="009F4A3D">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downward net curvature risk position (</w:t>
            </w:r>
            <m:oMath>
              <m:r>
                <w:rPr>
                  <w:rFonts w:ascii="Cambria Math" w:hAnsi="Cambria Math" w:cs="Times New Roman"/>
                  <w:lang w:val="en-GB"/>
                </w:rPr>
                <m:t>CV</m:t>
              </m:r>
              <m:sSubSup>
                <m:sSubSupPr>
                  <m:ctrlPr>
                    <w:rPr>
                      <w:rFonts w:ascii="Cambria Math" w:hAnsi="Cambria Math" w:cs="Times New Roman"/>
                      <w:lang w:val="en-GB"/>
                    </w:rPr>
                  </m:ctrlPr>
                </m:sSubSupPr>
                <m:e>
                  <m:r>
                    <w:rPr>
                      <w:rFonts w:ascii="Cambria Math" w:hAnsi="Cambria Math" w:cs="Times New Roman"/>
                      <w:lang w:val="en-GB"/>
                    </w:rPr>
                    <m:t>R</m:t>
                  </m:r>
                </m:e>
                <m:sub>
                  <m:r>
                    <w:rPr>
                      <w:rFonts w:ascii="Cambria Math" w:hAnsi="Cambria Math" w:cs="Times New Roman"/>
                      <w:lang w:val="en-GB"/>
                    </w:rPr>
                    <m:t>k</m:t>
                  </m:r>
                </m:sub>
                <m:sup>
                  <m:r>
                    <w:rPr>
                      <w:rFonts w:ascii="Cambria Math" w:hAnsi="Cambria Math" w:cs="Times New Roman"/>
                      <w:lang w:val="en-GB"/>
                    </w:rPr>
                    <m:t>-</m:t>
                  </m:r>
                </m:sup>
              </m:sSubSup>
            </m:oMath>
            <w:r w:rsidRPr="00FE3C59">
              <w:rPr>
                <w:rFonts w:ascii="Times New Roman" w:hAnsi="Times New Roman" w:cs="Times New Roman"/>
                <w:lang w:val="en-GB"/>
              </w:rPr>
              <w:t>) of the credit spread curves included in the relevant bucket.</w:t>
            </w:r>
          </w:p>
        </w:tc>
      </w:tr>
      <w:tr w:rsidR="005B6B5A" w:rsidRPr="00FE3C59" w14:paraId="7F4ED73F" w14:textId="77777777" w:rsidTr="3F965E88">
        <w:tc>
          <w:tcPr>
            <w:tcW w:w="1043" w:type="dxa"/>
          </w:tcPr>
          <w:p w14:paraId="132E9B20"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0230-0240</w:t>
            </w:r>
          </w:p>
        </w:tc>
        <w:tc>
          <w:tcPr>
            <w:tcW w:w="7973" w:type="dxa"/>
            <w:vAlign w:val="bottom"/>
          </w:tcPr>
          <w:p w14:paraId="7C9CF56B" w14:textId="241AE2A7" w:rsidR="005B6B5A" w:rsidRPr="00FE3C59" w:rsidRDefault="005B6B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Sum of weighted sensitivities</w:t>
            </w:r>
          </w:p>
          <w:p w14:paraId="72D94592" w14:textId="205737EF" w:rsidR="005B6B5A" w:rsidRPr="00FE3C59" w:rsidRDefault="00E914C3" w:rsidP="4D06C2A4">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531A42C" w:rsidRPr="00FE3C59">
              <w:rPr>
                <w:rFonts w:ascii="Times New Roman" w:hAnsi="Times New Roman" w:cs="Times New Roman"/>
                <w:lang w:val="en-GB"/>
              </w:rPr>
              <w:t xml:space="preserve"> 325f(8) </w:t>
            </w:r>
            <w:r w:rsidR="77411CC6" w:rsidRPr="00FE3C59">
              <w:rPr>
                <w:rFonts w:ascii="Times New Roman" w:hAnsi="Times New Roman" w:cs="Times New Roman"/>
                <w:lang w:val="en-GB"/>
              </w:rPr>
              <w:t>of Regulation (EU) No 575/2013</w:t>
            </w:r>
          </w:p>
          <w:p w14:paraId="26860A88" w14:textId="2915BE59" w:rsidR="005B6B5A" w:rsidRPr="00FE3C59" w:rsidRDefault="04A7E951" w:rsidP="4D06C2A4">
            <w:pPr>
              <w:pStyle w:val="BodyText"/>
              <w:spacing w:before="120" w:after="120" w:line="288" w:lineRule="auto"/>
              <w:rPr>
                <w:rFonts w:ascii="Times New Roman" w:hAnsi="Times New Roman" w:cs="Times New Roman"/>
                <w:lang w:val="en-GB"/>
              </w:rPr>
            </w:pPr>
            <w:r w:rsidRPr="00FE3C59">
              <w:rPr>
                <w:rFonts w:ascii="Times New Roman" w:hAnsi="Times New Roman" w:cs="Times New Roman"/>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nary>
                <m:naryPr>
                  <m:chr m:val="∑"/>
                  <m:supHide m:val="1"/>
                  <m:ctrlPr>
                    <w:rPr>
                      <w:rFonts w:ascii="Cambria Math" w:hAnsi="Cambria Math" w:cs="Times New Roman"/>
                      <w:i/>
                      <w:lang w:val="en-GB"/>
                    </w:rPr>
                  </m:ctrlPr>
                </m:naryPr>
                <m:sub>
                  <m:r>
                    <w:rPr>
                      <w:rFonts w:ascii="Cambria Math" w:hAnsi="Cambria Math" w:cs="Times New Roman"/>
                      <w:lang w:val="en-GB"/>
                    </w:rPr>
                    <m:t>k</m:t>
                  </m:r>
                </m:sub>
                <m:sup/>
                <m:e>
                  <m:sSub>
                    <m:sSubPr>
                      <m:ctrlPr>
                        <w:rPr>
                          <w:rFonts w:ascii="Cambria Math" w:hAnsi="Cambria Math" w:cs="Times New Roman"/>
                          <w:i/>
                          <w:lang w:val="en-GB"/>
                        </w:rPr>
                      </m:ctrlPr>
                    </m:sSubPr>
                    <m:e>
                      <m:r>
                        <w:rPr>
                          <w:rFonts w:ascii="Cambria Math" w:hAnsi="Cambria Math" w:cs="Times New Roman"/>
                          <w:lang w:val="en-GB"/>
                        </w:rPr>
                        <m:t>WS</m:t>
                      </m:r>
                    </m:e>
                    <m:sub>
                      <m:r>
                        <w:rPr>
                          <w:rFonts w:ascii="Cambria Math" w:hAnsi="Cambria Math" w:cs="Times New Roman"/>
                          <w:lang w:val="en-GB"/>
                        </w:rPr>
                        <m:t>k</m:t>
                      </m:r>
                    </m:sub>
                  </m:sSub>
                </m:e>
              </m:nary>
            </m:oMath>
            <w:r w:rsidRPr="00FE3C59">
              <w:rPr>
                <w:rFonts w:ascii="Times New Roman" w:hAnsi="Times New Roman" w:cs="Times New Roman"/>
                <w:lang w:val="en-GB"/>
              </w:rPr>
              <w:t xml:space="preserve">) as defined for the purposes of the aggregation within each bucket in </w:t>
            </w:r>
            <w:r w:rsidR="00E914C3" w:rsidRPr="00FE3C59">
              <w:rPr>
                <w:rFonts w:ascii="Times New Roman" w:hAnsi="Times New Roman" w:cs="Times New Roman"/>
                <w:lang w:val="en-GB"/>
              </w:rPr>
              <w:t>Article</w:t>
            </w:r>
            <w:r w:rsidRPr="00FE3C59">
              <w:rPr>
                <w:rFonts w:ascii="Times New Roman" w:hAnsi="Times New Roman" w:cs="Times New Roman"/>
                <w:lang w:val="en-GB"/>
              </w:rPr>
              <w:t xml:space="preserve"> 325f(8) of Regulation (EU) No 575/2013 shall be reported.</w:t>
            </w:r>
          </w:p>
        </w:tc>
      </w:tr>
      <w:tr w:rsidR="005B6B5A" w:rsidRPr="00FE3C59" w14:paraId="4464CE65" w14:textId="77777777" w:rsidTr="3F965E88">
        <w:tc>
          <w:tcPr>
            <w:tcW w:w="1043" w:type="dxa"/>
          </w:tcPr>
          <w:p w14:paraId="0EA495E8"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w:t>
            </w:r>
          </w:p>
        </w:tc>
        <w:tc>
          <w:tcPr>
            <w:tcW w:w="7973" w:type="dxa"/>
            <w:vAlign w:val="bottom"/>
          </w:tcPr>
          <w:p w14:paraId="06C80375" w14:textId="3D73DB4E" w:rsidR="005B6B5A" w:rsidRPr="00FE3C59" w:rsidRDefault="005B6B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w:t>
            </w:r>
          </w:p>
          <w:p w14:paraId="36AA755A" w14:textId="737BDA72" w:rsidR="005B6B5A" w:rsidRPr="00FE3C59" w:rsidRDefault="00E914C3"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531A42C" w:rsidRPr="00FE3C59">
              <w:rPr>
                <w:rFonts w:ascii="Times New Roman" w:hAnsi="Times New Roman" w:cs="Times New Roman"/>
                <w:lang w:val="en-GB"/>
              </w:rPr>
              <w:t xml:space="preserve"> 325f(8) </w:t>
            </w:r>
            <w:r w:rsidR="77411CC6" w:rsidRPr="00FE3C59">
              <w:rPr>
                <w:rFonts w:ascii="Times New Roman" w:hAnsi="Times New Roman" w:cs="Times New Roman"/>
                <w:lang w:val="en-GB"/>
              </w:rPr>
              <w:t>of Regulation (EU) No 575/2013</w:t>
            </w:r>
          </w:p>
        </w:tc>
      </w:tr>
      <w:tr w:rsidR="005B6B5A" w:rsidRPr="00FE3C59" w14:paraId="6E59C1AD" w14:textId="77777777" w:rsidTr="3F965E88">
        <w:tc>
          <w:tcPr>
            <w:tcW w:w="1043" w:type="dxa"/>
          </w:tcPr>
          <w:p w14:paraId="6A4EC438"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0240</w:t>
            </w:r>
          </w:p>
        </w:tc>
        <w:tc>
          <w:tcPr>
            <w:tcW w:w="7973" w:type="dxa"/>
            <w:vAlign w:val="bottom"/>
          </w:tcPr>
          <w:p w14:paraId="2095A70A" w14:textId="0CA467FA" w:rsidR="005B6B5A" w:rsidRPr="00FE3C59" w:rsidRDefault="005B6B5A" w:rsidP="000D1DC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w:t>
            </w:r>
          </w:p>
          <w:p w14:paraId="74154089" w14:textId="2A107BCF" w:rsidR="005B6B5A" w:rsidRPr="00FE3C59" w:rsidRDefault="00E914C3"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531A42C" w:rsidRPr="00FE3C59">
              <w:rPr>
                <w:rFonts w:ascii="Times New Roman" w:hAnsi="Times New Roman" w:cs="Times New Roman"/>
                <w:lang w:val="en-GB"/>
              </w:rPr>
              <w:t xml:space="preserve"> 325f(8) </w:t>
            </w:r>
            <w:r w:rsidR="77411CC6" w:rsidRPr="00FE3C59">
              <w:rPr>
                <w:rFonts w:ascii="Times New Roman" w:hAnsi="Times New Roman" w:cs="Times New Roman"/>
                <w:lang w:val="en-GB"/>
              </w:rPr>
              <w:t>of Regulation (EU) No 575/2013</w:t>
            </w:r>
          </w:p>
        </w:tc>
      </w:tr>
      <w:tr w:rsidR="005B6B5A" w:rsidRPr="00FE3C59" w14:paraId="6F81CF14" w14:textId="77777777" w:rsidTr="3F965E88">
        <w:tc>
          <w:tcPr>
            <w:tcW w:w="1043" w:type="dxa"/>
          </w:tcPr>
          <w:p w14:paraId="0467F812" w14:textId="77777777" w:rsidR="005B6B5A" w:rsidRPr="00FE3C59" w:rsidRDefault="005B6B5A"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0250</w:t>
            </w:r>
          </w:p>
        </w:tc>
        <w:tc>
          <w:tcPr>
            <w:tcW w:w="7973" w:type="dxa"/>
            <w:vAlign w:val="bottom"/>
          </w:tcPr>
          <w:p w14:paraId="017F51D6" w14:textId="1FB33AA2" w:rsidR="005B6B5A" w:rsidRPr="00FE3C59" w:rsidRDefault="00EB4A24" w:rsidP="4D06C2A4">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Sum of curvature risk positions – </w:t>
            </w:r>
            <w:r w:rsidR="00485C29" w:rsidRPr="00FE3C59">
              <w:rPr>
                <w:rFonts w:ascii="Times New Roman" w:hAnsi="Times New Roman" w:cs="Times New Roman"/>
                <w:b/>
                <w:u w:val="single"/>
                <w:lang w:val="en-GB"/>
              </w:rPr>
              <w:t>Curvature Risk</w:t>
            </w:r>
          </w:p>
          <w:p w14:paraId="28469D27" w14:textId="70850D95" w:rsidR="005B6B5A" w:rsidRPr="00FE3C59" w:rsidRDefault="00E914C3" w:rsidP="4D06C2A4">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3833FCE3" w:rsidRPr="00FE3C59">
              <w:rPr>
                <w:rFonts w:ascii="Times New Roman" w:hAnsi="Times New Roman" w:cs="Times New Roman"/>
                <w:lang w:val="en-GB"/>
              </w:rPr>
              <w:t xml:space="preserve"> 325g(6) </w:t>
            </w:r>
            <w:r w:rsidR="04A7E951" w:rsidRPr="00FE3C59">
              <w:rPr>
                <w:rFonts w:ascii="Times New Roman" w:hAnsi="Times New Roman" w:cs="Times New Roman"/>
                <w:lang w:val="en-GB"/>
              </w:rPr>
              <w:t>of Regulation (EU) No 575/2013</w:t>
            </w:r>
          </w:p>
          <w:p w14:paraId="79A2A430" w14:textId="34B50CC2" w:rsidR="005B6B5A" w:rsidRPr="00FE3C59" w:rsidRDefault="04A7E951" w:rsidP="009F4A3D">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Institutions shall report the sum of curvature risk positions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oMath>
            <w:r w:rsidRPr="00FE3C59">
              <w:rPr>
                <w:rFonts w:ascii="Times New Roman" w:hAnsi="Times New Roman" w:cs="Times New Roman"/>
                <w:lang w:val="en-GB"/>
              </w:rPr>
              <w:t xml:space="preserve">) as defined for the purposes of the aggregation across buckets in </w:t>
            </w:r>
            <w:r w:rsidR="00E914C3" w:rsidRPr="00FE3C59">
              <w:rPr>
                <w:rFonts w:ascii="Times New Roman" w:hAnsi="Times New Roman" w:cs="Times New Roman"/>
                <w:lang w:val="en-GB"/>
              </w:rPr>
              <w:t>Article</w:t>
            </w:r>
            <w:r w:rsidRPr="00FE3C59">
              <w:rPr>
                <w:rFonts w:ascii="Times New Roman" w:hAnsi="Times New Roman" w:cs="Times New Roman"/>
                <w:lang w:val="en-GB"/>
              </w:rPr>
              <w:t xml:space="preserve"> 325g(6) of Regulation (EU) No 575/2013. </w:t>
            </w:r>
          </w:p>
        </w:tc>
      </w:tr>
      <w:tr w:rsidR="00A523D0" w:rsidRPr="00FE3C59" w14:paraId="7B08602C" w14:textId="77777777" w:rsidTr="3F965E88">
        <w:tc>
          <w:tcPr>
            <w:tcW w:w="1043" w:type="dxa"/>
          </w:tcPr>
          <w:p w14:paraId="61F22607" w14:textId="5D94BE99"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 – 1080</w:t>
            </w:r>
          </w:p>
        </w:tc>
        <w:tc>
          <w:tcPr>
            <w:tcW w:w="7973" w:type="dxa"/>
            <w:vAlign w:val="bottom"/>
          </w:tcPr>
          <w:p w14:paraId="21A9CCD0" w14:textId="5B4F639E"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Own funds requirements in the different scenarios</w:t>
            </w:r>
          </w:p>
          <w:p w14:paraId="0A22FB1E" w14:textId="4E0D04B8"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lastRenderedPageBreak/>
              <w:t>The own funds requirements calculated on the basis of the sensitivities–based method for delta, vega and curvature risks in each of the three scenarios referred to in Article 325h of Regulation (EU) No 575/2013 shall be reported.</w:t>
            </w:r>
          </w:p>
        </w:tc>
      </w:tr>
      <w:tr w:rsidR="00A523D0" w:rsidRPr="00FE3C59" w14:paraId="3FD8CBF3" w14:textId="77777777" w:rsidTr="3F965E88">
        <w:tc>
          <w:tcPr>
            <w:tcW w:w="1043" w:type="dxa"/>
          </w:tcPr>
          <w:p w14:paraId="0B5E739F" w14:textId="5724E6D2"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1000 –1020</w:t>
            </w:r>
          </w:p>
        </w:tc>
        <w:tc>
          <w:tcPr>
            <w:tcW w:w="7973" w:type="dxa"/>
            <w:vAlign w:val="bottom"/>
          </w:tcPr>
          <w:p w14:paraId="39D961B5" w14:textId="2E3183FC"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Low correlation scenario</w:t>
            </w:r>
          </w:p>
          <w:p w14:paraId="56CADEF9" w14:textId="297CBDA5"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325h(2), point (c), of Regulation (EU) No 575/2013</w:t>
            </w:r>
          </w:p>
        </w:tc>
      </w:tr>
      <w:tr w:rsidR="00A523D0" w:rsidRPr="00FE3C59" w14:paraId="4B37054A" w14:textId="77777777" w:rsidTr="3F965E88">
        <w:tc>
          <w:tcPr>
            <w:tcW w:w="1043" w:type="dxa"/>
          </w:tcPr>
          <w:p w14:paraId="7B150CC7" w14:textId="55515ECD"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w:t>
            </w:r>
          </w:p>
        </w:tc>
        <w:tc>
          <w:tcPr>
            <w:tcW w:w="7973" w:type="dxa"/>
            <w:vAlign w:val="bottom"/>
          </w:tcPr>
          <w:p w14:paraId="777E8165" w14:textId="2DF84D80"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w:t>
            </w:r>
          </w:p>
        </w:tc>
      </w:tr>
      <w:tr w:rsidR="00A523D0" w:rsidRPr="00FE3C59" w14:paraId="70D93E6C" w14:textId="77777777" w:rsidTr="3F965E88">
        <w:tc>
          <w:tcPr>
            <w:tcW w:w="1043" w:type="dxa"/>
          </w:tcPr>
          <w:p w14:paraId="18D2BCA1" w14:textId="2506AE09"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1010</w:t>
            </w:r>
          </w:p>
        </w:tc>
        <w:tc>
          <w:tcPr>
            <w:tcW w:w="7973" w:type="dxa"/>
            <w:vAlign w:val="bottom"/>
          </w:tcPr>
          <w:p w14:paraId="47A71B90" w14:textId="3F7AE931"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w:t>
            </w:r>
          </w:p>
        </w:tc>
      </w:tr>
      <w:tr w:rsidR="00A523D0" w:rsidRPr="00FE3C59" w14:paraId="689EA3B3" w14:textId="77777777" w:rsidTr="3F965E88">
        <w:tc>
          <w:tcPr>
            <w:tcW w:w="1043" w:type="dxa"/>
          </w:tcPr>
          <w:p w14:paraId="593CB0A4" w14:textId="5A752BE4"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1020</w:t>
            </w:r>
          </w:p>
        </w:tc>
        <w:tc>
          <w:tcPr>
            <w:tcW w:w="7973" w:type="dxa"/>
            <w:vAlign w:val="bottom"/>
          </w:tcPr>
          <w:p w14:paraId="356B18AE" w14:textId="7745F14C"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Curvature Risk</w:t>
            </w:r>
          </w:p>
        </w:tc>
      </w:tr>
      <w:tr w:rsidR="00A523D0" w:rsidRPr="00FE3C59" w14:paraId="471224AB" w14:textId="77777777" w:rsidTr="3F965E88">
        <w:tc>
          <w:tcPr>
            <w:tcW w:w="1043" w:type="dxa"/>
          </w:tcPr>
          <w:p w14:paraId="28FAF7B9" w14:textId="12234233"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 –1050</w:t>
            </w:r>
          </w:p>
        </w:tc>
        <w:tc>
          <w:tcPr>
            <w:tcW w:w="7973" w:type="dxa"/>
            <w:vAlign w:val="bottom"/>
          </w:tcPr>
          <w:p w14:paraId="6ED75D80" w14:textId="77777777"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Medium correlation scenario</w:t>
            </w:r>
          </w:p>
          <w:p w14:paraId="3C91F934" w14:textId="41CC2C59"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325h(2), point (a), of Regulation (EU) No 575/2013</w:t>
            </w:r>
          </w:p>
        </w:tc>
      </w:tr>
      <w:tr w:rsidR="00A523D0" w:rsidRPr="00FE3C59" w14:paraId="5310613D" w14:textId="77777777" w:rsidTr="3F965E88">
        <w:tc>
          <w:tcPr>
            <w:tcW w:w="1043" w:type="dxa"/>
          </w:tcPr>
          <w:p w14:paraId="1E1599BA" w14:textId="7CD80047"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w:t>
            </w:r>
          </w:p>
        </w:tc>
        <w:tc>
          <w:tcPr>
            <w:tcW w:w="7973" w:type="dxa"/>
            <w:vAlign w:val="bottom"/>
          </w:tcPr>
          <w:p w14:paraId="384891DB" w14:textId="07979231"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w:t>
            </w:r>
          </w:p>
        </w:tc>
      </w:tr>
      <w:tr w:rsidR="00A523D0" w:rsidRPr="00FE3C59" w14:paraId="6220C983" w14:textId="77777777" w:rsidTr="3F965E88">
        <w:tc>
          <w:tcPr>
            <w:tcW w:w="1043" w:type="dxa"/>
          </w:tcPr>
          <w:p w14:paraId="366F4378" w14:textId="724E427C"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1040</w:t>
            </w:r>
          </w:p>
        </w:tc>
        <w:tc>
          <w:tcPr>
            <w:tcW w:w="7973" w:type="dxa"/>
            <w:vAlign w:val="bottom"/>
          </w:tcPr>
          <w:p w14:paraId="63CD9D84" w14:textId="243F7718"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w:t>
            </w:r>
          </w:p>
        </w:tc>
      </w:tr>
      <w:tr w:rsidR="00A523D0" w:rsidRPr="00FE3C59" w14:paraId="463058B8" w14:textId="77777777" w:rsidTr="3F965E88">
        <w:tc>
          <w:tcPr>
            <w:tcW w:w="1043" w:type="dxa"/>
          </w:tcPr>
          <w:p w14:paraId="1EDF8A66" w14:textId="68668CC1"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1050</w:t>
            </w:r>
          </w:p>
        </w:tc>
        <w:tc>
          <w:tcPr>
            <w:tcW w:w="7973" w:type="dxa"/>
            <w:vAlign w:val="bottom"/>
          </w:tcPr>
          <w:p w14:paraId="57C89CB3" w14:textId="3E967E53"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Curvature Risk</w:t>
            </w:r>
          </w:p>
        </w:tc>
      </w:tr>
      <w:tr w:rsidR="00A523D0" w:rsidRPr="00FE3C59" w14:paraId="27A86E4D" w14:textId="77777777" w:rsidTr="3F965E88">
        <w:tc>
          <w:tcPr>
            <w:tcW w:w="1043" w:type="dxa"/>
          </w:tcPr>
          <w:p w14:paraId="47C85A0B" w14:textId="4FAF7179"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 – 1080</w:t>
            </w:r>
          </w:p>
        </w:tc>
        <w:tc>
          <w:tcPr>
            <w:tcW w:w="7973" w:type="dxa"/>
            <w:vAlign w:val="bottom"/>
          </w:tcPr>
          <w:p w14:paraId="0D6AE939" w14:textId="77777777"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 correlation scenario</w:t>
            </w:r>
          </w:p>
          <w:p w14:paraId="030310CE" w14:textId="6A0050B2"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325h(2), point (b), of Regulation (EU) No 575/2013</w:t>
            </w:r>
          </w:p>
        </w:tc>
      </w:tr>
      <w:tr w:rsidR="00A523D0" w:rsidRPr="00FE3C59" w14:paraId="1552597C" w14:textId="77777777" w:rsidTr="3F965E88">
        <w:tc>
          <w:tcPr>
            <w:tcW w:w="1043" w:type="dxa"/>
          </w:tcPr>
          <w:p w14:paraId="039C540C" w14:textId="77B28B0F"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p>
        </w:tc>
        <w:tc>
          <w:tcPr>
            <w:tcW w:w="7973" w:type="dxa"/>
            <w:vAlign w:val="bottom"/>
          </w:tcPr>
          <w:p w14:paraId="045A3FE8" w14:textId="1AA49F2A"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Delta Risk</w:t>
            </w:r>
          </w:p>
        </w:tc>
      </w:tr>
      <w:tr w:rsidR="00A523D0" w:rsidRPr="00FE3C59" w14:paraId="23A627CF" w14:textId="77777777" w:rsidTr="3F965E88">
        <w:tc>
          <w:tcPr>
            <w:tcW w:w="1043" w:type="dxa"/>
          </w:tcPr>
          <w:p w14:paraId="133FB85A" w14:textId="32C10B09"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1070</w:t>
            </w:r>
          </w:p>
        </w:tc>
        <w:tc>
          <w:tcPr>
            <w:tcW w:w="7973" w:type="dxa"/>
            <w:vAlign w:val="bottom"/>
          </w:tcPr>
          <w:p w14:paraId="45853DF1" w14:textId="0CFC8E7D"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Vega Risk</w:t>
            </w:r>
          </w:p>
        </w:tc>
      </w:tr>
      <w:tr w:rsidR="00A523D0" w:rsidRPr="00FE3C59" w14:paraId="40B045DF" w14:textId="77777777" w:rsidTr="3F965E88">
        <w:tc>
          <w:tcPr>
            <w:tcW w:w="1043" w:type="dxa"/>
          </w:tcPr>
          <w:p w14:paraId="38520133" w14:textId="1D2BDCFA"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1080</w:t>
            </w:r>
          </w:p>
        </w:tc>
        <w:tc>
          <w:tcPr>
            <w:tcW w:w="7973" w:type="dxa"/>
            <w:vAlign w:val="bottom"/>
          </w:tcPr>
          <w:p w14:paraId="7AA901A0" w14:textId="28344FAF"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Curvature Risk</w:t>
            </w:r>
          </w:p>
        </w:tc>
      </w:tr>
    </w:tbl>
    <w:p w14:paraId="0A576729" w14:textId="6322DDBA" w:rsidR="00722938" w:rsidRPr="00FE3C59" w:rsidRDefault="00722938" w:rsidP="004E4C67">
      <w:pPr>
        <w:pStyle w:val="body"/>
        <w:rPr>
          <w:rFonts w:ascii="Times New Roman" w:hAnsi="Times New Roman" w:cs="Times New Roman"/>
          <w:lang w:val="en-GB"/>
        </w:rPr>
      </w:pPr>
    </w:p>
    <w:tbl>
      <w:tblPr>
        <w:tblStyle w:val="TableGrid"/>
        <w:tblW w:w="0" w:type="auto"/>
        <w:tblLook w:val="04A0" w:firstRow="1" w:lastRow="0" w:firstColumn="1" w:lastColumn="0" w:noHBand="0" w:noVBand="1"/>
      </w:tblPr>
      <w:tblGrid>
        <w:gridCol w:w="1043"/>
        <w:gridCol w:w="7973"/>
      </w:tblGrid>
      <w:tr w:rsidR="00C65F1F" w:rsidRPr="00FE3C59" w14:paraId="504B9DCF" w14:textId="77777777" w:rsidTr="00763720">
        <w:tc>
          <w:tcPr>
            <w:tcW w:w="1043" w:type="dxa"/>
            <w:tcBorders>
              <w:bottom w:val="single" w:sz="4" w:space="0" w:color="auto"/>
            </w:tcBorders>
            <w:shd w:val="clear" w:color="auto" w:fill="BFBFBF" w:themeFill="background1" w:themeFillShade="BF"/>
          </w:tcPr>
          <w:p w14:paraId="34EFD956" w14:textId="24D47B33" w:rsidR="00C65F1F" w:rsidRPr="00FE3C59" w:rsidRDefault="00781C5A"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7071941A"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7C3113" w:rsidRPr="00FE3C59" w14:paraId="0A2BDEA7" w14:textId="77777777" w:rsidTr="007C3113">
        <w:tc>
          <w:tcPr>
            <w:tcW w:w="1043" w:type="dxa"/>
          </w:tcPr>
          <w:p w14:paraId="35267392" w14:textId="09CDFF7E" w:rsidR="007C3113" w:rsidRPr="00FE3C59" w:rsidRDefault="007C3113" w:rsidP="004F6C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0010-0210</w:t>
            </w:r>
          </w:p>
        </w:tc>
        <w:tc>
          <w:tcPr>
            <w:tcW w:w="7973" w:type="dxa"/>
          </w:tcPr>
          <w:p w14:paraId="2A4F056D" w14:textId="7DE57879" w:rsidR="007C3113" w:rsidRPr="00FE3C59" w:rsidRDefault="007C3113" w:rsidP="007C311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ID</w:t>
            </w:r>
            <w:r w:rsidR="000F29CC"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Bucket</w:t>
            </w:r>
          </w:p>
          <w:p w14:paraId="1F2C8660" w14:textId="6B3806E5" w:rsidR="007C3113" w:rsidRPr="00FE3C59" w:rsidRDefault="007C3113" w:rsidP="007C3113">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325ah of Regulation (EU) No 575/2013</w:t>
            </w:r>
          </w:p>
        </w:tc>
      </w:tr>
      <w:tr w:rsidR="004F6C10" w:rsidRPr="00FE3C59" w14:paraId="1ADD6E08" w14:textId="77777777" w:rsidTr="000D1DC8">
        <w:tc>
          <w:tcPr>
            <w:tcW w:w="1043" w:type="dxa"/>
          </w:tcPr>
          <w:p w14:paraId="4C371DCD" w14:textId="14933850"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0010</w:t>
            </w:r>
          </w:p>
        </w:tc>
        <w:tc>
          <w:tcPr>
            <w:tcW w:w="7973" w:type="dxa"/>
            <w:vAlign w:val="bottom"/>
          </w:tcPr>
          <w:p w14:paraId="797F11DE" w14:textId="069B47C5"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 All credit quality steps - Central government, including central banks, of Member States</w:t>
            </w:r>
          </w:p>
        </w:tc>
      </w:tr>
      <w:tr w:rsidR="004F6C10" w:rsidRPr="00FE3C59" w14:paraId="59B825AB" w14:textId="77777777" w:rsidTr="000D1DC8">
        <w:tc>
          <w:tcPr>
            <w:tcW w:w="1043" w:type="dxa"/>
          </w:tcPr>
          <w:p w14:paraId="6BE1072A" w14:textId="623DCFFE"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0020</w:t>
            </w:r>
          </w:p>
        </w:tc>
        <w:tc>
          <w:tcPr>
            <w:tcW w:w="7973" w:type="dxa"/>
            <w:vAlign w:val="bottom"/>
          </w:tcPr>
          <w:p w14:paraId="32DCBFD5" w14:textId="76430DD7"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2: Credit quality step 1 to 3 - Central government, including central banks, of a third country, multilateral development banks and international organisations referred to in Article 117(2) or Article 118</w:t>
            </w:r>
          </w:p>
        </w:tc>
      </w:tr>
      <w:tr w:rsidR="004F6C10" w:rsidRPr="00FE3C59" w14:paraId="42AD4169" w14:textId="77777777" w:rsidTr="000D1DC8">
        <w:tc>
          <w:tcPr>
            <w:tcW w:w="1043" w:type="dxa"/>
            <w:tcBorders>
              <w:bottom w:val="single" w:sz="4" w:space="0" w:color="auto"/>
            </w:tcBorders>
          </w:tcPr>
          <w:p w14:paraId="3EB75660" w14:textId="78612ABF"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0030</w:t>
            </w:r>
          </w:p>
        </w:tc>
        <w:tc>
          <w:tcPr>
            <w:tcW w:w="7973" w:type="dxa"/>
            <w:vAlign w:val="bottom"/>
          </w:tcPr>
          <w:p w14:paraId="1A798342" w14:textId="0D64143B"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3: Credit quality step 1 to 3 - Regional or local authority and public sector entities</w:t>
            </w:r>
          </w:p>
        </w:tc>
      </w:tr>
      <w:tr w:rsidR="004F6C10" w:rsidRPr="00FE3C59" w14:paraId="7647D3A2" w14:textId="77777777" w:rsidTr="000D1DC8">
        <w:tc>
          <w:tcPr>
            <w:tcW w:w="1043" w:type="dxa"/>
          </w:tcPr>
          <w:p w14:paraId="42146C04" w14:textId="42B1DBAB"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0040</w:t>
            </w:r>
          </w:p>
        </w:tc>
        <w:tc>
          <w:tcPr>
            <w:tcW w:w="7973" w:type="dxa"/>
            <w:vAlign w:val="bottom"/>
          </w:tcPr>
          <w:p w14:paraId="2480A507" w14:textId="7E82598A"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4: Credit quality step 1 to 3 - Financial sector entities including credit institutions incorporated or established by a central government, a regional government or a local authority and promotional lenders</w:t>
            </w:r>
          </w:p>
        </w:tc>
      </w:tr>
      <w:tr w:rsidR="004F6C10" w:rsidRPr="00FE3C59" w14:paraId="628D79FC" w14:textId="77777777" w:rsidTr="000D1DC8">
        <w:tc>
          <w:tcPr>
            <w:tcW w:w="1043" w:type="dxa"/>
          </w:tcPr>
          <w:p w14:paraId="34551BC8" w14:textId="3C4519BF"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0050</w:t>
            </w:r>
          </w:p>
        </w:tc>
        <w:tc>
          <w:tcPr>
            <w:tcW w:w="7973" w:type="dxa"/>
            <w:vAlign w:val="bottom"/>
          </w:tcPr>
          <w:p w14:paraId="40178D1D" w14:textId="49D1D2AA"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5: Credit quality step 1 to 3 - Basic materials, energy, industrials, agriculture, manufacturing, mining and quarrying</w:t>
            </w:r>
          </w:p>
        </w:tc>
      </w:tr>
      <w:tr w:rsidR="004F6C10" w:rsidRPr="00FE3C59" w14:paraId="6BF3019D" w14:textId="77777777" w:rsidTr="000D1DC8">
        <w:tc>
          <w:tcPr>
            <w:tcW w:w="1043" w:type="dxa"/>
          </w:tcPr>
          <w:p w14:paraId="257BCB7D" w14:textId="50991791"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0060</w:t>
            </w:r>
          </w:p>
        </w:tc>
        <w:tc>
          <w:tcPr>
            <w:tcW w:w="7973" w:type="dxa"/>
            <w:vAlign w:val="bottom"/>
          </w:tcPr>
          <w:p w14:paraId="193A4843" w14:textId="178FA483"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6: Credit quality step 1 to 3 - Consumer goods and services, transportation and storage, administrative and support service activities</w:t>
            </w:r>
          </w:p>
        </w:tc>
      </w:tr>
      <w:tr w:rsidR="004F6C10" w:rsidRPr="00FE3C59" w14:paraId="0AC19D8B" w14:textId="77777777" w:rsidTr="000D1DC8">
        <w:tc>
          <w:tcPr>
            <w:tcW w:w="1043" w:type="dxa"/>
          </w:tcPr>
          <w:p w14:paraId="1290B17B" w14:textId="1C29F5BD"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0070</w:t>
            </w:r>
          </w:p>
        </w:tc>
        <w:tc>
          <w:tcPr>
            <w:tcW w:w="7973" w:type="dxa"/>
            <w:vAlign w:val="bottom"/>
          </w:tcPr>
          <w:p w14:paraId="53F57620" w14:textId="78C4115A"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7: Credit quality step 1 to 3 - Technology, telecommunications</w:t>
            </w:r>
          </w:p>
        </w:tc>
      </w:tr>
      <w:tr w:rsidR="004F6C10" w:rsidRPr="00FE3C59" w14:paraId="2A26FCE3" w14:textId="77777777" w:rsidTr="000D1DC8">
        <w:tc>
          <w:tcPr>
            <w:tcW w:w="1043" w:type="dxa"/>
          </w:tcPr>
          <w:p w14:paraId="570852D0" w14:textId="10C501E5"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0080</w:t>
            </w:r>
          </w:p>
        </w:tc>
        <w:tc>
          <w:tcPr>
            <w:tcW w:w="7973" w:type="dxa"/>
            <w:vAlign w:val="bottom"/>
          </w:tcPr>
          <w:p w14:paraId="755DCA4E" w14:textId="4F8A3212"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8: Credit quality step 1 to 3 - Health care, utilities, professional and technical activities</w:t>
            </w:r>
          </w:p>
        </w:tc>
      </w:tr>
      <w:tr w:rsidR="004F6C10" w:rsidRPr="00FE3C59" w14:paraId="418C585E" w14:textId="77777777" w:rsidTr="000D1DC8">
        <w:tc>
          <w:tcPr>
            <w:tcW w:w="1043" w:type="dxa"/>
          </w:tcPr>
          <w:p w14:paraId="7E5213F2" w14:textId="70E66470"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0090</w:t>
            </w:r>
          </w:p>
        </w:tc>
        <w:tc>
          <w:tcPr>
            <w:tcW w:w="7973" w:type="dxa"/>
            <w:vAlign w:val="bottom"/>
          </w:tcPr>
          <w:p w14:paraId="2DD4389B" w14:textId="654B9865"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9: Credit quality step 1 to 3 - Covered bonds issued by credit institutions established in Member States</w:t>
            </w:r>
          </w:p>
        </w:tc>
      </w:tr>
      <w:tr w:rsidR="004F6C10" w:rsidRPr="00FE3C59" w14:paraId="4E1F87D6" w14:textId="77777777" w:rsidTr="000D1DC8">
        <w:tc>
          <w:tcPr>
            <w:tcW w:w="1043" w:type="dxa"/>
          </w:tcPr>
          <w:p w14:paraId="5063CB20" w14:textId="51A80A02"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0100</w:t>
            </w:r>
          </w:p>
        </w:tc>
        <w:tc>
          <w:tcPr>
            <w:tcW w:w="7973" w:type="dxa"/>
            <w:vAlign w:val="bottom"/>
          </w:tcPr>
          <w:p w14:paraId="1F745CF9" w14:textId="7747025D"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10: Credit quality step 1 - Covered bonds issued by credit institutions in third countries</w:t>
            </w:r>
          </w:p>
        </w:tc>
      </w:tr>
      <w:tr w:rsidR="004F6C10" w:rsidRPr="00FE3C59" w14:paraId="0886B340" w14:textId="77777777" w:rsidTr="000D1DC8">
        <w:tc>
          <w:tcPr>
            <w:tcW w:w="1043" w:type="dxa"/>
          </w:tcPr>
          <w:p w14:paraId="390F29E4" w14:textId="3694C92A"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0110</w:t>
            </w:r>
          </w:p>
        </w:tc>
        <w:tc>
          <w:tcPr>
            <w:tcW w:w="7973" w:type="dxa"/>
            <w:vAlign w:val="bottom"/>
          </w:tcPr>
          <w:p w14:paraId="15C6D930" w14:textId="0043EBE1" w:rsidR="004F6C10"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10: Credit quality steps 2 to 3 - Covered bonds issued by credit institutions in third countries</w:t>
            </w:r>
          </w:p>
        </w:tc>
      </w:tr>
      <w:tr w:rsidR="004F6C10" w:rsidRPr="00FE3C59" w14:paraId="61FE3642" w14:textId="77777777" w:rsidTr="000D1DC8">
        <w:tc>
          <w:tcPr>
            <w:tcW w:w="1043" w:type="dxa"/>
          </w:tcPr>
          <w:p w14:paraId="5110EE7E" w14:textId="04F63351"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0120</w:t>
            </w:r>
          </w:p>
        </w:tc>
        <w:tc>
          <w:tcPr>
            <w:tcW w:w="7973" w:type="dxa"/>
            <w:vAlign w:val="bottom"/>
          </w:tcPr>
          <w:p w14:paraId="119A2806" w14:textId="797BFD9F" w:rsidR="008C56A6"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11: Credit quality step 4 to 6 and unrated - Central government, including central banks, of a third country, multilateral development banks and international organisations referred to in Article 117(2) or Article 118</w:t>
            </w:r>
          </w:p>
        </w:tc>
      </w:tr>
      <w:tr w:rsidR="004F6C10" w:rsidRPr="00FE3C59" w14:paraId="1D0085A4" w14:textId="77777777" w:rsidTr="000D1DC8">
        <w:tc>
          <w:tcPr>
            <w:tcW w:w="1043" w:type="dxa"/>
          </w:tcPr>
          <w:p w14:paraId="5393516D" w14:textId="741B62D8"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0130</w:t>
            </w:r>
          </w:p>
        </w:tc>
        <w:tc>
          <w:tcPr>
            <w:tcW w:w="7973" w:type="dxa"/>
            <w:vAlign w:val="bottom"/>
          </w:tcPr>
          <w:p w14:paraId="55A7AF64" w14:textId="44664AFF" w:rsidR="008C56A6"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12: Credit quality step 4 to 6 and unrated - Regional or local authority and public sector entities</w:t>
            </w:r>
          </w:p>
        </w:tc>
      </w:tr>
      <w:tr w:rsidR="004F6C10" w:rsidRPr="00FE3C59" w14:paraId="613EABF9" w14:textId="77777777" w:rsidTr="000D1DC8">
        <w:tc>
          <w:tcPr>
            <w:tcW w:w="1043" w:type="dxa"/>
          </w:tcPr>
          <w:p w14:paraId="1D321264" w14:textId="59ABF00E"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0140</w:t>
            </w:r>
          </w:p>
        </w:tc>
        <w:tc>
          <w:tcPr>
            <w:tcW w:w="7973" w:type="dxa"/>
            <w:vAlign w:val="bottom"/>
          </w:tcPr>
          <w:p w14:paraId="24F8360F" w14:textId="1811645B" w:rsidR="008C56A6"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13: Credit quality step 4 to 6 and unrated - Financial sector entities including credit institutions incorporated or established by a central government, a regional government or a local authority and promotional lenders</w:t>
            </w:r>
            <w:r w:rsidR="0069424D" w:rsidRPr="00FE3C59">
              <w:rPr>
                <w:rFonts w:ascii="Times New Roman" w:hAnsi="Times New Roman" w:cs="Times New Roman"/>
                <w:b/>
                <w:u w:val="single"/>
                <w:lang w:val="en-GB"/>
              </w:rPr>
              <w:t xml:space="preserve"> </w:t>
            </w:r>
            <w:r w:rsidR="0069424D" w:rsidRPr="00FE3C59">
              <w:rPr>
                <w:rFonts w:ascii="Times New Roman" w:hAnsi="Times New Roman" w:cs="Times New Roman"/>
                <w:b/>
                <w:highlight w:val="yellow"/>
                <w:u w:val="single"/>
                <w:lang w:val="en-GB"/>
              </w:rPr>
              <w:t>and covered bonds</w:t>
            </w:r>
          </w:p>
        </w:tc>
      </w:tr>
      <w:tr w:rsidR="004F6C10" w:rsidRPr="00FE3C59" w14:paraId="630A43A0" w14:textId="77777777" w:rsidTr="000D1DC8">
        <w:tc>
          <w:tcPr>
            <w:tcW w:w="1043" w:type="dxa"/>
          </w:tcPr>
          <w:p w14:paraId="33A270C9" w14:textId="34251F08"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0150</w:t>
            </w:r>
          </w:p>
        </w:tc>
        <w:tc>
          <w:tcPr>
            <w:tcW w:w="7973" w:type="dxa"/>
            <w:vAlign w:val="bottom"/>
          </w:tcPr>
          <w:p w14:paraId="79CDB0F3" w14:textId="47FD52A7" w:rsidR="008C56A6" w:rsidRPr="00FE3C59" w:rsidRDefault="004F6C10" w:rsidP="004F6C1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14: Credit quality step 4 to 6 and unrated - Basic materials, energy, industrials, agriculture, manufacturing, mining and quarrying</w:t>
            </w:r>
          </w:p>
        </w:tc>
      </w:tr>
      <w:tr w:rsidR="004F6C10" w:rsidRPr="00FE3C59" w14:paraId="15EA7788" w14:textId="77777777" w:rsidTr="000D1DC8">
        <w:tc>
          <w:tcPr>
            <w:tcW w:w="1043" w:type="dxa"/>
          </w:tcPr>
          <w:p w14:paraId="2578E26E" w14:textId="0F24367F"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0160</w:t>
            </w:r>
          </w:p>
        </w:tc>
        <w:tc>
          <w:tcPr>
            <w:tcW w:w="7973" w:type="dxa"/>
            <w:vAlign w:val="bottom"/>
          </w:tcPr>
          <w:p w14:paraId="29936084" w14:textId="27278165" w:rsidR="008C56A6" w:rsidRPr="00FE3C59"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15: Credit quality step 4 to 6 and unrated - Consumer goods and services, transportation and storage, administrative and support service activities</w:t>
            </w:r>
          </w:p>
        </w:tc>
      </w:tr>
      <w:tr w:rsidR="004F6C10" w:rsidRPr="00FE3C59" w14:paraId="1C6497D9" w14:textId="77777777" w:rsidTr="000D1DC8">
        <w:tc>
          <w:tcPr>
            <w:tcW w:w="1043" w:type="dxa"/>
          </w:tcPr>
          <w:p w14:paraId="192793FB" w14:textId="7B4B6FA3"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0170</w:t>
            </w:r>
          </w:p>
        </w:tc>
        <w:tc>
          <w:tcPr>
            <w:tcW w:w="7973" w:type="dxa"/>
            <w:vAlign w:val="bottom"/>
          </w:tcPr>
          <w:p w14:paraId="1E64CEF7" w14:textId="245A4E55" w:rsidR="008C56A6" w:rsidRPr="00FE3C59"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16: Credit quality step 4 to 6 and unrated - Technology, telecommunications</w:t>
            </w:r>
          </w:p>
        </w:tc>
      </w:tr>
      <w:tr w:rsidR="004F6C10" w:rsidRPr="00FE3C59" w14:paraId="35AC5E2E" w14:textId="77777777" w:rsidTr="000D1DC8">
        <w:tc>
          <w:tcPr>
            <w:tcW w:w="1043" w:type="dxa"/>
          </w:tcPr>
          <w:p w14:paraId="06F03B9F" w14:textId="0D819103"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0180</w:t>
            </w:r>
          </w:p>
        </w:tc>
        <w:tc>
          <w:tcPr>
            <w:tcW w:w="7973" w:type="dxa"/>
            <w:vAlign w:val="bottom"/>
          </w:tcPr>
          <w:p w14:paraId="492BF03E" w14:textId="11F2E4E9" w:rsidR="008C56A6" w:rsidRPr="00FE3C59"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17: Credit quality step 4 to 6 and unrated - Health care, utilities, professional and technical activities</w:t>
            </w:r>
          </w:p>
        </w:tc>
      </w:tr>
      <w:tr w:rsidR="004F6C10" w:rsidRPr="00FE3C59" w14:paraId="69A3F2B6" w14:textId="77777777" w:rsidTr="000D1DC8">
        <w:tc>
          <w:tcPr>
            <w:tcW w:w="1043" w:type="dxa"/>
          </w:tcPr>
          <w:p w14:paraId="73876544" w14:textId="55F222F4"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0190</w:t>
            </w:r>
          </w:p>
        </w:tc>
        <w:tc>
          <w:tcPr>
            <w:tcW w:w="7973" w:type="dxa"/>
            <w:vAlign w:val="bottom"/>
          </w:tcPr>
          <w:p w14:paraId="2C44E222" w14:textId="0478AD02" w:rsidR="008C56A6" w:rsidRPr="00FE3C59"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18: Other sector</w:t>
            </w:r>
          </w:p>
        </w:tc>
      </w:tr>
      <w:tr w:rsidR="004F6C10" w:rsidRPr="00FE3C59" w14:paraId="062FD2DA" w14:textId="77777777" w:rsidTr="000D1DC8">
        <w:tc>
          <w:tcPr>
            <w:tcW w:w="1043" w:type="dxa"/>
          </w:tcPr>
          <w:p w14:paraId="3252512B" w14:textId="661B6893" w:rsidR="004F6C10" w:rsidRPr="00FE3C59" w:rsidRDefault="004F6C10" w:rsidP="004F6C1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0200</w:t>
            </w:r>
          </w:p>
        </w:tc>
        <w:tc>
          <w:tcPr>
            <w:tcW w:w="7973" w:type="dxa"/>
            <w:vAlign w:val="bottom"/>
          </w:tcPr>
          <w:p w14:paraId="1B00BBC2" w14:textId="5CA17D7C" w:rsidR="008C56A6" w:rsidRPr="00FE3C59"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19: Listed credit indices with a majority of its individual constituents being investment grade</w:t>
            </w:r>
          </w:p>
        </w:tc>
      </w:tr>
      <w:tr w:rsidR="004F6C10" w:rsidRPr="00FE3C59" w14:paraId="63D41649" w14:textId="77777777" w:rsidTr="000D1DC8">
        <w:tc>
          <w:tcPr>
            <w:tcW w:w="1043" w:type="dxa"/>
            <w:tcBorders>
              <w:bottom w:val="single" w:sz="4" w:space="0" w:color="auto"/>
            </w:tcBorders>
          </w:tcPr>
          <w:p w14:paraId="1756247C" w14:textId="04366A09" w:rsidR="004F6C10" w:rsidRPr="00FE3C59" w:rsidRDefault="004F6C10" w:rsidP="004F6C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73" w:type="dxa"/>
            <w:vAlign w:val="bottom"/>
          </w:tcPr>
          <w:p w14:paraId="5EC26CC8" w14:textId="1C83E1A2" w:rsidR="008C56A6" w:rsidRPr="00FE3C59" w:rsidRDefault="004F6C10" w:rsidP="004F6C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20: Listed credit indices with a majority of its individual constituents being non-investment grade or unrated</w:t>
            </w:r>
          </w:p>
        </w:tc>
      </w:tr>
    </w:tbl>
    <w:p w14:paraId="105857B6" w14:textId="77777777" w:rsidR="00C65F1F" w:rsidRPr="00FE3C59" w:rsidRDefault="00C65F1F" w:rsidP="00C65F1F">
      <w:pPr>
        <w:rPr>
          <w:rFonts w:ascii="Times New Roman" w:hAnsi="Times New Roman" w:cs="Times New Roman"/>
        </w:rPr>
      </w:pPr>
    </w:p>
    <w:p w14:paraId="2A586FEE" w14:textId="4ECD581E" w:rsidR="00D43916" w:rsidRPr="00FE3C59" w:rsidRDefault="00D34F1B" w:rsidP="00CA1AF4">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w:t>
      </w:r>
      <w:r w:rsidR="00CA1AF4" w:rsidRPr="00FE3C59">
        <w:rPr>
          <w:rFonts w:ascii="Times New Roman" w:hAnsi="Times New Roman" w:cs="Times New Roman"/>
          <w:sz w:val="24"/>
          <w:szCs w:val="24"/>
          <w:u w:val="none"/>
          <w:lang w:val="en-GB"/>
        </w:rPr>
        <w:t>4</w:t>
      </w:r>
      <w:r w:rsidR="00CA1AF4" w:rsidRPr="00FE3C59">
        <w:rPr>
          <w:rFonts w:ascii="Times New Roman" w:hAnsi="Times New Roman" w:cs="Times New Roman"/>
          <w:lang w:val="en-GB"/>
        </w:rPr>
        <w:tab/>
      </w:r>
      <w:r w:rsidR="00D43916" w:rsidRPr="00FE3C59">
        <w:rPr>
          <w:rFonts w:ascii="Times New Roman" w:hAnsi="Times New Roman" w:cs="Times New Roman"/>
          <w:sz w:val="24"/>
          <w:szCs w:val="24"/>
          <w:u w:val="none"/>
          <w:lang w:val="en-GB"/>
        </w:rPr>
        <w:t xml:space="preserve">C 92.03: </w:t>
      </w:r>
      <w:r w:rsidR="00B8262A" w:rsidRPr="00FE3C59">
        <w:rPr>
          <w:rFonts w:ascii="Times New Roman" w:hAnsi="Times New Roman" w:cs="Times New Roman"/>
          <w:sz w:val="24"/>
          <w:szCs w:val="24"/>
          <w:u w:val="none"/>
          <w:lang w:val="en-GB"/>
        </w:rPr>
        <w:t>C</w:t>
      </w:r>
      <w:r w:rsidR="00D43916" w:rsidRPr="00FE3C59">
        <w:rPr>
          <w:rFonts w:ascii="Times New Roman" w:hAnsi="Times New Roman" w:cs="Times New Roman"/>
          <w:sz w:val="24"/>
          <w:szCs w:val="24"/>
          <w:u w:val="none"/>
          <w:lang w:val="en-GB"/>
        </w:rPr>
        <w:t>redit spread risk for securitisation not included in the alternative correlation trading portfolio (non</w:t>
      </w:r>
      <w:r w:rsidR="00485C29" w:rsidRPr="00FE3C59">
        <w:rPr>
          <w:rFonts w:ascii="Times New Roman" w:hAnsi="Times New Roman" w:cs="Times New Roman"/>
          <w:sz w:val="24"/>
          <w:szCs w:val="24"/>
          <w:u w:val="none"/>
          <w:lang w:val="en-GB"/>
        </w:rPr>
        <w:t>–</w:t>
      </w:r>
      <w:r w:rsidR="00B8262A" w:rsidRPr="00FE3C59">
        <w:rPr>
          <w:rFonts w:ascii="Times New Roman" w:hAnsi="Times New Roman" w:cs="Times New Roman"/>
          <w:sz w:val="24"/>
          <w:szCs w:val="24"/>
          <w:u w:val="none"/>
          <w:lang w:val="en-GB"/>
        </w:rPr>
        <w:t>ACTP CSR</w:t>
      </w:r>
      <w:r w:rsidR="00D43916" w:rsidRPr="00FE3C59">
        <w:rPr>
          <w:rFonts w:ascii="Times New Roman" w:hAnsi="Times New Roman" w:cs="Times New Roman"/>
          <w:sz w:val="24"/>
          <w:szCs w:val="24"/>
          <w:u w:val="none"/>
          <w:lang w:val="en-GB"/>
        </w:rPr>
        <w:t xml:space="preserve">) (MKR </w:t>
      </w:r>
      <w:r w:rsidR="008770DE" w:rsidRPr="00FE3C59">
        <w:rPr>
          <w:rFonts w:ascii="Times New Roman" w:hAnsi="Times New Roman" w:cs="Times New Roman"/>
          <w:sz w:val="24"/>
          <w:szCs w:val="24"/>
          <w:u w:val="none"/>
          <w:lang w:val="en-GB"/>
        </w:rPr>
        <w:t xml:space="preserve">SBM </w:t>
      </w:r>
      <w:r w:rsidR="00D43916" w:rsidRPr="00FE3C59">
        <w:rPr>
          <w:rFonts w:ascii="Times New Roman" w:hAnsi="Times New Roman" w:cs="Times New Roman"/>
          <w:sz w:val="24"/>
          <w:szCs w:val="24"/>
          <w:u w:val="none"/>
          <w:lang w:val="en-GB"/>
        </w:rPr>
        <w:t>non</w:t>
      </w:r>
      <w:r w:rsidR="00485C29" w:rsidRPr="00FE3C59">
        <w:rPr>
          <w:rFonts w:ascii="Times New Roman" w:hAnsi="Times New Roman" w:cs="Times New Roman"/>
          <w:sz w:val="24"/>
          <w:szCs w:val="24"/>
          <w:u w:val="none"/>
          <w:lang w:val="en-GB"/>
        </w:rPr>
        <w:t>–</w:t>
      </w:r>
      <w:r w:rsidR="00D43916" w:rsidRPr="00FE3C59">
        <w:rPr>
          <w:rFonts w:ascii="Times New Roman" w:hAnsi="Times New Roman" w:cs="Times New Roman"/>
          <w:sz w:val="24"/>
          <w:szCs w:val="24"/>
          <w:u w:val="none"/>
          <w:lang w:val="en-GB"/>
        </w:rPr>
        <w:t>ACTP CSR</w:t>
      </w:r>
      <w:r w:rsidR="00B8262A" w:rsidRPr="00FE3C59">
        <w:rPr>
          <w:rFonts w:ascii="Times New Roman" w:hAnsi="Times New Roman" w:cs="Times New Roman"/>
          <w:sz w:val="24"/>
          <w:szCs w:val="24"/>
          <w:u w:val="none"/>
          <w:lang w:val="en-GB"/>
        </w:rPr>
        <w:t>)</w:t>
      </w:r>
    </w:p>
    <w:p w14:paraId="24C7D248" w14:textId="24705791" w:rsidR="00C65F1F" w:rsidRPr="00FE3C59" w:rsidRDefault="004F7DA1"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.4.</w:t>
      </w:r>
      <w:r w:rsidR="00C65F1F" w:rsidRPr="00FE3C59">
        <w:rPr>
          <w:rFonts w:ascii="Times New Roman" w:hAnsi="Times New Roman" w:cs="Times New Roman"/>
          <w:sz w:val="24"/>
          <w:szCs w:val="24"/>
          <w:u w:val="none"/>
          <w:lang w:val="en-GB"/>
        </w:rPr>
        <w:t>1</w:t>
      </w:r>
      <w:r w:rsidR="00C65F1F"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General remarks</w:t>
      </w:r>
    </w:p>
    <w:p w14:paraId="077A8E76" w14:textId="51F0BBD8" w:rsidR="7715F36A" w:rsidRPr="00FE3C59" w:rsidRDefault="56EB11A0" w:rsidP="3F965E88">
      <w:pPr>
        <w:pStyle w:val="InstructionsText2"/>
        <w:numPr>
          <w:ilvl w:val="0"/>
          <w:numId w:val="57"/>
        </w:numPr>
        <w:rPr>
          <w:rFonts w:eastAsiaTheme="minorEastAsia"/>
        </w:rPr>
      </w:pPr>
      <w:r w:rsidRPr="00FE3C59">
        <w:t xml:space="preserve">This template provides detailed information on the calculation of own funds requirements for the </w:t>
      </w:r>
      <w:r w:rsidR="1A19E43E" w:rsidRPr="00FE3C59">
        <w:t>C</w:t>
      </w:r>
      <w:r w:rsidR="74919058" w:rsidRPr="00FE3C59">
        <w:t xml:space="preserve">redit spread risk </w:t>
      </w:r>
      <w:r w:rsidR="1B4C42A4" w:rsidRPr="00FE3C59">
        <w:t xml:space="preserve">of </w:t>
      </w:r>
      <w:r w:rsidR="74919058" w:rsidRPr="00FE3C59">
        <w:t>securitisation not included in the alternative correlation trading portfolio (non</w:t>
      </w:r>
      <w:r w:rsidR="0B92325E" w:rsidRPr="00FE3C59">
        <w:t>–</w:t>
      </w:r>
      <w:r w:rsidR="1A19E43E" w:rsidRPr="00FE3C59">
        <w:t>ACTP CSR</w:t>
      </w:r>
      <w:r w:rsidR="74919058" w:rsidRPr="00FE3C59">
        <w:t>)</w:t>
      </w:r>
      <w:r w:rsidR="62C756E7" w:rsidRPr="00FE3C59">
        <w:t xml:space="preserve"> </w:t>
      </w:r>
      <w:r w:rsidR="4DC0A61B" w:rsidRPr="00FE3C59">
        <w:t>on the basis of the sensitivities-based method.</w:t>
      </w:r>
    </w:p>
    <w:p w14:paraId="3C24A17F" w14:textId="77777777" w:rsidR="00C65F1F" w:rsidRPr="00FE3C59" w:rsidRDefault="004F7DA1"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.4.</w:t>
      </w:r>
      <w:r w:rsidR="00C65F1F" w:rsidRPr="00FE3C59">
        <w:rPr>
          <w:rFonts w:ascii="Times New Roman" w:hAnsi="Times New Roman" w:cs="Times New Roman"/>
          <w:sz w:val="24"/>
          <w:szCs w:val="24"/>
          <w:u w:val="none"/>
          <w:lang w:val="en-GB"/>
        </w:rPr>
        <w:t>2</w:t>
      </w:r>
      <w:r w:rsidR="00C65F1F"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Instructions concerning specific positions</w:t>
      </w:r>
    </w:p>
    <w:tbl>
      <w:tblPr>
        <w:tblStyle w:val="TableGrid"/>
        <w:tblW w:w="0" w:type="auto"/>
        <w:tblLook w:val="04A0" w:firstRow="1" w:lastRow="0" w:firstColumn="1" w:lastColumn="0" w:noHBand="0" w:noVBand="1"/>
      </w:tblPr>
      <w:tblGrid>
        <w:gridCol w:w="1043"/>
        <w:gridCol w:w="7973"/>
      </w:tblGrid>
      <w:tr w:rsidR="00FB5A9F" w:rsidRPr="00FE3C59" w14:paraId="0C7446D8" w14:textId="77777777" w:rsidTr="3F965E88">
        <w:tc>
          <w:tcPr>
            <w:tcW w:w="1043" w:type="dxa"/>
            <w:shd w:val="clear" w:color="auto" w:fill="BFBFBF" w:themeFill="background1" w:themeFillShade="BF"/>
          </w:tcPr>
          <w:p w14:paraId="45BCEF1D" w14:textId="77777777" w:rsidR="00FB5A9F" w:rsidRPr="00FE3C59" w:rsidRDefault="00FB5A9F" w:rsidP="000D1DC8">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7C2E049F" w14:textId="77777777" w:rsidR="00FB5A9F" w:rsidRPr="00FE3C59" w:rsidRDefault="00FB5A9F" w:rsidP="000D1DC8">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FB5A9F" w:rsidRPr="00FE3C59" w14:paraId="532AD1D0" w14:textId="77777777" w:rsidTr="3F965E88">
        <w:tc>
          <w:tcPr>
            <w:tcW w:w="1043" w:type="dxa"/>
          </w:tcPr>
          <w:p w14:paraId="63CE8257" w14:textId="091BC84A" w:rsidR="00FB5A9F" w:rsidRPr="00FE3C59" w:rsidRDefault="00FB5A9F" w:rsidP="001C372D">
            <w:pPr>
              <w:pStyle w:val="BodyText"/>
              <w:spacing w:before="120" w:after="120" w:line="259" w:lineRule="auto"/>
              <w:rPr>
                <w:rFonts w:ascii="Times New Roman" w:hAnsi="Times New Roman" w:cs="Times New Roman"/>
                <w:lang w:val="en-GB" w:eastAsia="nl-BE"/>
              </w:rPr>
            </w:pPr>
            <w:r w:rsidRPr="00FE3C59">
              <w:rPr>
                <w:rFonts w:ascii="Times New Roman" w:hAnsi="Times New Roman" w:cs="Times New Roman"/>
                <w:color w:val="000000" w:themeColor="text1"/>
                <w:lang w:val="en-GB"/>
              </w:rPr>
              <w:t>0010</w:t>
            </w:r>
            <w:r w:rsidR="620E6D28" w:rsidRPr="00FE3C59">
              <w:rPr>
                <w:rFonts w:ascii="Times New Roman" w:hAnsi="Times New Roman" w:cs="Times New Roman"/>
                <w:color w:val="000000" w:themeColor="text1"/>
                <w:lang w:val="en-GB"/>
              </w:rPr>
              <w:t>-0100</w:t>
            </w:r>
          </w:p>
        </w:tc>
        <w:tc>
          <w:tcPr>
            <w:tcW w:w="7973" w:type="dxa"/>
          </w:tcPr>
          <w:p w14:paraId="476C68C7" w14:textId="58BC60CC"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Unweighted sensitivities</w:t>
            </w:r>
          </w:p>
          <w:p w14:paraId="1FC7E863" w14:textId="74E000CF" w:rsidR="00FB5A9F" w:rsidRPr="00FE3C59" w:rsidRDefault="00622329"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 xml:space="preserve">The </w:t>
            </w:r>
            <w:r w:rsidR="00E273D8" w:rsidRPr="00FE3C59">
              <w:rPr>
                <w:rFonts w:ascii="Times New Roman" w:eastAsia="Segoe UI" w:hAnsi="Times New Roman" w:cs="Times New Roman"/>
                <w:color w:val="000000" w:themeColor="text1"/>
                <w:lang w:val="en-GB"/>
              </w:rPr>
              <w:t xml:space="preserve">net </w:t>
            </w:r>
            <w:r w:rsidR="60690231" w:rsidRPr="00FE3C59">
              <w:rPr>
                <w:rFonts w:ascii="Times New Roman" w:eastAsia="Segoe UI" w:hAnsi="Times New Roman" w:cs="Times New Roman"/>
                <w:color w:val="000000" w:themeColor="text1"/>
                <w:lang w:val="en-GB"/>
              </w:rPr>
              <w:t>sensitivities</w:t>
            </w:r>
            <w:r w:rsidR="00E273D8" w:rsidRPr="00FE3C59">
              <w:rPr>
                <w:rFonts w:ascii="Times New Roman" w:eastAsia="Segoe UI" w:hAnsi="Times New Roman" w:cs="Times New Roman"/>
                <w:color w:val="000000" w:themeColor="text1"/>
                <w:lang w:val="en-GB"/>
              </w:rPr>
              <w:t xml:space="preserve"> per risk factor,</w:t>
            </w:r>
            <w:r w:rsidRPr="00FE3C59">
              <w:rPr>
                <w:rFonts w:ascii="Times New Roman" w:eastAsia="Segoe UI" w:hAnsi="Times New Roman" w:cs="Times New Roman"/>
                <w:color w:val="000000" w:themeColor="text1"/>
                <w:lang w:val="en-GB"/>
              </w:rPr>
              <w:t xml:space="preserve"> calculated in accordance with Articles 325n</w:t>
            </w:r>
            <w:r w:rsidR="006C2B83" w:rsidRPr="00FE3C59">
              <w:rPr>
                <w:rFonts w:ascii="Times New Roman" w:eastAsia="Segoe UI" w:hAnsi="Times New Roman" w:cs="Times New Roman"/>
                <w:color w:val="000000" w:themeColor="text1"/>
                <w:lang w:val="en-GB"/>
              </w:rPr>
              <w:t xml:space="preserve">, </w:t>
            </w:r>
            <w:r w:rsidRPr="00FE3C59">
              <w:rPr>
                <w:rFonts w:ascii="Times New Roman" w:eastAsia="Segoe UI" w:hAnsi="Times New Roman" w:cs="Times New Roman"/>
                <w:color w:val="000000" w:themeColor="text1"/>
                <w:lang w:val="en-GB"/>
              </w:rPr>
              <w:t xml:space="preserve">325r </w:t>
            </w:r>
            <w:r w:rsidR="006C2B83" w:rsidRPr="00FE3C59">
              <w:rPr>
                <w:rFonts w:ascii="Times New Roman" w:eastAsia="Segoe UI" w:hAnsi="Times New Roman" w:cs="Times New Roman"/>
                <w:color w:val="000000" w:themeColor="text1"/>
                <w:lang w:val="en-GB"/>
              </w:rPr>
              <w:t>and 325s</w:t>
            </w:r>
            <w:r w:rsidRPr="00FE3C59">
              <w:rPr>
                <w:rFonts w:ascii="Times New Roman" w:eastAsia="Segoe UI" w:hAnsi="Times New Roman" w:cs="Times New Roman"/>
                <w:color w:val="000000" w:themeColor="text1"/>
                <w:lang w:val="en-GB"/>
              </w:rPr>
              <w:t xml:space="preserve"> of Regulation (EU)</w:t>
            </w:r>
            <w:r w:rsidR="00C66CF1">
              <w:rPr>
                <w:rFonts w:ascii="Times New Roman" w:eastAsia="Segoe UI" w:hAnsi="Times New Roman" w:cs="Times New Roman"/>
                <w:color w:val="000000" w:themeColor="text1"/>
                <w:lang w:val="en-GB"/>
              </w:rPr>
              <w:t xml:space="preserve"> No 575/2013</w:t>
            </w:r>
            <w:r w:rsidR="00D21094" w:rsidRPr="00FE3C59">
              <w:rPr>
                <w:rFonts w:ascii="Times New Roman" w:eastAsia="Segoe UI" w:hAnsi="Times New Roman" w:cs="Times New Roman"/>
                <w:color w:val="000000" w:themeColor="text1"/>
                <w:lang w:val="en-GB"/>
              </w:rPr>
              <w:t>,</w:t>
            </w:r>
            <w:r w:rsidR="60690231" w:rsidRPr="00FE3C59">
              <w:rPr>
                <w:rFonts w:ascii="Times New Roman" w:eastAsia="Segoe UI" w:hAnsi="Times New Roman" w:cs="Times New Roman"/>
                <w:color w:val="000000" w:themeColor="text1"/>
                <w:lang w:val="en-GB"/>
              </w:rPr>
              <w:t xml:space="preserve"> before the application of the corresponding risk weights set out in </w:t>
            </w:r>
            <w:r w:rsidR="00EF18B2" w:rsidRPr="00FE3C59">
              <w:rPr>
                <w:rFonts w:ascii="Times New Roman" w:eastAsia="Segoe UI" w:hAnsi="Times New Roman" w:cs="Times New Roman"/>
                <w:color w:val="000000" w:themeColor="text1"/>
                <w:lang w:val="en-GB"/>
              </w:rPr>
              <w:t xml:space="preserve">Part Three, Title IV, </w:t>
            </w:r>
            <w:r w:rsidR="60690231" w:rsidRPr="00FE3C59">
              <w:rPr>
                <w:rFonts w:ascii="Times New Roman" w:eastAsia="Segoe UI" w:hAnsi="Times New Roman" w:cs="Times New Roman"/>
                <w:color w:val="000000" w:themeColor="text1"/>
                <w:lang w:val="en-GB"/>
              </w:rPr>
              <w:t>Chapter 1a</w:t>
            </w:r>
            <w:r w:rsidR="00EF18B2" w:rsidRPr="00FE3C59">
              <w:rPr>
                <w:rFonts w:ascii="Times New Roman" w:eastAsia="Segoe UI" w:hAnsi="Times New Roman" w:cs="Times New Roman"/>
                <w:color w:val="000000" w:themeColor="text1"/>
                <w:lang w:val="en-GB"/>
              </w:rPr>
              <w:t>,</w:t>
            </w:r>
            <w:r w:rsidR="60690231" w:rsidRPr="00FE3C59">
              <w:rPr>
                <w:rFonts w:ascii="Times New Roman" w:eastAsia="Segoe UI" w:hAnsi="Times New Roman" w:cs="Times New Roman"/>
                <w:color w:val="000000" w:themeColor="text1"/>
                <w:lang w:val="en-GB"/>
              </w:rPr>
              <w:t xml:space="preserve"> </w:t>
            </w:r>
            <w:r w:rsidRPr="00FE3C59">
              <w:rPr>
                <w:rFonts w:ascii="Times New Roman" w:eastAsia="Segoe UI" w:hAnsi="Times New Roman" w:cs="Times New Roman"/>
                <w:color w:val="000000" w:themeColor="text1"/>
                <w:lang w:val="en-GB"/>
              </w:rPr>
              <w:t xml:space="preserve">Section 6 </w:t>
            </w:r>
            <w:r w:rsidR="60690231" w:rsidRPr="00FE3C59">
              <w:rPr>
                <w:rFonts w:ascii="Times New Roman" w:eastAsia="Segoe UI" w:hAnsi="Times New Roman" w:cs="Times New Roman"/>
                <w:color w:val="000000" w:themeColor="text1"/>
                <w:lang w:val="en-GB"/>
              </w:rPr>
              <w:t xml:space="preserve">of </w:t>
            </w:r>
            <w:r w:rsidR="00D21094" w:rsidRPr="00FE3C59">
              <w:rPr>
                <w:rFonts w:ascii="Times New Roman" w:eastAsia="Segoe UI" w:hAnsi="Times New Roman" w:cs="Times New Roman"/>
                <w:color w:val="000000" w:themeColor="text1"/>
                <w:lang w:val="en-GB"/>
              </w:rPr>
              <w:t>that</w:t>
            </w:r>
            <w:r w:rsidR="60690231" w:rsidRPr="00FE3C59">
              <w:rPr>
                <w:rFonts w:ascii="Times New Roman" w:eastAsia="Segoe UI" w:hAnsi="Times New Roman" w:cs="Times New Roman"/>
                <w:color w:val="000000" w:themeColor="text1"/>
                <w:lang w:val="en-GB"/>
              </w:rPr>
              <w:t xml:space="preserve"> Regulation</w:t>
            </w:r>
            <w:r w:rsidR="00D21094" w:rsidRPr="00FE3C59">
              <w:rPr>
                <w:rFonts w:ascii="Times New Roman" w:eastAsia="Segoe UI" w:hAnsi="Times New Roman" w:cs="Times New Roman"/>
                <w:color w:val="000000" w:themeColor="text1"/>
                <w:lang w:val="en-GB"/>
              </w:rPr>
              <w:t>, shall be aggregated by bucket separately for delta</w:t>
            </w:r>
            <w:r w:rsidR="56B68D64" w:rsidRPr="00FE3C59">
              <w:rPr>
                <w:rFonts w:ascii="Times New Roman" w:eastAsia="Segoe UI" w:hAnsi="Times New Roman" w:cs="Times New Roman"/>
                <w:color w:val="000000" w:themeColor="text1"/>
                <w:lang w:val="en-GB"/>
              </w:rPr>
              <w:t xml:space="preserve"> and</w:t>
            </w:r>
            <w:r w:rsidR="00D21094" w:rsidRPr="00FE3C59">
              <w:rPr>
                <w:rFonts w:ascii="Times New Roman" w:eastAsia="Segoe UI" w:hAnsi="Times New Roman" w:cs="Times New Roman"/>
                <w:color w:val="000000" w:themeColor="text1"/>
                <w:lang w:val="en-GB"/>
              </w:rPr>
              <w:t xml:space="preserve"> vega risk and </w:t>
            </w:r>
            <w:r w:rsidR="006B2668" w:rsidRPr="00FE3C59">
              <w:rPr>
                <w:rFonts w:ascii="Times New Roman" w:eastAsia="Segoe UI" w:hAnsi="Times New Roman" w:cs="Times New Roman"/>
                <w:color w:val="000000" w:themeColor="text1"/>
                <w:lang w:val="en-GB"/>
              </w:rPr>
              <w:t>reported in the applicable columns.</w:t>
            </w:r>
          </w:p>
        </w:tc>
      </w:tr>
      <w:tr w:rsidR="00FB5A9F" w:rsidRPr="00FE3C59" w14:paraId="6051F7CC" w14:textId="77777777" w:rsidTr="3F965E88">
        <w:tc>
          <w:tcPr>
            <w:tcW w:w="1043" w:type="dxa"/>
          </w:tcPr>
          <w:p w14:paraId="2CC00D14" w14:textId="0678D569" w:rsidR="00FB5A9F" w:rsidRPr="00FE3C59" w:rsidRDefault="00FB5A9F" w:rsidP="001C372D">
            <w:pPr>
              <w:pStyle w:val="BodyText"/>
              <w:spacing w:before="120" w:after="120" w:line="259" w:lineRule="auto"/>
              <w:rPr>
                <w:rFonts w:ascii="Times New Roman" w:hAnsi="Times New Roman" w:cs="Times New Roman"/>
                <w:lang w:val="en-GB" w:eastAsia="nl-BE"/>
              </w:rPr>
            </w:pPr>
            <w:r w:rsidRPr="00FE3C59">
              <w:rPr>
                <w:rFonts w:ascii="Times New Roman" w:hAnsi="Times New Roman" w:cs="Times New Roman"/>
                <w:color w:val="000000" w:themeColor="text1"/>
                <w:lang w:val="en-GB"/>
              </w:rPr>
              <w:t>0010-</w:t>
            </w:r>
            <w:r w:rsidR="620E6D28" w:rsidRPr="00FE3C59">
              <w:rPr>
                <w:rFonts w:ascii="Times New Roman" w:hAnsi="Times New Roman" w:cs="Times New Roman"/>
                <w:color w:val="000000" w:themeColor="text1"/>
                <w:lang w:val="en-GB"/>
              </w:rPr>
              <w:t>0050</w:t>
            </w:r>
          </w:p>
        </w:tc>
        <w:tc>
          <w:tcPr>
            <w:tcW w:w="7973" w:type="dxa"/>
            <w:vAlign w:val="bottom"/>
          </w:tcPr>
          <w:p w14:paraId="35EA6A21" w14:textId="238B9A05"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Delta risk factors: Maturities</w:t>
            </w:r>
          </w:p>
          <w:p w14:paraId="66442BD2" w14:textId="781956DA" w:rsidR="00FB5A9F" w:rsidRPr="00FE3C59" w:rsidRDefault="620E6D28" w:rsidP="001C372D">
            <w:pPr>
              <w:pStyle w:val="BodyText"/>
              <w:spacing w:before="120" w:after="120" w:line="259" w:lineRule="auto"/>
              <w:rPr>
                <w:rFonts w:ascii="Times New Roman" w:eastAsia="Arial" w:hAnsi="Times New Roman" w:cs="Times New Roman"/>
                <w:color w:val="000000" w:themeColor="text1"/>
                <w:lang w:val="en-GB"/>
              </w:rPr>
            </w:pPr>
            <w:r w:rsidRPr="00FE3C59">
              <w:rPr>
                <w:rFonts w:ascii="Times New Roman" w:eastAsia="Arial" w:hAnsi="Times New Roman" w:cs="Times New Roman"/>
                <w:color w:val="000000" w:themeColor="text1"/>
                <w:lang w:val="en-GB"/>
              </w:rPr>
              <w:t>Article</w:t>
            </w:r>
            <w:r w:rsidR="00F22A30" w:rsidRPr="00FE3C59">
              <w:rPr>
                <w:rFonts w:ascii="Times New Roman" w:eastAsia="Arial" w:hAnsi="Times New Roman" w:cs="Times New Roman"/>
                <w:color w:val="000000" w:themeColor="text1"/>
                <w:lang w:val="en-GB"/>
              </w:rPr>
              <w:t>s</w:t>
            </w:r>
            <w:r w:rsidRPr="00FE3C59">
              <w:rPr>
                <w:rFonts w:ascii="Times New Roman" w:eastAsia="Arial" w:hAnsi="Times New Roman" w:cs="Times New Roman"/>
                <w:color w:val="000000" w:themeColor="text1"/>
                <w:lang w:val="en-GB"/>
              </w:rPr>
              <w:t xml:space="preserve"> 325e(1</w:t>
            </w:r>
            <w:r w:rsidR="00957F5F" w:rsidRPr="00FE3C59">
              <w:rPr>
                <w:rFonts w:ascii="Times New Roman" w:eastAsia="Arial" w:hAnsi="Times New Roman" w:cs="Times New Roman"/>
                <w:color w:val="000000" w:themeColor="text1"/>
                <w:lang w:val="en-GB"/>
              </w:rPr>
              <w:t>), point (</w:t>
            </w:r>
            <w:r w:rsidRPr="00FE3C59">
              <w:rPr>
                <w:rFonts w:ascii="Times New Roman" w:eastAsia="Arial" w:hAnsi="Times New Roman" w:cs="Times New Roman"/>
                <w:color w:val="000000" w:themeColor="text1"/>
                <w:lang w:val="en-GB"/>
              </w:rPr>
              <w:t>a), 325f(1</w:t>
            </w:r>
            <w:r w:rsidR="00957F5F" w:rsidRPr="00FE3C59">
              <w:rPr>
                <w:rFonts w:ascii="Times New Roman" w:eastAsia="Arial" w:hAnsi="Times New Roman" w:cs="Times New Roman"/>
                <w:color w:val="000000" w:themeColor="text1"/>
                <w:lang w:val="en-GB"/>
              </w:rPr>
              <w:t>) to (</w:t>
            </w:r>
            <w:r w:rsidRPr="00FE3C59">
              <w:rPr>
                <w:rFonts w:ascii="Times New Roman" w:eastAsia="Arial" w:hAnsi="Times New Roman" w:cs="Times New Roman"/>
                <w:color w:val="000000" w:themeColor="text1"/>
                <w:lang w:val="en-GB"/>
              </w:rPr>
              <w:t xml:space="preserve">5), </w:t>
            </w:r>
            <w:r w:rsidRPr="00FE3C59">
              <w:rPr>
                <w:rFonts w:ascii="Times New Roman" w:eastAsia="Segoe UI" w:hAnsi="Times New Roman" w:cs="Times New Roman"/>
                <w:color w:val="000000" w:themeColor="text1"/>
                <w:lang w:val="en-GB"/>
              </w:rPr>
              <w:t xml:space="preserve">325n(5) and </w:t>
            </w:r>
            <w:r w:rsidRPr="00FE3C59">
              <w:rPr>
                <w:rFonts w:ascii="Times New Roman" w:eastAsia="Arial" w:hAnsi="Times New Roman" w:cs="Times New Roman"/>
                <w:color w:val="000000" w:themeColor="text1"/>
                <w:lang w:val="en-GB"/>
              </w:rPr>
              <w:t>325r(2)</w:t>
            </w:r>
            <w:r w:rsidRPr="00FE3C59">
              <w:rPr>
                <w:rFonts w:ascii="Times New Roman" w:eastAsia="Segoe UI" w:hAnsi="Times New Roman" w:cs="Times New Roman"/>
                <w:color w:val="000000" w:themeColor="text1"/>
                <w:lang w:val="en-GB"/>
              </w:rPr>
              <w:t xml:space="preserve"> of Regulation (EU) No 575/2013</w:t>
            </w:r>
          </w:p>
        </w:tc>
      </w:tr>
      <w:tr w:rsidR="00FB5A9F" w:rsidRPr="00FE3C59" w14:paraId="55C9517B" w14:textId="77777777" w:rsidTr="3F965E88">
        <w:tc>
          <w:tcPr>
            <w:tcW w:w="1043" w:type="dxa"/>
          </w:tcPr>
          <w:p w14:paraId="439C2526" w14:textId="0CC5F6BD" w:rsidR="00FB5A9F" w:rsidRPr="00FE3C59" w:rsidRDefault="00FB5A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0010</w:t>
            </w:r>
          </w:p>
        </w:tc>
        <w:tc>
          <w:tcPr>
            <w:tcW w:w="7973" w:type="dxa"/>
            <w:vAlign w:val="bottom"/>
          </w:tcPr>
          <w:p w14:paraId="2BE39B4B" w14:textId="0FC74EBE" w:rsidR="00FB5A9F" w:rsidRPr="00FE3C59" w:rsidRDefault="620E6D28" w:rsidP="00CA4392">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0.5 years</w:t>
            </w:r>
          </w:p>
        </w:tc>
      </w:tr>
      <w:tr w:rsidR="00FB5A9F" w:rsidRPr="00FE3C59" w14:paraId="62E1C019" w14:textId="77777777" w:rsidTr="3F965E88">
        <w:tc>
          <w:tcPr>
            <w:tcW w:w="1043" w:type="dxa"/>
          </w:tcPr>
          <w:p w14:paraId="041A3238" w14:textId="26D74CAB"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0020</w:t>
            </w:r>
          </w:p>
        </w:tc>
        <w:tc>
          <w:tcPr>
            <w:tcW w:w="7973" w:type="dxa"/>
            <w:vAlign w:val="bottom"/>
          </w:tcPr>
          <w:p w14:paraId="70CC262F" w14:textId="5149B6DF" w:rsidR="00FB5A9F" w:rsidRPr="00FE3C59" w:rsidRDefault="620E6D28" w:rsidP="00900097">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 year</w:t>
            </w:r>
          </w:p>
        </w:tc>
      </w:tr>
      <w:tr w:rsidR="00FB5A9F" w:rsidRPr="00FE3C59" w14:paraId="79B02668" w14:textId="77777777" w:rsidTr="3F965E88">
        <w:tc>
          <w:tcPr>
            <w:tcW w:w="1043" w:type="dxa"/>
          </w:tcPr>
          <w:p w14:paraId="7922753A" w14:textId="1590A9DB"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0030</w:t>
            </w:r>
          </w:p>
        </w:tc>
        <w:tc>
          <w:tcPr>
            <w:tcW w:w="7973" w:type="dxa"/>
            <w:vAlign w:val="bottom"/>
          </w:tcPr>
          <w:p w14:paraId="7DB3E6F4" w14:textId="259B4F01" w:rsidR="00FB5A9F" w:rsidRPr="00FE3C59" w:rsidRDefault="620E6D28" w:rsidP="00900097">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3 years</w:t>
            </w:r>
          </w:p>
        </w:tc>
      </w:tr>
      <w:tr w:rsidR="00FB5A9F" w:rsidRPr="00FE3C59" w14:paraId="2CCA429E" w14:textId="77777777" w:rsidTr="3F965E88">
        <w:tc>
          <w:tcPr>
            <w:tcW w:w="1043" w:type="dxa"/>
          </w:tcPr>
          <w:p w14:paraId="24D20380" w14:textId="68E890E2"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0040</w:t>
            </w:r>
          </w:p>
        </w:tc>
        <w:tc>
          <w:tcPr>
            <w:tcW w:w="7973" w:type="dxa"/>
            <w:vAlign w:val="bottom"/>
          </w:tcPr>
          <w:p w14:paraId="6844A712" w14:textId="45C7E637" w:rsidR="00FB5A9F" w:rsidRPr="00FE3C59" w:rsidRDefault="620E6D28" w:rsidP="00900097">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5 years</w:t>
            </w:r>
          </w:p>
        </w:tc>
      </w:tr>
      <w:tr w:rsidR="00FB5A9F" w:rsidRPr="00FE3C59" w14:paraId="0615A9C6" w14:textId="77777777" w:rsidTr="3F965E88">
        <w:tc>
          <w:tcPr>
            <w:tcW w:w="1043" w:type="dxa"/>
          </w:tcPr>
          <w:p w14:paraId="1F1DB0A3" w14:textId="4DE14AA3"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0050</w:t>
            </w:r>
          </w:p>
        </w:tc>
        <w:tc>
          <w:tcPr>
            <w:tcW w:w="7973" w:type="dxa"/>
            <w:vAlign w:val="bottom"/>
          </w:tcPr>
          <w:p w14:paraId="2491BD3E" w14:textId="3774482F" w:rsidR="00FB5A9F" w:rsidRPr="00FE3C59" w:rsidRDefault="620E6D28" w:rsidP="00CA4392">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10 years</w:t>
            </w:r>
          </w:p>
        </w:tc>
      </w:tr>
      <w:tr w:rsidR="00FB5A9F" w:rsidRPr="00FE3C59" w14:paraId="5ED33B8B" w14:textId="77777777" w:rsidTr="3F965E88">
        <w:tc>
          <w:tcPr>
            <w:tcW w:w="1043" w:type="dxa"/>
          </w:tcPr>
          <w:p w14:paraId="224CF9D5" w14:textId="1009B479"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0060-0100</w:t>
            </w:r>
          </w:p>
        </w:tc>
        <w:tc>
          <w:tcPr>
            <w:tcW w:w="7973" w:type="dxa"/>
            <w:vAlign w:val="bottom"/>
          </w:tcPr>
          <w:p w14:paraId="3DA7CFAE" w14:textId="28F2E419"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Vega risk factors: Maturities</w:t>
            </w:r>
          </w:p>
          <w:p w14:paraId="2371C65A" w14:textId="13F2E0CA" w:rsidR="00FB5A9F" w:rsidRPr="00FE3C59" w:rsidRDefault="620E6D28" w:rsidP="001C372D">
            <w:pPr>
              <w:pStyle w:val="BodyText"/>
              <w:spacing w:before="120" w:after="120" w:line="259" w:lineRule="auto"/>
              <w:rPr>
                <w:rFonts w:ascii="Times New Roman" w:eastAsia="Arial" w:hAnsi="Times New Roman" w:cs="Times New Roman"/>
                <w:color w:val="000000" w:themeColor="text1"/>
                <w:lang w:val="en-GB"/>
              </w:rPr>
            </w:pPr>
            <w:r w:rsidRPr="00FE3C59">
              <w:rPr>
                <w:rFonts w:ascii="Times New Roman" w:eastAsia="Arial" w:hAnsi="Times New Roman" w:cs="Times New Roman"/>
                <w:color w:val="000000" w:themeColor="text1"/>
                <w:lang w:val="en-GB"/>
              </w:rPr>
              <w:t>Article</w:t>
            </w:r>
            <w:r w:rsidR="00F22A30" w:rsidRPr="00FE3C59">
              <w:rPr>
                <w:rFonts w:ascii="Times New Roman" w:eastAsia="Arial" w:hAnsi="Times New Roman" w:cs="Times New Roman"/>
                <w:color w:val="000000" w:themeColor="text1"/>
                <w:lang w:val="en-GB"/>
              </w:rPr>
              <w:t>s</w:t>
            </w:r>
            <w:r w:rsidRPr="00FE3C59">
              <w:rPr>
                <w:rFonts w:ascii="Times New Roman" w:eastAsia="Arial" w:hAnsi="Times New Roman" w:cs="Times New Roman"/>
                <w:color w:val="000000" w:themeColor="text1"/>
                <w:lang w:val="en-GB"/>
              </w:rPr>
              <w:t xml:space="preserve"> 325e(1</w:t>
            </w:r>
            <w:r w:rsidR="00957F5F" w:rsidRPr="00FE3C59">
              <w:rPr>
                <w:rFonts w:ascii="Times New Roman" w:eastAsia="Arial" w:hAnsi="Times New Roman" w:cs="Times New Roman"/>
                <w:color w:val="000000" w:themeColor="text1"/>
                <w:lang w:val="en-GB"/>
              </w:rPr>
              <w:t>), point (</w:t>
            </w:r>
            <w:r w:rsidRPr="00FE3C59">
              <w:rPr>
                <w:rFonts w:ascii="Times New Roman" w:eastAsia="Arial" w:hAnsi="Times New Roman" w:cs="Times New Roman"/>
                <w:color w:val="000000" w:themeColor="text1"/>
                <w:lang w:val="en-GB"/>
              </w:rPr>
              <w:t>b), 325f(1</w:t>
            </w:r>
            <w:r w:rsidR="00957F5F" w:rsidRPr="00FE3C59">
              <w:rPr>
                <w:rFonts w:ascii="Times New Roman" w:eastAsia="Arial" w:hAnsi="Times New Roman" w:cs="Times New Roman"/>
                <w:color w:val="000000" w:themeColor="text1"/>
                <w:lang w:val="en-GB"/>
              </w:rPr>
              <w:t>) to (</w:t>
            </w:r>
            <w:r w:rsidRPr="00FE3C59">
              <w:rPr>
                <w:rFonts w:ascii="Times New Roman" w:eastAsia="Arial" w:hAnsi="Times New Roman" w:cs="Times New Roman"/>
                <w:color w:val="000000" w:themeColor="text1"/>
                <w:lang w:val="en-GB"/>
              </w:rPr>
              <w:t xml:space="preserve">5), </w:t>
            </w:r>
            <w:r w:rsidRPr="00FE3C59">
              <w:rPr>
                <w:rFonts w:ascii="Times New Roman" w:eastAsia="Segoe UI" w:hAnsi="Times New Roman" w:cs="Times New Roman"/>
                <w:color w:val="000000" w:themeColor="text1"/>
                <w:lang w:val="en-GB"/>
              </w:rPr>
              <w:t xml:space="preserve">325n(5) and </w:t>
            </w:r>
            <w:r w:rsidRPr="00FE3C59">
              <w:rPr>
                <w:rFonts w:ascii="Times New Roman" w:eastAsia="Arial" w:hAnsi="Times New Roman" w:cs="Times New Roman"/>
                <w:color w:val="000000" w:themeColor="text1"/>
                <w:lang w:val="en-GB"/>
              </w:rPr>
              <w:t>325s(1)</w:t>
            </w:r>
            <w:r w:rsidRPr="00FE3C59">
              <w:rPr>
                <w:rFonts w:ascii="Times New Roman" w:eastAsia="Segoe UI" w:hAnsi="Times New Roman" w:cs="Times New Roman"/>
                <w:color w:val="000000" w:themeColor="text1"/>
                <w:lang w:val="en-GB"/>
              </w:rPr>
              <w:t xml:space="preserve"> of Regulation (EU) No 575/2013</w:t>
            </w:r>
          </w:p>
        </w:tc>
      </w:tr>
      <w:tr w:rsidR="00FB5A9F" w:rsidRPr="00FE3C59" w14:paraId="1D9D6D45" w14:textId="77777777" w:rsidTr="3F965E88">
        <w:tc>
          <w:tcPr>
            <w:tcW w:w="1043" w:type="dxa"/>
          </w:tcPr>
          <w:p w14:paraId="68A01CF5" w14:textId="12C72C54" w:rsidR="00FB5A9F" w:rsidRPr="00FE3C59" w:rsidRDefault="00FB5A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0060</w:t>
            </w:r>
          </w:p>
        </w:tc>
        <w:tc>
          <w:tcPr>
            <w:tcW w:w="7973" w:type="dxa"/>
            <w:vAlign w:val="bottom"/>
          </w:tcPr>
          <w:p w14:paraId="1AFE01F2" w14:textId="3D1C8358"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0.5 years</w:t>
            </w:r>
          </w:p>
        </w:tc>
      </w:tr>
      <w:tr w:rsidR="00FB5A9F" w:rsidRPr="00FE3C59" w14:paraId="76934A85" w14:textId="77777777" w:rsidTr="3F965E88">
        <w:tc>
          <w:tcPr>
            <w:tcW w:w="1043" w:type="dxa"/>
          </w:tcPr>
          <w:p w14:paraId="2B96F717" w14:textId="509D8744"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0070</w:t>
            </w:r>
          </w:p>
        </w:tc>
        <w:tc>
          <w:tcPr>
            <w:tcW w:w="7973" w:type="dxa"/>
            <w:vAlign w:val="bottom"/>
          </w:tcPr>
          <w:p w14:paraId="51D1BED8" w14:textId="49C3905D"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 year</w:t>
            </w:r>
          </w:p>
        </w:tc>
      </w:tr>
      <w:tr w:rsidR="00FB5A9F" w:rsidRPr="00FE3C59" w14:paraId="4A899218" w14:textId="77777777" w:rsidTr="3F965E88">
        <w:tc>
          <w:tcPr>
            <w:tcW w:w="1043" w:type="dxa"/>
          </w:tcPr>
          <w:p w14:paraId="63373827" w14:textId="1A52F97C"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0080</w:t>
            </w:r>
          </w:p>
        </w:tc>
        <w:tc>
          <w:tcPr>
            <w:tcW w:w="7973" w:type="dxa"/>
            <w:vAlign w:val="bottom"/>
          </w:tcPr>
          <w:p w14:paraId="2CAB813B" w14:textId="4EB52AF3"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3 years</w:t>
            </w:r>
          </w:p>
        </w:tc>
      </w:tr>
      <w:tr w:rsidR="00FB5A9F" w:rsidRPr="00FE3C59" w14:paraId="49236830" w14:textId="77777777" w:rsidTr="3F965E88">
        <w:tc>
          <w:tcPr>
            <w:tcW w:w="1043" w:type="dxa"/>
          </w:tcPr>
          <w:p w14:paraId="66200842" w14:textId="3D48780C"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0090</w:t>
            </w:r>
          </w:p>
        </w:tc>
        <w:tc>
          <w:tcPr>
            <w:tcW w:w="7973" w:type="dxa"/>
            <w:vAlign w:val="bottom"/>
          </w:tcPr>
          <w:p w14:paraId="20AA87AB" w14:textId="0ED42641"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5 years</w:t>
            </w:r>
          </w:p>
        </w:tc>
      </w:tr>
      <w:tr w:rsidR="00FB5A9F" w:rsidRPr="00FE3C59" w14:paraId="52F8C290" w14:textId="77777777" w:rsidTr="3F965E88">
        <w:tc>
          <w:tcPr>
            <w:tcW w:w="1043" w:type="dxa"/>
          </w:tcPr>
          <w:p w14:paraId="13CCBA03" w14:textId="76477C0D"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0100</w:t>
            </w:r>
          </w:p>
        </w:tc>
        <w:tc>
          <w:tcPr>
            <w:tcW w:w="7973" w:type="dxa"/>
            <w:vAlign w:val="bottom"/>
          </w:tcPr>
          <w:p w14:paraId="5952A7B5" w14:textId="72D21F28"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10 years</w:t>
            </w:r>
          </w:p>
        </w:tc>
      </w:tr>
      <w:tr w:rsidR="00FB5A9F" w:rsidRPr="00FE3C59" w14:paraId="5D84804C" w14:textId="77777777" w:rsidTr="3F965E88">
        <w:tc>
          <w:tcPr>
            <w:tcW w:w="1043" w:type="dxa"/>
          </w:tcPr>
          <w:p w14:paraId="1FFF747C" w14:textId="0270E366"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0110-0200</w:t>
            </w:r>
          </w:p>
        </w:tc>
        <w:tc>
          <w:tcPr>
            <w:tcW w:w="7973" w:type="dxa"/>
            <w:vAlign w:val="bottom"/>
          </w:tcPr>
          <w:p w14:paraId="386CC26B" w14:textId="779476D0"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Weighted sensitivities</w:t>
            </w:r>
          </w:p>
          <w:p w14:paraId="1F5E1406" w14:textId="5DCB2E9C" w:rsidR="00FB5A9F" w:rsidRPr="00FE3C59" w:rsidRDefault="00E914C3"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w:t>
            </w:r>
            <w:r w:rsidR="620E6D28" w:rsidRPr="00FE3C59">
              <w:rPr>
                <w:rFonts w:ascii="Times New Roman" w:eastAsia="Segoe UI" w:hAnsi="Times New Roman" w:cs="Times New Roman"/>
                <w:color w:val="000000" w:themeColor="text1"/>
                <w:lang w:val="en-GB"/>
              </w:rPr>
              <w:t xml:space="preserve"> 325f(6) of Regulation (EU) No 575/2013</w:t>
            </w:r>
          </w:p>
          <w:p w14:paraId="61DC5A63" w14:textId="4CF7AC70" w:rsidR="00FB5A9F" w:rsidRPr="00FE3C59" w:rsidRDefault="002B3BCA" w:rsidP="001C372D">
            <w:pPr>
              <w:pStyle w:val="BodyText"/>
              <w:spacing w:before="120" w:after="120" w:line="259" w:lineRule="auto"/>
              <w:rPr>
                <w:rFonts w:ascii="Times New Roman" w:eastAsia="Arial" w:hAnsi="Times New Roman" w:cs="Times New Roman"/>
                <w:color w:val="000000" w:themeColor="text1"/>
                <w:lang w:val="en-GB"/>
              </w:rPr>
            </w:pPr>
            <w:r w:rsidRPr="00FE3C59">
              <w:rPr>
                <w:rFonts w:ascii="Times New Roman" w:eastAsia="Segoe UI" w:hAnsi="Times New Roman" w:cs="Times New Roman"/>
                <w:color w:val="000000" w:themeColor="text1"/>
                <w:lang w:val="en-GB"/>
              </w:rPr>
              <w:t>The</w:t>
            </w:r>
            <w:r w:rsidR="00F023E0" w:rsidRPr="00FE3C59">
              <w:rPr>
                <w:rFonts w:ascii="Times New Roman" w:eastAsia="Segoe UI" w:hAnsi="Times New Roman" w:cs="Times New Roman"/>
                <w:color w:val="000000" w:themeColor="text1"/>
                <w:lang w:val="en-GB"/>
              </w:rPr>
              <w:t xml:space="preserve"> net</w:t>
            </w:r>
            <w:r w:rsidRPr="00FE3C59">
              <w:rPr>
                <w:rFonts w:ascii="Times New Roman" w:eastAsia="Segoe UI" w:hAnsi="Times New Roman" w:cs="Times New Roman"/>
                <w:color w:val="000000" w:themeColor="text1"/>
                <w:lang w:val="en-GB"/>
              </w:rPr>
              <w:t xml:space="preserve"> </w:t>
            </w:r>
            <w:r w:rsidR="620E6D28" w:rsidRPr="00FE3C59">
              <w:rPr>
                <w:rFonts w:ascii="Times New Roman" w:eastAsia="Segoe UI" w:hAnsi="Times New Roman" w:cs="Times New Roman"/>
                <w:color w:val="000000" w:themeColor="text1"/>
                <w:lang w:val="en-GB"/>
              </w:rPr>
              <w:t>sensitivities</w:t>
            </w:r>
            <w:r w:rsidR="001C372D" w:rsidRPr="00FE3C59">
              <w:rPr>
                <w:rFonts w:ascii="Times New Roman" w:eastAsia="Segoe UI" w:hAnsi="Times New Roman" w:cs="Times New Roman"/>
                <w:color w:val="000000" w:themeColor="text1"/>
                <w:lang w:val="en-GB"/>
              </w:rPr>
              <w:t xml:space="preserve"> </w:t>
            </w:r>
            <w:r w:rsidR="00F023E0" w:rsidRPr="00FE3C59">
              <w:rPr>
                <w:rFonts w:ascii="Times New Roman" w:eastAsia="Segoe UI" w:hAnsi="Times New Roman" w:cs="Times New Roman"/>
                <w:color w:val="000000" w:themeColor="text1"/>
                <w:lang w:val="en-GB"/>
              </w:rPr>
              <w:t>per risk factor, calculated in accordance with Articles 325n</w:t>
            </w:r>
            <w:r w:rsidR="00F129CE" w:rsidRPr="00FE3C59">
              <w:rPr>
                <w:rFonts w:ascii="Times New Roman" w:hAnsi="Times New Roman" w:cs="Times New Roman"/>
                <w:lang w:val="en-GB"/>
              </w:rPr>
              <w:t xml:space="preserve">, 325r </w:t>
            </w:r>
            <w:r w:rsidR="00F023E0" w:rsidRPr="00FE3C59">
              <w:rPr>
                <w:rFonts w:ascii="Times New Roman" w:hAnsi="Times New Roman" w:cs="Times New Roman"/>
                <w:lang w:val="en-GB"/>
              </w:rPr>
              <w:t xml:space="preserve">and </w:t>
            </w:r>
            <w:r w:rsidR="00F129CE" w:rsidRPr="00FE3C59">
              <w:rPr>
                <w:rFonts w:ascii="Times New Roman" w:hAnsi="Times New Roman" w:cs="Times New Roman"/>
                <w:lang w:val="en-GB"/>
              </w:rPr>
              <w:t>325s</w:t>
            </w:r>
            <w:r w:rsidR="00F023E0" w:rsidRPr="00FE3C59">
              <w:rPr>
                <w:rFonts w:ascii="Times New Roman" w:hAnsi="Times New Roman" w:cs="Times New Roman"/>
                <w:lang w:val="en-GB"/>
              </w:rPr>
              <w:t xml:space="preserve"> </w:t>
            </w:r>
            <w:r w:rsidR="00F023E0" w:rsidRPr="00FE3C59">
              <w:rPr>
                <w:rFonts w:ascii="Times New Roman" w:eastAsia="Segoe UI" w:hAnsi="Times New Roman" w:cs="Times New Roman"/>
                <w:color w:val="000000" w:themeColor="text1"/>
                <w:lang w:val="en-GB"/>
              </w:rPr>
              <w:t>of Regulation (EU)</w:t>
            </w:r>
            <w:r w:rsidR="00CB5AB1">
              <w:rPr>
                <w:rFonts w:ascii="Times New Roman" w:eastAsia="Segoe UI" w:hAnsi="Times New Roman" w:cs="Times New Roman"/>
                <w:color w:val="000000" w:themeColor="text1"/>
                <w:lang w:val="en-GB"/>
              </w:rPr>
              <w:t xml:space="preserve"> No 575/2013,</w:t>
            </w:r>
            <w:r w:rsidR="0046754E" w:rsidRPr="00FE3C59">
              <w:rPr>
                <w:rFonts w:ascii="Times New Roman" w:eastAsia="Segoe UI" w:hAnsi="Times New Roman" w:cs="Times New Roman"/>
                <w:color w:val="000000" w:themeColor="text1"/>
                <w:lang w:val="en-GB"/>
              </w:rPr>
              <w:t xml:space="preserve"> and</w:t>
            </w:r>
            <w:r w:rsidR="620E6D28" w:rsidRPr="00FE3C59">
              <w:rPr>
                <w:rFonts w:ascii="Times New Roman" w:eastAsia="Segoe UI" w:hAnsi="Times New Roman" w:cs="Times New Roman"/>
                <w:color w:val="000000" w:themeColor="text1"/>
                <w:lang w:val="en-GB"/>
              </w:rPr>
              <w:t xml:space="preserve"> </w:t>
            </w:r>
            <w:r w:rsidR="0046754E" w:rsidRPr="00FE3C59">
              <w:rPr>
                <w:rFonts w:ascii="Times New Roman" w:eastAsia="Segoe UI" w:hAnsi="Times New Roman" w:cs="Times New Roman"/>
                <w:color w:val="000000" w:themeColor="text1"/>
                <w:lang w:val="en-GB"/>
              </w:rPr>
              <w:t xml:space="preserve">weighted by </w:t>
            </w:r>
            <w:r w:rsidR="620E6D28" w:rsidRPr="00FE3C59">
              <w:rPr>
                <w:rFonts w:ascii="Times New Roman" w:eastAsia="Segoe UI" w:hAnsi="Times New Roman" w:cs="Times New Roman"/>
                <w:color w:val="000000" w:themeColor="text1"/>
                <w:lang w:val="en-GB"/>
              </w:rPr>
              <w:t xml:space="preserve">the corresponding risk weights set out in </w:t>
            </w:r>
            <w:r w:rsidR="00E914C3" w:rsidRPr="00FE3C59">
              <w:rPr>
                <w:rFonts w:ascii="Times New Roman" w:eastAsia="Segoe UI" w:hAnsi="Times New Roman" w:cs="Times New Roman"/>
                <w:color w:val="000000" w:themeColor="text1"/>
                <w:lang w:val="en-GB"/>
              </w:rPr>
              <w:t>Article</w:t>
            </w:r>
            <w:r w:rsidR="620E6D28" w:rsidRPr="00FE3C59">
              <w:rPr>
                <w:rFonts w:ascii="Times New Roman" w:eastAsia="Segoe UI" w:hAnsi="Times New Roman" w:cs="Times New Roman"/>
                <w:color w:val="000000" w:themeColor="text1"/>
                <w:lang w:val="en-GB"/>
              </w:rPr>
              <w:t xml:space="preserve"> 325am and 325ax of Regulation (EU) No 575/2013</w:t>
            </w:r>
            <w:r w:rsidR="003B0B0D" w:rsidRPr="00FE3C59">
              <w:rPr>
                <w:rFonts w:ascii="Times New Roman" w:eastAsia="Segoe UI" w:hAnsi="Times New Roman" w:cs="Times New Roman"/>
                <w:color w:val="000000" w:themeColor="text1"/>
                <w:lang w:val="en-GB"/>
              </w:rPr>
              <w:t>,</w:t>
            </w:r>
            <w:r w:rsidR="0046754E" w:rsidRPr="00FE3C59">
              <w:rPr>
                <w:rFonts w:ascii="Times New Roman" w:eastAsia="Segoe UI" w:hAnsi="Times New Roman" w:cs="Times New Roman"/>
                <w:color w:val="000000" w:themeColor="text1"/>
                <w:lang w:val="en-GB"/>
              </w:rPr>
              <w:t xml:space="preserve"> shall be </w:t>
            </w:r>
            <w:r w:rsidR="003B0B0D" w:rsidRPr="00FE3C59">
              <w:rPr>
                <w:rFonts w:ascii="Times New Roman" w:eastAsia="Segoe UI" w:hAnsi="Times New Roman" w:cs="Times New Roman"/>
                <w:color w:val="000000" w:themeColor="text1"/>
                <w:lang w:val="en-GB"/>
              </w:rPr>
              <w:t>aggregated by bucket</w:t>
            </w:r>
            <w:r w:rsidR="0046754E" w:rsidRPr="00FE3C59">
              <w:rPr>
                <w:rFonts w:ascii="Times New Roman" w:eastAsia="Segoe UI" w:hAnsi="Times New Roman" w:cs="Times New Roman"/>
                <w:color w:val="000000" w:themeColor="text1"/>
                <w:lang w:val="en-GB"/>
              </w:rPr>
              <w:t xml:space="preserve"> separately for delta</w:t>
            </w:r>
            <w:r w:rsidR="6E4E3A03" w:rsidRPr="00FE3C59">
              <w:rPr>
                <w:rFonts w:ascii="Times New Roman" w:eastAsia="Segoe UI" w:hAnsi="Times New Roman" w:cs="Times New Roman"/>
                <w:color w:val="000000" w:themeColor="text1"/>
                <w:lang w:val="en-GB"/>
              </w:rPr>
              <w:t xml:space="preserve"> and</w:t>
            </w:r>
            <w:r w:rsidR="0046754E" w:rsidRPr="00FE3C59">
              <w:rPr>
                <w:rFonts w:ascii="Times New Roman" w:eastAsia="Segoe UI" w:hAnsi="Times New Roman" w:cs="Times New Roman"/>
                <w:color w:val="000000" w:themeColor="text1"/>
                <w:lang w:val="en-GB"/>
              </w:rPr>
              <w:t xml:space="preserve"> vega risk and be reported in the applicable columns</w:t>
            </w:r>
            <w:r w:rsidR="620E6D28" w:rsidRPr="00FE3C59">
              <w:rPr>
                <w:rFonts w:ascii="Times New Roman" w:eastAsia="Segoe UI" w:hAnsi="Times New Roman" w:cs="Times New Roman"/>
                <w:color w:val="000000" w:themeColor="text1"/>
                <w:lang w:val="en-GB"/>
              </w:rPr>
              <w:t>.</w:t>
            </w:r>
          </w:p>
        </w:tc>
      </w:tr>
      <w:tr w:rsidR="00FB5A9F" w:rsidRPr="00FE3C59" w14:paraId="3738710F" w14:textId="77777777" w:rsidTr="3F965E88">
        <w:tc>
          <w:tcPr>
            <w:tcW w:w="1043" w:type="dxa"/>
          </w:tcPr>
          <w:p w14:paraId="3F3AD8DF" w14:textId="123839AB" w:rsidR="00FB5A9F" w:rsidRPr="00FE3C59" w:rsidRDefault="00FB5A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0110-</w:t>
            </w:r>
            <w:r w:rsidR="620E6D28" w:rsidRPr="00FE3C59">
              <w:rPr>
                <w:rFonts w:ascii="Times New Roman" w:hAnsi="Times New Roman" w:cs="Times New Roman"/>
                <w:lang w:val="en-GB"/>
              </w:rPr>
              <w:t>0150</w:t>
            </w:r>
          </w:p>
        </w:tc>
        <w:tc>
          <w:tcPr>
            <w:tcW w:w="7973" w:type="dxa"/>
            <w:vAlign w:val="bottom"/>
          </w:tcPr>
          <w:p w14:paraId="12A222CF" w14:textId="74C4E0C9"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Delta risk factors: Maturities</w:t>
            </w:r>
          </w:p>
          <w:p w14:paraId="19499727" w14:textId="4F73E2E2" w:rsidR="00FB5A9F" w:rsidRPr="00FE3C59" w:rsidRDefault="56E6BCBE" w:rsidP="001C372D">
            <w:pPr>
              <w:pStyle w:val="BodyText"/>
              <w:spacing w:before="120" w:after="120" w:line="259" w:lineRule="auto"/>
              <w:rPr>
                <w:rFonts w:ascii="Times New Roman" w:eastAsia="Arial" w:hAnsi="Times New Roman" w:cs="Times New Roman"/>
                <w:color w:val="000000" w:themeColor="text1"/>
                <w:lang w:val="en-GB"/>
              </w:rPr>
            </w:pPr>
            <w:r w:rsidRPr="00FE3C59">
              <w:rPr>
                <w:rFonts w:ascii="Times New Roman" w:eastAsia="Arial" w:hAnsi="Times New Roman" w:cs="Times New Roman"/>
                <w:color w:val="000000" w:themeColor="text1"/>
                <w:lang w:val="en-GB"/>
              </w:rPr>
              <w:t>Article</w:t>
            </w:r>
            <w:r w:rsidR="00F22A30" w:rsidRPr="00FE3C59">
              <w:rPr>
                <w:rFonts w:ascii="Times New Roman" w:eastAsia="Arial" w:hAnsi="Times New Roman" w:cs="Times New Roman"/>
                <w:color w:val="000000" w:themeColor="text1"/>
                <w:lang w:val="en-GB"/>
              </w:rPr>
              <w:t>s</w:t>
            </w:r>
            <w:r w:rsidRPr="00FE3C59">
              <w:rPr>
                <w:rFonts w:ascii="Times New Roman" w:eastAsia="Arial" w:hAnsi="Times New Roman" w:cs="Times New Roman"/>
                <w:color w:val="000000" w:themeColor="text1"/>
                <w:lang w:val="en-GB"/>
              </w:rPr>
              <w:t xml:space="preserve"> 325e(1</w:t>
            </w:r>
            <w:r w:rsidR="00957F5F" w:rsidRPr="00FE3C59">
              <w:rPr>
                <w:rFonts w:ascii="Times New Roman" w:eastAsia="Arial" w:hAnsi="Times New Roman" w:cs="Times New Roman"/>
                <w:color w:val="000000" w:themeColor="text1"/>
                <w:lang w:val="en-GB"/>
              </w:rPr>
              <w:t>), point (</w:t>
            </w:r>
            <w:r w:rsidRPr="00FE3C59">
              <w:rPr>
                <w:rFonts w:ascii="Times New Roman" w:eastAsia="Arial" w:hAnsi="Times New Roman" w:cs="Times New Roman"/>
                <w:color w:val="000000" w:themeColor="text1"/>
                <w:lang w:val="en-GB"/>
              </w:rPr>
              <w:t>a), 325f(1</w:t>
            </w:r>
            <w:r w:rsidR="00957F5F" w:rsidRPr="00FE3C59">
              <w:rPr>
                <w:rFonts w:ascii="Times New Roman" w:eastAsia="Arial" w:hAnsi="Times New Roman" w:cs="Times New Roman"/>
                <w:color w:val="000000" w:themeColor="text1"/>
                <w:lang w:val="en-GB"/>
              </w:rPr>
              <w:t>) to (</w:t>
            </w:r>
            <w:r w:rsidRPr="00FE3C59">
              <w:rPr>
                <w:rFonts w:ascii="Times New Roman" w:eastAsia="Arial" w:hAnsi="Times New Roman" w:cs="Times New Roman"/>
                <w:color w:val="000000" w:themeColor="text1"/>
                <w:lang w:val="en-GB"/>
              </w:rPr>
              <w:t xml:space="preserve">5), </w:t>
            </w:r>
            <w:r w:rsidRPr="00FE3C59">
              <w:rPr>
                <w:rFonts w:ascii="Times New Roman" w:eastAsia="Segoe UI" w:hAnsi="Times New Roman" w:cs="Times New Roman"/>
                <w:color w:val="000000" w:themeColor="text1"/>
                <w:lang w:val="en-GB"/>
              </w:rPr>
              <w:t xml:space="preserve">325n(5), </w:t>
            </w:r>
            <w:r w:rsidRPr="00FE3C59">
              <w:rPr>
                <w:rFonts w:ascii="Times New Roman" w:eastAsia="Arial" w:hAnsi="Times New Roman" w:cs="Times New Roman"/>
                <w:color w:val="000000" w:themeColor="text1"/>
                <w:lang w:val="en-GB"/>
              </w:rPr>
              <w:t>325r(2)</w:t>
            </w:r>
            <w:r w:rsidRPr="00FE3C59">
              <w:rPr>
                <w:rFonts w:ascii="Times New Roman" w:eastAsia="Segoe UI" w:hAnsi="Times New Roman" w:cs="Times New Roman"/>
                <w:color w:val="000000" w:themeColor="text1"/>
                <w:lang w:val="en-GB"/>
              </w:rPr>
              <w:t xml:space="preserve"> and 325am of Regulation (EU) No 575/2013</w:t>
            </w:r>
          </w:p>
        </w:tc>
      </w:tr>
      <w:tr w:rsidR="00FB5A9F" w:rsidRPr="00FE3C59" w14:paraId="1F216EB3" w14:textId="77777777" w:rsidTr="3F965E88">
        <w:tc>
          <w:tcPr>
            <w:tcW w:w="1043" w:type="dxa"/>
          </w:tcPr>
          <w:p w14:paraId="0B5627A4" w14:textId="46E17369" w:rsidR="00FB5A9F" w:rsidRPr="00FE3C59" w:rsidRDefault="00FB5A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0110</w:t>
            </w:r>
          </w:p>
        </w:tc>
        <w:tc>
          <w:tcPr>
            <w:tcW w:w="7973" w:type="dxa"/>
            <w:vAlign w:val="bottom"/>
          </w:tcPr>
          <w:p w14:paraId="1AE6B103" w14:textId="1DC4C97F" w:rsidR="00FB5A9F" w:rsidRPr="00FE3C59" w:rsidRDefault="620E6D28" w:rsidP="620E6D28">
            <w:pPr>
              <w:pStyle w:val="BodyText"/>
              <w:spacing w:before="120" w:after="120" w:line="288"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0.5 years</w:t>
            </w:r>
          </w:p>
        </w:tc>
      </w:tr>
      <w:tr w:rsidR="00FB5A9F" w:rsidRPr="00FE3C59" w14:paraId="2EABB79B" w14:textId="77777777" w:rsidTr="3F965E88">
        <w:tc>
          <w:tcPr>
            <w:tcW w:w="1043" w:type="dxa"/>
          </w:tcPr>
          <w:p w14:paraId="0B2AEC21" w14:textId="38828428"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0120</w:t>
            </w:r>
          </w:p>
        </w:tc>
        <w:tc>
          <w:tcPr>
            <w:tcW w:w="7973" w:type="dxa"/>
            <w:vAlign w:val="bottom"/>
          </w:tcPr>
          <w:p w14:paraId="18707E58" w14:textId="3F158D9E" w:rsidR="00FB5A9F" w:rsidRPr="00FE3C59" w:rsidRDefault="620E6D28" w:rsidP="00CD19A9">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 year</w:t>
            </w:r>
          </w:p>
        </w:tc>
      </w:tr>
      <w:tr w:rsidR="00FB5A9F" w:rsidRPr="00FE3C59" w14:paraId="33B2F0DD" w14:textId="77777777" w:rsidTr="3F965E88">
        <w:tc>
          <w:tcPr>
            <w:tcW w:w="1043" w:type="dxa"/>
          </w:tcPr>
          <w:p w14:paraId="46BFEEB8" w14:textId="2F6649A3"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0130</w:t>
            </w:r>
          </w:p>
        </w:tc>
        <w:tc>
          <w:tcPr>
            <w:tcW w:w="7973" w:type="dxa"/>
            <w:vAlign w:val="bottom"/>
          </w:tcPr>
          <w:p w14:paraId="47A58382" w14:textId="6AE27B72" w:rsidR="00FB5A9F" w:rsidRPr="00FE3C59" w:rsidRDefault="620E6D28" w:rsidP="00CD19A9">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3 years</w:t>
            </w:r>
          </w:p>
        </w:tc>
      </w:tr>
      <w:tr w:rsidR="00FB5A9F" w:rsidRPr="00FE3C59" w14:paraId="6BC220A5" w14:textId="77777777" w:rsidTr="3F965E88">
        <w:tc>
          <w:tcPr>
            <w:tcW w:w="1043" w:type="dxa"/>
          </w:tcPr>
          <w:p w14:paraId="0CE1EC3A" w14:textId="0669F957"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0140</w:t>
            </w:r>
          </w:p>
        </w:tc>
        <w:tc>
          <w:tcPr>
            <w:tcW w:w="7973" w:type="dxa"/>
            <w:vAlign w:val="bottom"/>
          </w:tcPr>
          <w:p w14:paraId="1D3A9711" w14:textId="539629CD" w:rsidR="00FB5A9F" w:rsidRPr="00FE3C59" w:rsidRDefault="620E6D28" w:rsidP="00CD19A9">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5 years</w:t>
            </w:r>
          </w:p>
        </w:tc>
      </w:tr>
      <w:tr w:rsidR="00FB5A9F" w:rsidRPr="00FE3C59" w14:paraId="56B0CE88" w14:textId="77777777" w:rsidTr="3F965E88">
        <w:tc>
          <w:tcPr>
            <w:tcW w:w="1043" w:type="dxa"/>
          </w:tcPr>
          <w:p w14:paraId="5A82DC66" w14:textId="3ED46271"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0150</w:t>
            </w:r>
          </w:p>
        </w:tc>
        <w:tc>
          <w:tcPr>
            <w:tcW w:w="7973" w:type="dxa"/>
            <w:vAlign w:val="bottom"/>
          </w:tcPr>
          <w:p w14:paraId="71B56356" w14:textId="0378DED2" w:rsidR="00FB5A9F" w:rsidRPr="00FE3C59" w:rsidRDefault="620E6D28" w:rsidP="00CD19A9">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10 years</w:t>
            </w:r>
          </w:p>
        </w:tc>
      </w:tr>
      <w:tr w:rsidR="00FB5A9F" w:rsidRPr="00FE3C59" w14:paraId="737A5A6B" w14:textId="77777777" w:rsidTr="3F965E88">
        <w:tc>
          <w:tcPr>
            <w:tcW w:w="1043" w:type="dxa"/>
          </w:tcPr>
          <w:p w14:paraId="2F4875C4" w14:textId="774EBC9A"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0160-0200</w:t>
            </w:r>
          </w:p>
        </w:tc>
        <w:tc>
          <w:tcPr>
            <w:tcW w:w="7973" w:type="dxa"/>
            <w:vAlign w:val="bottom"/>
          </w:tcPr>
          <w:p w14:paraId="12672E78" w14:textId="495BB086"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Vega risk factors: Maturities</w:t>
            </w:r>
          </w:p>
          <w:p w14:paraId="27F4C01A" w14:textId="40824ED1" w:rsidR="00FB5A9F" w:rsidRPr="00FE3C59" w:rsidRDefault="56E6BCBE" w:rsidP="001C372D">
            <w:pPr>
              <w:pStyle w:val="BodyText"/>
              <w:spacing w:before="120" w:after="120" w:line="259" w:lineRule="auto"/>
              <w:rPr>
                <w:rFonts w:ascii="Times New Roman" w:eastAsia="Arial" w:hAnsi="Times New Roman" w:cs="Times New Roman"/>
                <w:color w:val="000000" w:themeColor="text1"/>
                <w:lang w:val="en-GB"/>
              </w:rPr>
            </w:pPr>
            <w:r w:rsidRPr="00FE3C59">
              <w:rPr>
                <w:rFonts w:ascii="Times New Roman" w:eastAsia="Arial" w:hAnsi="Times New Roman" w:cs="Times New Roman"/>
                <w:color w:val="000000" w:themeColor="text1"/>
                <w:lang w:val="en-GB"/>
              </w:rPr>
              <w:t>Article</w:t>
            </w:r>
            <w:r w:rsidR="00F22A30" w:rsidRPr="00FE3C59">
              <w:rPr>
                <w:rFonts w:ascii="Times New Roman" w:eastAsia="Arial" w:hAnsi="Times New Roman" w:cs="Times New Roman"/>
                <w:color w:val="000000" w:themeColor="text1"/>
                <w:lang w:val="en-GB"/>
              </w:rPr>
              <w:t>s</w:t>
            </w:r>
            <w:r w:rsidRPr="00FE3C59">
              <w:rPr>
                <w:rFonts w:ascii="Times New Roman" w:eastAsia="Arial" w:hAnsi="Times New Roman" w:cs="Times New Roman"/>
                <w:color w:val="000000" w:themeColor="text1"/>
                <w:lang w:val="en-GB"/>
              </w:rPr>
              <w:t xml:space="preserve"> 325e(1)</w:t>
            </w:r>
            <w:r w:rsidR="007826CE" w:rsidRPr="00FE3C59">
              <w:rPr>
                <w:rFonts w:ascii="Times New Roman" w:eastAsia="Arial" w:hAnsi="Times New Roman" w:cs="Times New Roman"/>
                <w:color w:val="000000" w:themeColor="text1"/>
                <w:lang w:val="en-GB"/>
              </w:rPr>
              <w:t xml:space="preserve">, point </w:t>
            </w:r>
            <w:r w:rsidRPr="00FE3C59">
              <w:rPr>
                <w:rFonts w:ascii="Times New Roman" w:eastAsia="Arial" w:hAnsi="Times New Roman" w:cs="Times New Roman"/>
                <w:color w:val="000000" w:themeColor="text1"/>
                <w:lang w:val="en-GB"/>
              </w:rPr>
              <w:t>(b), 325f(1</w:t>
            </w:r>
            <w:r w:rsidR="00957F5F" w:rsidRPr="00FE3C59">
              <w:rPr>
                <w:rFonts w:ascii="Times New Roman" w:eastAsia="Arial" w:hAnsi="Times New Roman" w:cs="Times New Roman"/>
                <w:color w:val="000000" w:themeColor="text1"/>
                <w:lang w:val="en-GB"/>
              </w:rPr>
              <w:t>) to (</w:t>
            </w:r>
            <w:r w:rsidRPr="00FE3C59">
              <w:rPr>
                <w:rFonts w:ascii="Times New Roman" w:eastAsia="Arial" w:hAnsi="Times New Roman" w:cs="Times New Roman"/>
                <w:color w:val="000000" w:themeColor="text1"/>
                <w:lang w:val="en-GB"/>
              </w:rPr>
              <w:t xml:space="preserve">5), </w:t>
            </w:r>
            <w:r w:rsidRPr="00FE3C59">
              <w:rPr>
                <w:rFonts w:ascii="Times New Roman" w:eastAsia="Segoe UI" w:hAnsi="Times New Roman" w:cs="Times New Roman"/>
                <w:color w:val="000000" w:themeColor="text1"/>
                <w:lang w:val="en-GB"/>
              </w:rPr>
              <w:t xml:space="preserve">325n(5), </w:t>
            </w:r>
            <w:r w:rsidRPr="00FE3C59">
              <w:rPr>
                <w:rFonts w:ascii="Times New Roman" w:eastAsia="Arial" w:hAnsi="Times New Roman" w:cs="Times New Roman"/>
                <w:color w:val="000000" w:themeColor="text1"/>
                <w:lang w:val="en-GB"/>
              </w:rPr>
              <w:t>325r(2)</w:t>
            </w:r>
            <w:r w:rsidRPr="00FE3C59">
              <w:rPr>
                <w:rFonts w:ascii="Times New Roman" w:eastAsia="Segoe UI" w:hAnsi="Times New Roman" w:cs="Times New Roman"/>
                <w:color w:val="000000" w:themeColor="text1"/>
                <w:lang w:val="en-GB"/>
              </w:rPr>
              <w:t xml:space="preserve"> and 325ax of Regulation (EU) No 575/2013</w:t>
            </w:r>
          </w:p>
        </w:tc>
      </w:tr>
      <w:tr w:rsidR="00FB5A9F" w:rsidRPr="00FE3C59" w14:paraId="359B8288" w14:textId="77777777" w:rsidTr="3F965E88">
        <w:tc>
          <w:tcPr>
            <w:tcW w:w="1043" w:type="dxa"/>
          </w:tcPr>
          <w:p w14:paraId="37EBA4D2" w14:textId="3403DE14" w:rsidR="00FB5A9F" w:rsidRPr="00FE3C59" w:rsidRDefault="00FB5A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0160</w:t>
            </w:r>
          </w:p>
        </w:tc>
        <w:tc>
          <w:tcPr>
            <w:tcW w:w="7973" w:type="dxa"/>
            <w:vAlign w:val="bottom"/>
          </w:tcPr>
          <w:p w14:paraId="49895C02" w14:textId="1D9D6036" w:rsidR="00FB5A9F" w:rsidRPr="00FE3C59" w:rsidRDefault="620E6D28" w:rsidP="00CD19A9">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0.5 years</w:t>
            </w:r>
          </w:p>
        </w:tc>
      </w:tr>
      <w:tr w:rsidR="00FB5A9F" w:rsidRPr="00FE3C59" w14:paraId="28173344" w14:textId="77777777" w:rsidTr="3F965E88">
        <w:tc>
          <w:tcPr>
            <w:tcW w:w="1043" w:type="dxa"/>
          </w:tcPr>
          <w:p w14:paraId="4882291F" w14:textId="789FD7D6"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0170</w:t>
            </w:r>
          </w:p>
        </w:tc>
        <w:tc>
          <w:tcPr>
            <w:tcW w:w="7973" w:type="dxa"/>
            <w:vAlign w:val="bottom"/>
          </w:tcPr>
          <w:p w14:paraId="247B451D" w14:textId="7FC868F2" w:rsidR="00FB5A9F" w:rsidRPr="00FE3C59" w:rsidRDefault="620E6D28" w:rsidP="00CD19A9">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 year</w:t>
            </w:r>
          </w:p>
        </w:tc>
      </w:tr>
      <w:tr w:rsidR="00FB5A9F" w:rsidRPr="00FE3C59" w14:paraId="6DBDA3FE" w14:textId="77777777" w:rsidTr="3F965E88">
        <w:tc>
          <w:tcPr>
            <w:tcW w:w="1043" w:type="dxa"/>
          </w:tcPr>
          <w:p w14:paraId="045364C3" w14:textId="0D2CAAD1"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0180</w:t>
            </w:r>
          </w:p>
        </w:tc>
        <w:tc>
          <w:tcPr>
            <w:tcW w:w="7973" w:type="dxa"/>
            <w:vAlign w:val="bottom"/>
          </w:tcPr>
          <w:p w14:paraId="42590FBD" w14:textId="2B113525" w:rsidR="00FB5A9F" w:rsidRPr="00FE3C59" w:rsidRDefault="620E6D28" w:rsidP="00CD19A9">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3 years</w:t>
            </w:r>
          </w:p>
        </w:tc>
      </w:tr>
      <w:tr w:rsidR="00FB5A9F" w:rsidRPr="00FE3C59" w14:paraId="1E9AED4D" w14:textId="77777777" w:rsidTr="3F965E88">
        <w:tc>
          <w:tcPr>
            <w:tcW w:w="1043" w:type="dxa"/>
          </w:tcPr>
          <w:p w14:paraId="577919F6" w14:textId="28B4B96E"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0190</w:t>
            </w:r>
          </w:p>
        </w:tc>
        <w:tc>
          <w:tcPr>
            <w:tcW w:w="7973" w:type="dxa"/>
            <w:vAlign w:val="bottom"/>
          </w:tcPr>
          <w:p w14:paraId="1D8F541F" w14:textId="5CDE4C05" w:rsidR="00FB5A9F" w:rsidRPr="00FE3C59" w:rsidRDefault="620E6D28" w:rsidP="00CD19A9">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5 years</w:t>
            </w:r>
          </w:p>
        </w:tc>
      </w:tr>
      <w:tr w:rsidR="00FB5A9F" w:rsidRPr="00FE3C59" w14:paraId="7292DE4C" w14:textId="77777777" w:rsidTr="3F965E88">
        <w:tc>
          <w:tcPr>
            <w:tcW w:w="1043" w:type="dxa"/>
          </w:tcPr>
          <w:p w14:paraId="472FD01B" w14:textId="04082198"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0200</w:t>
            </w:r>
          </w:p>
        </w:tc>
        <w:tc>
          <w:tcPr>
            <w:tcW w:w="7973" w:type="dxa"/>
            <w:vAlign w:val="bottom"/>
          </w:tcPr>
          <w:p w14:paraId="528C7C8C" w14:textId="6A8C69ED" w:rsidR="00FB5A9F" w:rsidRPr="00FE3C59" w:rsidRDefault="620E6D28" w:rsidP="00CD19A9">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10 years</w:t>
            </w:r>
          </w:p>
        </w:tc>
      </w:tr>
      <w:tr w:rsidR="00FB5A9F" w:rsidRPr="00FE3C59" w14:paraId="72D3B21E" w14:textId="77777777" w:rsidTr="3F965E88">
        <w:tc>
          <w:tcPr>
            <w:tcW w:w="1043" w:type="dxa"/>
          </w:tcPr>
          <w:p w14:paraId="16CAE411" w14:textId="75713A20"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lastRenderedPageBreak/>
              <w:t>0210-0220</w:t>
            </w:r>
          </w:p>
        </w:tc>
        <w:tc>
          <w:tcPr>
            <w:tcW w:w="7973" w:type="dxa"/>
            <w:vAlign w:val="bottom"/>
          </w:tcPr>
          <w:p w14:paraId="0EA2C944" w14:textId="53B80493"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 xml:space="preserve">Curvature risk positions </w:t>
            </w:r>
            <w:r w:rsidR="00F22A30" w:rsidRPr="00FE3C59">
              <w:rPr>
                <w:rFonts w:ascii="Times New Roman" w:eastAsia="Segoe UI" w:hAnsi="Times New Roman" w:cs="Times New Roman"/>
                <w:b/>
                <w:bCs/>
                <w:color w:val="000000" w:themeColor="text1"/>
                <w:u w:val="single"/>
                <w:lang w:val="en-GB"/>
              </w:rPr>
              <w:t>–</w:t>
            </w:r>
            <w:r w:rsidRPr="00FE3C59">
              <w:rPr>
                <w:rFonts w:ascii="Times New Roman" w:eastAsia="Segoe UI" w:hAnsi="Times New Roman" w:cs="Times New Roman"/>
                <w:b/>
                <w:color w:val="000000" w:themeColor="text1"/>
                <w:u w:val="single"/>
                <w:lang w:val="en-GB"/>
              </w:rPr>
              <w:t xml:space="preserve"> Curvature risk</w:t>
            </w:r>
          </w:p>
          <w:p w14:paraId="02F7ADD0" w14:textId="55946F17"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325g, 325n(5), 325ax(6)</w:t>
            </w:r>
            <w:r w:rsidR="00F22A30" w:rsidRPr="00FE3C59">
              <w:rPr>
                <w:rFonts w:ascii="Times New Roman" w:eastAsia="Segoe UI" w:hAnsi="Times New Roman" w:cs="Times New Roman"/>
                <w:color w:val="000000" w:themeColor="text1"/>
                <w:lang w:val="en-GB"/>
              </w:rPr>
              <w:t xml:space="preserve"> and</w:t>
            </w:r>
            <w:r w:rsidRPr="00FE3C59">
              <w:rPr>
                <w:rFonts w:ascii="Times New Roman" w:eastAsia="Segoe UI" w:hAnsi="Times New Roman" w:cs="Times New Roman"/>
                <w:color w:val="000000" w:themeColor="text1"/>
                <w:lang w:val="en-GB"/>
              </w:rPr>
              <w:t xml:space="preserve"> 325ay(5) of</w:t>
            </w:r>
            <w:r w:rsidRPr="00FE3C59" w:rsidDel="00FD7136">
              <w:rPr>
                <w:rFonts w:ascii="Times New Roman" w:eastAsia="Segoe UI" w:hAnsi="Times New Roman" w:cs="Times New Roman"/>
                <w:color w:val="000000" w:themeColor="text1"/>
                <w:lang w:val="en-GB"/>
              </w:rPr>
              <w:t xml:space="preserve"> </w:t>
            </w:r>
            <w:r w:rsidR="00FD7136" w:rsidRPr="00FE3C59">
              <w:rPr>
                <w:rFonts w:ascii="Times New Roman" w:eastAsia="Segoe UI" w:hAnsi="Times New Roman" w:cs="Times New Roman"/>
                <w:color w:val="000000" w:themeColor="text1"/>
                <w:lang w:val="en-GB"/>
              </w:rPr>
              <w:t>Regulation (EU) No 575/2013</w:t>
            </w:r>
          </w:p>
        </w:tc>
      </w:tr>
      <w:tr w:rsidR="00FB5A9F" w:rsidRPr="00FE3C59" w14:paraId="2BCB6E59" w14:textId="77777777" w:rsidTr="3F965E88">
        <w:tc>
          <w:tcPr>
            <w:tcW w:w="1043" w:type="dxa"/>
          </w:tcPr>
          <w:p w14:paraId="3E651F05" w14:textId="5B596C50" w:rsidR="00FB5A9F" w:rsidRPr="00FE3C59" w:rsidRDefault="00FB5A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0210</w:t>
            </w:r>
          </w:p>
        </w:tc>
        <w:tc>
          <w:tcPr>
            <w:tcW w:w="7973" w:type="dxa"/>
            <w:vAlign w:val="bottom"/>
          </w:tcPr>
          <w:p w14:paraId="528417FE" w14:textId="7894D63D" w:rsidR="00FB5A9F" w:rsidRPr="00FE3C59" w:rsidRDefault="620E6D28" w:rsidP="620E6D28">
            <w:pPr>
              <w:pStyle w:val="BodyText"/>
              <w:spacing w:before="120" w:after="120" w:line="259" w:lineRule="auto"/>
              <w:rPr>
                <w:rFonts w:ascii="Times New Roman" w:eastAsia="Segoe UI" w:hAnsi="Times New Roman" w:cs="Times New Roman"/>
                <w:b/>
                <w:color w:val="000000" w:themeColor="text1"/>
                <w:u w:val="single"/>
                <w:lang w:val="en-GB"/>
              </w:rPr>
            </w:pPr>
            <w:r w:rsidRPr="00FE3C59">
              <w:rPr>
                <w:rFonts w:ascii="Times New Roman" w:eastAsia="Segoe UI" w:hAnsi="Times New Roman" w:cs="Times New Roman"/>
                <w:b/>
                <w:color w:val="000000" w:themeColor="text1"/>
                <w:u w:val="single"/>
                <w:lang w:val="en-GB"/>
              </w:rPr>
              <w:t>Upward net curvature risk position</w:t>
            </w:r>
          </w:p>
          <w:p w14:paraId="7E28B073" w14:textId="32D16367"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325g(2</w:t>
            </w:r>
            <w:r w:rsidR="004A30BF" w:rsidRPr="00FE3C59">
              <w:rPr>
                <w:rFonts w:ascii="Times New Roman" w:eastAsia="Segoe UI" w:hAnsi="Times New Roman" w:cs="Times New Roman"/>
                <w:color w:val="000000" w:themeColor="text1"/>
                <w:lang w:val="en-GB"/>
              </w:rPr>
              <w:t>) to (</w:t>
            </w:r>
            <w:r w:rsidRPr="00FE3C59">
              <w:rPr>
                <w:rFonts w:ascii="Times New Roman" w:eastAsia="Segoe UI" w:hAnsi="Times New Roman" w:cs="Times New Roman"/>
                <w:color w:val="000000" w:themeColor="text1"/>
                <w:lang w:val="en-GB"/>
              </w:rPr>
              <w:t>3) of</w:t>
            </w:r>
            <w:r w:rsidRPr="00FE3C59" w:rsidDel="00FD7136">
              <w:rPr>
                <w:rFonts w:ascii="Times New Roman" w:eastAsia="Segoe UI" w:hAnsi="Times New Roman" w:cs="Times New Roman"/>
                <w:color w:val="000000" w:themeColor="text1"/>
                <w:lang w:val="en-GB"/>
              </w:rPr>
              <w:t xml:space="preserve"> </w:t>
            </w:r>
            <w:r w:rsidR="00FD7136" w:rsidRPr="00FE3C59">
              <w:rPr>
                <w:rFonts w:ascii="Times New Roman" w:eastAsia="Segoe UI" w:hAnsi="Times New Roman" w:cs="Times New Roman"/>
                <w:color w:val="000000" w:themeColor="text1"/>
                <w:lang w:val="en-GB"/>
              </w:rPr>
              <w:t>Regulation (EU) No 575/2013</w:t>
            </w:r>
          </w:p>
          <w:p w14:paraId="3B9059A2" w14:textId="1CD4E5CE" w:rsidR="00FB5A9F" w:rsidRPr="00FE3C59" w:rsidRDefault="620E6D28" w:rsidP="00EB158C">
            <w:pPr>
              <w:pStyle w:val="BodyText"/>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Institutions shall report the upward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eastAsia="Segoe UI" w:hAnsi="Times New Roman" w:cs="Times New Roman"/>
                <w:color w:val="000000" w:themeColor="text1"/>
                <w:lang w:val="en-GB"/>
              </w:rPr>
              <w:t xml:space="preserve">) of the </w:t>
            </w:r>
            <w:r w:rsidR="00E534DD" w:rsidRPr="00FE3C59">
              <w:rPr>
                <w:rFonts w:ascii="Times New Roman" w:eastAsia="Segoe UI" w:hAnsi="Times New Roman" w:cs="Times New Roman"/>
                <w:color w:val="000000" w:themeColor="text1"/>
                <w:lang w:val="en-GB"/>
              </w:rPr>
              <w:t xml:space="preserve">instruments in the buckets to the </w:t>
            </w:r>
            <w:r w:rsidR="7168E035" w:rsidRPr="00FE3C59">
              <w:rPr>
                <w:rFonts w:ascii="Times New Roman" w:eastAsia="Segoe UI" w:hAnsi="Times New Roman" w:cs="Times New Roman"/>
                <w:color w:val="000000" w:themeColor="text1"/>
                <w:lang w:val="en-GB"/>
              </w:rPr>
              <w:t xml:space="preserve">relevant tranche </w:t>
            </w:r>
            <w:r w:rsidRPr="00FE3C59">
              <w:rPr>
                <w:rFonts w:ascii="Times New Roman" w:eastAsia="Segoe UI" w:hAnsi="Times New Roman" w:cs="Times New Roman"/>
                <w:color w:val="000000" w:themeColor="text1"/>
                <w:lang w:val="en-GB"/>
              </w:rPr>
              <w:t xml:space="preserve">credit spread </w:t>
            </w:r>
            <w:r w:rsidR="7168E035" w:rsidRPr="00FE3C59">
              <w:rPr>
                <w:rFonts w:ascii="Times New Roman" w:eastAsia="Segoe UI" w:hAnsi="Times New Roman" w:cs="Times New Roman"/>
                <w:color w:val="000000" w:themeColor="text1"/>
                <w:lang w:val="en-GB"/>
              </w:rPr>
              <w:t>rates</w:t>
            </w:r>
            <w:r w:rsidRPr="00FE3C59">
              <w:rPr>
                <w:rFonts w:ascii="Times New Roman" w:eastAsia="Segoe UI" w:hAnsi="Times New Roman" w:cs="Times New Roman"/>
                <w:color w:val="000000" w:themeColor="text1"/>
                <w:lang w:val="en-GB"/>
              </w:rPr>
              <w:t>.</w:t>
            </w:r>
            <w:r w:rsidR="00EB158C" w:rsidRPr="00FE3C59">
              <w:rPr>
                <w:rFonts w:ascii="Times New Roman" w:eastAsia="Segoe UI" w:hAnsi="Times New Roman" w:cs="Times New Roman"/>
                <w:color w:val="000000" w:themeColor="text1"/>
                <w:lang w:val="en-GB"/>
              </w:rPr>
              <w:t xml:space="preserve"> </w:t>
            </w:r>
            <w:r w:rsidR="004103B7" w:rsidRPr="00FE3C59">
              <w:rPr>
                <w:rFonts w:ascii="Times New Roman" w:hAnsi="Times New Roman" w:cs="Times New Roman"/>
                <w:lang w:val="en-GB"/>
              </w:rPr>
              <w:t>The upward net curvature risk position shall be computed in accordance with Article 325g(2) of Regulation (EU) No 575/2013, taking into account the derogation of paragraph (3) of that article.</w:t>
            </w:r>
          </w:p>
        </w:tc>
      </w:tr>
      <w:tr w:rsidR="00FB5A9F" w:rsidRPr="00FE3C59" w14:paraId="0B5408C8" w14:textId="77777777" w:rsidTr="3F965E88">
        <w:tc>
          <w:tcPr>
            <w:tcW w:w="1043" w:type="dxa"/>
          </w:tcPr>
          <w:p w14:paraId="7B92188F" w14:textId="20C00E21"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0220</w:t>
            </w:r>
          </w:p>
        </w:tc>
        <w:tc>
          <w:tcPr>
            <w:tcW w:w="7973" w:type="dxa"/>
            <w:vAlign w:val="bottom"/>
          </w:tcPr>
          <w:p w14:paraId="51BA9B63" w14:textId="4BF81ABB" w:rsidR="00FB5A9F" w:rsidRPr="00FE3C59" w:rsidRDefault="620E6D28" w:rsidP="620E6D28">
            <w:pPr>
              <w:pStyle w:val="BodyText"/>
              <w:spacing w:before="120" w:after="120" w:line="259" w:lineRule="auto"/>
              <w:rPr>
                <w:rFonts w:ascii="Times New Roman" w:eastAsia="Segoe UI" w:hAnsi="Times New Roman" w:cs="Times New Roman"/>
                <w:b/>
                <w:color w:val="000000" w:themeColor="text1"/>
                <w:u w:val="single"/>
                <w:lang w:val="en-GB"/>
              </w:rPr>
            </w:pPr>
            <w:r w:rsidRPr="00FE3C59">
              <w:rPr>
                <w:rFonts w:ascii="Times New Roman" w:eastAsia="Segoe UI" w:hAnsi="Times New Roman" w:cs="Times New Roman"/>
                <w:b/>
                <w:color w:val="000000" w:themeColor="text1"/>
                <w:u w:val="single"/>
                <w:lang w:val="en-GB"/>
              </w:rPr>
              <w:t>Downward net curvature risk position</w:t>
            </w:r>
          </w:p>
          <w:p w14:paraId="604115E5" w14:textId="004F3A0D"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325g(2</w:t>
            </w:r>
            <w:r w:rsidR="004A30BF" w:rsidRPr="00FE3C59">
              <w:rPr>
                <w:rFonts w:ascii="Times New Roman" w:eastAsia="Segoe UI" w:hAnsi="Times New Roman" w:cs="Times New Roman"/>
                <w:color w:val="000000" w:themeColor="text1"/>
                <w:lang w:val="en-GB"/>
              </w:rPr>
              <w:t>) to (</w:t>
            </w:r>
            <w:r w:rsidRPr="00FE3C59">
              <w:rPr>
                <w:rFonts w:ascii="Times New Roman" w:eastAsia="Segoe UI" w:hAnsi="Times New Roman" w:cs="Times New Roman"/>
                <w:color w:val="000000" w:themeColor="text1"/>
                <w:lang w:val="en-GB"/>
              </w:rPr>
              <w:t>3) of</w:t>
            </w:r>
            <w:r w:rsidRPr="00FE3C59" w:rsidDel="00FD7136">
              <w:rPr>
                <w:rFonts w:ascii="Times New Roman" w:eastAsia="Segoe UI" w:hAnsi="Times New Roman" w:cs="Times New Roman"/>
                <w:color w:val="000000" w:themeColor="text1"/>
                <w:lang w:val="en-GB"/>
              </w:rPr>
              <w:t xml:space="preserve"> </w:t>
            </w:r>
            <w:r w:rsidR="00FD7136" w:rsidRPr="00FE3C59">
              <w:rPr>
                <w:rFonts w:ascii="Times New Roman" w:eastAsia="Segoe UI" w:hAnsi="Times New Roman" w:cs="Times New Roman"/>
                <w:color w:val="000000" w:themeColor="text1"/>
                <w:lang w:val="en-GB"/>
              </w:rPr>
              <w:t>Regulation (EU) No 575/2013</w:t>
            </w:r>
          </w:p>
          <w:p w14:paraId="5CB67D24" w14:textId="0C75E9DE" w:rsidR="00FB5A9F" w:rsidRPr="00FE3C59" w:rsidRDefault="620E6D28" w:rsidP="620E6D28">
            <w:pPr>
              <w:pStyle w:val="BodyText"/>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Institutions shall report the downward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eastAsia="Segoe UI" w:hAnsi="Times New Roman" w:cs="Times New Roman"/>
                <w:color w:val="000000" w:themeColor="text1"/>
                <w:lang w:val="en-GB"/>
              </w:rPr>
              <w:t xml:space="preserve">) of the </w:t>
            </w:r>
            <w:r w:rsidR="00C67F31" w:rsidRPr="00FE3C59">
              <w:rPr>
                <w:rFonts w:ascii="Times New Roman" w:eastAsia="Segoe UI" w:hAnsi="Times New Roman" w:cs="Times New Roman"/>
                <w:color w:val="000000" w:themeColor="text1"/>
                <w:lang w:val="en-GB"/>
              </w:rPr>
              <w:t>instruments in the bucket to the</w:t>
            </w:r>
            <w:r w:rsidRPr="00FE3C59">
              <w:rPr>
                <w:rFonts w:ascii="Times New Roman" w:eastAsia="Segoe UI" w:hAnsi="Times New Roman" w:cs="Times New Roman"/>
                <w:color w:val="000000" w:themeColor="text1"/>
                <w:lang w:val="en-GB"/>
              </w:rPr>
              <w:t xml:space="preserve"> </w:t>
            </w:r>
            <w:r w:rsidR="559627CD" w:rsidRPr="00FE3C59">
              <w:rPr>
                <w:rFonts w:ascii="Times New Roman" w:eastAsia="Segoe UI" w:hAnsi="Times New Roman" w:cs="Times New Roman"/>
                <w:color w:val="000000" w:themeColor="text1"/>
                <w:lang w:val="en-GB"/>
              </w:rPr>
              <w:t xml:space="preserve">relevant </w:t>
            </w:r>
            <w:r w:rsidR="7168E035" w:rsidRPr="00FE3C59">
              <w:rPr>
                <w:rFonts w:ascii="Times New Roman" w:eastAsia="Segoe UI" w:hAnsi="Times New Roman" w:cs="Times New Roman"/>
                <w:color w:val="000000" w:themeColor="text1"/>
                <w:lang w:val="en-GB"/>
              </w:rPr>
              <w:t>tranche</w:t>
            </w:r>
            <w:r w:rsidR="559627CD" w:rsidRPr="00FE3C59">
              <w:rPr>
                <w:rFonts w:ascii="Times New Roman" w:eastAsia="Segoe UI" w:hAnsi="Times New Roman" w:cs="Times New Roman"/>
                <w:color w:val="000000" w:themeColor="text1"/>
                <w:lang w:val="en-GB"/>
              </w:rPr>
              <w:t xml:space="preserve"> </w:t>
            </w:r>
            <w:r w:rsidRPr="00FE3C59">
              <w:rPr>
                <w:rFonts w:ascii="Times New Roman" w:eastAsia="Segoe UI" w:hAnsi="Times New Roman" w:cs="Times New Roman"/>
                <w:color w:val="000000" w:themeColor="text1"/>
                <w:lang w:val="en-GB"/>
              </w:rPr>
              <w:t xml:space="preserve">credit spread </w:t>
            </w:r>
            <w:r w:rsidR="559627CD" w:rsidRPr="00FE3C59">
              <w:rPr>
                <w:rFonts w:ascii="Times New Roman" w:eastAsia="Segoe UI" w:hAnsi="Times New Roman" w:cs="Times New Roman"/>
                <w:color w:val="000000" w:themeColor="text1"/>
                <w:lang w:val="en-GB"/>
              </w:rPr>
              <w:t>rates</w:t>
            </w:r>
            <w:r w:rsidRPr="00FE3C59">
              <w:rPr>
                <w:rFonts w:ascii="Times New Roman" w:eastAsia="Segoe UI" w:hAnsi="Times New Roman" w:cs="Times New Roman"/>
                <w:color w:val="000000" w:themeColor="text1"/>
                <w:lang w:val="en-GB"/>
              </w:rPr>
              <w:t>.</w:t>
            </w:r>
          </w:p>
          <w:p w14:paraId="5AD72930" w14:textId="47F41EF6" w:rsidR="00FB5A9F" w:rsidRPr="00FE3C59" w:rsidRDefault="00C67F31" w:rsidP="00EB158C">
            <w:pPr>
              <w:pStyle w:val="BodyText"/>
              <w:rPr>
                <w:rFonts w:ascii="Times New Roman" w:eastAsia="Segoe UI" w:hAnsi="Times New Roman" w:cs="Times New Roman"/>
                <w:color w:val="000000" w:themeColor="text1"/>
                <w:lang w:val="en-GB"/>
              </w:rPr>
            </w:pPr>
            <w:r w:rsidRPr="00FE3C59">
              <w:rPr>
                <w:rFonts w:ascii="Times New Roman" w:hAnsi="Times New Roman" w:cs="Times New Roman"/>
                <w:lang w:val="en-GB"/>
              </w:rPr>
              <w:t>The downward net curvature risk position shall be computed in accordance with Article 325g(2) of Regulation (EU) No 575/2013, taking into account the derogation of paragraph (3) of that article.</w:t>
            </w:r>
          </w:p>
        </w:tc>
      </w:tr>
      <w:tr w:rsidR="00FB5A9F" w:rsidRPr="00FE3C59" w14:paraId="50670124" w14:textId="77777777" w:rsidTr="3F965E88">
        <w:tc>
          <w:tcPr>
            <w:tcW w:w="1043" w:type="dxa"/>
          </w:tcPr>
          <w:p w14:paraId="370AE1DE" w14:textId="0A8476DF"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0230-0240</w:t>
            </w:r>
          </w:p>
        </w:tc>
        <w:tc>
          <w:tcPr>
            <w:tcW w:w="7973" w:type="dxa"/>
            <w:vAlign w:val="bottom"/>
          </w:tcPr>
          <w:p w14:paraId="404C886B" w14:textId="4908396D" w:rsidR="00FB5A9F" w:rsidRPr="00FE3C59" w:rsidRDefault="620E6D28" w:rsidP="620E6D28">
            <w:pPr>
              <w:pStyle w:val="BodyText"/>
              <w:spacing w:before="120" w:after="120" w:line="259" w:lineRule="auto"/>
              <w:rPr>
                <w:rFonts w:ascii="Times New Roman" w:eastAsia="Segoe UI" w:hAnsi="Times New Roman" w:cs="Times New Roman"/>
                <w:color w:val="000000" w:themeColor="text1"/>
                <w:u w:val="single"/>
                <w:lang w:val="en-GB"/>
              </w:rPr>
            </w:pPr>
            <w:r w:rsidRPr="00FE3C59">
              <w:rPr>
                <w:rFonts w:ascii="Times New Roman" w:eastAsia="Segoe UI" w:hAnsi="Times New Roman" w:cs="Times New Roman"/>
                <w:b/>
                <w:color w:val="000000" w:themeColor="text1"/>
                <w:u w:val="single"/>
                <w:lang w:val="en-GB"/>
              </w:rPr>
              <w:t>Sum of weighted sensitivities</w:t>
            </w:r>
          </w:p>
          <w:p w14:paraId="62479188" w14:textId="1AE2D782" w:rsidR="00FB5A9F" w:rsidRPr="00FE3C59" w:rsidRDefault="00E914C3"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w:t>
            </w:r>
            <w:r w:rsidR="620E6D28" w:rsidRPr="00FE3C59">
              <w:rPr>
                <w:rFonts w:ascii="Times New Roman" w:eastAsia="Segoe UI" w:hAnsi="Times New Roman" w:cs="Times New Roman"/>
                <w:color w:val="000000" w:themeColor="text1"/>
                <w:lang w:val="en-GB"/>
              </w:rPr>
              <w:t xml:space="preserve"> 325f(8) of Regulation (EU) No 575/2013</w:t>
            </w:r>
          </w:p>
          <w:p w14:paraId="715B2352" w14:textId="16BAF1B3" w:rsidR="00FB5A9F" w:rsidRPr="00FE3C59" w:rsidRDefault="6FEBCF96" w:rsidP="620E6D28">
            <w:pPr>
              <w:pStyle w:val="BodyText"/>
              <w:spacing w:before="120" w:after="120" w:line="288"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sSub>
                <m:sSubPr>
                  <m:ctrlPr>
                    <w:rPr>
                      <w:rFonts w:ascii="Cambria Math" w:hAnsi="Cambria Math" w:cs="Times New Roman"/>
                      <w:lang w:val="en-GB"/>
                    </w:rPr>
                  </m:ctrlPr>
                </m:sSubPr>
                <m:e>
                  <m:r>
                    <m:rPr>
                      <m:sty m:val="p"/>
                    </m:rPr>
                    <w:rPr>
                      <w:rFonts w:ascii="Cambria Math" w:hAnsi="Cambria Math" w:cs="Times New Roman"/>
                      <w:lang w:val="en-GB"/>
                    </w:rPr>
                    <m:t>Σ</m:t>
                  </m:r>
                </m:e>
                <m:sub>
                  <m:r>
                    <w:rPr>
                      <w:rFonts w:ascii="Cambria Math" w:hAnsi="Cambria Math" w:cs="Times New Roman"/>
                      <w:lang w:val="en-GB"/>
                    </w:rPr>
                    <m:t>k</m:t>
                  </m:r>
                </m:sub>
              </m:sSub>
              <m:r>
                <w:rPr>
                  <w:rFonts w:ascii="Cambria Math" w:hAnsi="Cambria Math" w:cs="Times New Roman"/>
                  <w:lang w:val="en-GB"/>
                </w:rPr>
                <m:t>W</m:t>
              </m:r>
              <m:sSub>
                <m:sSubPr>
                  <m:ctrlPr>
                    <w:rPr>
                      <w:rFonts w:ascii="Cambria Math" w:hAnsi="Cambria Math" w:cs="Times New Roman"/>
                      <w:lang w:val="en-GB"/>
                    </w:rPr>
                  </m:ctrlPr>
                </m:sSubPr>
                <m:e>
                  <m:r>
                    <w:rPr>
                      <w:rFonts w:ascii="Cambria Math" w:hAnsi="Cambria Math" w:cs="Times New Roman"/>
                      <w:lang w:val="en-GB"/>
                    </w:rPr>
                    <m:t>S</m:t>
                  </m:r>
                </m:e>
                <m:sub>
                  <m:r>
                    <w:rPr>
                      <w:rFonts w:ascii="Cambria Math" w:hAnsi="Cambria Math" w:cs="Times New Roman"/>
                      <w:lang w:val="en-GB"/>
                    </w:rPr>
                    <m:t>k</m:t>
                  </m:r>
                </m:sub>
              </m:sSub>
            </m:oMath>
            <w:r w:rsidRPr="00FE3C59">
              <w:rPr>
                <w:rFonts w:ascii="Times New Roman" w:eastAsia="Segoe UI" w:hAnsi="Times New Roman" w:cs="Times New Roman"/>
                <w:color w:val="000000" w:themeColor="text1"/>
                <w:lang w:val="en-GB"/>
              </w:rPr>
              <w:t xml:space="preserve">) as defined for the purposes of the aggregation within each bucket in </w:t>
            </w:r>
            <w:r w:rsidR="11CFFB27" w:rsidRPr="00FE3C59">
              <w:rPr>
                <w:rFonts w:ascii="Times New Roman" w:eastAsia="Segoe UI" w:hAnsi="Times New Roman" w:cs="Times New Roman"/>
                <w:color w:val="000000" w:themeColor="text1"/>
                <w:lang w:val="en-GB"/>
              </w:rPr>
              <w:t>Article</w:t>
            </w:r>
            <w:r w:rsidRPr="00FE3C59">
              <w:rPr>
                <w:rFonts w:ascii="Times New Roman" w:eastAsia="Segoe UI" w:hAnsi="Times New Roman" w:cs="Times New Roman"/>
                <w:color w:val="000000" w:themeColor="text1"/>
                <w:lang w:val="en-GB"/>
              </w:rPr>
              <w:t xml:space="preserve"> 325f(8) of Regulation (EU) No 575/2013 shall be reported.</w:t>
            </w:r>
          </w:p>
        </w:tc>
      </w:tr>
      <w:tr w:rsidR="00FB5A9F" w:rsidRPr="00FE3C59" w14:paraId="35204F02" w14:textId="77777777" w:rsidTr="3F965E88">
        <w:tc>
          <w:tcPr>
            <w:tcW w:w="1043" w:type="dxa"/>
          </w:tcPr>
          <w:p w14:paraId="1AA3A1C4" w14:textId="5012F853" w:rsidR="00FB5A9F" w:rsidRPr="00FE3C59" w:rsidRDefault="00FB5A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0230</w:t>
            </w:r>
          </w:p>
        </w:tc>
        <w:tc>
          <w:tcPr>
            <w:tcW w:w="7973" w:type="dxa"/>
            <w:vAlign w:val="bottom"/>
          </w:tcPr>
          <w:p w14:paraId="7EE5757D" w14:textId="0631C12A"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Delta Risk</w:t>
            </w:r>
          </w:p>
          <w:p w14:paraId="0F2FBADC" w14:textId="141EE473" w:rsidR="00FB5A9F" w:rsidRPr="00FE3C59" w:rsidRDefault="00E914C3"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w:t>
            </w:r>
            <w:r w:rsidR="620E6D28" w:rsidRPr="00FE3C59">
              <w:rPr>
                <w:rFonts w:ascii="Times New Roman" w:eastAsia="Segoe UI" w:hAnsi="Times New Roman" w:cs="Times New Roman"/>
                <w:color w:val="000000" w:themeColor="text1"/>
                <w:lang w:val="en-GB"/>
              </w:rPr>
              <w:t xml:space="preserve"> 325f(8) of Regulation (EU) No 575/2013</w:t>
            </w:r>
          </w:p>
        </w:tc>
      </w:tr>
      <w:tr w:rsidR="00FB5A9F" w:rsidRPr="00FE3C59" w14:paraId="507F1F99" w14:textId="77777777" w:rsidTr="3F965E88">
        <w:tc>
          <w:tcPr>
            <w:tcW w:w="1043" w:type="dxa"/>
          </w:tcPr>
          <w:p w14:paraId="61364444" w14:textId="41DEC1E4"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0240</w:t>
            </w:r>
          </w:p>
        </w:tc>
        <w:tc>
          <w:tcPr>
            <w:tcW w:w="7973" w:type="dxa"/>
            <w:vAlign w:val="bottom"/>
          </w:tcPr>
          <w:p w14:paraId="1292427A" w14:textId="376BBD86" w:rsidR="00FB5A9F"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Vega Risk</w:t>
            </w:r>
          </w:p>
          <w:p w14:paraId="7DC02CAF" w14:textId="2091BD6C" w:rsidR="00FB5A9F" w:rsidRPr="00FE3C59" w:rsidRDefault="00E914C3"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w:t>
            </w:r>
            <w:r w:rsidR="620E6D28" w:rsidRPr="00FE3C59">
              <w:rPr>
                <w:rFonts w:ascii="Times New Roman" w:eastAsia="Segoe UI" w:hAnsi="Times New Roman" w:cs="Times New Roman"/>
                <w:color w:val="000000" w:themeColor="text1"/>
                <w:lang w:val="en-GB"/>
              </w:rPr>
              <w:t xml:space="preserve"> 325f(8) of Regulation (EU) No 575/2013</w:t>
            </w:r>
          </w:p>
        </w:tc>
      </w:tr>
      <w:tr w:rsidR="00FB5A9F" w:rsidRPr="00FE3C59" w14:paraId="1B95E146" w14:textId="77777777" w:rsidTr="3F965E88">
        <w:tc>
          <w:tcPr>
            <w:tcW w:w="1043" w:type="dxa"/>
          </w:tcPr>
          <w:p w14:paraId="2CB91EDA" w14:textId="7ED55900" w:rsidR="00FB5A9F" w:rsidRPr="00FE3C59" w:rsidRDefault="620E6D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250</w:t>
            </w:r>
          </w:p>
        </w:tc>
        <w:tc>
          <w:tcPr>
            <w:tcW w:w="7973" w:type="dxa"/>
            <w:vAlign w:val="bottom"/>
          </w:tcPr>
          <w:p w14:paraId="75773043" w14:textId="1FB33AA2" w:rsidR="00FB5A9F" w:rsidRPr="00FE3C59" w:rsidRDefault="00EB4A24" w:rsidP="620E6D2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Sum of curvature risk positions – </w:t>
            </w:r>
            <w:r w:rsidR="00485C29" w:rsidRPr="00FE3C59">
              <w:rPr>
                <w:rFonts w:ascii="Times New Roman" w:hAnsi="Times New Roman" w:cs="Times New Roman"/>
                <w:b/>
                <w:u w:val="single"/>
                <w:lang w:val="en-GB"/>
              </w:rPr>
              <w:t>Curvature Risk</w:t>
            </w:r>
          </w:p>
          <w:p w14:paraId="25C14273" w14:textId="6C67E254" w:rsidR="00FB5A9F" w:rsidRPr="00FE3C59" w:rsidRDefault="00E914C3" w:rsidP="620E6D28">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3833FCE3" w:rsidRPr="00FE3C59">
              <w:rPr>
                <w:rFonts w:ascii="Times New Roman" w:hAnsi="Times New Roman" w:cs="Times New Roman"/>
                <w:lang w:val="en-GB"/>
              </w:rPr>
              <w:t xml:space="preserve"> 325g(6) </w:t>
            </w:r>
            <w:r w:rsidR="04A7E951" w:rsidRPr="00FE3C59">
              <w:rPr>
                <w:rFonts w:ascii="Times New Roman" w:hAnsi="Times New Roman" w:cs="Times New Roman"/>
                <w:lang w:val="en-GB"/>
              </w:rPr>
              <w:t>of Regulation (EU) No 575/2013</w:t>
            </w:r>
          </w:p>
          <w:p w14:paraId="62957AD3" w14:textId="483CF774" w:rsidR="00FB5A9F" w:rsidRPr="00FE3C59" w:rsidRDefault="7082F98B" w:rsidP="00BD2865">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Institutions shall report the sum of curvature risk positions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oMath>
            <w:r w:rsidRPr="00FE3C59">
              <w:rPr>
                <w:rFonts w:ascii="Times New Roman" w:hAnsi="Times New Roman" w:cs="Times New Roman"/>
                <w:lang w:val="en-GB"/>
              </w:rPr>
              <w:t xml:space="preserve">) as defined for the purposes of the aggregation across buckets in </w:t>
            </w:r>
            <w:r w:rsidR="00E914C3" w:rsidRPr="00FE3C59">
              <w:rPr>
                <w:rFonts w:ascii="Times New Roman" w:hAnsi="Times New Roman" w:cs="Times New Roman"/>
                <w:lang w:val="en-GB"/>
              </w:rPr>
              <w:t>Article</w:t>
            </w:r>
            <w:r w:rsidRPr="00FE3C59">
              <w:rPr>
                <w:rFonts w:ascii="Times New Roman" w:hAnsi="Times New Roman" w:cs="Times New Roman"/>
                <w:lang w:val="en-GB"/>
              </w:rPr>
              <w:t xml:space="preserve"> 325g(6) of Regulation (EU) No 575/2013. </w:t>
            </w:r>
          </w:p>
        </w:tc>
      </w:tr>
      <w:tr w:rsidR="00A523D0" w:rsidRPr="00FE3C59" w14:paraId="27D711BE" w14:textId="77777777" w:rsidTr="3F965E88">
        <w:tc>
          <w:tcPr>
            <w:tcW w:w="1043" w:type="dxa"/>
          </w:tcPr>
          <w:p w14:paraId="5FEFEE21" w14:textId="54A324FC"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1000 – 1080</w:t>
            </w:r>
          </w:p>
        </w:tc>
        <w:tc>
          <w:tcPr>
            <w:tcW w:w="7973" w:type="dxa"/>
            <w:vAlign w:val="bottom"/>
          </w:tcPr>
          <w:p w14:paraId="0DF70FBD" w14:textId="65EE0344"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Own funds requirements in the different scenarios</w:t>
            </w:r>
          </w:p>
          <w:p w14:paraId="1EC5DDB4" w14:textId="6CC5FC2B"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The own funds requirements calculated on the basis of the sensitivities–based method for delta, vega and curvature risks in each of the three scenarios referred to in Article 325h of Regulation (EU) No 575/2013 shall be reported.</w:t>
            </w:r>
          </w:p>
        </w:tc>
      </w:tr>
      <w:tr w:rsidR="00A523D0" w:rsidRPr="00FE3C59" w14:paraId="40385BAC" w14:textId="77777777" w:rsidTr="3F965E88">
        <w:tc>
          <w:tcPr>
            <w:tcW w:w="1043" w:type="dxa"/>
          </w:tcPr>
          <w:p w14:paraId="00D06737" w14:textId="428EC818"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1000 –1020</w:t>
            </w:r>
          </w:p>
        </w:tc>
        <w:tc>
          <w:tcPr>
            <w:tcW w:w="7973" w:type="dxa"/>
            <w:vAlign w:val="bottom"/>
          </w:tcPr>
          <w:p w14:paraId="56145D81" w14:textId="77777777"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Low correlation scenario</w:t>
            </w:r>
          </w:p>
          <w:p w14:paraId="6654045D" w14:textId="1D89319A"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325h(2), point (c), of Regulation (EU) No 575/2013</w:t>
            </w:r>
          </w:p>
        </w:tc>
      </w:tr>
      <w:tr w:rsidR="00A523D0" w:rsidRPr="00FE3C59" w14:paraId="099D4F9E" w14:textId="77777777" w:rsidTr="3F965E88">
        <w:tc>
          <w:tcPr>
            <w:tcW w:w="1043" w:type="dxa"/>
          </w:tcPr>
          <w:p w14:paraId="1E27EDA8" w14:textId="424F6E34"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1000</w:t>
            </w:r>
          </w:p>
        </w:tc>
        <w:tc>
          <w:tcPr>
            <w:tcW w:w="7973" w:type="dxa"/>
            <w:vAlign w:val="bottom"/>
          </w:tcPr>
          <w:p w14:paraId="14FB594B" w14:textId="0801B6D8"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tc>
      </w:tr>
      <w:tr w:rsidR="00A523D0" w:rsidRPr="00FE3C59" w14:paraId="62EB26AF" w14:textId="77777777" w:rsidTr="3F965E88">
        <w:tc>
          <w:tcPr>
            <w:tcW w:w="1043" w:type="dxa"/>
          </w:tcPr>
          <w:p w14:paraId="7D1F79B1" w14:textId="47071B74"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1010</w:t>
            </w:r>
          </w:p>
        </w:tc>
        <w:tc>
          <w:tcPr>
            <w:tcW w:w="7973" w:type="dxa"/>
            <w:vAlign w:val="bottom"/>
          </w:tcPr>
          <w:p w14:paraId="17599664" w14:textId="1C342173"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tc>
      </w:tr>
      <w:tr w:rsidR="00A523D0" w:rsidRPr="00FE3C59" w14:paraId="1556A463" w14:textId="77777777" w:rsidTr="3F965E88">
        <w:tc>
          <w:tcPr>
            <w:tcW w:w="1043" w:type="dxa"/>
          </w:tcPr>
          <w:p w14:paraId="67DD4E00" w14:textId="195F1D46"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1020</w:t>
            </w:r>
          </w:p>
        </w:tc>
        <w:tc>
          <w:tcPr>
            <w:tcW w:w="7973" w:type="dxa"/>
            <w:vAlign w:val="bottom"/>
          </w:tcPr>
          <w:p w14:paraId="7CD86990" w14:textId="1852C7CE"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tc>
      </w:tr>
      <w:tr w:rsidR="00A523D0" w:rsidRPr="00FE3C59" w14:paraId="7964F19B" w14:textId="77777777" w:rsidTr="3F965E88">
        <w:tc>
          <w:tcPr>
            <w:tcW w:w="1043" w:type="dxa"/>
          </w:tcPr>
          <w:p w14:paraId="37ED332C" w14:textId="2C9336C8"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1030 –1050</w:t>
            </w:r>
          </w:p>
        </w:tc>
        <w:tc>
          <w:tcPr>
            <w:tcW w:w="7973" w:type="dxa"/>
            <w:vAlign w:val="bottom"/>
          </w:tcPr>
          <w:p w14:paraId="21D0E438" w14:textId="77777777"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Medium correlation scenario</w:t>
            </w:r>
          </w:p>
          <w:p w14:paraId="65D00BE3" w14:textId="1113A017"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325h(2), point (a), of Regulation (EU) No 575/2013</w:t>
            </w:r>
          </w:p>
        </w:tc>
      </w:tr>
      <w:tr w:rsidR="00A523D0" w:rsidRPr="00FE3C59" w14:paraId="32D34211" w14:textId="77777777" w:rsidTr="3F965E88">
        <w:tc>
          <w:tcPr>
            <w:tcW w:w="1043" w:type="dxa"/>
          </w:tcPr>
          <w:p w14:paraId="7D24FD8F" w14:textId="48E6BC81"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1030</w:t>
            </w:r>
          </w:p>
        </w:tc>
        <w:tc>
          <w:tcPr>
            <w:tcW w:w="7973" w:type="dxa"/>
            <w:vAlign w:val="bottom"/>
          </w:tcPr>
          <w:p w14:paraId="6401C444" w14:textId="0FEBB769"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tc>
      </w:tr>
      <w:tr w:rsidR="00A523D0" w:rsidRPr="00FE3C59" w14:paraId="251B384B" w14:textId="77777777" w:rsidTr="3F965E88">
        <w:tc>
          <w:tcPr>
            <w:tcW w:w="1043" w:type="dxa"/>
          </w:tcPr>
          <w:p w14:paraId="527FB7DF" w14:textId="1731D699"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1040</w:t>
            </w:r>
          </w:p>
        </w:tc>
        <w:tc>
          <w:tcPr>
            <w:tcW w:w="7973" w:type="dxa"/>
            <w:vAlign w:val="bottom"/>
          </w:tcPr>
          <w:p w14:paraId="735BD585" w14:textId="017D6641"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tc>
      </w:tr>
      <w:tr w:rsidR="00A523D0" w:rsidRPr="00FE3C59" w14:paraId="723C1181" w14:textId="77777777" w:rsidTr="3F965E88">
        <w:tc>
          <w:tcPr>
            <w:tcW w:w="1043" w:type="dxa"/>
          </w:tcPr>
          <w:p w14:paraId="05F4D312" w14:textId="6F91EB40"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1050</w:t>
            </w:r>
          </w:p>
        </w:tc>
        <w:tc>
          <w:tcPr>
            <w:tcW w:w="7973" w:type="dxa"/>
            <w:vAlign w:val="bottom"/>
          </w:tcPr>
          <w:p w14:paraId="10464119" w14:textId="6A698D64"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tc>
      </w:tr>
      <w:tr w:rsidR="00A523D0" w:rsidRPr="00FE3C59" w14:paraId="5B556B30" w14:textId="77777777" w:rsidTr="3F965E88">
        <w:tc>
          <w:tcPr>
            <w:tcW w:w="1043" w:type="dxa"/>
          </w:tcPr>
          <w:p w14:paraId="05786F43" w14:textId="76128EC8"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1060 – 1080</w:t>
            </w:r>
          </w:p>
        </w:tc>
        <w:tc>
          <w:tcPr>
            <w:tcW w:w="7973" w:type="dxa"/>
            <w:vAlign w:val="bottom"/>
          </w:tcPr>
          <w:p w14:paraId="7851184E" w14:textId="77777777"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High correlation scenario</w:t>
            </w:r>
          </w:p>
          <w:p w14:paraId="5A1E66AA" w14:textId="4DD614B8"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325h(2), point (b), of Regulation (EU) No 575/2013</w:t>
            </w:r>
          </w:p>
        </w:tc>
      </w:tr>
      <w:tr w:rsidR="00A523D0" w:rsidRPr="00FE3C59" w14:paraId="6F798990" w14:textId="77777777" w:rsidTr="3F965E88">
        <w:tc>
          <w:tcPr>
            <w:tcW w:w="1043" w:type="dxa"/>
          </w:tcPr>
          <w:p w14:paraId="06481503" w14:textId="31A89AC6"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1060</w:t>
            </w:r>
          </w:p>
        </w:tc>
        <w:tc>
          <w:tcPr>
            <w:tcW w:w="7973" w:type="dxa"/>
            <w:vAlign w:val="bottom"/>
          </w:tcPr>
          <w:p w14:paraId="335C1AB6" w14:textId="1895543B"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tc>
      </w:tr>
      <w:tr w:rsidR="00A523D0" w:rsidRPr="00FE3C59" w14:paraId="1B795BB5" w14:textId="77777777" w:rsidTr="3F965E88">
        <w:tc>
          <w:tcPr>
            <w:tcW w:w="1043" w:type="dxa"/>
          </w:tcPr>
          <w:p w14:paraId="0D06B3A3" w14:textId="254B3F4D"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1070</w:t>
            </w:r>
          </w:p>
        </w:tc>
        <w:tc>
          <w:tcPr>
            <w:tcW w:w="7973" w:type="dxa"/>
            <w:vAlign w:val="bottom"/>
          </w:tcPr>
          <w:p w14:paraId="339CA52C" w14:textId="7D41D32D"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tc>
      </w:tr>
      <w:tr w:rsidR="00A523D0" w:rsidRPr="00FE3C59" w14:paraId="51C9721A" w14:textId="77777777" w:rsidTr="3F965E88">
        <w:tc>
          <w:tcPr>
            <w:tcW w:w="1043" w:type="dxa"/>
          </w:tcPr>
          <w:p w14:paraId="74649FED" w14:textId="6762D5F7"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1080</w:t>
            </w:r>
          </w:p>
        </w:tc>
        <w:tc>
          <w:tcPr>
            <w:tcW w:w="7973" w:type="dxa"/>
            <w:vAlign w:val="bottom"/>
          </w:tcPr>
          <w:p w14:paraId="7B60F5FA" w14:textId="33AC1BA1"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tc>
      </w:tr>
    </w:tbl>
    <w:p w14:paraId="54893733" w14:textId="40B9C413" w:rsidR="002F2B62" w:rsidRPr="00FE3C59" w:rsidRDefault="002F2B62" w:rsidP="00CD7BBD">
      <w:pPr>
        <w:pStyle w:val="body"/>
        <w:rPr>
          <w:rFonts w:ascii="Times New Roman" w:hAnsi="Times New Roman" w:cs="Times New Roman"/>
          <w:lang w:val="en-GB"/>
        </w:rPr>
      </w:pPr>
    </w:p>
    <w:tbl>
      <w:tblPr>
        <w:tblStyle w:val="TableGrid"/>
        <w:tblW w:w="0" w:type="auto"/>
        <w:tblLook w:val="04A0" w:firstRow="1" w:lastRow="0" w:firstColumn="1" w:lastColumn="0" w:noHBand="0" w:noVBand="1"/>
      </w:tblPr>
      <w:tblGrid>
        <w:gridCol w:w="1043"/>
        <w:gridCol w:w="7973"/>
      </w:tblGrid>
      <w:tr w:rsidR="00C65F1F" w:rsidRPr="00FE3C59" w14:paraId="288BD1B1" w14:textId="77777777" w:rsidTr="005F1AA1">
        <w:tc>
          <w:tcPr>
            <w:tcW w:w="1043" w:type="dxa"/>
            <w:shd w:val="clear" w:color="auto" w:fill="BFBFBF" w:themeFill="background1" w:themeFillShade="BF"/>
          </w:tcPr>
          <w:p w14:paraId="4E8377AA" w14:textId="76F456F6" w:rsidR="00C65F1F" w:rsidRPr="00FE3C59" w:rsidRDefault="002F2B62"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2492A334"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07282B" w:rsidRPr="00FE3C59" w14:paraId="32A53269" w14:textId="77777777" w:rsidTr="000D1DC8">
        <w:tc>
          <w:tcPr>
            <w:tcW w:w="1043" w:type="dxa"/>
          </w:tcPr>
          <w:p w14:paraId="25E92980" w14:textId="2C281BE3" w:rsidR="0007282B" w:rsidRPr="00FE3C59" w:rsidRDefault="0007282B" w:rsidP="00CD7BBD">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0010-0250</w:t>
            </w:r>
          </w:p>
        </w:tc>
        <w:tc>
          <w:tcPr>
            <w:tcW w:w="7973" w:type="dxa"/>
            <w:vAlign w:val="bottom"/>
          </w:tcPr>
          <w:p w14:paraId="42C51838" w14:textId="77777777" w:rsidR="0007282B" w:rsidRPr="00FE3C59" w:rsidRDefault="0007282B" w:rsidP="00DF761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ID: Buckets</w:t>
            </w:r>
          </w:p>
          <w:p w14:paraId="7CE9DBE1" w14:textId="71E2C746" w:rsidR="0007282B" w:rsidRPr="00FE3C59" w:rsidRDefault="0007282B" w:rsidP="00DF7618">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325am of Regulation (EU) No 575/2013</w:t>
            </w:r>
          </w:p>
        </w:tc>
      </w:tr>
      <w:tr w:rsidR="00DF7618" w:rsidRPr="00FE3C59" w14:paraId="2E51D2AE" w14:textId="77777777" w:rsidTr="000D1DC8">
        <w:tc>
          <w:tcPr>
            <w:tcW w:w="1043" w:type="dxa"/>
          </w:tcPr>
          <w:p w14:paraId="1BD0D756" w14:textId="42F80F2D"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vAlign w:val="bottom"/>
          </w:tcPr>
          <w:p w14:paraId="35E1B10B" w14:textId="769501DE"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 Senior and Credit quality step 1 to 3 - RMBS – Prime</w:t>
            </w:r>
          </w:p>
        </w:tc>
      </w:tr>
      <w:tr w:rsidR="00DF7618" w:rsidRPr="00FE3C59" w14:paraId="3AD75196" w14:textId="77777777" w:rsidTr="000D1DC8">
        <w:tc>
          <w:tcPr>
            <w:tcW w:w="1043" w:type="dxa"/>
          </w:tcPr>
          <w:p w14:paraId="485AD9CD" w14:textId="00725775"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vAlign w:val="bottom"/>
          </w:tcPr>
          <w:p w14:paraId="60626C08" w14:textId="5066D767"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2: Senior and Credit quality step 1 to 3 - RMBS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Mid-Prime</w:t>
            </w:r>
          </w:p>
        </w:tc>
      </w:tr>
      <w:tr w:rsidR="00DF7618" w:rsidRPr="00FE3C59" w14:paraId="224CDDE5" w14:textId="77777777" w:rsidTr="000D1DC8">
        <w:tc>
          <w:tcPr>
            <w:tcW w:w="1043" w:type="dxa"/>
          </w:tcPr>
          <w:p w14:paraId="4C02819D" w14:textId="7FF8A220"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vAlign w:val="bottom"/>
          </w:tcPr>
          <w:p w14:paraId="17333389" w14:textId="696812AD"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3: Senior and Credit quality step 1 to 3 - RMBS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Sub-Prime</w:t>
            </w:r>
          </w:p>
        </w:tc>
      </w:tr>
      <w:tr w:rsidR="00DF7618" w:rsidRPr="00FE3C59" w14:paraId="18A8C8A0" w14:textId="77777777" w:rsidTr="000D1DC8">
        <w:tc>
          <w:tcPr>
            <w:tcW w:w="1043" w:type="dxa"/>
          </w:tcPr>
          <w:p w14:paraId="1D914325" w14:textId="2BE43B74"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vAlign w:val="bottom"/>
          </w:tcPr>
          <w:p w14:paraId="68C996BD" w14:textId="65D31F47"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4: Senior and Credit quality step 1 to 3 – CMBS</w:t>
            </w:r>
          </w:p>
        </w:tc>
      </w:tr>
      <w:tr w:rsidR="00DF7618" w:rsidRPr="00FE3C59" w14:paraId="27054180" w14:textId="77777777" w:rsidTr="000D1DC8">
        <w:tc>
          <w:tcPr>
            <w:tcW w:w="1043" w:type="dxa"/>
          </w:tcPr>
          <w:p w14:paraId="7E8997BB" w14:textId="06769D78"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vAlign w:val="bottom"/>
          </w:tcPr>
          <w:p w14:paraId="7F8EDEC6" w14:textId="664DA5A1"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5: Senior and Credit quality step 1 to 3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Asset backed securities (ABS)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Student loans</w:t>
            </w:r>
          </w:p>
        </w:tc>
      </w:tr>
      <w:tr w:rsidR="00DF7618" w:rsidRPr="00FE3C59" w14:paraId="0183973D" w14:textId="77777777" w:rsidTr="000D1DC8">
        <w:tc>
          <w:tcPr>
            <w:tcW w:w="1043" w:type="dxa"/>
          </w:tcPr>
          <w:p w14:paraId="3B1FFCB7" w14:textId="7DFCB563"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vAlign w:val="bottom"/>
          </w:tcPr>
          <w:p w14:paraId="552EDA90" w14:textId="6B3BC3B0"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6: Senior and Credit quality step 1 to 3 - ABS - Credit cards</w:t>
            </w:r>
          </w:p>
        </w:tc>
      </w:tr>
      <w:tr w:rsidR="00DF7618" w:rsidRPr="00FE3C59" w14:paraId="3FDFFEE2" w14:textId="77777777" w:rsidTr="000D1DC8">
        <w:tc>
          <w:tcPr>
            <w:tcW w:w="1043" w:type="dxa"/>
          </w:tcPr>
          <w:p w14:paraId="671A4867" w14:textId="39FF0976"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vAlign w:val="bottom"/>
          </w:tcPr>
          <w:p w14:paraId="76589884" w14:textId="5CE2C110"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7: Senior and Credit quality step 1 to 3 - ABS – Auto</w:t>
            </w:r>
          </w:p>
        </w:tc>
      </w:tr>
      <w:tr w:rsidR="00DF7618" w:rsidRPr="00FE3C59" w14:paraId="35F8A9D6" w14:textId="77777777" w:rsidTr="000D1DC8">
        <w:tc>
          <w:tcPr>
            <w:tcW w:w="1043" w:type="dxa"/>
          </w:tcPr>
          <w:p w14:paraId="75080D0E" w14:textId="0DD49C14"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0080</w:t>
            </w:r>
          </w:p>
        </w:tc>
        <w:tc>
          <w:tcPr>
            <w:tcW w:w="7973" w:type="dxa"/>
            <w:vAlign w:val="bottom"/>
          </w:tcPr>
          <w:p w14:paraId="50E9D762" w14:textId="3BDBC0CA"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8: Senior and Credit quality step 1 to 3 - Collateralised loan obligations (CLO) non-ACTP</w:t>
            </w:r>
          </w:p>
        </w:tc>
      </w:tr>
      <w:tr w:rsidR="00DF7618" w:rsidRPr="00FE3C59" w14:paraId="666D3117" w14:textId="77777777" w:rsidTr="000D1DC8">
        <w:tc>
          <w:tcPr>
            <w:tcW w:w="1043" w:type="dxa"/>
          </w:tcPr>
          <w:p w14:paraId="7D3B519B" w14:textId="4C23407B"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vAlign w:val="bottom"/>
          </w:tcPr>
          <w:p w14:paraId="67B6AF3A" w14:textId="4E3206AD"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9: Non-senior and credit quality step 1 to 3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RMBS – Prime</w:t>
            </w:r>
          </w:p>
        </w:tc>
      </w:tr>
      <w:tr w:rsidR="00DF7618" w:rsidRPr="00FE3C59" w14:paraId="6AEEFB7D" w14:textId="77777777" w:rsidTr="000D1DC8">
        <w:tc>
          <w:tcPr>
            <w:tcW w:w="1043" w:type="dxa"/>
          </w:tcPr>
          <w:p w14:paraId="4E9FD382" w14:textId="714FFB4E"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vAlign w:val="bottom"/>
          </w:tcPr>
          <w:p w14:paraId="64820461" w14:textId="0EECFF59"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10: Non-senior and credit quality step 1 to 3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RMBS - Mid-Prime</w:t>
            </w:r>
          </w:p>
        </w:tc>
      </w:tr>
      <w:tr w:rsidR="00DF7618" w:rsidRPr="00FE3C59" w14:paraId="3719AD36" w14:textId="77777777" w:rsidTr="000D1DC8">
        <w:tc>
          <w:tcPr>
            <w:tcW w:w="1043" w:type="dxa"/>
          </w:tcPr>
          <w:p w14:paraId="4F544E76" w14:textId="18CBB7E1"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vAlign w:val="bottom"/>
          </w:tcPr>
          <w:p w14:paraId="7052E49F" w14:textId="350CB7F9"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11: Non-senior and credit quality step 1 to 3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RMBS - Sub-Prime</w:t>
            </w:r>
          </w:p>
        </w:tc>
      </w:tr>
      <w:tr w:rsidR="00DF7618" w:rsidRPr="00FE3C59" w14:paraId="39A9CC6C" w14:textId="77777777" w:rsidTr="000D1DC8">
        <w:tc>
          <w:tcPr>
            <w:tcW w:w="1043" w:type="dxa"/>
          </w:tcPr>
          <w:p w14:paraId="00D194CE" w14:textId="63DC89A6"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73" w:type="dxa"/>
            <w:vAlign w:val="bottom"/>
          </w:tcPr>
          <w:p w14:paraId="034643F5" w14:textId="5ADC88D8"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12: Non-senior and credit quality step 1 to 3 – CMBS</w:t>
            </w:r>
          </w:p>
        </w:tc>
      </w:tr>
      <w:tr w:rsidR="00DF7618" w:rsidRPr="00FE3C59" w14:paraId="69D4276D" w14:textId="77777777" w:rsidTr="000D1DC8">
        <w:tc>
          <w:tcPr>
            <w:tcW w:w="1043" w:type="dxa"/>
          </w:tcPr>
          <w:p w14:paraId="37FDA964" w14:textId="17417FDB"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73" w:type="dxa"/>
            <w:vAlign w:val="bottom"/>
          </w:tcPr>
          <w:p w14:paraId="19584177" w14:textId="7E47749E"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13: Non-senior and credit quality step 1 to 3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ABS - Student loans</w:t>
            </w:r>
          </w:p>
        </w:tc>
      </w:tr>
      <w:tr w:rsidR="00DF7618" w:rsidRPr="00FE3C59" w14:paraId="6B135FAB" w14:textId="77777777" w:rsidTr="000D1DC8">
        <w:tc>
          <w:tcPr>
            <w:tcW w:w="1043" w:type="dxa"/>
          </w:tcPr>
          <w:p w14:paraId="112F1CC5" w14:textId="6805C82A"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973" w:type="dxa"/>
            <w:vAlign w:val="bottom"/>
          </w:tcPr>
          <w:p w14:paraId="576F7CCB" w14:textId="462E6E3A"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14: Non-senior and credit quality step 1 to 3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ABS - Credit cards</w:t>
            </w:r>
          </w:p>
        </w:tc>
      </w:tr>
      <w:tr w:rsidR="00DF7618" w:rsidRPr="00FE3C59" w14:paraId="5F4E553E" w14:textId="77777777" w:rsidTr="000D1DC8">
        <w:tc>
          <w:tcPr>
            <w:tcW w:w="1043" w:type="dxa"/>
          </w:tcPr>
          <w:p w14:paraId="139909DD" w14:textId="4CF2B586"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973" w:type="dxa"/>
            <w:vAlign w:val="bottom"/>
          </w:tcPr>
          <w:p w14:paraId="711C21EC" w14:textId="73E8D488" w:rsidR="00DF7618" w:rsidRPr="00FE3C59" w:rsidRDefault="00DF7618" w:rsidP="00DF761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15: Non-senior and credit quality step 1 to 3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ABS – Auto</w:t>
            </w:r>
          </w:p>
        </w:tc>
      </w:tr>
      <w:tr w:rsidR="00DF7618" w:rsidRPr="00FE3C59" w14:paraId="1679FCE3" w14:textId="77777777" w:rsidTr="000D1DC8">
        <w:tc>
          <w:tcPr>
            <w:tcW w:w="1043" w:type="dxa"/>
          </w:tcPr>
          <w:p w14:paraId="5309C97F" w14:textId="6BA8D31C"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73" w:type="dxa"/>
            <w:vAlign w:val="bottom"/>
          </w:tcPr>
          <w:p w14:paraId="3983F5D0" w14:textId="42BD8D87"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16: Non-senior and credit quality step 1 to 3 </w:t>
            </w:r>
            <w:r w:rsidR="0009796A"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CLO non-ACTP</w:t>
            </w:r>
          </w:p>
        </w:tc>
      </w:tr>
      <w:tr w:rsidR="00DF7618" w:rsidRPr="00FE3C59" w14:paraId="0D7389C0" w14:textId="77777777" w:rsidTr="000D1DC8">
        <w:tc>
          <w:tcPr>
            <w:tcW w:w="1043" w:type="dxa"/>
          </w:tcPr>
          <w:p w14:paraId="227658E5" w14:textId="6372A306"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973" w:type="dxa"/>
            <w:vAlign w:val="bottom"/>
          </w:tcPr>
          <w:p w14:paraId="313D0848" w14:textId="7CEB597E"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17: Credit quality step 4 to 6 </w:t>
            </w:r>
            <w:r w:rsidR="0009796A"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RMBS – Prime</w:t>
            </w:r>
          </w:p>
        </w:tc>
      </w:tr>
      <w:tr w:rsidR="00DF7618" w:rsidRPr="00FE3C59" w14:paraId="220A10AD" w14:textId="77777777" w:rsidTr="000D1DC8">
        <w:tc>
          <w:tcPr>
            <w:tcW w:w="1043" w:type="dxa"/>
          </w:tcPr>
          <w:p w14:paraId="36E57759" w14:textId="39816D4D"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973" w:type="dxa"/>
            <w:vAlign w:val="bottom"/>
          </w:tcPr>
          <w:p w14:paraId="1C206687" w14:textId="6BD534BA"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18: Credit quality step 4 to 6 </w:t>
            </w:r>
            <w:r w:rsidR="0009796A"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RMBS - Mid-Prime</w:t>
            </w:r>
          </w:p>
        </w:tc>
      </w:tr>
      <w:tr w:rsidR="00DF7618" w:rsidRPr="00FE3C59" w14:paraId="4BF94361" w14:textId="77777777" w:rsidTr="000D1DC8">
        <w:tc>
          <w:tcPr>
            <w:tcW w:w="1043" w:type="dxa"/>
          </w:tcPr>
          <w:p w14:paraId="005D99C6" w14:textId="60EAADA3"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73" w:type="dxa"/>
            <w:vAlign w:val="bottom"/>
          </w:tcPr>
          <w:p w14:paraId="21E0E68C" w14:textId="6D54AA72"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19: Credit quality step 4 to 6 </w:t>
            </w:r>
            <w:r w:rsidR="0009796A"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RMBS - Sub-Prime</w:t>
            </w:r>
          </w:p>
        </w:tc>
      </w:tr>
      <w:tr w:rsidR="00DF7618" w:rsidRPr="00FE3C59" w14:paraId="2789B716" w14:textId="77777777" w:rsidTr="000D1DC8">
        <w:tc>
          <w:tcPr>
            <w:tcW w:w="1043" w:type="dxa"/>
          </w:tcPr>
          <w:p w14:paraId="16F81158" w14:textId="54D01019"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73" w:type="dxa"/>
            <w:vAlign w:val="bottom"/>
          </w:tcPr>
          <w:p w14:paraId="45BE1072" w14:textId="49BF3601"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20: Credit quality step 4 to 6 – CMBS</w:t>
            </w:r>
          </w:p>
        </w:tc>
      </w:tr>
      <w:tr w:rsidR="00DF7618" w:rsidRPr="00FE3C59" w14:paraId="59EF029C" w14:textId="77777777" w:rsidTr="000D1DC8">
        <w:tc>
          <w:tcPr>
            <w:tcW w:w="1043" w:type="dxa"/>
          </w:tcPr>
          <w:p w14:paraId="2677BDC4" w14:textId="33EA2A1E"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73" w:type="dxa"/>
            <w:vAlign w:val="bottom"/>
          </w:tcPr>
          <w:p w14:paraId="5AB7D83A" w14:textId="73677599"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21: Credit quality step 4 to 6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ABS - Student loans</w:t>
            </w:r>
          </w:p>
        </w:tc>
      </w:tr>
      <w:tr w:rsidR="00DF7618" w:rsidRPr="00FE3C59" w14:paraId="0601B60C" w14:textId="77777777" w:rsidTr="000D1DC8">
        <w:tc>
          <w:tcPr>
            <w:tcW w:w="1043" w:type="dxa"/>
          </w:tcPr>
          <w:p w14:paraId="392A3B8A" w14:textId="55A1E6E8"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0220</w:t>
            </w:r>
          </w:p>
        </w:tc>
        <w:tc>
          <w:tcPr>
            <w:tcW w:w="7973" w:type="dxa"/>
            <w:vAlign w:val="bottom"/>
          </w:tcPr>
          <w:p w14:paraId="243AFCD1" w14:textId="310DA45E"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22: Credit quality step 4 to 6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ABS - Credit cards</w:t>
            </w:r>
          </w:p>
        </w:tc>
      </w:tr>
      <w:tr w:rsidR="00DF7618" w:rsidRPr="00FE3C59" w14:paraId="0DEADE6F" w14:textId="77777777" w:rsidTr="000D1DC8">
        <w:tc>
          <w:tcPr>
            <w:tcW w:w="1043" w:type="dxa"/>
          </w:tcPr>
          <w:p w14:paraId="365F7086" w14:textId="22083027"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w:t>
            </w:r>
          </w:p>
        </w:tc>
        <w:tc>
          <w:tcPr>
            <w:tcW w:w="7973" w:type="dxa"/>
            <w:vAlign w:val="bottom"/>
          </w:tcPr>
          <w:p w14:paraId="066C905C" w14:textId="0D540304"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23: Credit quality step 4 to 6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ABS – Auto</w:t>
            </w:r>
          </w:p>
        </w:tc>
      </w:tr>
      <w:tr w:rsidR="00DF7618" w:rsidRPr="00FE3C59" w14:paraId="3AB6F01A" w14:textId="77777777" w:rsidTr="000D1DC8">
        <w:tc>
          <w:tcPr>
            <w:tcW w:w="1043" w:type="dxa"/>
          </w:tcPr>
          <w:p w14:paraId="668981FA" w14:textId="0FF02913"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0240</w:t>
            </w:r>
          </w:p>
        </w:tc>
        <w:tc>
          <w:tcPr>
            <w:tcW w:w="7973" w:type="dxa"/>
            <w:vAlign w:val="bottom"/>
          </w:tcPr>
          <w:p w14:paraId="444C35C0" w14:textId="41D9B5AC"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Bucket 24: Credit quality step 4 to 6 </w:t>
            </w:r>
            <w:r w:rsidR="0007282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CLO non-ACTP</w:t>
            </w:r>
          </w:p>
        </w:tc>
      </w:tr>
      <w:tr w:rsidR="00DF7618" w:rsidRPr="00FE3C59" w14:paraId="397BE0A6" w14:textId="77777777" w:rsidTr="000D1DC8">
        <w:tc>
          <w:tcPr>
            <w:tcW w:w="1043" w:type="dxa"/>
          </w:tcPr>
          <w:p w14:paraId="4FFA6DC3" w14:textId="53BB5B33" w:rsidR="00DF7618" w:rsidRPr="00FE3C59" w:rsidRDefault="00DF7618"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0250</w:t>
            </w:r>
          </w:p>
        </w:tc>
        <w:tc>
          <w:tcPr>
            <w:tcW w:w="7973" w:type="dxa"/>
            <w:vAlign w:val="bottom"/>
          </w:tcPr>
          <w:p w14:paraId="5551AD8D" w14:textId="09F155FD" w:rsidR="00DF7618" w:rsidRPr="00FE3C59" w:rsidRDefault="00DF7618" w:rsidP="00DF7618">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25: Other sector</w:t>
            </w:r>
          </w:p>
        </w:tc>
      </w:tr>
    </w:tbl>
    <w:p w14:paraId="0AC6AFAB" w14:textId="77777777" w:rsidR="00C65F1F" w:rsidRPr="00FE3C59" w:rsidRDefault="00C65F1F" w:rsidP="00C65F1F">
      <w:pPr>
        <w:rPr>
          <w:rFonts w:ascii="Times New Roman" w:hAnsi="Times New Roman" w:cs="Times New Roman"/>
        </w:rPr>
      </w:pPr>
    </w:p>
    <w:p w14:paraId="1DCAD102" w14:textId="269CF751" w:rsidR="00D43916" w:rsidRPr="00FE3C59" w:rsidRDefault="00D34F1B" w:rsidP="00CA1AF4">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w:t>
      </w:r>
      <w:r w:rsidR="00B8262A" w:rsidRPr="00FE3C59">
        <w:rPr>
          <w:rFonts w:ascii="Times New Roman" w:hAnsi="Times New Roman" w:cs="Times New Roman"/>
          <w:sz w:val="24"/>
          <w:szCs w:val="24"/>
          <w:u w:val="none"/>
          <w:lang w:val="en-GB"/>
        </w:rPr>
        <w:t>5</w:t>
      </w:r>
      <w:r w:rsidR="00B8262A" w:rsidRPr="00FE3C59">
        <w:rPr>
          <w:rFonts w:ascii="Times New Roman" w:hAnsi="Times New Roman" w:cs="Times New Roman"/>
          <w:lang w:val="en-GB"/>
        </w:rPr>
        <w:tab/>
      </w:r>
      <w:r w:rsidR="00D43916" w:rsidRPr="00FE3C59">
        <w:rPr>
          <w:rFonts w:ascii="Times New Roman" w:hAnsi="Times New Roman" w:cs="Times New Roman"/>
          <w:sz w:val="24"/>
          <w:szCs w:val="24"/>
          <w:u w:val="none"/>
          <w:lang w:val="en-GB"/>
        </w:rPr>
        <w:t xml:space="preserve">C 92.04: </w:t>
      </w:r>
      <w:r w:rsidR="00B8262A" w:rsidRPr="00FE3C59">
        <w:rPr>
          <w:rFonts w:ascii="Times New Roman" w:hAnsi="Times New Roman" w:cs="Times New Roman"/>
          <w:sz w:val="24"/>
          <w:szCs w:val="24"/>
          <w:u w:val="none"/>
          <w:lang w:val="en-GB"/>
        </w:rPr>
        <w:t>C</w:t>
      </w:r>
      <w:r w:rsidR="00D43916" w:rsidRPr="00FE3C59">
        <w:rPr>
          <w:rFonts w:ascii="Times New Roman" w:hAnsi="Times New Roman" w:cs="Times New Roman"/>
          <w:sz w:val="24"/>
          <w:szCs w:val="24"/>
          <w:u w:val="none"/>
          <w:lang w:val="en-GB"/>
        </w:rPr>
        <w:t>redit spread risk for securitisation included in the alternative correlation trading portfolio (</w:t>
      </w:r>
      <w:r w:rsidR="00B8262A" w:rsidRPr="00FE3C59">
        <w:rPr>
          <w:rFonts w:ascii="Times New Roman" w:hAnsi="Times New Roman" w:cs="Times New Roman"/>
          <w:sz w:val="24"/>
          <w:szCs w:val="24"/>
          <w:u w:val="none"/>
          <w:lang w:val="en-GB"/>
        </w:rPr>
        <w:t>ACTP CSR</w:t>
      </w:r>
      <w:r w:rsidR="00D43916" w:rsidRPr="00FE3C59">
        <w:rPr>
          <w:rFonts w:ascii="Times New Roman" w:hAnsi="Times New Roman" w:cs="Times New Roman"/>
          <w:sz w:val="24"/>
          <w:szCs w:val="24"/>
          <w:u w:val="none"/>
          <w:lang w:val="en-GB"/>
        </w:rPr>
        <w:t xml:space="preserve">) (MKR </w:t>
      </w:r>
      <w:r w:rsidR="008770DE" w:rsidRPr="00FE3C59">
        <w:rPr>
          <w:rFonts w:ascii="Times New Roman" w:hAnsi="Times New Roman" w:cs="Times New Roman"/>
          <w:sz w:val="24"/>
          <w:szCs w:val="24"/>
          <w:u w:val="none"/>
          <w:lang w:val="en-GB"/>
        </w:rPr>
        <w:t xml:space="preserve">SBM </w:t>
      </w:r>
      <w:r w:rsidR="00D43916" w:rsidRPr="00FE3C59">
        <w:rPr>
          <w:rFonts w:ascii="Times New Roman" w:hAnsi="Times New Roman" w:cs="Times New Roman"/>
          <w:sz w:val="24"/>
          <w:szCs w:val="24"/>
          <w:u w:val="none"/>
          <w:lang w:val="en-GB"/>
        </w:rPr>
        <w:t>ACTP CSR</w:t>
      </w:r>
      <w:r w:rsidR="00B8262A" w:rsidRPr="00FE3C59">
        <w:rPr>
          <w:rFonts w:ascii="Times New Roman" w:hAnsi="Times New Roman" w:cs="Times New Roman"/>
          <w:sz w:val="24"/>
          <w:szCs w:val="24"/>
          <w:u w:val="none"/>
          <w:lang w:val="en-GB"/>
        </w:rPr>
        <w:t>)</w:t>
      </w:r>
    </w:p>
    <w:p w14:paraId="7E55C72E" w14:textId="251B3CD6" w:rsidR="00C65F1F" w:rsidRPr="00FE3C59" w:rsidRDefault="004F7DA1"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.5.</w:t>
      </w:r>
      <w:r w:rsidR="00C65F1F" w:rsidRPr="00FE3C59">
        <w:rPr>
          <w:rFonts w:ascii="Times New Roman" w:hAnsi="Times New Roman" w:cs="Times New Roman"/>
          <w:sz w:val="24"/>
          <w:szCs w:val="24"/>
          <w:u w:val="none"/>
          <w:lang w:val="en-GB"/>
        </w:rPr>
        <w:t>1</w:t>
      </w:r>
      <w:r w:rsidR="00C65F1F"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General remarks</w:t>
      </w:r>
    </w:p>
    <w:p w14:paraId="37862B2B" w14:textId="579B5467" w:rsidR="00C65F1F" w:rsidRPr="00FE3C59" w:rsidRDefault="27AA6AFF" w:rsidP="006E2ED1">
      <w:pPr>
        <w:pStyle w:val="InstructionsText2"/>
        <w:numPr>
          <w:ilvl w:val="0"/>
          <w:numId w:val="57"/>
        </w:numPr>
        <w:rPr>
          <w:rFonts w:eastAsiaTheme="minorEastAsia"/>
        </w:rPr>
      </w:pPr>
      <w:r w:rsidRPr="00FE3C59">
        <w:t xml:space="preserve">This template provides detailed information on the calculation of own funds requirements for the </w:t>
      </w:r>
      <w:r w:rsidR="26945AAD" w:rsidRPr="00FE3C59">
        <w:t>C</w:t>
      </w:r>
      <w:r w:rsidR="46E31D44" w:rsidRPr="00FE3C59">
        <w:t xml:space="preserve">redit spread risk </w:t>
      </w:r>
      <w:r w:rsidR="000D57D5" w:rsidRPr="00FE3C59">
        <w:t xml:space="preserve">of </w:t>
      </w:r>
      <w:r w:rsidR="46E31D44" w:rsidRPr="00FE3C59">
        <w:t>securitisation included in the alternative correlation trading portfolio (</w:t>
      </w:r>
      <w:r w:rsidR="26945AAD" w:rsidRPr="00FE3C59">
        <w:t>ACTP CSR</w:t>
      </w:r>
      <w:r w:rsidR="46E31D44" w:rsidRPr="00FE3C59">
        <w:t>)</w:t>
      </w:r>
      <w:r w:rsidR="005B669F" w:rsidRPr="00FE3C59">
        <w:t xml:space="preserve"> on the basis of the sensitivities-based method.</w:t>
      </w:r>
    </w:p>
    <w:p w14:paraId="3F7A1C2F" w14:textId="77777777" w:rsidR="00C65F1F" w:rsidRPr="00FE3C59" w:rsidRDefault="004F7DA1"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lastRenderedPageBreak/>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.5.</w:t>
      </w:r>
      <w:r w:rsidR="00C65F1F" w:rsidRPr="00FE3C59">
        <w:rPr>
          <w:rFonts w:ascii="Times New Roman" w:hAnsi="Times New Roman" w:cs="Times New Roman"/>
          <w:sz w:val="24"/>
          <w:szCs w:val="24"/>
          <w:u w:val="none"/>
          <w:lang w:val="en-GB"/>
        </w:rPr>
        <w:t>2</w:t>
      </w:r>
      <w:r w:rsidR="00C65F1F"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Instructions concerning specific positions</w:t>
      </w:r>
    </w:p>
    <w:tbl>
      <w:tblPr>
        <w:tblStyle w:val="TableGrid"/>
        <w:tblW w:w="0" w:type="auto"/>
        <w:tblLook w:val="04A0" w:firstRow="1" w:lastRow="0" w:firstColumn="1" w:lastColumn="0" w:noHBand="0" w:noVBand="1"/>
      </w:tblPr>
      <w:tblGrid>
        <w:gridCol w:w="1043"/>
        <w:gridCol w:w="7973"/>
      </w:tblGrid>
      <w:tr w:rsidR="620E6D28" w:rsidRPr="00FE3C59" w14:paraId="00639A21" w14:textId="77777777" w:rsidTr="3A410EB0">
        <w:tc>
          <w:tcPr>
            <w:tcW w:w="1043" w:type="dxa"/>
            <w:shd w:val="clear" w:color="auto" w:fill="BFBFBF" w:themeFill="background1" w:themeFillShade="BF"/>
          </w:tcPr>
          <w:p w14:paraId="36047C28" w14:textId="77777777" w:rsidR="20F5FB72" w:rsidRPr="00FE3C59" w:rsidRDefault="20F5FB72" w:rsidP="620E6D28">
            <w:pPr>
              <w:pStyle w:val="BodyText"/>
              <w:spacing w:before="120" w:after="120"/>
              <w:rPr>
                <w:rFonts w:ascii="Times New Roman" w:hAnsi="Times New Roman" w:cs="Times New Roman"/>
                <w:b/>
                <w:bCs/>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3392C0B1" w14:textId="77777777" w:rsidR="20F5FB72" w:rsidRPr="00FE3C59" w:rsidRDefault="20F5FB72" w:rsidP="620E6D28">
            <w:pPr>
              <w:pStyle w:val="BodyText"/>
              <w:spacing w:before="120" w:after="120"/>
              <w:rPr>
                <w:rFonts w:ascii="Times New Roman" w:hAnsi="Times New Roman" w:cs="Times New Roman"/>
                <w:b/>
                <w:bCs/>
                <w:lang w:val="en-GB"/>
              </w:rPr>
            </w:pPr>
            <w:r w:rsidRPr="00FE3C59">
              <w:rPr>
                <w:rFonts w:ascii="Times New Roman" w:hAnsi="Times New Roman" w:cs="Times New Roman"/>
                <w:b/>
                <w:lang w:val="en-GB"/>
              </w:rPr>
              <w:t>Legal references and instructions</w:t>
            </w:r>
          </w:p>
        </w:tc>
      </w:tr>
      <w:tr w:rsidR="620E6D28" w:rsidRPr="00FE3C59" w14:paraId="41C729FD" w14:textId="77777777" w:rsidTr="3A410EB0">
        <w:tc>
          <w:tcPr>
            <w:tcW w:w="1043" w:type="dxa"/>
          </w:tcPr>
          <w:p w14:paraId="3D7F7C4F" w14:textId="62B14FA1" w:rsidR="620E6D28" w:rsidRPr="00FE3C59" w:rsidRDefault="620E6D28" w:rsidP="620E6D28">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0010-0100</w:t>
            </w:r>
          </w:p>
        </w:tc>
        <w:tc>
          <w:tcPr>
            <w:tcW w:w="7973" w:type="dxa"/>
          </w:tcPr>
          <w:p w14:paraId="0AB7AA12" w14:textId="58BC60CC"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Unweighted sensitivities</w:t>
            </w:r>
          </w:p>
          <w:p w14:paraId="5880A932" w14:textId="0EC0A4E2" w:rsidR="620E6D28" w:rsidRPr="00FE3C59" w:rsidRDefault="0057239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 xml:space="preserve">The </w:t>
            </w:r>
            <w:r w:rsidR="00543999" w:rsidRPr="00FE3C59">
              <w:rPr>
                <w:rFonts w:ascii="Times New Roman" w:eastAsia="Segoe UI" w:hAnsi="Times New Roman" w:cs="Times New Roman"/>
                <w:color w:val="000000" w:themeColor="text1"/>
                <w:lang w:val="en-GB"/>
              </w:rPr>
              <w:t xml:space="preserve">net </w:t>
            </w:r>
            <w:r w:rsidR="60690231" w:rsidRPr="00FE3C59">
              <w:rPr>
                <w:rFonts w:ascii="Times New Roman" w:eastAsia="Segoe UI" w:hAnsi="Times New Roman" w:cs="Times New Roman"/>
                <w:color w:val="000000" w:themeColor="text1"/>
                <w:lang w:val="en-GB"/>
              </w:rPr>
              <w:t>sensitivities</w:t>
            </w:r>
            <w:r w:rsidR="00543999" w:rsidRPr="00FE3C59">
              <w:rPr>
                <w:rFonts w:ascii="Times New Roman" w:eastAsia="Segoe UI" w:hAnsi="Times New Roman" w:cs="Times New Roman"/>
                <w:color w:val="000000" w:themeColor="text1"/>
                <w:lang w:val="en-GB"/>
              </w:rPr>
              <w:t xml:space="preserve"> per risk factor,</w:t>
            </w:r>
            <w:r w:rsidR="60690231" w:rsidRPr="00FE3C59">
              <w:rPr>
                <w:rFonts w:ascii="Times New Roman" w:eastAsia="Segoe UI" w:hAnsi="Times New Roman" w:cs="Times New Roman"/>
                <w:color w:val="000000" w:themeColor="text1"/>
                <w:lang w:val="en-GB"/>
              </w:rPr>
              <w:t xml:space="preserve"> </w:t>
            </w:r>
            <w:r w:rsidRPr="00FE3C59">
              <w:rPr>
                <w:rFonts w:ascii="Times New Roman" w:eastAsia="Segoe UI" w:hAnsi="Times New Roman" w:cs="Times New Roman"/>
                <w:color w:val="000000" w:themeColor="text1"/>
                <w:lang w:val="en-GB"/>
              </w:rPr>
              <w:t>calculated in accordance with Articles 325n</w:t>
            </w:r>
            <w:r w:rsidR="006C2B83" w:rsidRPr="00FE3C59">
              <w:rPr>
                <w:rFonts w:ascii="Times New Roman" w:eastAsia="Segoe UI" w:hAnsi="Times New Roman" w:cs="Times New Roman"/>
                <w:color w:val="000000" w:themeColor="text1"/>
                <w:lang w:val="en-GB"/>
              </w:rPr>
              <w:t xml:space="preserve">, </w:t>
            </w:r>
            <w:r w:rsidRPr="00FE3C59">
              <w:rPr>
                <w:rFonts w:ascii="Times New Roman" w:eastAsia="Segoe UI" w:hAnsi="Times New Roman" w:cs="Times New Roman"/>
                <w:color w:val="000000" w:themeColor="text1"/>
                <w:lang w:val="en-GB"/>
              </w:rPr>
              <w:t xml:space="preserve">325r and </w:t>
            </w:r>
            <w:r w:rsidR="006C2B83" w:rsidRPr="00FE3C59">
              <w:rPr>
                <w:rFonts w:ascii="Times New Roman" w:eastAsia="Segoe UI" w:hAnsi="Times New Roman" w:cs="Times New Roman"/>
                <w:color w:val="000000" w:themeColor="text1"/>
                <w:lang w:val="en-GB"/>
              </w:rPr>
              <w:t>325s</w:t>
            </w:r>
            <w:r w:rsidRPr="00FE3C59">
              <w:rPr>
                <w:rFonts w:ascii="Times New Roman" w:eastAsia="Segoe UI" w:hAnsi="Times New Roman" w:cs="Times New Roman"/>
                <w:color w:val="000000" w:themeColor="text1"/>
                <w:lang w:val="en-GB"/>
              </w:rPr>
              <w:t xml:space="preserve"> of Regulation (EU) No 575/2013</w:t>
            </w:r>
            <w:r w:rsidR="00531231" w:rsidRPr="00FE3C59">
              <w:rPr>
                <w:rFonts w:ascii="Times New Roman" w:eastAsia="Segoe UI" w:hAnsi="Times New Roman" w:cs="Times New Roman"/>
                <w:color w:val="000000" w:themeColor="text1"/>
                <w:lang w:val="en-GB"/>
              </w:rPr>
              <w:t xml:space="preserve">, </w:t>
            </w:r>
            <w:r w:rsidR="60690231" w:rsidRPr="00FE3C59">
              <w:rPr>
                <w:rFonts w:ascii="Times New Roman" w:eastAsia="Segoe UI" w:hAnsi="Times New Roman" w:cs="Times New Roman"/>
                <w:color w:val="000000" w:themeColor="text1"/>
                <w:lang w:val="en-GB"/>
              </w:rPr>
              <w:t xml:space="preserve">before the application of the corresponding risk weights set out in </w:t>
            </w:r>
            <w:r w:rsidR="00EF18B2" w:rsidRPr="00FE3C59">
              <w:rPr>
                <w:rFonts w:ascii="Times New Roman" w:eastAsia="Segoe UI" w:hAnsi="Times New Roman" w:cs="Times New Roman"/>
                <w:color w:val="000000" w:themeColor="text1"/>
                <w:lang w:val="en-GB"/>
              </w:rPr>
              <w:t>Part Three, Title IV, Chapter 1a,</w:t>
            </w:r>
            <w:r w:rsidR="60690231" w:rsidRPr="00FE3C59">
              <w:rPr>
                <w:rFonts w:ascii="Times New Roman" w:eastAsia="Segoe UI" w:hAnsi="Times New Roman" w:cs="Times New Roman"/>
                <w:color w:val="000000" w:themeColor="text1"/>
                <w:lang w:val="en-GB"/>
              </w:rPr>
              <w:t xml:space="preserve"> </w:t>
            </w:r>
            <w:r w:rsidR="00182D3B" w:rsidRPr="00FE3C59">
              <w:rPr>
                <w:rFonts w:ascii="Times New Roman" w:eastAsia="Segoe UI" w:hAnsi="Times New Roman" w:cs="Times New Roman"/>
                <w:color w:val="000000" w:themeColor="text1"/>
                <w:lang w:val="en-GB"/>
              </w:rPr>
              <w:t xml:space="preserve">Section 6 </w:t>
            </w:r>
            <w:r w:rsidR="60690231" w:rsidRPr="00FE3C59">
              <w:rPr>
                <w:rFonts w:ascii="Times New Roman" w:eastAsia="Segoe UI" w:hAnsi="Times New Roman" w:cs="Times New Roman"/>
                <w:color w:val="000000" w:themeColor="text1"/>
                <w:lang w:val="en-GB"/>
              </w:rPr>
              <w:t>of Regulation (EU) No 575/2013</w:t>
            </w:r>
            <w:r w:rsidR="00531231" w:rsidRPr="00FE3C59">
              <w:rPr>
                <w:rFonts w:ascii="Times New Roman" w:eastAsia="Segoe UI" w:hAnsi="Times New Roman" w:cs="Times New Roman"/>
                <w:color w:val="000000" w:themeColor="text1"/>
                <w:lang w:val="en-GB"/>
              </w:rPr>
              <w:t>, shall be aggregated by bucket separately for delta</w:t>
            </w:r>
            <w:r w:rsidR="55732A3A" w:rsidRPr="00FE3C59">
              <w:rPr>
                <w:rFonts w:ascii="Times New Roman" w:eastAsia="Segoe UI" w:hAnsi="Times New Roman" w:cs="Times New Roman"/>
                <w:color w:val="000000" w:themeColor="text1"/>
                <w:lang w:val="en-GB"/>
              </w:rPr>
              <w:t xml:space="preserve"> and</w:t>
            </w:r>
            <w:r w:rsidR="00531231" w:rsidRPr="00FE3C59">
              <w:rPr>
                <w:rFonts w:ascii="Times New Roman" w:eastAsia="Segoe UI" w:hAnsi="Times New Roman" w:cs="Times New Roman"/>
                <w:color w:val="000000" w:themeColor="text1"/>
                <w:lang w:val="en-GB"/>
              </w:rPr>
              <w:t xml:space="preserve"> vega risk and reported in the applicable columns.</w:t>
            </w:r>
          </w:p>
        </w:tc>
      </w:tr>
      <w:tr w:rsidR="620E6D28" w:rsidRPr="00FE3C59" w14:paraId="029E783D" w14:textId="77777777" w:rsidTr="00465B03">
        <w:tc>
          <w:tcPr>
            <w:tcW w:w="1043" w:type="dxa"/>
          </w:tcPr>
          <w:p w14:paraId="539C0666" w14:textId="20954D0D" w:rsidR="620E6D28" w:rsidRPr="00FE3C59" w:rsidRDefault="620E6D28" w:rsidP="620E6D28">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0010-0050</w:t>
            </w:r>
          </w:p>
        </w:tc>
        <w:tc>
          <w:tcPr>
            <w:tcW w:w="7973" w:type="dxa"/>
          </w:tcPr>
          <w:p w14:paraId="59D0C94F" w14:textId="238B9A05"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Delta risk factors: Maturities</w:t>
            </w:r>
          </w:p>
          <w:p w14:paraId="1C7D3719" w14:textId="05ED0453" w:rsidR="620E6D28" w:rsidRPr="00FE3C59" w:rsidRDefault="073965F3" w:rsidP="00426642">
            <w:pPr>
              <w:pStyle w:val="BodyText"/>
              <w:spacing w:before="120" w:after="120" w:line="259" w:lineRule="auto"/>
              <w:rPr>
                <w:rFonts w:ascii="Times New Roman" w:eastAsia="Arial" w:hAnsi="Times New Roman" w:cs="Times New Roman"/>
                <w:color w:val="000000" w:themeColor="text1"/>
                <w:lang w:val="en-GB"/>
              </w:rPr>
            </w:pPr>
            <w:r w:rsidRPr="00FE3C59">
              <w:rPr>
                <w:rFonts w:ascii="Times New Roman" w:eastAsia="Arial" w:hAnsi="Times New Roman" w:cs="Times New Roman"/>
                <w:color w:val="000000" w:themeColor="text1"/>
                <w:lang w:val="en-GB"/>
              </w:rPr>
              <w:t>Articles 325e(1</w:t>
            </w:r>
            <w:r w:rsidR="00957F5F" w:rsidRPr="00FE3C59">
              <w:rPr>
                <w:rFonts w:ascii="Times New Roman" w:eastAsia="Arial" w:hAnsi="Times New Roman" w:cs="Times New Roman"/>
                <w:color w:val="000000" w:themeColor="text1"/>
                <w:lang w:val="en-GB"/>
              </w:rPr>
              <w:t>), point (</w:t>
            </w:r>
            <w:r w:rsidRPr="00FE3C59">
              <w:rPr>
                <w:rFonts w:ascii="Times New Roman" w:eastAsia="Arial" w:hAnsi="Times New Roman" w:cs="Times New Roman"/>
                <w:color w:val="000000" w:themeColor="text1"/>
                <w:lang w:val="en-GB"/>
              </w:rPr>
              <w:t>a), 325f(1</w:t>
            </w:r>
            <w:r w:rsidR="00957F5F" w:rsidRPr="00FE3C59">
              <w:rPr>
                <w:rFonts w:ascii="Times New Roman" w:eastAsia="Arial" w:hAnsi="Times New Roman" w:cs="Times New Roman"/>
                <w:color w:val="000000" w:themeColor="text1"/>
                <w:lang w:val="en-GB"/>
              </w:rPr>
              <w:t>) to (</w:t>
            </w:r>
            <w:r w:rsidRPr="00FE3C59">
              <w:rPr>
                <w:rFonts w:ascii="Times New Roman" w:eastAsia="Arial" w:hAnsi="Times New Roman" w:cs="Times New Roman"/>
                <w:color w:val="000000" w:themeColor="text1"/>
                <w:lang w:val="en-GB"/>
              </w:rPr>
              <w:t xml:space="preserve">5), </w:t>
            </w:r>
            <w:r w:rsidRPr="00FE3C59">
              <w:rPr>
                <w:rFonts w:ascii="Times New Roman" w:eastAsia="Segoe UI" w:hAnsi="Times New Roman" w:cs="Times New Roman"/>
                <w:color w:val="000000" w:themeColor="text1"/>
                <w:lang w:val="en-GB"/>
              </w:rPr>
              <w:t xml:space="preserve">325n(3) and </w:t>
            </w:r>
            <w:r w:rsidRPr="00FE3C59">
              <w:rPr>
                <w:rFonts w:ascii="Times New Roman" w:eastAsia="Arial" w:hAnsi="Times New Roman" w:cs="Times New Roman"/>
                <w:color w:val="000000" w:themeColor="text1"/>
                <w:lang w:val="en-GB"/>
              </w:rPr>
              <w:t>325r(2)</w:t>
            </w:r>
            <w:r w:rsidRPr="00FE3C59">
              <w:rPr>
                <w:rFonts w:ascii="Times New Roman" w:eastAsia="Segoe UI" w:hAnsi="Times New Roman" w:cs="Times New Roman"/>
                <w:color w:val="000000" w:themeColor="text1"/>
                <w:lang w:val="en-GB"/>
              </w:rPr>
              <w:t xml:space="preserve"> of Regulation (EU) No 575/2013</w:t>
            </w:r>
          </w:p>
        </w:tc>
      </w:tr>
      <w:tr w:rsidR="620E6D28" w:rsidRPr="00FE3C59" w14:paraId="379FCF47" w14:textId="77777777" w:rsidTr="00465B03">
        <w:tc>
          <w:tcPr>
            <w:tcW w:w="1043" w:type="dxa"/>
          </w:tcPr>
          <w:p w14:paraId="4B7D9EF0" w14:textId="0CC5F6BD" w:rsidR="620E6D28" w:rsidRPr="00FE3C59" w:rsidRDefault="620E6D28" w:rsidP="620E6D2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1AB412CF" w14:textId="5C177B2C"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0.5 years</w:t>
            </w:r>
          </w:p>
        </w:tc>
      </w:tr>
      <w:tr w:rsidR="620E6D28" w:rsidRPr="00FE3C59" w14:paraId="4854E55A" w14:textId="77777777" w:rsidTr="00465B03">
        <w:tc>
          <w:tcPr>
            <w:tcW w:w="1043" w:type="dxa"/>
          </w:tcPr>
          <w:p w14:paraId="0190D665" w14:textId="26D74CAB"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0020</w:t>
            </w:r>
          </w:p>
        </w:tc>
        <w:tc>
          <w:tcPr>
            <w:tcW w:w="7973" w:type="dxa"/>
          </w:tcPr>
          <w:p w14:paraId="62277F17" w14:textId="6928F149"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 year</w:t>
            </w:r>
          </w:p>
        </w:tc>
      </w:tr>
      <w:tr w:rsidR="620E6D28" w:rsidRPr="00FE3C59" w14:paraId="783201A2" w14:textId="77777777" w:rsidTr="00465B03">
        <w:tc>
          <w:tcPr>
            <w:tcW w:w="1043" w:type="dxa"/>
          </w:tcPr>
          <w:p w14:paraId="11A4AA3C" w14:textId="1590A9DB"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0030</w:t>
            </w:r>
          </w:p>
        </w:tc>
        <w:tc>
          <w:tcPr>
            <w:tcW w:w="7973" w:type="dxa"/>
          </w:tcPr>
          <w:p w14:paraId="1EB69B30" w14:textId="604274F3"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3 years</w:t>
            </w:r>
          </w:p>
        </w:tc>
      </w:tr>
      <w:tr w:rsidR="620E6D28" w:rsidRPr="00FE3C59" w14:paraId="65403873" w14:textId="77777777" w:rsidTr="00465B03">
        <w:tc>
          <w:tcPr>
            <w:tcW w:w="1043" w:type="dxa"/>
          </w:tcPr>
          <w:p w14:paraId="301B8F45" w14:textId="68E890E2"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0040</w:t>
            </w:r>
          </w:p>
        </w:tc>
        <w:tc>
          <w:tcPr>
            <w:tcW w:w="7973" w:type="dxa"/>
          </w:tcPr>
          <w:p w14:paraId="18696243" w14:textId="0FF948D6"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5 years</w:t>
            </w:r>
          </w:p>
        </w:tc>
      </w:tr>
      <w:tr w:rsidR="620E6D28" w:rsidRPr="00FE3C59" w14:paraId="55579874" w14:textId="77777777" w:rsidTr="00465B03">
        <w:tc>
          <w:tcPr>
            <w:tcW w:w="1043" w:type="dxa"/>
          </w:tcPr>
          <w:p w14:paraId="0BADB6F0" w14:textId="4DE14AA3"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0050</w:t>
            </w:r>
          </w:p>
        </w:tc>
        <w:tc>
          <w:tcPr>
            <w:tcW w:w="7973" w:type="dxa"/>
          </w:tcPr>
          <w:p w14:paraId="37E893ED" w14:textId="76C75739"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10 years</w:t>
            </w:r>
          </w:p>
        </w:tc>
      </w:tr>
      <w:tr w:rsidR="620E6D28" w:rsidRPr="00FE3C59" w14:paraId="1157B648" w14:textId="77777777" w:rsidTr="00465B03">
        <w:tc>
          <w:tcPr>
            <w:tcW w:w="1043" w:type="dxa"/>
          </w:tcPr>
          <w:p w14:paraId="13FE0A34" w14:textId="1009B479"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0060-0100</w:t>
            </w:r>
          </w:p>
        </w:tc>
        <w:tc>
          <w:tcPr>
            <w:tcW w:w="7973" w:type="dxa"/>
          </w:tcPr>
          <w:p w14:paraId="58234A7C" w14:textId="28F2E419"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Vega risk factors: Maturities</w:t>
            </w:r>
          </w:p>
          <w:p w14:paraId="2487546F" w14:textId="1CAB0516" w:rsidR="620E6D28" w:rsidRPr="00FE3C59" w:rsidRDefault="60690231" w:rsidP="00426642">
            <w:pPr>
              <w:pStyle w:val="BodyText"/>
              <w:spacing w:before="120" w:after="120" w:line="259" w:lineRule="auto"/>
              <w:rPr>
                <w:rFonts w:ascii="Times New Roman" w:eastAsia="Arial" w:hAnsi="Times New Roman" w:cs="Times New Roman"/>
                <w:color w:val="000000" w:themeColor="text1"/>
                <w:lang w:val="en-GB"/>
              </w:rPr>
            </w:pPr>
            <w:r w:rsidRPr="00FE3C59">
              <w:rPr>
                <w:rFonts w:ascii="Times New Roman" w:eastAsia="Arial" w:hAnsi="Times New Roman" w:cs="Times New Roman"/>
                <w:color w:val="000000" w:themeColor="text1"/>
                <w:lang w:val="en-GB"/>
              </w:rPr>
              <w:t>Articles 325e(1</w:t>
            </w:r>
            <w:r w:rsidR="00957F5F" w:rsidRPr="00FE3C59">
              <w:rPr>
                <w:rFonts w:ascii="Times New Roman" w:eastAsia="Arial" w:hAnsi="Times New Roman" w:cs="Times New Roman"/>
                <w:color w:val="000000" w:themeColor="text1"/>
                <w:lang w:val="en-GB"/>
              </w:rPr>
              <w:t>), point (</w:t>
            </w:r>
            <w:r w:rsidRPr="00FE3C59">
              <w:rPr>
                <w:rFonts w:ascii="Times New Roman" w:eastAsia="Arial" w:hAnsi="Times New Roman" w:cs="Times New Roman"/>
                <w:color w:val="000000" w:themeColor="text1"/>
                <w:lang w:val="en-GB"/>
              </w:rPr>
              <w:t>b), 325f(1</w:t>
            </w:r>
            <w:r w:rsidR="00957F5F" w:rsidRPr="00FE3C59">
              <w:rPr>
                <w:rFonts w:ascii="Times New Roman" w:eastAsia="Arial" w:hAnsi="Times New Roman" w:cs="Times New Roman"/>
                <w:color w:val="000000" w:themeColor="text1"/>
                <w:lang w:val="en-GB"/>
              </w:rPr>
              <w:t>) to (</w:t>
            </w:r>
            <w:r w:rsidRPr="00FE3C59">
              <w:rPr>
                <w:rFonts w:ascii="Times New Roman" w:eastAsia="Arial" w:hAnsi="Times New Roman" w:cs="Times New Roman"/>
                <w:color w:val="000000" w:themeColor="text1"/>
                <w:lang w:val="en-GB"/>
              </w:rPr>
              <w:t xml:space="preserve">5), </w:t>
            </w:r>
            <w:r w:rsidR="00E914C3" w:rsidRPr="00FE3C59">
              <w:rPr>
                <w:rFonts w:ascii="Times New Roman" w:eastAsia="Segoe UI" w:hAnsi="Times New Roman" w:cs="Times New Roman"/>
                <w:color w:val="000000" w:themeColor="text1"/>
                <w:lang w:val="en-GB"/>
              </w:rPr>
              <w:t>Article</w:t>
            </w:r>
            <w:r w:rsidRPr="00FE3C59">
              <w:rPr>
                <w:rFonts w:ascii="Times New Roman" w:eastAsia="Segoe UI" w:hAnsi="Times New Roman" w:cs="Times New Roman"/>
                <w:color w:val="000000" w:themeColor="text1"/>
                <w:lang w:val="en-GB"/>
              </w:rPr>
              <w:t xml:space="preserve"> 325n(3) and </w:t>
            </w:r>
            <w:r w:rsidRPr="00FE3C59">
              <w:rPr>
                <w:rFonts w:ascii="Times New Roman" w:eastAsia="Arial" w:hAnsi="Times New Roman" w:cs="Times New Roman"/>
                <w:color w:val="000000" w:themeColor="text1"/>
                <w:lang w:val="en-GB"/>
              </w:rPr>
              <w:t>325s</w:t>
            </w:r>
            <w:r w:rsidRPr="00FE3C59">
              <w:rPr>
                <w:rFonts w:ascii="Times New Roman" w:eastAsia="Segoe UI" w:hAnsi="Times New Roman" w:cs="Times New Roman"/>
                <w:color w:val="000000" w:themeColor="text1"/>
                <w:lang w:val="en-GB"/>
              </w:rPr>
              <w:t xml:space="preserve"> of Regulation (EU) No 575/2013</w:t>
            </w:r>
          </w:p>
        </w:tc>
      </w:tr>
      <w:tr w:rsidR="620E6D28" w:rsidRPr="00FE3C59" w14:paraId="19ABE80D" w14:textId="77777777" w:rsidTr="00465B03">
        <w:tc>
          <w:tcPr>
            <w:tcW w:w="1043" w:type="dxa"/>
          </w:tcPr>
          <w:p w14:paraId="56461D71" w14:textId="12C72C54" w:rsidR="620E6D28" w:rsidRPr="00FE3C59" w:rsidRDefault="620E6D28" w:rsidP="620E6D28">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540A4E14" w14:textId="50E4A167"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0.5 years</w:t>
            </w:r>
          </w:p>
        </w:tc>
      </w:tr>
      <w:tr w:rsidR="620E6D28" w:rsidRPr="00FE3C59" w14:paraId="1E9F09A5" w14:textId="77777777" w:rsidTr="00465B03">
        <w:tc>
          <w:tcPr>
            <w:tcW w:w="1043" w:type="dxa"/>
          </w:tcPr>
          <w:p w14:paraId="4DE193D8" w14:textId="509D8744"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0070</w:t>
            </w:r>
          </w:p>
        </w:tc>
        <w:tc>
          <w:tcPr>
            <w:tcW w:w="7973" w:type="dxa"/>
          </w:tcPr>
          <w:p w14:paraId="73031A7A" w14:textId="1C5A4AC8"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 year</w:t>
            </w:r>
          </w:p>
        </w:tc>
      </w:tr>
      <w:tr w:rsidR="620E6D28" w:rsidRPr="00FE3C59" w14:paraId="3B0F94D3" w14:textId="77777777" w:rsidTr="00465B03">
        <w:tc>
          <w:tcPr>
            <w:tcW w:w="1043" w:type="dxa"/>
          </w:tcPr>
          <w:p w14:paraId="2CFB30EC" w14:textId="1A52F97C"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0080</w:t>
            </w:r>
          </w:p>
        </w:tc>
        <w:tc>
          <w:tcPr>
            <w:tcW w:w="7973" w:type="dxa"/>
          </w:tcPr>
          <w:p w14:paraId="4DE5708E" w14:textId="33BB6EBA"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3 years</w:t>
            </w:r>
          </w:p>
        </w:tc>
      </w:tr>
      <w:tr w:rsidR="620E6D28" w:rsidRPr="00FE3C59" w14:paraId="57092F4B" w14:textId="77777777" w:rsidTr="00465B03">
        <w:tc>
          <w:tcPr>
            <w:tcW w:w="1043" w:type="dxa"/>
          </w:tcPr>
          <w:p w14:paraId="62DB7BB2" w14:textId="3D48780C"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0090</w:t>
            </w:r>
          </w:p>
        </w:tc>
        <w:tc>
          <w:tcPr>
            <w:tcW w:w="7973" w:type="dxa"/>
          </w:tcPr>
          <w:p w14:paraId="1135561C" w14:textId="12FABCCD"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5 years</w:t>
            </w:r>
          </w:p>
        </w:tc>
      </w:tr>
      <w:tr w:rsidR="620E6D28" w:rsidRPr="00FE3C59" w14:paraId="650674CA" w14:textId="77777777" w:rsidTr="00465B03">
        <w:tc>
          <w:tcPr>
            <w:tcW w:w="1043" w:type="dxa"/>
          </w:tcPr>
          <w:p w14:paraId="79383145" w14:textId="76477C0D"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0100</w:t>
            </w:r>
          </w:p>
        </w:tc>
        <w:tc>
          <w:tcPr>
            <w:tcW w:w="7973" w:type="dxa"/>
          </w:tcPr>
          <w:p w14:paraId="3F8EA23A" w14:textId="0485227C"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10 years</w:t>
            </w:r>
          </w:p>
        </w:tc>
      </w:tr>
      <w:tr w:rsidR="620E6D28" w:rsidRPr="00FE3C59" w14:paraId="5F5E1A57" w14:textId="77777777" w:rsidTr="00465B03">
        <w:tc>
          <w:tcPr>
            <w:tcW w:w="1043" w:type="dxa"/>
          </w:tcPr>
          <w:p w14:paraId="5328825C" w14:textId="0270E366"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0110-0200</w:t>
            </w:r>
          </w:p>
        </w:tc>
        <w:tc>
          <w:tcPr>
            <w:tcW w:w="7973" w:type="dxa"/>
          </w:tcPr>
          <w:p w14:paraId="36D7B95A" w14:textId="779476D0"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Weighted sensitivities</w:t>
            </w:r>
          </w:p>
          <w:p w14:paraId="186E7AEA" w14:textId="470FCE16" w:rsidR="620E6D28" w:rsidRPr="00FE3C59" w:rsidRDefault="00E914C3"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w:t>
            </w:r>
            <w:r w:rsidR="620E6D28" w:rsidRPr="00FE3C59">
              <w:rPr>
                <w:rFonts w:ascii="Times New Roman" w:eastAsia="Segoe UI" w:hAnsi="Times New Roman" w:cs="Times New Roman"/>
                <w:color w:val="000000" w:themeColor="text1"/>
                <w:lang w:val="en-GB"/>
              </w:rPr>
              <w:t xml:space="preserve"> 325f(6) of Regulation (EU) No 575/2013</w:t>
            </w:r>
          </w:p>
          <w:p w14:paraId="79F648F8" w14:textId="35A36DF3" w:rsidR="620E6D28" w:rsidRPr="00FE3C59" w:rsidRDefault="00AC59DE" w:rsidP="00426642">
            <w:pPr>
              <w:pStyle w:val="BodyText"/>
              <w:spacing w:before="120" w:after="120" w:line="259" w:lineRule="auto"/>
              <w:rPr>
                <w:rFonts w:ascii="Times New Roman" w:eastAsia="Arial" w:hAnsi="Times New Roman" w:cs="Times New Roman"/>
                <w:color w:val="000000" w:themeColor="text1"/>
                <w:lang w:val="en-GB"/>
              </w:rPr>
            </w:pPr>
            <w:r w:rsidRPr="00FE3C59">
              <w:rPr>
                <w:rFonts w:ascii="Times New Roman" w:eastAsia="Segoe UI" w:hAnsi="Times New Roman" w:cs="Times New Roman"/>
                <w:color w:val="000000" w:themeColor="text1"/>
                <w:lang w:val="en-GB"/>
              </w:rPr>
              <w:t xml:space="preserve">The </w:t>
            </w:r>
            <w:r w:rsidR="007975C9" w:rsidRPr="00FE3C59">
              <w:rPr>
                <w:rFonts w:ascii="Times New Roman" w:eastAsia="Segoe UI" w:hAnsi="Times New Roman" w:cs="Times New Roman"/>
                <w:color w:val="000000" w:themeColor="text1"/>
                <w:lang w:val="en-GB"/>
              </w:rPr>
              <w:t xml:space="preserve">net </w:t>
            </w:r>
            <w:r w:rsidR="620E6D28" w:rsidRPr="00FE3C59">
              <w:rPr>
                <w:rFonts w:ascii="Times New Roman" w:eastAsia="Segoe UI" w:hAnsi="Times New Roman" w:cs="Times New Roman"/>
                <w:color w:val="000000" w:themeColor="text1"/>
                <w:lang w:val="en-GB"/>
              </w:rPr>
              <w:t xml:space="preserve">sensitivities </w:t>
            </w:r>
            <w:r w:rsidR="007975C9" w:rsidRPr="00FE3C59">
              <w:rPr>
                <w:rFonts w:ascii="Times New Roman" w:eastAsia="Segoe UI" w:hAnsi="Times New Roman" w:cs="Times New Roman"/>
                <w:color w:val="000000" w:themeColor="text1"/>
                <w:lang w:val="en-GB"/>
              </w:rPr>
              <w:t>per risk factor, calculated in accordance with Articles 325n</w:t>
            </w:r>
            <w:r w:rsidR="00F129CE" w:rsidRPr="00FE3C59">
              <w:rPr>
                <w:rFonts w:ascii="Times New Roman" w:hAnsi="Times New Roman" w:cs="Times New Roman"/>
                <w:lang w:val="en-GB"/>
              </w:rPr>
              <w:t xml:space="preserve">, 325r </w:t>
            </w:r>
            <w:r w:rsidR="007975C9" w:rsidRPr="00FE3C59">
              <w:rPr>
                <w:rFonts w:ascii="Times New Roman" w:hAnsi="Times New Roman" w:cs="Times New Roman"/>
                <w:lang w:val="en-GB"/>
              </w:rPr>
              <w:t xml:space="preserve">and </w:t>
            </w:r>
            <w:r w:rsidR="00F129CE" w:rsidRPr="00FE3C59">
              <w:rPr>
                <w:rFonts w:ascii="Times New Roman" w:hAnsi="Times New Roman" w:cs="Times New Roman"/>
                <w:lang w:val="en-GB"/>
              </w:rPr>
              <w:t>325s</w:t>
            </w:r>
            <w:r w:rsidR="007975C9" w:rsidRPr="00FE3C59">
              <w:rPr>
                <w:rFonts w:ascii="Times New Roman" w:hAnsi="Times New Roman" w:cs="Times New Roman"/>
                <w:lang w:val="en-GB"/>
              </w:rPr>
              <w:t xml:space="preserve"> </w:t>
            </w:r>
            <w:r w:rsidR="007975C9" w:rsidRPr="00FE3C59">
              <w:rPr>
                <w:rFonts w:ascii="Times New Roman" w:eastAsia="Segoe UI" w:hAnsi="Times New Roman" w:cs="Times New Roman"/>
                <w:color w:val="000000" w:themeColor="text1"/>
                <w:lang w:val="en-GB"/>
              </w:rPr>
              <w:t xml:space="preserve">of Regulation (EU) No 575/2013, </w:t>
            </w:r>
            <w:r w:rsidR="001047C0" w:rsidRPr="00FE3C59">
              <w:rPr>
                <w:rFonts w:ascii="Times New Roman" w:eastAsia="Segoe UI" w:hAnsi="Times New Roman" w:cs="Times New Roman"/>
                <w:color w:val="000000" w:themeColor="text1"/>
                <w:lang w:val="en-GB"/>
              </w:rPr>
              <w:t>and weighted by</w:t>
            </w:r>
            <w:r w:rsidR="620E6D28" w:rsidRPr="00FE3C59">
              <w:rPr>
                <w:rFonts w:ascii="Times New Roman" w:eastAsia="Segoe UI" w:hAnsi="Times New Roman" w:cs="Times New Roman"/>
                <w:color w:val="000000" w:themeColor="text1"/>
                <w:lang w:val="en-GB"/>
              </w:rPr>
              <w:t xml:space="preserve"> the corresponding risk weights set out in </w:t>
            </w:r>
            <w:r w:rsidR="00E914C3" w:rsidRPr="00FE3C59">
              <w:rPr>
                <w:rFonts w:ascii="Times New Roman" w:eastAsia="Segoe UI" w:hAnsi="Times New Roman" w:cs="Times New Roman"/>
                <w:color w:val="000000" w:themeColor="text1"/>
                <w:lang w:val="en-GB"/>
              </w:rPr>
              <w:t>Article</w:t>
            </w:r>
            <w:r w:rsidRPr="00FE3C59">
              <w:rPr>
                <w:rFonts w:ascii="Times New Roman" w:eastAsia="Segoe UI" w:hAnsi="Times New Roman" w:cs="Times New Roman"/>
                <w:color w:val="000000" w:themeColor="text1"/>
                <w:lang w:val="en-GB"/>
              </w:rPr>
              <w:t>s</w:t>
            </w:r>
            <w:r w:rsidR="620E6D28" w:rsidRPr="00FE3C59">
              <w:rPr>
                <w:rFonts w:ascii="Times New Roman" w:eastAsia="Segoe UI" w:hAnsi="Times New Roman" w:cs="Times New Roman"/>
                <w:color w:val="000000" w:themeColor="text1"/>
                <w:lang w:val="en-GB"/>
              </w:rPr>
              <w:t xml:space="preserve"> 325ak and 325ax of Regulation (EU) No 575/2013</w:t>
            </w:r>
            <w:r w:rsidR="001047C0" w:rsidRPr="00FE3C59">
              <w:rPr>
                <w:rFonts w:ascii="Times New Roman" w:eastAsia="Segoe UI" w:hAnsi="Times New Roman" w:cs="Times New Roman"/>
                <w:color w:val="000000" w:themeColor="text1"/>
                <w:lang w:val="en-GB"/>
              </w:rPr>
              <w:t>, shall be aggregated by bucket separately for delta</w:t>
            </w:r>
            <w:r w:rsidR="5ED0C035" w:rsidRPr="00FE3C59">
              <w:rPr>
                <w:rFonts w:ascii="Times New Roman" w:eastAsia="Segoe UI" w:hAnsi="Times New Roman" w:cs="Times New Roman"/>
                <w:color w:val="000000" w:themeColor="text1"/>
                <w:lang w:val="en-GB"/>
              </w:rPr>
              <w:t xml:space="preserve"> and</w:t>
            </w:r>
            <w:r w:rsidR="001047C0" w:rsidRPr="00FE3C59">
              <w:rPr>
                <w:rFonts w:ascii="Times New Roman" w:eastAsia="Segoe UI" w:hAnsi="Times New Roman" w:cs="Times New Roman"/>
                <w:color w:val="000000" w:themeColor="text1"/>
                <w:lang w:val="en-GB"/>
              </w:rPr>
              <w:t xml:space="preserve"> vega risk and </w:t>
            </w:r>
            <w:r w:rsidR="00387D8B" w:rsidRPr="00FE3C59">
              <w:rPr>
                <w:rFonts w:ascii="Times New Roman" w:eastAsia="Segoe UI" w:hAnsi="Times New Roman" w:cs="Times New Roman"/>
                <w:color w:val="000000" w:themeColor="text1"/>
                <w:lang w:val="en-GB"/>
              </w:rPr>
              <w:t>be reported in the applicable columns</w:t>
            </w:r>
            <w:r w:rsidR="620E6D28" w:rsidRPr="00FE3C59">
              <w:rPr>
                <w:rFonts w:ascii="Times New Roman" w:eastAsia="Segoe UI" w:hAnsi="Times New Roman" w:cs="Times New Roman"/>
                <w:color w:val="000000" w:themeColor="text1"/>
                <w:lang w:val="en-GB"/>
              </w:rPr>
              <w:t>.</w:t>
            </w:r>
          </w:p>
        </w:tc>
      </w:tr>
      <w:tr w:rsidR="620E6D28" w:rsidRPr="00FE3C59" w14:paraId="0A0B4DDB" w14:textId="77777777" w:rsidTr="00465B03">
        <w:tc>
          <w:tcPr>
            <w:tcW w:w="1043" w:type="dxa"/>
          </w:tcPr>
          <w:p w14:paraId="308CB4FF" w14:textId="123839AB" w:rsidR="620E6D28" w:rsidRPr="00FE3C59" w:rsidRDefault="620E6D28" w:rsidP="620E6D28">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0110-0150</w:t>
            </w:r>
          </w:p>
        </w:tc>
        <w:tc>
          <w:tcPr>
            <w:tcW w:w="7973" w:type="dxa"/>
          </w:tcPr>
          <w:p w14:paraId="792AF1F3" w14:textId="74C4E0C9"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Delta risk factors: Maturities</w:t>
            </w:r>
          </w:p>
          <w:p w14:paraId="34586D7A" w14:textId="2D05DA92" w:rsidR="620E6D28" w:rsidRPr="00FE3C59" w:rsidRDefault="60690231" w:rsidP="00426642">
            <w:pPr>
              <w:pStyle w:val="BodyText"/>
              <w:spacing w:before="120" w:after="120" w:line="259" w:lineRule="auto"/>
              <w:rPr>
                <w:rFonts w:ascii="Times New Roman" w:eastAsia="Arial" w:hAnsi="Times New Roman" w:cs="Times New Roman"/>
                <w:color w:val="000000" w:themeColor="text1"/>
                <w:lang w:val="en-GB"/>
              </w:rPr>
            </w:pPr>
            <w:r w:rsidRPr="00FE3C59">
              <w:rPr>
                <w:rFonts w:ascii="Times New Roman" w:eastAsia="Arial" w:hAnsi="Times New Roman" w:cs="Times New Roman"/>
                <w:color w:val="000000" w:themeColor="text1"/>
                <w:lang w:val="en-GB"/>
              </w:rPr>
              <w:t>Articles 325e(1</w:t>
            </w:r>
            <w:r w:rsidR="00957F5F" w:rsidRPr="00FE3C59">
              <w:rPr>
                <w:rFonts w:ascii="Times New Roman" w:eastAsia="Arial" w:hAnsi="Times New Roman" w:cs="Times New Roman"/>
                <w:color w:val="000000" w:themeColor="text1"/>
                <w:lang w:val="en-GB"/>
              </w:rPr>
              <w:t>), point (</w:t>
            </w:r>
            <w:r w:rsidRPr="00FE3C59">
              <w:rPr>
                <w:rFonts w:ascii="Times New Roman" w:eastAsia="Arial" w:hAnsi="Times New Roman" w:cs="Times New Roman"/>
                <w:color w:val="000000" w:themeColor="text1"/>
                <w:lang w:val="en-GB"/>
              </w:rPr>
              <w:t>a), 325f(1</w:t>
            </w:r>
            <w:r w:rsidR="00957F5F" w:rsidRPr="00FE3C59">
              <w:rPr>
                <w:rFonts w:ascii="Times New Roman" w:eastAsia="Arial" w:hAnsi="Times New Roman" w:cs="Times New Roman"/>
                <w:color w:val="000000" w:themeColor="text1"/>
                <w:lang w:val="en-GB"/>
              </w:rPr>
              <w:t>) to (</w:t>
            </w:r>
            <w:r w:rsidRPr="00FE3C59">
              <w:rPr>
                <w:rFonts w:ascii="Times New Roman" w:eastAsia="Arial" w:hAnsi="Times New Roman" w:cs="Times New Roman"/>
                <w:color w:val="000000" w:themeColor="text1"/>
                <w:lang w:val="en-GB"/>
              </w:rPr>
              <w:t xml:space="preserve">5), </w:t>
            </w:r>
            <w:r w:rsidRPr="00FE3C59">
              <w:rPr>
                <w:rFonts w:ascii="Times New Roman" w:eastAsia="Segoe UI" w:hAnsi="Times New Roman" w:cs="Times New Roman"/>
                <w:color w:val="000000" w:themeColor="text1"/>
                <w:lang w:val="en-GB"/>
              </w:rPr>
              <w:t xml:space="preserve">325n(3), </w:t>
            </w:r>
            <w:r w:rsidRPr="00FE3C59">
              <w:rPr>
                <w:rFonts w:ascii="Times New Roman" w:eastAsia="Arial" w:hAnsi="Times New Roman" w:cs="Times New Roman"/>
                <w:color w:val="000000" w:themeColor="text1"/>
                <w:lang w:val="en-GB"/>
              </w:rPr>
              <w:t>325r(2)</w:t>
            </w:r>
            <w:r w:rsidRPr="00FE3C59">
              <w:rPr>
                <w:rFonts w:ascii="Times New Roman" w:eastAsia="Segoe UI" w:hAnsi="Times New Roman" w:cs="Times New Roman"/>
                <w:color w:val="000000" w:themeColor="text1"/>
                <w:lang w:val="en-GB"/>
              </w:rPr>
              <w:t xml:space="preserve"> and 325ak of Regulation (EU) No 575/2013</w:t>
            </w:r>
          </w:p>
        </w:tc>
      </w:tr>
      <w:tr w:rsidR="620E6D28" w:rsidRPr="00FE3C59" w14:paraId="0F5A640B" w14:textId="77777777" w:rsidTr="00465B03">
        <w:tc>
          <w:tcPr>
            <w:tcW w:w="1043" w:type="dxa"/>
          </w:tcPr>
          <w:p w14:paraId="2B10D8CB" w14:textId="46E17369" w:rsidR="620E6D28" w:rsidRPr="00FE3C59" w:rsidRDefault="620E6D28" w:rsidP="620E6D28">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tcPr>
          <w:p w14:paraId="11BAF44A" w14:textId="47D6B4E5" w:rsidR="620E6D28" w:rsidRPr="00FE3C59" w:rsidRDefault="620E6D28" w:rsidP="620E6D28">
            <w:pPr>
              <w:pStyle w:val="BodyText"/>
              <w:spacing w:before="120" w:after="120" w:line="288"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0.5 years</w:t>
            </w:r>
          </w:p>
        </w:tc>
      </w:tr>
      <w:tr w:rsidR="620E6D28" w:rsidRPr="00FE3C59" w14:paraId="5CB059C9" w14:textId="77777777" w:rsidTr="00465B03">
        <w:tc>
          <w:tcPr>
            <w:tcW w:w="1043" w:type="dxa"/>
          </w:tcPr>
          <w:p w14:paraId="22FBFF0A" w14:textId="38828428"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0120</w:t>
            </w:r>
          </w:p>
        </w:tc>
        <w:tc>
          <w:tcPr>
            <w:tcW w:w="7973" w:type="dxa"/>
          </w:tcPr>
          <w:p w14:paraId="6EBC5A29" w14:textId="4103B1AB"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 year</w:t>
            </w:r>
          </w:p>
        </w:tc>
      </w:tr>
      <w:tr w:rsidR="620E6D28" w:rsidRPr="00FE3C59" w14:paraId="5A61D84D" w14:textId="77777777" w:rsidTr="00465B03">
        <w:tc>
          <w:tcPr>
            <w:tcW w:w="1043" w:type="dxa"/>
          </w:tcPr>
          <w:p w14:paraId="0FA3FBF8" w14:textId="2F6649A3"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0130</w:t>
            </w:r>
          </w:p>
        </w:tc>
        <w:tc>
          <w:tcPr>
            <w:tcW w:w="7973" w:type="dxa"/>
          </w:tcPr>
          <w:p w14:paraId="5F4EC9DC" w14:textId="5A9F210F"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3 years</w:t>
            </w:r>
          </w:p>
        </w:tc>
      </w:tr>
      <w:tr w:rsidR="620E6D28" w:rsidRPr="00FE3C59" w14:paraId="1866D6D9" w14:textId="77777777" w:rsidTr="00465B03">
        <w:tc>
          <w:tcPr>
            <w:tcW w:w="1043" w:type="dxa"/>
          </w:tcPr>
          <w:p w14:paraId="12377E97" w14:textId="0669F957"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0140</w:t>
            </w:r>
          </w:p>
        </w:tc>
        <w:tc>
          <w:tcPr>
            <w:tcW w:w="7973" w:type="dxa"/>
          </w:tcPr>
          <w:p w14:paraId="59AB1B52" w14:textId="58078E96"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5 years</w:t>
            </w:r>
          </w:p>
        </w:tc>
      </w:tr>
      <w:tr w:rsidR="620E6D28" w:rsidRPr="00FE3C59" w14:paraId="0FE71B2C" w14:textId="77777777" w:rsidTr="00465B03">
        <w:tc>
          <w:tcPr>
            <w:tcW w:w="1043" w:type="dxa"/>
          </w:tcPr>
          <w:p w14:paraId="193BA9E8" w14:textId="3ED46271"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0150</w:t>
            </w:r>
          </w:p>
        </w:tc>
        <w:tc>
          <w:tcPr>
            <w:tcW w:w="7973" w:type="dxa"/>
          </w:tcPr>
          <w:p w14:paraId="64BBBCF3" w14:textId="21688777"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10 years</w:t>
            </w:r>
          </w:p>
        </w:tc>
      </w:tr>
      <w:tr w:rsidR="620E6D28" w:rsidRPr="00FE3C59" w14:paraId="773EF64F" w14:textId="77777777" w:rsidTr="00465B03">
        <w:tc>
          <w:tcPr>
            <w:tcW w:w="1043" w:type="dxa"/>
          </w:tcPr>
          <w:p w14:paraId="1C1F0ED1" w14:textId="774EBC9A"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0160-0200</w:t>
            </w:r>
          </w:p>
        </w:tc>
        <w:tc>
          <w:tcPr>
            <w:tcW w:w="7973" w:type="dxa"/>
          </w:tcPr>
          <w:p w14:paraId="52C714CF" w14:textId="495BB086"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Vega risk factors: Maturities</w:t>
            </w:r>
          </w:p>
          <w:p w14:paraId="40EFDF3F" w14:textId="3B07E5DE" w:rsidR="620E6D28" w:rsidRPr="00FE3C59" w:rsidRDefault="60690231" w:rsidP="00426642">
            <w:pPr>
              <w:pStyle w:val="BodyText"/>
              <w:spacing w:before="120" w:after="120" w:line="259" w:lineRule="auto"/>
              <w:rPr>
                <w:rFonts w:ascii="Times New Roman" w:hAnsi="Times New Roman" w:cs="Times New Roman"/>
                <w:color w:val="000000" w:themeColor="text1"/>
                <w:lang w:val="en-GB"/>
              </w:rPr>
            </w:pPr>
            <w:r w:rsidRPr="00FE3C59">
              <w:rPr>
                <w:rFonts w:ascii="Times New Roman" w:eastAsia="Arial" w:hAnsi="Times New Roman" w:cs="Times New Roman"/>
                <w:color w:val="000000" w:themeColor="text1"/>
                <w:lang w:val="en-GB"/>
              </w:rPr>
              <w:t>Articles 325e(1)</w:t>
            </w:r>
            <w:r w:rsidR="00880D9C" w:rsidRPr="00FE3C59">
              <w:rPr>
                <w:rFonts w:ascii="Times New Roman" w:eastAsia="Arial" w:hAnsi="Times New Roman" w:cs="Times New Roman"/>
                <w:color w:val="000000" w:themeColor="text1"/>
                <w:lang w:val="en-GB"/>
              </w:rPr>
              <w:t xml:space="preserve">, point </w:t>
            </w:r>
            <w:r w:rsidRPr="00FE3C59">
              <w:rPr>
                <w:rFonts w:ascii="Times New Roman" w:eastAsia="Arial" w:hAnsi="Times New Roman" w:cs="Times New Roman"/>
                <w:color w:val="000000" w:themeColor="text1"/>
                <w:lang w:val="en-GB"/>
              </w:rPr>
              <w:t>(b), 325f(1</w:t>
            </w:r>
            <w:r w:rsidR="00957F5F" w:rsidRPr="00FE3C59">
              <w:rPr>
                <w:rFonts w:ascii="Times New Roman" w:eastAsia="Arial" w:hAnsi="Times New Roman" w:cs="Times New Roman"/>
                <w:color w:val="000000" w:themeColor="text1"/>
                <w:lang w:val="en-GB"/>
              </w:rPr>
              <w:t>) to (</w:t>
            </w:r>
            <w:r w:rsidRPr="00FE3C59">
              <w:rPr>
                <w:rFonts w:ascii="Times New Roman" w:eastAsia="Arial" w:hAnsi="Times New Roman" w:cs="Times New Roman"/>
                <w:color w:val="000000" w:themeColor="text1"/>
                <w:lang w:val="en-GB"/>
              </w:rPr>
              <w:t xml:space="preserve">5), </w:t>
            </w:r>
            <w:r w:rsidRPr="00FE3C59">
              <w:rPr>
                <w:rFonts w:ascii="Times New Roman" w:eastAsia="Segoe UI" w:hAnsi="Times New Roman" w:cs="Times New Roman"/>
                <w:color w:val="000000" w:themeColor="text1"/>
                <w:lang w:val="en-GB"/>
              </w:rPr>
              <w:t xml:space="preserve">325n(3), </w:t>
            </w:r>
            <w:r w:rsidRPr="00FE3C59">
              <w:rPr>
                <w:rFonts w:ascii="Times New Roman" w:eastAsia="Arial" w:hAnsi="Times New Roman" w:cs="Times New Roman"/>
                <w:color w:val="000000" w:themeColor="text1"/>
                <w:lang w:val="en-GB"/>
              </w:rPr>
              <w:t>325r(2)</w:t>
            </w:r>
            <w:r w:rsidRPr="00FE3C59">
              <w:rPr>
                <w:rFonts w:ascii="Times New Roman" w:eastAsia="Segoe UI" w:hAnsi="Times New Roman" w:cs="Times New Roman"/>
                <w:color w:val="000000" w:themeColor="text1"/>
                <w:lang w:val="en-GB"/>
              </w:rPr>
              <w:t xml:space="preserve"> and 325ax of Regulation (EU) No 575/2013</w:t>
            </w:r>
          </w:p>
        </w:tc>
      </w:tr>
      <w:tr w:rsidR="620E6D28" w:rsidRPr="00FE3C59" w14:paraId="5D2797DD" w14:textId="77777777" w:rsidTr="00465B03">
        <w:tc>
          <w:tcPr>
            <w:tcW w:w="1043" w:type="dxa"/>
          </w:tcPr>
          <w:p w14:paraId="1B6D72CC" w14:textId="3403DE14" w:rsidR="620E6D28" w:rsidRPr="00FE3C59" w:rsidRDefault="620E6D28" w:rsidP="620E6D28">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73" w:type="dxa"/>
          </w:tcPr>
          <w:p w14:paraId="7E7A8EF0" w14:textId="6AF9DF9A"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0.5 years</w:t>
            </w:r>
          </w:p>
        </w:tc>
      </w:tr>
      <w:tr w:rsidR="620E6D28" w:rsidRPr="00FE3C59" w14:paraId="5B675A12" w14:textId="77777777" w:rsidTr="00465B03">
        <w:tc>
          <w:tcPr>
            <w:tcW w:w="1043" w:type="dxa"/>
          </w:tcPr>
          <w:p w14:paraId="3138C084" w14:textId="789FD7D6"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0170</w:t>
            </w:r>
          </w:p>
        </w:tc>
        <w:tc>
          <w:tcPr>
            <w:tcW w:w="7973" w:type="dxa"/>
          </w:tcPr>
          <w:p w14:paraId="74AD63B5" w14:textId="07D0410D"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 year</w:t>
            </w:r>
          </w:p>
        </w:tc>
      </w:tr>
      <w:tr w:rsidR="620E6D28" w:rsidRPr="00FE3C59" w14:paraId="2D9E796C" w14:textId="77777777" w:rsidTr="00465B03">
        <w:tc>
          <w:tcPr>
            <w:tcW w:w="1043" w:type="dxa"/>
          </w:tcPr>
          <w:p w14:paraId="0C4F0850" w14:textId="0D2CAAD1"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0180</w:t>
            </w:r>
          </w:p>
        </w:tc>
        <w:tc>
          <w:tcPr>
            <w:tcW w:w="7973" w:type="dxa"/>
          </w:tcPr>
          <w:p w14:paraId="6B5006B7" w14:textId="1AB31535"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3 years</w:t>
            </w:r>
          </w:p>
        </w:tc>
      </w:tr>
      <w:tr w:rsidR="620E6D28" w:rsidRPr="00FE3C59" w14:paraId="07205B2F" w14:textId="77777777" w:rsidTr="00465B03">
        <w:tc>
          <w:tcPr>
            <w:tcW w:w="1043" w:type="dxa"/>
          </w:tcPr>
          <w:p w14:paraId="49D0E0F8" w14:textId="28B4B96E"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0190</w:t>
            </w:r>
          </w:p>
        </w:tc>
        <w:tc>
          <w:tcPr>
            <w:tcW w:w="7973" w:type="dxa"/>
          </w:tcPr>
          <w:p w14:paraId="0F889893" w14:textId="041A90A5"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5 years</w:t>
            </w:r>
          </w:p>
        </w:tc>
      </w:tr>
      <w:tr w:rsidR="620E6D28" w:rsidRPr="00FE3C59" w14:paraId="3D0A7CC2" w14:textId="77777777" w:rsidTr="00465B03">
        <w:tc>
          <w:tcPr>
            <w:tcW w:w="1043" w:type="dxa"/>
          </w:tcPr>
          <w:p w14:paraId="2162A0D9" w14:textId="04082198"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0200</w:t>
            </w:r>
          </w:p>
        </w:tc>
        <w:tc>
          <w:tcPr>
            <w:tcW w:w="7973" w:type="dxa"/>
          </w:tcPr>
          <w:p w14:paraId="5C7A7607" w14:textId="62E4E7DE" w:rsidR="620E6D28" w:rsidRPr="00FE3C59" w:rsidRDefault="620E6D28" w:rsidP="00465B03">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10 years</w:t>
            </w:r>
          </w:p>
        </w:tc>
      </w:tr>
      <w:tr w:rsidR="620E6D28" w:rsidRPr="00FE3C59" w14:paraId="183B2F49" w14:textId="77777777" w:rsidTr="00465B03">
        <w:tc>
          <w:tcPr>
            <w:tcW w:w="1043" w:type="dxa"/>
          </w:tcPr>
          <w:p w14:paraId="3B496334" w14:textId="75713A20"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0210-0220</w:t>
            </w:r>
          </w:p>
        </w:tc>
        <w:tc>
          <w:tcPr>
            <w:tcW w:w="7973" w:type="dxa"/>
          </w:tcPr>
          <w:p w14:paraId="31EC0B0B" w14:textId="1708DBD7"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 xml:space="preserve">Curvature risk positions </w:t>
            </w:r>
            <w:r w:rsidR="00640643" w:rsidRPr="00FE3C59">
              <w:rPr>
                <w:rFonts w:ascii="Times New Roman" w:eastAsia="Segoe UI" w:hAnsi="Times New Roman" w:cs="Times New Roman"/>
                <w:b/>
                <w:bCs/>
                <w:color w:val="000000" w:themeColor="text1"/>
                <w:u w:val="single"/>
                <w:lang w:val="en-GB"/>
              </w:rPr>
              <w:t>–</w:t>
            </w:r>
            <w:r w:rsidRPr="00FE3C59">
              <w:rPr>
                <w:rFonts w:ascii="Times New Roman" w:eastAsia="Segoe UI" w:hAnsi="Times New Roman" w:cs="Times New Roman"/>
                <w:b/>
                <w:color w:val="000000" w:themeColor="text1"/>
                <w:u w:val="single"/>
                <w:lang w:val="en-GB"/>
              </w:rPr>
              <w:t xml:space="preserve"> Curvature risk</w:t>
            </w:r>
          </w:p>
          <w:p w14:paraId="56503B39" w14:textId="4C446038"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w:t>
            </w:r>
            <w:r w:rsidR="00854D6A" w:rsidRPr="00FE3C59">
              <w:rPr>
                <w:rFonts w:ascii="Times New Roman" w:eastAsia="Segoe UI" w:hAnsi="Times New Roman" w:cs="Times New Roman"/>
                <w:color w:val="000000" w:themeColor="text1"/>
                <w:lang w:val="en-GB"/>
              </w:rPr>
              <w:t>s</w:t>
            </w:r>
            <w:r w:rsidRPr="00FE3C59">
              <w:rPr>
                <w:rFonts w:ascii="Times New Roman" w:eastAsia="Segoe UI" w:hAnsi="Times New Roman" w:cs="Times New Roman"/>
                <w:color w:val="000000" w:themeColor="text1"/>
                <w:lang w:val="en-GB"/>
              </w:rPr>
              <w:t xml:space="preserve"> 325g, 325n(3), 325ax(6), 325ay(5) of</w:t>
            </w:r>
            <w:r w:rsidRPr="00FE3C59" w:rsidDel="00FD7136">
              <w:rPr>
                <w:rFonts w:ascii="Times New Roman" w:eastAsia="Segoe UI" w:hAnsi="Times New Roman" w:cs="Times New Roman"/>
                <w:color w:val="000000" w:themeColor="text1"/>
                <w:lang w:val="en-GB"/>
              </w:rPr>
              <w:t xml:space="preserve"> </w:t>
            </w:r>
            <w:r w:rsidR="00FD7136" w:rsidRPr="00FE3C59">
              <w:rPr>
                <w:rFonts w:ascii="Times New Roman" w:eastAsia="Segoe UI" w:hAnsi="Times New Roman" w:cs="Times New Roman"/>
                <w:color w:val="000000" w:themeColor="text1"/>
                <w:lang w:val="en-GB"/>
              </w:rPr>
              <w:t>Regulation (EU) No 575/2013</w:t>
            </w:r>
          </w:p>
        </w:tc>
      </w:tr>
      <w:tr w:rsidR="620E6D28" w:rsidRPr="00FE3C59" w14:paraId="4D9E57A6" w14:textId="77777777" w:rsidTr="00465B03">
        <w:tc>
          <w:tcPr>
            <w:tcW w:w="1043" w:type="dxa"/>
          </w:tcPr>
          <w:p w14:paraId="045120B0" w14:textId="5B596C50" w:rsidR="620E6D28" w:rsidRPr="00FE3C59" w:rsidRDefault="620E6D28" w:rsidP="620E6D28">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73" w:type="dxa"/>
          </w:tcPr>
          <w:p w14:paraId="1D65FAD4" w14:textId="7894D63D" w:rsidR="620E6D28" w:rsidRPr="00FE3C59" w:rsidRDefault="620E6D28" w:rsidP="620E6D28">
            <w:pPr>
              <w:pStyle w:val="BodyText"/>
              <w:spacing w:before="120" w:after="120" w:line="259" w:lineRule="auto"/>
              <w:rPr>
                <w:rFonts w:ascii="Times New Roman" w:eastAsia="Segoe UI" w:hAnsi="Times New Roman" w:cs="Times New Roman"/>
                <w:b/>
                <w:color w:val="000000" w:themeColor="text1"/>
                <w:u w:val="single"/>
                <w:lang w:val="en-GB"/>
              </w:rPr>
            </w:pPr>
            <w:r w:rsidRPr="00FE3C59">
              <w:rPr>
                <w:rFonts w:ascii="Times New Roman" w:eastAsia="Segoe UI" w:hAnsi="Times New Roman" w:cs="Times New Roman"/>
                <w:b/>
                <w:color w:val="000000" w:themeColor="text1"/>
                <w:u w:val="single"/>
                <w:lang w:val="en-GB"/>
              </w:rPr>
              <w:t>Upward net curvature risk position</w:t>
            </w:r>
          </w:p>
          <w:p w14:paraId="1FC7AB0D" w14:textId="2A9D1CCF"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325g(2</w:t>
            </w:r>
            <w:r w:rsidR="004A30BF" w:rsidRPr="00FE3C59">
              <w:rPr>
                <w:rFonts w:ascii="Times New Roman" w:eastAsia="Segoe UI" w:hAnsi="Times New Roman" w:cs="Times New Roman"/>
                <w:color w:val="000000" w:themeColor="text1"/>
                <w:lang w:val="en-GB"/>
              </w:rPr>
              <w:t>) to (</w:t>
            </w:r>
            <w:r w:rsidRPr="00FE3C59">
              <w:rPr>
                <w:rFonts w:ascii="Times New Roman" w:eastAsia="Segoe UI" w:hAnsi="Times New Roman" w:cs="Times New Roman"/>
                <w:color w:val="000000" w:themeColor="text1"/>
                <w:lang w:val="en-GB"/>
              </w:rPr>
              <w:t>3) of</w:t>
            </w:r>
            <w:r w:rsidRPr="00FE3C59" w:rsidDel="00FD7136">
              <w:rPr>
                <w:rFonts w:ascii="Times New Roman" w:eastAsia="Segoe UI" w:hAnsi="Times New Roman" w:cs="Times New Roman"/>
                <w:color w:val="000000" w:themeColor="text1"/>
                <w:lang w:val="en-GB"/>
              </w:rPr>
              <w:t xml:space="preserve"> </w:t>
            </w:r>
            <w:r w:rsidR="00FD7136" w:rsidRPr="00FE3C59">
              <w:rPr>
                <w:rFonts w:ascii="Times New Roman" w:eastAsia="Segoe UI" w:hAnsi="Times New Roman" w:cs="Times New Roman"/>
                <w:color w:val="000000" w:themeColor="text1"/>
                <w:lang w:val="en-GB"/>
              </w:rPr>
              <w:t>Regulation (EU) No 575/2013</w:t>
            </w:r>
          </w:p>
          <w:p w14:paraId="195D177A" w14:textId="6948386F" w:rsidR="620E6D28" w:rsidRPr="00FE3C59" w:rsidRDefault="620E6D28" w:rsidP="620E6D28">
            <w:pPr>
              <w:pStyle w:val="BodyText"/>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Institutions shall report the upward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eastAsia="Segoe UI" w:hAnsi="Times New Roman" w:cs="Times New Roman"/>
                <w:color w:val="000000" w:themeColor="text1"/>
                <w:lang w:val="en-GB"/>
              </w:rPr>
              <w:t xml:space="preserve">) of the </w:t>
            </w:r>
            <w:r w:rsidR="00B3306D" w:rsidRPr="00FE3C59">
              <w:rPr>
                <w:rFonts w:ascii="Times New Roman" w:eastAsia="Segoe UI" w:hAnsi="Times New Roman" w:cs="Times New Roman"/>
                <w:color w:val="000000" w:themeColor="text1"/>
                <w:lang w:val="en-GB"/>
              </w:rPr>
              <w:t>instruments</w:t>
            </w:r>
            <w:r w:rsidR="00B56D6C" w:rsidRPr="00FE3C59">
              <w:rPr>
                <w:rFonts w:ascii="Times New Roman" w:eastAsia="Segoe UI" w:hAnsi="Times New Roman" w:cs="Times New Roman"/>
                <w:color w:val="000000" w:themeColor="text1"/>
                <w:lang w:val="en-GB"/>
              </w:rPr>
              <w:t xml:space="preserve"> in the bucket to the </w:t>
            </w:r>
            <w:r w:rsidR="7B9DAB6D" w:rsidRPr="00FE3C59">
              <w:rPr>
                <w:rFonts w:ascii="Times New Roman" w:eastAsia="Segoe UI" w:hAnsi="Times New Roman" w:cs="Times New Roman"/>
                <w:color w:val="000000" w:themeColor="text1"/>
                <w:lang w:val="en-GB"/>
              </w:rPr>
              <w:t>credit spread yield curves of the issuers of the underlying exposures of the securitisation position</w:t>
            </w:r>
            <w:r w:rsidR="00B56D6C" w:rsidRPr="00FE3C59">
              <w:rPr>
                <w:rFonts w:ascii="Times New Roman" w:eastAsia="Segoe UI" w:hAnsi="Times New Roman" w:cs="Times New Roman"/>
                <w:color w:val="000000" w:themeColor="text1"/>
                <w:lang w:val="en-GB"/>
              </w:rPr>
              <w:t>s</w:t>
            </w:r>
            <w:r w:rsidRPr="00FE3C59">
              <w:rPr>
                <w:rFonts w:ascii="Times New Roman" w:eastAsia="Segoe UI" w:hAnsi="Times New Roman" w:cs="Times New Roman"/>
                <w:color w:val="000000" w:themeColor="text1"/>
                <w:lang w:val="en-GB"/>
              </w:rPr>
              <w:t>.</w:t>
            </w:r>
          </w:p>
          <w:p w14:paraId="06FAA04C" w14:textId="77FFE506" w:rsidR="620E6D28" w:rsidRPr="00FE3C59" w:rsidRDefault="0059640C" w:rsidP="00426642">
            <w:pPr>
              <w:pStyle w:val="BodyText"/>
              <w:rPr>
                <w:rFonts w:ascii="Times New Roman" w:eastAsia="Segoe UI" w:hAnsi="Times New Roman" w:cs="Times New Roman"/>
                <w:color w:val="000000" w:themeColor="text1"/>
                <w:lang w:val="en-GB"/>
              </w:rPr>
            </w:pPr>
            <w:r w:rsidRPr="00FE3C59">
              <w:rPr>
                <w:rFonts w:ascii="Times New Roman" w:hAnsi="Times New Roman" w:cs="Times New Roman"/>
                <w:lang w:val="en-GB"/>
              </w:rPr>
              <w:t>The upward net curvature risk position shall be computed in accordance with Article 325g(2) of Regulation (EU) No 575/2013, taking into account the derogation of paragraph (3) of that article.</w:t>
            </w:r>
          </w:p>
        </w:tc>
      </w:tr>
      <w:tr w:rsidR="620E6D28" w:rsidRPr="00FE3C59" w14:paraId="2E058573" w14:textId="77777777" w:rsidTr="00465B03">
        <w:tc>
          <w:tcPr>
            <w:tcW w:w="1043" w:type="dxa"/>
          </w:tcPr>
          <w:p w14:paraId="09EE21D8" w14:textId="20C00E21"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0220</w:t>
            </w:r>
          </w:p>
        </w:tc>
        <w:tc>
          <w:tcPr>
            <w:tcW w:w="7973" w:type="dxa"/>
          </w:tcPr>
          <w:p w14:paraId="1ABEE0A9" w14:textId="4BF81ABB" w:rsidR="620E6D28" w:rsidRPr="00FE3C59" w:rsidRDefault="620E6D28" w:rsidP="620E6D28">
            <w:pPr>
              <w:pStyle w:val="BodyText"/>
              <w:spacing w:before="120" w:after="120" w:line="259" w:lineRule="auto"/>
              <w:rPr>
                <w:rFonts w:ascii="Times New Roman" w:eastAsia="Segoe UI" w:hAnsi="Times New Roman" w:cs="Times New Roman"/>
                <w:b/>
                <w:color w:val="000000" w:themeColor="text1"/>
                <w:u w:val="single"/>
                <w:lang w:val="en-GB"/>
              </w:rPr>
            </w:pPr>
            <w:r w:rsidRPr="00FE3C59">
              <w:rPr>
                <w:rFonts w:ascii="Times New Roman" w:eastAsia="Segoe UI" w:hAnsi="Times New Roman" w:cs="Times New Roman"/>
                <w:b/>
                <w:color w:val="000000" w:themeColor="text1"/>
                <w:u w:val="single"/>
                <w:lang w:val="en-GB"/>
              </w:rPr>
              <w:t>Downward net curvature risk position</w:t>
            </w:r>
          </w:p>
          <w:p w14:paraId="0B22F5EB" w14:textId="507AD5D7"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 325g</w:t>
            </w:r>
            <w:r w:rsidR="004A30BF" w:rsidRPr="00FE3C59">
              <w:rPr>
                <w:rFonts w:ascii="Times New Roman" w:eastAsia="Segoe UI" w:hAnsi="Times New Roman" w:cs="Times New Roman"/>
                <w:color w:val="000000" w:themeColor="text1"/>
                <w:lang w:val="en-GB"/>
              </w:rPr>
              <w:t>(2) to (3)</w:t>
            </w:r>
            <w:r w:rsidRPr="00FE3C59">
              <w:rPr>
                <w:rFonts w:ascii="Times New Roman" w:eastAsia="Segoe UI" w:hAnsi="Times New Roman" w:cs="Times New Roman"/>
                <w:color w:val="000000" w:themeColor="text1"/>
                <w:lang w:val="en-GB"/>
              </w:rPr>
              <w:t xml:space="preserve"> of</w:t>
            </w:r>
            <w:r w:rsidR="00FD7136" w:rsidRPr="00FE3C59">
              <w:rPr>
                <w:rFonts w:ascii="Times New Roman" w:eastAsia="Segoe UI" w:hAnsi="Times New Roman" w:cs="Times New Roman"/>
                <w:color w:val="000000" w:themeColor="text1"/>
                <w:lang w:val="en-GB"/>
              </w:rPr>
              <w:t xml:space="preserve"> Regulation (EU) No 575/2013</w:t>
            </w:r>
          </w:p>
          <w:p w14:paraId="2FA55A1E" w14:textId="4C03C247" w:rsidR="620E6D28" w:rsidRPr="00FE3C59" w:rsidRDefault="620E6D28" w:rsidP="620E6D28">
            <w:pPr>
              <w:pStyle w:val="BodyText"/>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Institutions shall report the downward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eastAsia="Segoe UI" w:hAnsi="Times New Roman" w:cs="Times New Roman"/>
                <w:color w:val="000000" w:themeColor="text1"/>
                <w:lang w:val="en-GB"/>
              </w:rPr>
              <w:t xml:space="preserve">) of the </w:t>
            </w:r>
            <w:r w:rsidR="0059640C" w:rsidRPr="00FE3C59">
              <w:rPr>
                <w:rFonts w:ascii="Times New Roman" w:eastAsia="Segoe UI" w:hAnsi="Times New Roman" w:cs="Times New Roman"/>
                <w:color w:val="000000" w:themeColor="text1"/>
                <w:lang w:val="en-GB"/>
              </w:rPr>
              <w:t xml:space="preserve">instruments in the bucket to </w:t>
            </w:r>
            <w:r w:rsidRPr="00FE3C59">
              <w:rPr>
                <w:rFonts w:ascii="Times New Roman" w:eastAsia="Segoe UI" w:hAnsi="Times New Roman" w:cs="Times New Roman"/>
                <w:color w:val="000000" w:themeColor="text1"/>
                <w:lang w:val="en-GB"/>
              </w:rPr>
              <w:t xml:space="preserve">the credit spread </w:t>
            </w:r>
            <w:r w:rsidR="7B9DAB6D" w:rsidRPr="00FE3C59">
              <w:rPr>
                <w:rFonts w:ascii="Times New Roman" w:eastAsia="Segoe UI" w:hAnsi="Times New Roman" w:cs="Times New Roman"/>
                <w:color w:val="000000" w:themeColor="text1"/>
                <w:lang w:val="en-GB"/>
              </w:rPr>
              <w:t>yield curves of the issuers of the underlying exposures of the securitisation position</w:t>
            </w:r>
            <w:r w:rsidR="0059640C" w:rsidRPr="00FE3C59">
              <w:rPr>
                <w:rFonts w:ascii="Times New Roman" w:eastAsia="Segoe UI" w:hAnsi="Times New Roman" w:cs="Times New Roman"/>
                <w:color w:val="000000" w:themeColor="text1"/>
                <w:lang w:val="en-GB"/>
              </w:rPr>
              <w:t>s</w:t>
            </w:r>
            <w:r w:rsidRPr="00FE3C59">
              <w:rPr>
                <w:rFonts w:ascii="Times New Roman" w:eastAsia="Segoe UI" w:hAnsi="Times New Roman" w:cs="Times New Roman"/>
                <w:color w:val="000000" w:themeColor="text1"/>
                <w:lang w:val="en-GB"/>
              </w:rPr>
              <w:t>.</w:t>
            </w:r>
          </w:p>
          <w:p w14:paraId="79443205" w14:textId="2076785B" w:rsidR="620E6D28" w:rsidRPr="00FE3C59" w:rsidRDefault="0059640C" w:rsidP="00426642">
            <w:pPr>
              <w:pStyle w:val="BodyText"/>
              <w:rPr>
                <w:rFonts w:ascii="Times New Roman" w:eastAsia="Segoe UI" w:hAnsi="Times New Roman" w:cs="Times New Roman"/>
                <w:color w:val="000000" w:themeColor="text1"/>
                <w:lang w:val="en-GB"/>
              </w:rPr>
            </w:pPr>
            <w:r w:rsidRPr="00FE3C59">
              <w:rPr>
                <w:rFonts w:ascii="Times New Roman" w:hAnsi="Times New Roman" w:cs="Times New Roman"/>
                <w:lang w:val="en-GB"/>
              </w:rPr>
              <w:lastRenderedPageBreak/>
              <w:t>The downward net curvature risk position shall be computed in accordance with Article 325g(2) of Regulation (EU) No 575/2013, taking into account the derogation of paragraph (3) of that article.</w:t>
            </w:r>
          </w:p>
        </w:tc>
      </w:tr>
      <w:tr w:rsidR="620E6D28" w:rsidRPr="00FE3C59" w14:paraId="4A3CA97D" w14:textId="77777777" w:rsidTr="00465B03">
        <w:tc>
          <w:tcPr>
            <w:tcW w:w="1043" w:type="dxa"/>
          </w:tcPr>
          <w:p w14:paraId="1975B12B" w14:textId="0A8476DF"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lastRenderedPageBreak/>
              <w:t>0230-0240</w:t>
            </w:r>
          </w:p>
        </w:tc>
        <w:tc>
          <w:tcPr>
            <w:tcW w:w="7973" w:type="dxa"/>
          </w:tcPr>
          <w:p w14:paraId="5158F817" w14:textId="4908396D" w:rsidR="620E6D28" w:rsidRPr="00FE3C59" w:rsidRDefault="620E6D28" w:rsidP="620E6D28">
            <w:pPr>
              <w:pStyle w:val="BodyText"/>
              <w:spacing w:before="120" w:after="120" w:line="259" w:lineRule="auto"/>
              <w:rPr>
                <w:rFonts w:ascii="Times New Roman" w:eastAsia="Segoe UI" w:hAnsi="Times New Roman" w:cs="Times New Roman"/>
                <w:b/>
                <w:color w:val="000000" w:themeColor="text1"/>
                <w:u w:val="single"/>
                <w:lang w:val="en-GB"/>
              </w:rPr>
            </w:pPr>
            <w:r w:rsidRPr="00FE3C59">
              <w:rPr>
                <w:rFonts w:ascii="Times New Roman" w:eastAsia="Segoe UI" w:hAnsi="Times New Roman" w:cs="Times New Roman"/>
                <w:b/>
                <w:color w:val="000000" w:themeColor="text1"/>
                <w:u w:val="single"/>
                <w:lang w:val="en-GB"/>
              </w:rPr>
              <w:t>Sum of weighted sensitivities</w:t>
            </w:r>
          </w:p>
          <w:p w14:paraId="1049228B" w14:textId="2DB62DE2" w:rsidR="620E6D28" w:rsidRPr="00FE3C59" w:rsidRDefault="00E914C3"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w:t>
            </w:r>
            <w:r w:rsidR="620E6D28" w:rsidRPr="00FE3C59">
              <w:rPr>
                <w:rFonts w:ascii="Times New Roman" w:eastAsia="Segoe UI" w:hAnsi="Times New Roman" w:cs="Times New Roman"/>
                <w:color w:val="000000" w:themeColor="text1"/>
                <w:lang w:val="en-GB"/>
              </w:rPr>
              <w:t xml:space="preserve"> 325f(8) of Regulation (EU) No 575/2013</w:t>
            </w:r>
          </w:p>
          <w:p w14:paraId="1247C26D" w14:textId="24821335" w:rsidR="620E6D28" w:rsidRPr="00FE3C59" w:rsidRDefault="620E6D28" w:rsidP="620E6D28">
            <w:pPr>
              <w:pStyle w:val="BodyText"/>
              <w:spacing w:before="120" w:after="120" w:line="288"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nary>
                <m:naryPr>
                  <m:chr m:val="∑"/>
                  <m:supHide m:val="1"/>
                  <m:ctrlPr>
                    <w:rPr>
                      <w:rFonts w:ascii="Cambria Math" w:hAnsi="Cambria Math" w:cs="Times New Roman"/>
                      <w:i/>
                      <w:lang w:val="en-GB"/>
                    </w:rPr>
                  </m:ctrlPr>
                </m:naryPr>
                <m:sub>
                  <m:r>
                    <w:rPr>
                      <w:rFonts w:ascii="Cambria Math" w:hAnsi="Cambria Math" w:cs="Times New Roman"/>
                      <w:lang w:val="en-GB"/>
                    </w:rPr>
                    <m:t>k</m:t>
                  </m:r>
                </m:sub>
                <m:sup/>
                <m:e>
                  <m:sSub>
                    <m:sSubPr>
                      <m:ctrlPr>
                        <w:rPr>
                          <w:rFonts w:ascii="Cambria Math" w:hAnsi="Cambria Math" w:cs="Times New Roman"/>
                          <w:i/>
                          <w:lang w:val="en-GB"/>
                        </w:rPr>
                      </m:ctrlPr>
                    </m:sSubPr>
                    <m:e>
                      <m:r>
                        <w:rPr>
                          <w:rFonts w:ascii="Cambria Math" w:hAnsi="Cambria Math" w:cs="Times New Roman"/>
                          <w:lang w:val="en-GB"/>
                        </w:rPr>
                        <m:t>WS</m:t>
                      </m:r>
                    </m:e>
                    <m:sub>
                      <m:r>
                        <w:rPr>
                          <w:rFonts w:ascii="Cambria Math" w:hAnsi="Cambria Math" w:cs="Times New Roman"/>
                          <w:lang w:val="en-GB"/>
                        </w:rPr>
                        <m:t>k</m:t>
                      </m:r>
                    </m:sub>
                  </m:sSub>
                </m:e>
              </m:nary>
            </m:oMath>
            <w:r w:rsidRPr="00FE3C59">
              <w:rPr>
                <w:rFonts w:ascii="Times New Roman" w:eastAsia="Segoe UI" w:hAnsi="Times New Roman" w:cs="Times New Roman"/>
                <w:color w:val="000000" w:themeColor="text1"/>
                <w:lang w:val="en-GB"/>
              </w:rPr>
              <w:t xml:space="preserve">) as defined for the purposes of the aggregation within each bucket in </w:t>
            </w:r>
            <w:r w:rsidR="00E914C3" w:rsidRPr="00FE3C59">
              <w:rPr>
                <w:rFonts w:ascii="Times New Roman" w:eastAsia="Segoe UI" w:hAnsi="Times New Roman" w:cs="Times New Roman"/>
                <w:color w:val="000000" w:themeColor="text1"/>
                <w:lang w:val="en-GB"/>
              </w:rPr>
              <w:t>Article</w:t>
            </w:r>
            <w:r w:rsidRPr="00FE3C59">
              <w:rPr>
                <w:rFonts w:ascii="Times New Roman" w:eastAsia="Segoe UI" w:hAnsi="Times New Roman" w:cs="Times New Roman"/>
                <w:color w:val="000000" w:themeColor="text1"/>
                <w:lang w:val="en-GB"/>
              </w:rPr>
              <w:t xml:space="preserve"> 325f(8) of Regulation (EU) No 575/2013 shall be reported.</w:t>
            </w:r>
          </w:p>
        </w:tc>
      </w:tr>
      <w:tr w:rsidR="620E6D28" w:rsidRPr="00FE3C59" w14:paraId="68359B1C" w14:textId="77777777" w:rsidTr="00465B03">
        <w:tc>
          <w:tcPr>
            <w:tcW w:w="1043" w:type="dxa"/>
          </w:tcPr>
          <w:p w14:paraId="5681C9A7" w14:textId="5012F853" w:rsidR="620E6D28" w:rsidRPr="00FE3C59" w:rsidRDefault="620E6D28" w:rsidP="620E6D28">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w:t>
            </w:r>
          </w:p>
        </w:tc>
        <w:tc>
          <w:tcPr>
            <w:tcW w:w="7973" w:type="dxa"/>
          </w:tcPr>
          <w:p w14:paraId="1EF8F623" w14:textId="0631C12A"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Delta Risk</w:t>
            </w:r>
          </w:p>
          <w:p w14:paraId="55D2A413" w14:textId="560E1EB4" w:rsidR="620E6D28" w:rsidRPr="00FE3C59" w:rsidRDefault="00E914C3"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w:t>
            </w:r>
            <w:r w:rsidR="620E6D28" w:rsidRPr="00FE3C59">
              <w:rPr>
                <w:rFonts w:ascii="Times New Roman" w:eastAsia="Segoe UI" w:hAnsi="Times New Roman" w:cs="Times New Roman"/>
                <w:color w:val="000000" w:themeColor="text1"/>
                <w:lang w:val="en-GB"/>
              </w:rPr>
              <w:t xml:space="preserve"> 325f(8) of Regulation (EU) No 575/2013</w:t>
            </w:r>
          </w:p>
        </w:tc>
      </w:tr>
      <w:tr w:rsidR="620E6D28" w:rsidRPr="00FE3C59" w14:paraId="46C826AD" w14:textId="77777777" w:rsidTr="00465B03">
        <w:tc>
          <w:tcPr>
            <w:tcW w:w="1043" w:type="dxa"/>
          </w:tcPr>
          <w:p w14:paraId="164BD9EA" w14:textId="41DEC1E4"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0240</w:t>
            </w:r>
          </w:p>
        </w:tc>
        <w:tc>
          <w:tcPr>
            <w:tcW w:w="7973" w:type="dxa"/>
          </w:tcPr>
          <w:p w14:paraId="69763524" w14:textId="376BBD86" w:rsidR="620E6D28" w:rsidRPr="00FE3C59" w:rsidRDefault="620E6D28"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b/>
                <w:color w:val="000000" w:themeColor="text1"/>
                <w:u w:val="single"/>
                <w:lang w:val="en-GB"/>
              </w:rPr>
              <w:t>Vega Risk</w:t>
            </w:r>
          </w:p>
          <w:p w14:paraId="5473DC9F" w14:textId="40D8C115" w:rsidR="620E6D28" w:rsidRPr="00FE3C59" w:rsidRDefault="00E914C3" w:rsidP="620E6D28">
            <w:pPr>
              <w:pStyle w:val="BodyText"/>
              <w:spacing w:before="120" w:after="120" w:line="259" w:lineRule="auto"/>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Article</w:t>
            </w:r>
            <w:r w:rsidR="620E6D28" w:rsidRPr="00FE3C59">
              <w:rPr>
                <w:rFonts w:ascii="Times New Roman" w:eastAsia="Segoe UI" w:hAnsi="Times New Roman" w:cs="Times New Roman"/>
                <w:color w:val="000000" w:themeColor="text1"/>
                <w:lang w:val="en-GB"/>
              </w:rPr>
              <w:t xml:space="preserve"> 325f(8) of Regulation (EU) No 575/2013</w:t>
            </w:r>
          </w:p>
        </w:tc>
      </w:tr>
      <w:tr w:rsidR="620E6D28" w:rsidRPr="00FE3C59" w14:paraId="4DA7AE73" w14:textId="77777777" w:rsidTr="00465B03">
        <w:tc>
          <w:tcPr>
            <w:tcW w:w="1043" w:type="dxa"/>
          </w:tcPr>
          <w:p w14:paraId="34BBD811" w14:textId="7ED55900" w:rsidR="620E6D28" w:rsidRPr="00FE3C59" w:rsidRDefault="620E6D28" w:rsidP="620E6D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250</w:t>
            </w:r>
          </w:p>
        </w:tc>
        <w:tc>
          <w:tcPr>
            <w:tcW w:w="7973" w:type="dxa"/>
          </w:tcPr>
          <w:p w14:paraId="5444A881" w14:textId="1FB33AA2" w:rsidR="00EB4A24" w:rsidRPr="00FE3C59" w:rsidRDefault="00EB4A24" w:rsidP="620E6D2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Sum of curvature risk positions – </w:t>
            </w:r>
            <w:r w:rsidR="00485C29" w:rsidRPr="00FE3C59">
              <w:rPr>
                <w:rFonts w:ascii="Times New Roman" w:hAnsi="Times New Roman" w:cs="Times New Roman"/>
                <w:b/>
                <w:u w:val="single"/>
                <w:lang w:val="en-GB"/>
              </w:rPr>
              <w:t>Curvature Risk</w:t>
            </w:r>
          </w:p>
          <w:p w14:paraId="1381FA12" w14:textId="3C5B9CF6" w:rsidR="3833FCE3" w:rsidRPr="00FE3C59" w:rsidRDefault="00E914C3" w:rsidP="620E6D28">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3833FCE3" w:rsidRPr="00FE3C59">
              <w:rPr>
                <w:rFonts w:ascii="Times New Roman" w:hAnsi="Times New Roman" w:cs="Times New Roman"/>
                <w:lang w:val="en-GB"/>
              </w:rPr>
              <w:t xml:space="preserve"> 325g(6) </w:t>
            </w:r>
            <w:r w:rsidR="04A7E951" w:rsidRPr="00FE3C59">
              <w:rPr>
                <w:rFonts w:ascii="Times New Roman" w:hAnsi="Times New Roman" w:cs="Times New Roman"/>
                <w:lang w:val="en-GB"/>
              </w:rPr>
              <w:t>of Regulation (EU) No 575/2013</w:t>
            </w:r>
          </w:p>
          <w:p w14:paraId="23924FD4" w14:textId="7C2FB29B" w:rsidR="04A7E951" w:rsidRPr="00FE3C59" w:rsidRDefault="7082F98B" w:rsidP="00426642">
            <w:pPr>
              <w:pStyle w:val="BodyText"/>
              <w:spacing w:before="120" w:after="120" w:line="288" w:lineRule="auto"/>
              <w:rPr>
                <w:rFonts w:ascii="Times New Roman" w:hAnsi="Times New Roman" w:cs="Times New Roman"/>
                <w:lang w:val="en-GB"/>
              </w:rPr>
            </w:pPr>
            <w:r w:rsidRPr="00FE3C59">
              <w:rPr>
                <w:rFonts w:ascii="Times New Roman" w:hAnsi="Times New Roman" w:cs="Times New Roman"/>
                <w:lang w:val="en-GB"/>
              </w:rPr>
              <w:t>Institutions shall report the sum of curvature risk positions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oMath>
            <w:r w:rsidRPr="00FE3C59">
              <w:rPr>
                <w:rFonts w:ascii="Times New Roman" w:hAnsi="Times New Roman" w:cs="Times New Roman"/>
                <w:lang w:val="en-GB"/>
              </w:rPr>
              <w:t xml:space="preserve">) as defined for the purposes of the </w:t>
            </w:r>
            <w:r w:rsidRPr="00FE3C59">
              <w:rPr>
                <w:rFonts w:ascii="Times New Roman" w:eastAsia="Segoe UI" w:hAnsi="Times New Roman" w:cs="Times New Roman"/>
                <w:color w:val="000000" w:themeColor="text1"/>
                <w:lang w:val="en-GB"/>
              </w:rPr>
              <w:t>aggregation</w:t>
            </w:r>
            <w:r w:rsidRPr="00FE3C59">
              <w:rPr>
                <w:rFonts w:ascii="Times New Roman" w:hAnsi="Times New Roman" w:cs="Times New Roman"/>
                <w:lang w:val="en-GB"/>
              </w:rPr>
              <w:t xml:space="preserve"> across buckets in </w:t>
            </w:r>
            <w:r w:rsidR="00E914C3" w:rsidRPr="00FE3C59">
              <w:rPr>
                <w:rFonts w:ascii="Times New Roman" w:hAnsi="Times New Roman" w:cs="Times New Roman"/>
                <w:lang w:val="en-GB"/>
              </w:rPr>
              <w:t>Article</w:t>
            </w:r>
            <w:r w:rsidRPr="00FE3C59">
              <w:rPr>
                <w:rFonts w:ascii="Times New Roman" w:hAnsi="Times New Roman" w:cs="Times New Roman"/>
                <w:lang w:val="en-GB"/>
              </w:rPr>
              <w:t xml:space="preserve"> 325g(6) of Regulation (EU) No 575/2013</w:t>
            </w:r>
          </w:p>
        </w:tc>
      </w:tr>
      <w:tr w:rsidR="00A523D0" w:rsidRPr="00FE3C59" w14:paraId="33182337" w14:textId="77777777" w:rsidTr="00465B03">
        <w:tc>
          <w:tcPr>
            <w:tcW w:w="1043" w:type="dxa"/>
          </w:tcPr>
          <w:p w14:paraId="6977D9F4" w14:textId="62212EE7" w:rsidR="00A523D0" w:rsidRPr="00FE3C59" w:rsidRDefault="00A523D0" w:rsidP="00A523D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1000 – 1080</w:t>
            </w:r>
          </w:p>
        </w:tc>
        <w:tc>
          <w:tcPr>
            <w:tcW w:w="7973" w:type="dxa"/>
          </w:tcPr>
          <w:p w14:paraId="5A828333" w14:textId="6605F40E"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Own funds requirements </w:t>
            </w:r>
            <w:r w:rsidRPr="00FE3C59">
              <w:rPr>
                <w:rFonts w:ascii="Times New Roman" w:hAnsi="Times New Roman" w:cs="Times New Roman"/>
                <w:b/>
                <w:bCs/>
                <w:u w:val="single"/>
                <w:lang w:val="en-GB"/>
              </w:rPr>
              <w:t xml:space="preserve">in </w:t>
            </w:r>
            <w:r w:rsidRPr="00FE3C59">
              <w:rPr>
                <w:rFonts w:ascii="Times New Roman" w:hAnsi="Times New Roman" w:cs="Times New Roman"/>
                <w:b/>
                <w:u w:val="single"/>
                <w:lang w:val="en-GB"/>
              </w:rPr>
              <w:t>the different scenarios</w:t>
            </w:r>
          </w:p>
          <w:p w14:paraId="158BEC1B" w14:textId="6D548CD6" w:rsidR="00A523D0" w:rsidRPr="00FE3C59" w:rsidRDefault="00A523D0" w:rsidP="00A523D0">
            <w:pPr>
              <w:pStyle w:val="BodyText"/>
              <w:spacing w:before="120" w:after="120" w:line="288" w:lineRule="auto"/>
              <w:rPr>
                <w:rFonts w:ascii="Times New Roman" w:hAnsi="Times New Roman" w:cs="Times New Roman"/>
                <w:lang w:val="en-GB"/>
              </w:rPr>
            </w:pPr>
            <w:r w:rsidRPr="00FE3C59">
              <w:rPr>
                <w:rFonts w:ascii="Times New Roman" w:hAnsi="Times New Roman" w:cs="Times New Roman"/>
                <w:lang w:val="en-GB"/>
              </w:rPr>
              <w:t>The own funds requirements calculated on the basis of the sensitivities–based method for delta, vega and curvature risks in each of the three scenarios referred to in Article 325h of Regulation (EU) No 575/2013 shall be reported.</w:t>
            </w:r>
          </w:p>
        </w:tc>
      </w:tr>
      <w:tr w:rsidR="00A523D0" w:rsidRPr="00FE3C59" w14:paraId="610079FE" w14:textId="77777777" w:rsidTr="00465B03">
        <w:tc>
          <w:tcPr>
            <w:tcW w:w="1043" w:type="dxa"/>
          </w:tcPr>
          <w:p w14:paraId="162D689D" w14:textId="68428D09"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 –1020</w:t>
            </w:r>
          </w:p>
        </w:tc>
        <w:tc>
          <w:tcPr>
            <w:tcW w:w="7973" w:type="dxa"/>
          </w:tcPr>
          <w:p w14:paraId="511A2EEC" w14:textId="77777777"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Low correlation scenario</w:t>
            </w:r>
          </w:p>
          <w:p w14:paraId="67130DAC" w14:textId="20BBCC81"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325h(2), point (c), of Regulation (EU) No 575/2013</w:t>
            </w:r>
          </w:p>
        </w:tc>
      </w:tr>
      <w:tr w:rsidR="00A523D0" w:rsidRPr="00FE3C59" w14:paraId="4E94DCA3" w14:textId="77777777" w:rsidTr="00465B03">
        <w:tc>
          <w:tcPr>
            <w:tcW w:w="1043" w:type="dxa"/>
          </w:tcPr>
          <w:p w14:paraId="17828B40" w14:textId="420D3BD2"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w:t>
            </w:r>
          </w:p>
        </w:tc>
        <w:tc>
          <w:tcPr>
            <w:tcW w:w="7973" w:type="dxa"/>
          </w:tcPr>
          <w:p w14:paraId="0624D891" w14:textId="585E08BD"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tc>
      </w:tr>
      <w:tr w:rsidR="00A523D0" w:rsidRPr="00FE3C59" w14:paraId="03AC40FF" w14:textId="77777777" w:rsidTr="00465B03">
        <w:tc>
          <w:tcPr>
            <w:tcW w:w="1043" w:type="dxa"/>
          </w:tcPr>
          <w:p w14:paraId="498AB19B" w14:textId="315302CE"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1010</w:t>
            </w:r>
          </w:p>
        </w:tc>
        <w:tc>
          <w:tcPr>
            <w:tcW w:w="7973" w:type="dxa"/>
          </w:tcPr>
          <w:p w14:paraId="68CC60D9" w14:textId="1FE24966"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tc>
      </w:tr>
      <w:tr w:rsidR="00A523D0" w:rsidRPr="00FE3C59" w14:paraId="49BCA3C2" w14:textId="77777777" w:rsidTr="00465B03">
        <w:tc>
          <w:tcPr>
            <w:tcW w:w="1043" w:type="dxa"/>
          </w:tcPr>
          <w:p w14:paraId="56F81B95" w14:textId="743F13B6"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1020</w:t>
            </w:r>
          </w:p>
        </w:tc>
        <w:tc>
          <w:tcPr>
            <w:tcW w:w="7973" w:type="dxa"/>
          </w:tcPr>
          <w:p w14:paraId="0746FF4B" w14:textId="062177B4"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tc>
      </w:tr>
      <w:tr w:rsidR="00A523D0" w:rsidRPr="00FE3C59" w14:paraId="4362A9AD" w14:textId="77777777" w:rsidTr="00465B03">
        <w:tc>
          <w:tcPr>
            <w:tcW w:w="1043" w:type="dxa"/>
          </w:tcPr>
          <w:p w14:paraId="1DD20CC8" w14:textId="75E7FD54"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 –1050</w:t>
            </w:r>
          </w:p>
        </w:tc>
        <w:tc>
          <w:tcPr>
            <w:tcW w:w="7973" w:type="dxa"/>
          </w:tcPr>
          <w:p w14:paraId="6FB0F17A" w14:textId="77777777"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Medium correlation scenario</w:t>
            </w:r>
          </w:p>
          <w:p w14:paraId="1E411F83" w14:textId="33A4B47F"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325h(2), point (a), of Regulation (EU) No 575/2013</w:t>
            </w:r>
          </w:p>
        </w:tc>
      </w:tr>
      <w:tr w:rsidR="00A523D0" w:rsidRPr="00FE3C59" w14:paraId="215B40A3" w14:textId="77777777" w:rsidTr="00465B03">
        <w:tc>
          <w:tcPr>
            <w:tcW w:w="1043" w:type="dxa"/>
          </w:tcPr>
          <w:p w14:paraId="677805FE" w14:textId="58A14A74"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w:t>
            </w:r>
          </w:p>
        </w:tc>
        <w:tc>
          <w:tcPr>
            <w:tcW w:w="7973" w:type="dxa"/>
          </w:tcPr>
          <w:p w14:paraId="028AC95A" w14:textId="557C629F"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tc>
      </w:tr>
      <w:tr w:rsidR="00A523D0" w:rsidRPr="00FE3C59" w14:paraId="60D9305F" w14:textId="77777777" w:rsidTr="00465B03">
        <w:tc>
          <w:tcPr>
            <w:tcW w:w="1043" w:type="dxa"/>
          </w:tcPr>
          <w:p w14:paraId="722D3915" w14:textId="53A2076E"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1040</w:t>
            </w:r>
          </w:p>
        </w:tc>
        <w:tc>
          <w:tcPr>
            <w:tcW w:w="7973" w:type="dxa"/>
          </w:tcPr>
          <w:p w14:paraId="4BF3BE52" w14:textId="18AA013F"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tc>
      </w:tr>
      <w:tr w:rsidR="00A523D0" w:rsidRPr="00FE3C59" w14:paraId="22B47A4E" w14:textId="77777777" w:rsidTr="00465B03">
        <w:tc>
          <w:tcPr>
            <w:tcW w:w="1043" w:type="dxa"/>
          </w:tcPr>
          <w:p w14:paraId="2B3AA3B0" w14:textId="53D0B341"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1050</w:t>
            </w:r>
          </w:p>
        </w:tc>
        <w:tc>
          <w:tcPr>
            <w:tcW w:w="7973" w:type="dxa"/>
          </w:tcPr>
          <w:p w14:paraId="03A66D1C" w14:textId="395C32E7"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tc>
      </w:tr>
      <w:tr w:rsidR="00A523D0" w:rsidRPr="00FE3C59" w14:paraId="154F0C8C" w14:textId="77777777" w:rsidTr="00465B03">
        <w:tc>
          <w:tcPr>
            <w:tcW w:w="1043" w:type="dxa"/>
          </w:tcPr>
          <w:p w14:paraId="06BBF756" w14:textId="3C9B3B7F"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1060 – 1080</w:t>
            </w:r>
          </w:p>
        </w:tc>
        <w:tc>
          <w:tcPr>
            <w:tcW w:w="7973" w:type="dxa"/>
          </w:tcPr>
          <w:p w14:paraId="621FDA2D" w14:textId="77777777" w:rsidR="00A523D0" w:rsidRPr="00FE3C59" w:rsidRDefault="00A523D0" w:rsidP="00A523D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 correlation scenario</w:t>
            </w:r>
          </w:p>
          <w:p w14:paraId="740C420E" w14:textId="7B01C8E9"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Article 325h(2), point (b), of Regulation (EU) No 575/2013</w:t>
            </w:r>
          </w:p>
        </w:tc>
      </w:tr>
      <w:tr w:rsidR="00A523D0" w:rsidRPr="00FE3C59" w14:paraId="786C4FC6" w14:textId="77777777" w:rsidTr="00465B03">
        <w:tc>
          <w:tcPr>
            <w:tcW w:w="1043" w:type="dxa"/>
          </w:tcPr>
          <w:p w14:paraId="320809A5" w14:textId="6313E13A"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p>
        </w:tc>
        <w:tc>
          <w:tcPr>
            <w:tcW w:w="7973" w:type="dxa"/>
          </w:tcPr>
          <w:p w14:paraId="7966D0FC" w14:textId="75CEC4E0"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tc>
      </w:tr>
      <w:tr w:rsidR="00A523D0" w:rsidRPr="00FE3C59" w14:paraId="2AE53519" w14:textId="77777777" w:rsidTr="00465B03">
        <w:tc>
          <w:tcPr>
            <w:tcW w:w="1043" w:type="dxa"/>
          </w:tcPr>
          <w:p w14:paraId="6D85975B" w14:textId="7FF7709C"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1070</w:t>
            </w:r>
          </w:p>
        </w:tc>
        <w:tc>
          <w:tcPr>
            <w:tcW w:w="7973" w:type="dxa"/>
          </w:tcPr>
          <w:p w14:paraId="390C60AA" w14:textId="536B1F85"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tc>
      </w:tr>
      <w:tr w:rsidR="00A523D0" w:rsidRPr="00FE3C59" w14:paraId="26DFAD43" w14:textId="77777777" w:rsidTr="00465B03">
        <w:tc>
          <w:tcPr>
            <w:tcW w:w="1043" w:type="dxa"/>
          </w:tcPr>
          <w:p w14:paraId="61011377" w14:textId="120430ED"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1080</w:t>
            </w:r>
          </w:p>
        </w:tc>
        <w:tc>
          <w:tcPr>
            <w:tcW w:w="7973" w:type="dxa"/>
          </w:tcPr>
          <w:p w14:paraId="0154A236" w14:textId="09121982" w:rsidR="00A523D0" w:rsidRPr="00FE3C59" w:rsidRDefault="00A523D0" w:rsidP="00A523D0">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Curvature Risk</w:t>
            </w:r>
          </w:p>
        </w:tc>
      </w:tr>
    </w:tbl>
    <w:p w14:paraId="6AF7C92C" w14:textId="77777777" w:rsidR="00C65F1F" w:rsidRPr="00FE3C59" w:rsidRDefault="00C65F1F" w:rsidP="00C65F1F">
      <w:pPr>
        <w:rPr>
          <w:rFonts w:ascii="Times New Roman" w:hAnsi="Times New Roman" w:cs="Times New Roman"/>
        </w:rPr>
      </w:pPr>
    </w:p>
    <w:tbl>
      <w:tblPr>
        <w:tblStyle w:val="TableGrid"/>
        <w:tblW w:w="0" w:type="auto"/>
        <w:tblLook w:val="04A0" w:firstRow="1" w:lastRow="0" w:firstColumn="1" w:lastColumn="0" w:noHBand="0" w:noVBand="1"/>
      </w:tblPr>
      <w:tblGrid>
        <w:gridCol w:w="1043"/>
        <w:gridCol w:w="7973"/>
      </w:tblGrid>
      <w:tr w:rsidR="00C65F1F" w:rsidRPr="00FE3C59" w14:paraId="7E3820A1" w14:textId="77777777" w:rsidTr="005F1AA1">
        <w:tc>
          <w:tcPr>
            <w:tcW w:w="1043" w:type="dxa"/>
            <w:shd w:val="clear" w:color="auto" w:fill="BFBFBF" w:themeFill="background1" w:themeFillShade="BF"/>
          </w:tcPr>
          <w:p w14:paraId="3EED8D61"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3A558766"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465B03" w:rsidRPr="00FE3C59" w14:paraId="3B91A6F4" w14:textId="77777777" w:rsidTr="00465B03">
        <w:tc>
          <w:tcPr>
            <w:tcW w:w="1043" w:type="dxa"/>
          </w:tcPr>
          <w:p w14:paraId="12D65A8F" w14:textId="0E80CE23" w:rsidR="00465B03" w:rsidRPr="00FE3C59" w:rsidRDefault="00465B03" w:rsidP="00465B03">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0010-01</w:t>
            </w:r>
            <w:r w:rsidR="00256D0D">
              <w:rPr>
                <w:rFonts w:ascii="Times New Roman" w:hAnsi="Times New Roman" w:cs="Times New Roman"/>
                <w:lang w:val="en-GB"/>
              </w:rPr>
              <w:t>8</w:t>
            </w:r>
            <w:r w:rsidRPr="00FE3C59">
              <w:rPr>
                <w:rFonts w:ascii="Times New Roman" w:hAnsi="Times New Roman" w:cs="Times New Roman"/>
                <w:lang w:val="en-GB"/>
              </w:rPr>
              <w:t>0</w:t>
            </w:r>
          </w:p>
        </w:tc>
        <w:tc>
          <w:tcPr>
            <w:tcW w:w="7973" w:type="dxa"/>
          </w:tcPr>
          <w:p w14:paraId="78F9C4C8" w14:textId="3B7D44E9" w:rsidR="00465B03" w:rsidRPr="00FE3C59" w:rsidRDefault="00465B03" w:rsidP="00465B0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ID: Bucket</w:t>
            </w:r>
          </w:p>
          <w:p w14:paraId="445CEA34" w14:textId="20FF1D33" w:rsidR="00465B03" w:rsidRPr="00FE3C59" w:rsidRDefault="00465B03" w:rsidP="00465B03">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325ak of Regulation (EU) No 575/2013</w:t>
            </w:r>
          </w:p>
        </w:tc>
      </w:tr>
      <w:tr w:rsidR="0059738B" w:rsidRPr="00FE3C59" w14:paraId="74E9B5EF" w14:textId="77777777" w:rsidTr="00465B03">
        <w:tc>
          <w:tcPr>
            <w:tcW w:w="1043" w:type="dxa"/>
          </w:tcPr>
          <w:p w14:paraId="15FBC5F6" w14:textId="4AC85573"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0010</w:t>
            </w:r>
          </w:p>
        </w:tc>
        <w:tc>
          <w:tcPr>
            <w:tcW w:w="7973" w:type="dxa"/>
          </w:tcPr>
          <w:p w14:paraId="76E61CBF" w14:textId="4FC9806D"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 All quality steps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Central government, including central banks, of Member States</w:t>
            </w:r>
          </w:p>
        </w:tc>
      </w:tr>
      <w:tr w:rsidR="0059738B" w:rsidRPr="00FE3C59" w14:paraId="73E2F00F" w14:textId="77777777" w:rsidTr="00465B03">
        <w:tc>
          <w:tcPr>
            <w:tcW w:w="1043" w:type="dxa"/>
          </w:tcPr>
          <w:p w14:paraId="129CE41A" w14:textId="4683B614"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0020</w:t>
            </w:r>
          </w:p>
        </w:tc>
        <w:tc>
          <w:tcPr>
            <w:tcW w:w="7973" w:type="dxa"/>
          </w:tcPr>
          <w:p w14:paraId="27E76A3A" w14:textId="0050B104"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2: Credit quality step 1 to 3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Central government, including central banks, of a third country, multilateral development banks and international organisations referred to in Article 117(2) or Article 118 of Regulation (EU) No 575/2013</w:t>
            </w:r>
          </w:p>
        </w:tc>
      </w:tr>
      <w:tr w:rsidR="0059738B" w:rsidRPr="00FE3C59" w14:paraId="008E2477" w14:textId="77777777" w:rsidTr="00465B03">
        <w:tc>
          <w:tcPr>
            <w:tcW w:w="1043" w:type="dxa"/>
          </w:tcPr>
          <w:p w14:paraId="1716CD7B" w14:textId="392DE7AD"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0030</w:t>
            </w:r>
          </w:p>
        </w:tc>
        <w:tc>
          <w:tcPr>
            <w:tcW w:w="7973" w:type="dxa"/>
          </w:tcPr>
          <w:p w14:paraId="60D5AE57" w14:textId="32A38AA5"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3: Credit quality step 1 to 3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Regional or local authority and public sector entities</w:t>
            </w:r>
          </w:p>
        </w:tc>
      </w:tr>
      <w:tr w:rsidR="0059738B" w:rsidRPr="00FE3C59" w14:paraId="0237B440" w14:textId="77777777" w:rsidTr="00465B03">
        <w:tc>
          <w:tcPr>
            <w:tcW w:w="1043" w:type="dxa"/>
          </w:tcPr>
          <w:p w14:paraId="61A40C56" w14:textId="62460700"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0040</w:t>
            </w:r>
          </w:p>
        </w:tc>
        <w:tc>
          <w:tcPr>
            <w:tcW w:w="7973" w:type="dxa"/>
          </w:tcPr>
          <w:p w14:paraId="6D7A2704" w14:textId="470AAB84"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4: Credit quality step 1 to 3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Financial sector entities including credit institutions incorporated or established by a central government, a regional government or a local authority and promotional lenders</w:t>
            </w:r>
          </w:p>
        </w:tc>
      </w:tr>
      <w:tr w:rsidR="0059738B" w:rsidRPr="00FE3C59" w14:paraId="2F95214E" w14:textId="77777777" w:rsidTr="00465B03">
        <w:tc>
          <w:tcPr>
            <w:tcW w:w="1043" w:type="dxa"/>
          </w:tcPr>
          <w:p w14:paraId="095D2533" w14:textId="08574A13"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0050</w:t>
            </w:r>
          </w:p>
        </w:tc>
        <w:tc>
          <w:tcPr>
            <w:tcW w:w="7973" w:type="dxa"/>
          </w:tcPr>
          <w:p w14:paraId="5568C688" w14:textId="7F62CB6E"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5: Credit quality step 1 to 3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Basic materials, energy, industrials, agriculture, manufacturing, mining and quarrying</w:t>
            </w:r>
          </w:p>
        </w:tc>
      </w:tr>
      <w:tr w:rsidR="0059738B" w:rsidRPr="00FE3C59" w14:paraId="7C44E877" w14:textId="77777777" w:rsidTr="00465B03">
        <w:tc>
          <w:tcPr>
            <w:tcW w:w="1043" w:type="dxa"/>
          </w:tcPr>
          <w:p w14:paraId="794351BF" w14:textId="57204BEC"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0060</w:t>
            </w:r>
          </w:p>
        </w:tc>
        <w:tc>
          <w:tcPr>
            <w:tcW w:w="7973" w:type="dxa"/>
          </w:tcPr>
          <w:p w14:paraId="26A3FD9B" w14:textId="0C232B0F"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6: Credit quality step 1 to 3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Consumer goods and services, transportation and storage, administrative and support service activities</w:t>
            </w:r>
          </w:p>
        </w:tc>
      </w:tr>
      <w:tr w:rsidR="0059738B" w:rsidRPr="00FE3C59" w14:paraId="622149D1" w14:textId="77777777" w:rsidTr="00465B03">
        <w:tc>
          <w:tcPr>
            <w:tcW w:w="1043" w:type="dxa"/>
          </w:tcPr>
          <w:p w14:paraId="7EB42756" w14:textId="4ED17C6B"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0070</w:t>
            </w:r>
          </w:p>
        </w:tc>
        <w:tc>
          <w:tcPr>
            <w:tcW w:w="7973" w:type="dxa"/>
          </w:tcPr>
          <w:p w14:paraId="6056199B" w14:textId="3C3787BC"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7: Credit quality step 1 to 3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Technology, telecommunications</w:t>
            </w:r>
          </w:p>
        </w:tc>
      </w:tr>
      <w:tr w:rsidR="0059738B" w:rsidRPr="00FE3C59" w14:paraId="359A36EC" w14:textId="77777777" w:rsidTr="00465B03">
        <w:tc>
          <w:tcPr>
            <w:tcW w:w="1043" w:type="dxa"/>
          </w:tcPr>
          <w:p w14:paraId="1BA1A6DE" w14:textId="0402C65A"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0080</w:t>
            </w:r>
          </w:p>
        </w:tc>
        <w:tc>
          <w:tcPr>
            <w:tcW w:w="7973" w:type="dxa"/>
          </w:tcPr>
          <w:p w14:paraId="238B6479" w14:textId="395F145C"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8: Credit quality step 1 to 3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Health care, utilities, professional and technical activities</w:t>
            </w:r>
          </w:p>
        </w:tc>
      </w:tr>
      <w:tr w:rsidR="0059738B" w:rsidRPr="00FE3C59" w14:paraId="44F65D16" w14:textId="77777777" w:rsidTr="00465B03">
        <w:tc>
          <w:tcPr>
            <w:tcW w:w="1043" w:type="dxa"/>
          </w:tcPr>
          <w:p w14:paraId="02DB170D" w14:textId="48908D42"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0090</w:t>
            </w:r>
          </w:p>
        </w:tc>
        <w:tc>
          <w:tcPr>
            <w:tcW w:w="7973" w:type="dxa"/>
          </w:tcPr>
          <w:p w14:paraId="2A100E03" w14:textId="0F9CD7D4"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9: Credit quality step 1 to 3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Covered bonds issued by credit institutions established in Member States</w:t>
            </w:r>
          </w:p>
        </w:tc>
      </w:tr>
      <w:tr w:rsidR="0059738B" w:rsidRPr="00FE3C59" w14:paraId="13BA9252" w14:textId="77777777" w:rsidTr="00465B03">
        <w:tc>
          <w:tcPr>
            <w:tcW w:w="1043" w:type="dxa"/>
          </w:tcPr>
          <w:p w14:paraId="296EBAD1" w14:textId="75F33A35" w:rsidR="00DB2218" w:rsidRPr="00FE3C59" w:rsidRDefault="0059738B"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0100</w:t>
            </w:r>
          </w:p>
        </w:tc>
        <w:tc>
          <w:tcPr>
            <w:tcW w:w="7973" w:type="dxa"/>
          </w:tcPr>
          <w:p w14:paraId="1801AF9B" w14:textId="12ED5CD4"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10: Credit quality step 1 to 3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Covered bonds issued by credit institutions in third countries</w:t>
            </w:r>
          </w:p>
        </w:tc>
      </w:tr>
      <w:tr w:rsidR="0059738B" w:rsidRPr="00FE3C59" w14:paraId="699F1D87" w14:textId="77777777" w:rsidTr="00465B03">
        <w:tc>
          <w:tcPr>
            <w:tcW w:w="1043" w:type="dxa"/>
          </w:tcPr>
          <w:p w14:paraId="72D42561" w14:textId="1A68B111" w:rsidR="00DB2218" w:rsidRPr="00FE3C59" w:rsidRDefault="00DC0F28"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eastAsia="nl-BE"/>
              </w:rPr>
              <w:t>0110</w:t>
            </w:r>
          </w:p>
        </w:tc>
        <w:tc>
          <w:tcPr>
            <w:tcW w:w="7973" w:type="dxa"/>
          </w:tcPr>
          <w:p w14:paraId="4FAAE1A4" w14:textId="51E7CA89" w:rsidR="0059738B" w:rsidRPr="00FE3C59" w:rsidRDefault="0059738B" w:rsidP="0059738B">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11: Credit quality step 4 to 6 and unrated </w:t>
            </w:r>
            <w:r w:rsidR="00465B03"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Central government, including central banks, of a third country, multilateral development banks </w:t>
            </w:r>
            <w:r w:rsidRPr="00FE3C59">
              <w:rPr>
                <w:rFonts w:ascii="Times New Roman" w:hAnsi="Times New Roman" w:cs="Times New Roman"/>
                <w:b/>
                <w:u w:val="single"/>
                <w:lang w:val="en-GB"/>
              </w:rPr>
              <w:lastRenderedPageBreak/>
              <w:t>and international organisations referred to in Article 117(2) or Article 118 of Regulation (EU) No 575/2013</w:t>
            </w:r>
          </w:p>
        </w:tc>
      </w:tr>
      <w:tr w:rsidR="00DC0F28" w:rsidRPr="00FE3C59" w14:paraId="2069F6B1" w14:textId="77777777" w:rsidTr="00465B03">
        <w:tc>
          <w:tcPr>
            <w:tcW w:w="1043" w:type="dxa"/>
          </w:tcPr>
          <w:p w14:paraId="1B57B787" w14:textId="157688B1"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0120</w:t>
            </w:r>
          </w:p>
        </w:tc>
        <w:tc>
          <w:tcPr>
            <w:tcW w:w="7973" w:type="dxa"/>
          </w:tcPr>
          <w:p w14:paraId="0F288459" w14:textId="4451D8E3"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12: Credit quality step 4 to 6 and unrated – Regional or local authority and public sector entities</w:t>
            </w:r>
          </w:p>
        </w:tc>
      </w:tr>
      <w:tr w:rsidR="00DC0F28" w:rsidRPr="00FE3C59" w14:paraId="46B40EDA" w14:textId="77777777" w:rsidTr="00465B03">
        <w:tc>
          <w:tcPr>
            <w:tcW w:w="1043" w:type="dxa"/>
          </w:tcPr>
          <w:p w14:paraId="3AD9D56F" w14:textId="7F66A080"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0130</w:t>
            </w:r>
          </w:p>
        </w:tc>
        <w:tc>
          <w:tcPr>
            <w:tcW w:w="7973" w:type="dxa"/>
          </w:tcPr>
          <w:p w14:paraId="51DDD7FE" w14:textId="335080B0"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 xml:space="preserve">Bucket 13: Credit quality step 4 to 6 and unrated – Financial sector entities including credit institutions incorporated or established by a central government, a regional government or a local authority and promotional lenders </w:t>
            </w:r>
            <w:r w:rsidRPr="00FE3C59">
              <w:rPr>
                <w:rFonts w:ascii="Times New Roman" w:hAnsi="Times New Roman" w:cs="Times New Roman"/>
                <w:b/>
                <w:highlight w:val="yellow"/>
                <w:u w:val="single"/>
                <w:lang w:val="en-GB"/>
              </w:rPr>
              <w:t>and covered bonds</w:t>
            </w:r>
          </w:p>
        </w:tc>
      </w:tr>
      <w:tr w:rsidR="00DC0F28" w:rsidRPr="00FE3C59" w14:paraId="68C48CCE" w14:textId="77777777" w:rsidTr="00465B03">
        <w:tc>
          <w:tcPr>
            <w:tcW w:w="1043" w:type="dxa"/>
          </w:tcPr>
          <w:p w14:paraId="1E26B29D" w14:textId="1F28432A"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0140</w:t>
            </w:r>
          </w:p>
        </w:tc>
        <w:tc>
          <w:tcPr>
            <w:tcW w:w="7973" w:type="dxa"/>
          </w:tcPr>
          <w:p w14:paraId="4D9F0661" w14:textId="7FFE7968"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14: Credit quality step 4 to 6 and unrated – Basic materials, energy, industrials, agriculture, manufacturing, mining and quarrying</w:t>
            </w:r>
          </w:p>
        </w:tc>
      </w:tr>
      <w:tr w:rsidR="00DC0F28" w:rsidRPr="00FE3C59" w14:paraId="64B60A9A" w14:textId="77777777" w:rsidTr="00465B03">
        <w:tc>
          <w:tcPr>
            <w:tcW w:w="1043" w:type="dxa"/>
          </w:tcPr>
          <w:p w14:paraId="570A0B47" w14:textId="66A5750D"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0150</w:t>
            </w:r>
          </w:p>
        </w:tc>
        <w:tc>
          <w:tcPr>
            <w:tcW w:w="7973" w:type="dxa"/>
          </w:tcPr>
          <w:p w14:paraId="375F791C" w14:textId="32299323"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15: Credit quality step 4 to 6 and unrated – Consumer goods and services, transportation and storage, administrative and support service activities</w:t>
            </w:r>
          </w:p>
        </w:tc>
      </w:tr>
      <w:tr w:rsidR="00DC0F28" w:rsidRPr="00FE3C59" w14:paraId="6A8450C4" w14:textId="77777777" w:rsidTr="00465B03">
        <w:tc>
          <w:tcPr>
            <w:tcW w:w="1043" w:type="dxa"/>
          </w:tcPr>
          <w:p w14:paraId="455E0236" w14:textId="748868E8"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0160</w:t>
            </w:r>
          </w:p>
        </w:tc>
        <w:tc>
          <w:tcPr>
            <w:tcW w:w="7973" w:type="dxa"/>
          </w:tcPr>
          <w:p w14:paraId="4287B054" w14:textId="7C826A01"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16: Credit quality step 4 to 6 and unrated – Technology, telecommunications</w:t>
            </w:r>
          </w:p>
        </w:tc>
      </w:tr>
      <w:tr w:rsidR="00DC0F28" w:rsidRPr="00FE3C59" w14:paraId="5410FAAB" w14:textId="77777777" w:rsidTr="00465B03">
        <w:tc>
          <w:tcPr>
            <w:tcW w:w="1043" w:type="dxa"/>
          </w:tcPr>
          <w:p w14:paraId="1800E4F0" w14:textId="302D8FC8"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0170</w:t>
            </w:r>
          </w:p>
        </w:tc>
        <w:tc>
          <w:tcPr>
            <w:tcW w:w="7973" w:type="dxa"/>
          </w:tcPr>
          <w:p w14:paraId="755B8BD9" w14:textId="769991FC"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17: Credit quality step 4 to 6 and unrated – Health care, utilities, professional and technical activities</w:t>
            </w:r>
          </w:p>
        </w:tc>
      </w:tr>
      <w:tr w:rsidR="00DC0F28" w:rsidRPr="00FE3C59" w14:paraId="5D4F6EFA" w14:textId="77777777" w:rsidTr="00465B03">
        <w:tc>
          <w:tcPr>
            <w:tcW w:w="1043" w:type="dxa"/>
          </w:tcPr>
          <w:p w14:paraId="13D23D0B" w14:textId="7AF0794A" w:rsidR="00DC0F28" w:rsidRPr="00FE3C59" w:rsidRDefault="00DC0F28" w:rsidP="00DC0F2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0180</w:t>
            </w:r>
          </w:p>
        </w:tc>
        <w:tc>
          <w:tcPr>
            <w:tcW w:w="7973" w:type="dxa"/>
          </w:tcPr>
          <w:p w14:paraId="037C943C" w14:textId="44CDC975" w:rsidR="00DC0F28" w:rsidRPr="00FE3C59" w:rsidRDefault="00DC0F28" w:rsidP="00DC0F2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18: Other sector</w:t>
            </w:r>
          </w:p>
        </w:tc>
      </w:tr>
    </w:tbl>
    <w:p w14:paraId="66158A78" w14:textId="50891672" w:rsidR="00C65F1F" w:rsidRPr="00FE3C59" w:rsidRDefault="00C65F1F" w:rsidP="0D1CB00F">
      <w:pPr>
        <w:tabs>
          <w:tab w:val="left" w:pos="708"/>
        </w:tabs>
        <w:ind w:left="357" w:hanging="357"/>
        <w:jc w:val="both"/>
        <w:rPr>
          <w:rFonts w:ascii="Times New Roman" w:eastAsia="Times New Roman" w:hAnsi="Times New Roman" w:cs="Times New Roman"/>
          <w:sz w:val="24"/>
          <w:szCs w:val="24"/>
        </w:rPr>
      </w:pPr>
    </w:p>
    <w:p w14:paraId="44CA9125" w14:textId="29301B97" w:rsidR="00D43916" w:rsidRPr="00FE3C59" w:rsidRDefault="00D34F1B" w:rsidP="00465B03">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eastAsia="Times New Roman" w:hAnsi="Times New Roman" w:cs="Times New Roman"/>
          <w:sz w:val="24"/>
          <w:szCs w:val="24"/>
          <w:u w:val="none"/>
          <w:lang w:val="en-GB"/>
        </w:rPr>
        <w:t>2.</w:t>
      </w:r>
      <w:r w:rsidR="00465B03" w:rsidRPr="00FE3C59">
        <w:rPr>
          <w:rFonts w:ascii="Times New Roman" w:eastAsia="Times New Roman" w:hAnsi="Times New Roman" w:cs="Times New Roman"/>
          <w:sz w:val="24"/>
          <w:szCs w:val="24"/>
          <w:u w:val="none"/>
          <w:lang w:val="en-GB"/>
        </w:rPr>
        <w:t>3</w:t>
      </w:r>
      <w:r w:rsidRPr="00FE3C59">
        <w:rPr>
          <w:rFonts w:ascii="Times New Roman" w:eastAsia="Times New Roman" w:hAnsi="Times New Roman" w:cs="Times New Roman"/>
          <w:sz w:val="24"/>
          <w:szCs w:val="24"/>
          <w:u w:val="none"/>
          <w:lang w:val="en-GB"/>
        </w:rPr>
        <w:t>.</w:t>
      </w:r>
      <w:r w:rsidR="00B8262A" w:rsidRPr="00FE3C59">
        <w:rPr>
          <w:rFonts w:ascii="Times New Roman" w:hAnsi="Times New Roman" w:cs="Times New Roman"/>
          <w:sz w:val="24"/>
          <w:szCs w:val="24"/>
          <w:u w:val="none"/>
          <w:lang w:val="en-GB"/>
        </w:rPr>
        <w:t>6</w:t>
      </w:r>
      <w:r w:rsidRPr="00FE3C59">
        <w:rPr>
          <w:rFonts w:ascii="Times New Roman" w:hAnsi="Times New Roman" w:cs="Times New Roman"/>
          <w:u w:val="none"/>
          <w:lang w:val="en-GB"/>
        </w:rPr>
        <w:tab/>
      </w:r>
      <w:r w:rsidR="00D43916" w:rsidRPr="00FE3C59">
        <w:rPr>
          <w:rFonts w:ascii="Times New Roman" w:hAnsi="Times New Roman" w:cs="Times New Roman"/>
          <w:sz w:val="24"/>
          <w:szCs w:val="24"/>
          <w:u w:val="none"/>
          <w:lang w:val="en-GB"/>
        </w:rPr>
        <w:t xml:space="preserve">C 92.05: </w:t>
      </w:r>
      <w:r w:rsidR="00465B03" w:rsidRPr="00FE3C59">
        <w:rPr>
          <w:rFonts w:ascii="Times New Roman" w:hAnsi="Times New Roman" w:cs="Times New Roman"/>
          <w:sz w:val="24"/>
          <w:szCs w:val="24"/>
          <w:u w:val="none"/>
          <w:lang w:val="en-GB"/>
        </w:rPr>
        <w:t>E</w:t>
      </w:r>
      <w:r w:rsidR="00D43916" w:rsidRPr="00FE3C59">
        <w:rPr>
          <w:rFonts w:ascii="Times New Roman" w:hAnsi="Times New Roman" w:cs="Times New Roman"/>
          <w:sz w:val="24"/>
          <w:szCs w:val="24"/>
          <w:u w:val="none"/>
          <w:lang w:val="en-GB"/>
        </w:rPr>
        <w:t xml:space="preserve">quity risk (MKR </w:t>
      </w:r>
      <w:r w:rsidR="008770DE" w:rsidRPr="00FE3C59">
        <w:rPr>
          <w:rFonts w:ascii="Times New Roman" w:hAnsi="Times New Roman" w:cs="Times New Roman"/>
          <w:sz w:val="24"/>
          <w:szCs w:val="24"/>
          <w:u w:val="none"/>
          <w:lang w:val="en-GB"/>
        </w:rPr>
        <w:t xml:space="preserve">SBM </w:t>
      </w:r>
      <w:r w:rsidR="00D43916" w:rsidRPr="00FE3C59">
        <w:rPr>
          <w:rFonts w:ascii="Times New Roman" w:hAnsi="Times New Roman" w:cs="Times New Roman"/>
          <w:sz w:val="24"/>
          <w:szCs w:val="24"/>
          <w:u w:val="none"/>
          <w:lang w:val="en-GB"/>
        </w:rPr>
        <w:t>EQU</w:t>
      </w:r>
      <w:r w:rsidR="008770DE" w:rsidRPr="00FE3C59">
        <w:rPr>
          <w:rFonts w:ascii="Times New Roman" w:hAnsi="Times New Roman" w:cs="Times New Roman"/>
          <w:sz w:val="24"/>
          <w:szCs w:val="24"/>
          <w:u w:val="none"/>
          <w:lang w:val="en-GB"/>
        </w:rPr>
        <w:t>)</w:t>
      </w:r>
    </w:p>
    <w:p w14:paraId="29547ABB" w14:textId="31DE6CBE" w:rsidR="00C65F1F" w:rsidRPr="00FE3C59" w:rsidRDefault="004F7DA1" w:rsidP="00465B03">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eastAsia="Times New Roman" w:hAnsi="Times New Roman" w:cs="Times New Roman"/>
          <w:sz w:val="24"/>
          <w:szCs w:val="24"/>
          <w:u w:val="none"/>
          <w:lang w:val="en-GB"/>
        </w:rPr>
        <w:t>2.</w:t>
      </w:r>
      <w:r w:rsidR="00465B03" w:rsidRPr="00FE3C59">
        <w:rPr>
          <w:rFonts w:ascii="Times New Roman" w:eastAsia="Times New Roman" w:hAnsi="Times New Roman" w:cs="Times New Roman"/>
          <w:sz w:val="24"/>
          <w:szCs w:val="24"/>
          <w:u w:val="none"/>
          <w:lang w:val="en-GB"/>
        </w:rPr>
        <w:t>3</w:t>
      </w:r>
      <w:r w:rsidRPr="00FE3C59">
        <w:rPr>
          <w:rFonts w:ascii="Times New Roman" w:eastAsia="Times New Roman" w:hAnsi="Times New Roman" w:cs="Times New Roman"/>
          <w:sz w:val="24"/>
          <w:szCs w:val="24"/>
          <w:u w:val="none"/>
          <w:lang w:val="en-GB"/>
        </w:rPr>
        <w:t>.6.</w:t>
      </w:r>
      <w:r w:rsidR="00C65F1F" w:rsidRPr="00FE3C59">
        <w:rPr>
          <w:rFonts w:ascii="Times New Roman" w:hAnsi="Times New Roman" w:cs="Times New Roman"/>
          <w:sz w:val="24"/>
          <w:szCs w:val="24"/>
          <w:u w:val="none"/>
          <w:lang w:val="en-GB"/>
        </w:rPr>
        <w:t>1</w:t>
      </w:r>
      <w:r w:rsidR="00C65F1F" w:rsidRPr="00FE3C59">
        <w:rPr>
          <w:rFonts w:ascii="Times New Roman" w:hAnsi="Times New Roman" w:cs="Times New Roman"/>
          <w:u w:val="none"/>
          <w:lang w:val="en-GB"/>
        </w:rPr>
        <w:tab/>
      </w:r>
      <w:r w:rsidR="00C65F1F" w:rsidRPr="00FE3C59">
        <w:rPr>
          <w:rFonts w:ascii="Times New Roman" w:hAnsi="Times New Roman" w:cs="Times New Roman"/>
          <w:sz w:val="24"/>
          <w:szCs w:val="24"/>
          <w:u w:val="none"/>
          <w:lang w:val="en-GB"/>
        </w:rPr>
        <w:t>General remarks</w:t>
      </w:r>
    </w:p>
    <w:p w14:paraId="19EE4FA9" w14:textId="204C3F43" w:rsidR="0D1CB00F" w:rsidRPr="00FE3C59" w:rsidRDefault="0D1CB00F" w:rsidP="006E2ED1">
      <w:pPr>
        <w:pStyle w:val="InstructionsText2"/>
        <w:numPr>
          <w:ilvl w:val="0"/>
          <w:numId w:val="57"/>
        </w:numPr>
      </w:pPr>
      <w:r w:rsidRPr="00FE3C59">
        <w:t>This template provides detailed information on the calculation of own funds requirements for Equity risk (EQU)</w:t>
      </w:r>
      <w:r w:rsidR="005B669F" w:rsidRPr="00FE3C59">
        <w:t xml:space="preserve"> on the basis of the sensitivities-based method.</w:t>
      </w:r>
    </w:p>
    <w:p w14:paraId="5C5F7738" w14:textId="77777777" w:rsidR="00C65F1F" w:rsidRPr="00FE3C59" w:rsidRDefault="004F7DA1" w:rsidP="00465B03">
      <w:pPr>
        <w:pStyle w:val="Instructionsberschrift2"/>
        <w:numPr>
          <w:ilvl w:val="0"/>
          <w:numId w:val="0"/>
        </w:numPr>
        <w:ind w:left="357" w:hanging="357"/>
        <w:rPr>
          <w:rFonts w:ascii="Times New Roman" w:eastAsia="Times New Roman" w:hAnsi="Times New Roman" w:cs="Times New Roman"/>
          <w:sz w:val="24"/>
          <w:szCs w:val="24"/>
          <w:u w:val="none"/>
          <w:lang w:val="en-GB"/>
        </w:rPr>
      </w:pPr>
      <w:r w:rsidRPr="00FE3C59">
        <w:rPr>
          <w:rFonts w:ascii="Times New Roman" w:eastAsia="Times New Roman" w:hAnsi="Times New Roman" w:cs="Times New Roman"/>
          <w:sz w:val="24"/>
          <w:szCs w:val="24"/>
          <w:u w:val="none"/>
          <w:lang w:val="en-GB"/>
        </w:rPr>
        <w:t>2.</w:t>
      </w:r>
      <w:r w:rsidR="00465B03" w:rsidRPr="00FE3C59">
        <w:rPr>
          <w:rFonts w:ascii="Times New Roman" w:eastAsia="Times New Roman" w:hAnsi="Times New Roman" w:cs="Times New Roman"/>
          <w:sz w:val="24"/>
          <w:szCs w:val="24"/>
          <w:u w:val="none"/>
          <w:lang w:val="en-GB"/>
        </w:rPr>
        <w:t>3</w:t>
      </w:r>
      <w:r w:rsidRPr="00FE3C59">
        <w:rPr>
          <w:rFonts w:ascii="Times New Roman" w:eastAsia="Times New Roman" w:hAnsi="Times New Roman" w:cs="Times New Roman"/>
          <w:sz w:val="24"/>
          <w:szCs w:val="24"/>
          <w:u w:val="none"/>
          <w:lang w:val="en-GB"/>
        </w:rPr>
        <w:t>.6.</w:t>
      </w:r>
      <w:r w:rsidR="00C65F1F" w:rsidRPr="00FE3C59">
        <w:rPr>
          <w:rFonts w:ascii="Times New Roman" w:eastAsia="Times New Roman" w:hAnsi="Times New Roman" w:cs="Times New Roman"/>
          <w:sz w:val="24"/>
          <w:szCs w:val="24"/>
          <w:u w:val="none"/>
          <w:lang w:val="en-GB"/>
        </w:rPr>
        <w:t>2</w:t>
      </w:r>
      <w:r w:rsidR="00C65F1F" w:rsidRPr="00FE3C59">
        <w:rPr>
          <w:rFonts w:ascii="Times New Roman" w:eastAsia="Times New Roman" w:hAnsi="Times New Roman" w:cs="Times New Roman"/>
          <w:sz w:val="24"/>
          <w:szCs w:val="24"/>
          <w:u w:val="none"/>
          <w:lang w:val="en-GB"/>
        </w:rPr>
        <w:tab/>
        <w:t>Instructions concerning specific positions</w:t>
      </w:r>
    </w:p>
    <w:tbl>
      <w:tblPr>
        <w:tblStyle w:val="TableGrid"/>
        <w:tblW w:w="9015" w:type="dxa"/>
        <w:tblLayout w:type="fixed"/>
        <w:tblLook w:val="04A0" w:firstRow="1" w:lastRow="0" w:firstColumn="1" w:lastColumn="0" w:noHBand="0" w:noVBand="1"/>
      </w:tblPr>
      <w:tblGrid>
        <w:gridCol w:w="1048"/>
        <w:gridCol w:w="7967"/>
      </w:tblGrid>
      <w:tr w:rsidR="0D1CB00F" w:rsidRPr="00FE3C59" w14:paraId="362312F7" w14:textId="77777777" w:rsidTr="00A523D0">
        <w:tc>
          <w:tcPr>
            <w:tcW w:w="1048"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38EF01E6" w14:textId="396FD8DB" w:rsidR="0D1CB00F" w:rsidRPr="00FE3C59" w:rsidRDefault="0D1CB00F" w:rsidP="0D1CB00F">
            <w:pPr>
              <w:spacing w:line="288" w:lineRule="auto"/>
              <w:rPr>
                <w:rFonts w:ascii="Times New Roman" w:hAnsi="Times New Roman" w:cs="Times New Roman"/>
              </w:rPr>
            </w:pPr>
            <w:r w:rsidRPr="00FE3C59">
              <w:rPr>
                <w:rFonts w:ascii="Times New Roman" w:eastAsia="Times New Roman" w:hAnsi="Times New Roman" w:cs="Times New Roman"/>
                <w:b/>
                <w:bCs/>
                <w:sz w:val="24"/>
                <w:szCs w:val="24"/>
              </w:rPr>
              <w:t>Column</w:t>
            </w:r>
          </w:p>
        </w:tc>
        <w:tc>
          <w:tcPr>
            <w:tcW w:w="7967"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454C3D83" w14:textId="6515E92B" w:rsidR="0D1CB00F" w:rsidRPr="00FE3C59" w:rsidRDefault="0D1CB00F" w:rsidP="4E363D1E">
            <w:pPr>
              <w:spacing w:line="288" w:lineRule="auto"/>
              <w:rPr>
                <w:rFonts w:ascii="Times New Roman" w:eastAsia="Times New Roman" w:hAnsi="Times New Roman" w:cs="Times New Roman"/>
                <w:b/>
                <w:bCs/>
                <w:sz w:val="24"/>
                <w:szCs w:val="24"/>
              </w:rPr>
            </w:pPr>
            <w:r w:rsidRPr="00FE3C59">
              <w:rPr>
                <w:rFonts w:ascii="Times New Roman" w:eastAsia="Times New Roman" w:hAnsi="Times New Roman" w:cs="Times New Roman"/>
                <w:b/>
                <w:bCs/>
                <w:sz w:val="24"/>
                <w:szCs w:val="24"/>
              </w:rPr>
              <w:t>Legal references and instructions</w:t>
            </w:r>
          </w:p>
        </w:tc>
      </w:tr>
      <w:tr w:rsidR="0D1CB00F" w:rsidRPr="00FE3C59" w14:paraId="00AE34B4" w14:textId="77777777" w:rsidTr="00A523D0">
        <w:tc>
          <w:tcPr>
            <w:tcW w:w="1048" w:type="dxa"/>
            <w:tcBorders>
              <w:top w:val="single" w:sz="8" w:space="0" w:color="auto"/>
              <w:left w:val="single" w:sz="8" w:space="0" w:color="auto"/>
              <w:bottom w:val="single" w:sz="8" w:space="0" w:color="auto"/>
              <w:right w:val="single" w:sz="8" w:space="0" w:color="auto"/>
            </w:tcBorders>
          </w:tcPr>
          <w:p w14:paraId="2FF91507" w14:textId="4A42A186"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0010</w:t>
            </w:r>
            <w:r w:rsidRPr="00FE3C59">
              <w:rPr>
                <w:rFonts w:ascii="Times New Roman" w:eastAsia="Times New Roman" w:hAnsi="Times New Roman" w:cs="Times New Roman"/>
                <w:lang w:val="en-GB"/>
              </w:rPr>
              <w:t>-0070</w:t>
            </w:r>
          </w:p>
        </w:tc>
        <w:tc>
          <w:tcPr>
            <w:tcW w:w="7967" w:type="dxa"/>
            <w:tcBorders>
              <w:top w:val="single" w:sz="8" w:space="0" w:color="auto"/>
              <w:left w:val="single" w:sz="8" w:space="0" w:color="auto"/>
              <w:bottom w:val="single" w:sz="8" w:space="0" w:color="auto"/>
              <w:right w:val="single" w:sz="8" w:space="0" w:color="auto"/>
            </w:tcBorders>
            <w:vAlign w:val="bottom"/>
          </w:tcPr>
          <w:p w14:paraId="4BAFEAE1" w14:textId="27FC3038"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Unweighted sensitivities</w:t>
            </w:r>
          </w:p>
          <w:p w14:paraId="26D8301C" w14:textId="10249ACF" w:rsidR="0D1CB00F" w:rsidRPr="00FE3C59" w:rsidRDefault="0D1CB00F" w:rsidP="00465B03">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t>Articles 325r(3) and 325s</w:t>
            </w:r>
            <w:r w:rsidR="00FD7136" w:rsidRPr="00FE3C59">
              <w:rPr>
                <w:rFonts w:ascii="Times New Roman" w:eastAsia="Times New Roman" w:hAnsi="Times New Roman" w:cs="Times New Roman"/>
                <w:lang w:val="en-GB"/>
              </w:rPr>
              <w:t xml:space="preserve"> of Regulation (EU) No 575/2013</w:t>
            </w:r>
          </w:p>
          <w:p w14:paraId="1AA3EE4F" w14:textId="35A7E686" w:rsidR="0D1CB00F" w:rsidRPr="00FE3C59" w:rsidRDefault="004D64B9" w:rsidP="00465B03">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lang w:val="en-GB"/>
              </w:rPr>
              <w:t>T</w:t>
            </w:r>
            <w:r w:rsidR="00465B03" w:rsidRPr="00FE3C59">
              <w:rPr>
                <w:rFonts w:ascii="Times New Roman" w:eastAsia="Times New Roman" w:hAnsi="Times New Roman" w:cs="Times New Roman"/>
                <w:lang w:val="en-GB"/>
              </w:rPr>
              <w:t xml:space="preserve">he </w:t>
            </w:r>
            <w:r w:rsidRPr="00FE3C59">
              <w:rPr>
                <w:rFonts w:ascii="Times New Roman" w:eastAsia="Times New Roman" w:hAnsi="Times New Roman" w:cs="Times New Roman"/>
                <w:lang w:val="en-GB"/>
              </w:rPr>
              <w:t xml:space="preserve">net </w:t>
            </w:r>
            <w:r w:rsidR="0D1CB00F" w:rsidRPr="00FE3C59">
              <w:rPr>
                <w:rFonts w:ascii="Times New Roman" w:eastAsia="Times New Roman" w:hAnsi="Times New Roman" w:cs="Times New Roman"/>
                <w:lang w:val="en-GB"/>
              </w:rPr>
              <w:t>sensitivities</w:t>
            </w:r>
            <w:r w:rsidR="00465B03" w:rsidRPr="00FE3C59">
              <w:rPr>
                <w:rFonts w:ascii="Times New Roman" w:eastAsia="Times New Roman" w:hAnsi="Times New Roman" w:cs="Times New Roman"/>
                <w:lang w:val="en-GB"/>
              </w:rPr>
              <w:t xml:space="preserve"> </w:t>
            </w:r>
            <w:r w:rsidRPr="00FE3C59">
              <w:rPr>
                <w:rFonts w:ascii="Times New Roman" w:eastAsia="Times New Roman" w:hAnsi="Times New Roman" w:cs="Times New Roman"/>
                <w:lang w:val="en-GB"/>
              </w:rPr>
              <w:t xml:space="preserve">per risk factor, </w:t>
            </w:r>
            <w:r w:rsidR="00465B03" w:rsidRPr="00FE3C59">
              <w:rPr>
                <w:rFonts w:ascii="Times New Roman" w:eastAsia="Times New Roman" w:hAnsi="Times New Roman" w:cs="Times New Roman"/>
                <w:lang w:val="en-GB"/>
              </w:rPr>
              <w:t xml:space="preserve">calculated in accordance with Articles </w:t>
            </w:r>
            <w:r w:rsidR="007C597B" w:rsidRPr="00FE3C59">
              <w:rPr>
                <w:rFonts w:ascii="Times New Roman" w:eastAsia="Times New Roman" w:hAnsi="Times New Roman" w:cs="Times New Roman"/>
                <w:lang w:val="en-GB"/>
              </w:rPr>
              <w:t xml:space="preserve">325o, </w:t>
            </w:r>
            <w:r w:rsidR="00465B03" w:rsidRPr="00FE3C59">
              <w:rPr>
                <w:rFonts w:ascii="Times New Roman" w:eastAsia="Times New Roman" w:hAnsi="Times New Roman" w:cs="Times New Roman"/>
                <w:lang w:val="en-GB"/>
              </w:rPr>
              <w:t>325r</w:t>
            </w:r>
            <w:r w:rsidR="006C2B83" w:rsidRPr="00FE3C59">
              <w:rPr>
                <w:rFonts w:ascii="Times New Roman" w:eastAsia="Times New Roman" w:hAnsi="Times New Roman" w:cs="Times New Roman"/>
                <w:lang w:val="en-GB"/>
              </w:rPr>
              <w:t>,</w:t>
            </w:r>
            <w:r w:rsidR="00465B03" w:rsidRPr="00FE3C59">
              <w:rPr>
                <w:rFonts w:ascii="Times New Roman" w:eastAsia="Times New Roman" w:hAnsi="Times New Roman" w:cs="Times New Roman"/>
                <w:lang w:val="en-GB"/>
              </w:rPr>
              <w:t xml:space="preserve"> and 325s of Regulation (EU) No 575/2013</w:t>
            </w:r>
            <w:r w:rsidR="00A90E55" w:rsidRPr="00FE3C59">
              <w:rPr>
                <w:rFonts w:ascii="Times New Roman" w:eastAsia="Times New Roman" w:hAnsi="Times New Roman" w:cs="Times New Roman"/>
                <w:lang w:val="en-GB"/>
              </w:rPr>
              <w:t>,</w:t>
            </w:r>
            <w:r w:rsidR="0D1CB00F" w:rsidRPr="00FE3C59">
              <w:rPr>
                <w:rFonts w:ascii="Times New Roman" w:eastAsia="Times New Roman" w:hAnsi="Times New Roman" w:cs="Times New Roman"/>
                <w:lang w:val="en-GB"/>
              </w:rPr>
              <w:t xml:space="preserve"> before the application of the corresponding risk weights set out in </w:t>
            </w:r>
            <w:r w:rsidR="00EF18B2" w:rsidRPr="00FE3C59">
              <w:rPr>
                <w:rFonts w:ascii="Times New Roman" w:eastAsia="Times New Roman" w:hAnsi="Times New Roman" w:cs="Times New Roman"/>
                <w:lang w:val="en-GB"/>
              </w:rPr>
              <w:t>Part Three, Title IV, Chapter 1a,</w:t>
            </w:r>
            <w:r w:rsidR="00FD7136" w:rsidRPr="00FE3C59">
              <w:rPr>
                <w:rFonts w:ascii="Times New Roman" w:eastAsia="Times New Roman" w:hAnsi="Times New Roman" w:cs="Times New Roman"/>
                <w:lang w:val="en-GB"/>
              </w:rPr>
              <w:t xml:space="preserve"> </w:t>
            </w:r>
            <w:r w:rsidR="00465B03" w:rsidRPr="00FE3C59">
              <w:rPr>
                <w:rFonts w:ascii="Times New Roman" w:eastAsia="Times New Roman" w:hAnsi="Times New Roman" w:cs="Times New Roman"/>
                <w:lang w:val="en-GB"/>
              </w:rPr>
              <w:t xml:space="preserve">Section 6 </w:t>
            </w:r>
            <w:r w:rsidR="00FD7136" w:rsidRPr="00FE3C59">
              <w:rPr>
                <w:rFonts w:ascii="Times New Roman" w:eastAsia="Times New Roman" w:hAnsi="Times New Roman" w:cs="Times New Roman"/>
                <w:lang w:val="en-GB"/>
              </w:rPr>
              <w:t>of Regulation (EU) No 575/2013</w:t>
            </w:r>
            <w:r w:rsidR="00A90E55" w:rsidRPr="00FE3C59">
              <w:rPr>
                <w:rFonts w:ascii="Times New Roman" w:eastAsia="Times New Roman" w:hAnsi="Times New Roman" w:cs="Times New Roman"/>
                <w:lang w:val="en-GB"/>
              </w:rPr>
              <w:t>, shall be aggregated by bucket and reported separately for delta</w:t>
            </w:r>
            <w:r w:rsidR="1BD11F9D" w:rsidRPr="00FE3C59">
              <w:rPr>
                <w:rFonts w:ascii="Times New Roman" w:eastAsia="Times New Roman" w:hAnsi="Times New Roman" w:cs="Times New Roman"/>
                <w:lang w:val="en-GB"/>
              </w:rPr>
              <w:t xml:space="preserve"> and</w:t>
            </w:r>
            <w:r w:rsidR="00A90E55" w:rsidRPr="00FE3C59">
              <w:rPr>
                <w:rFonts w:ascii="Times New Roman" w:eastAsia="Times New Roman" w:hAnsi="Times New Roman" w:cs="Times New Roman"/>
                <w:lang w:val="en-GB"/>
              </w:rPr>
              <w:t xml:space="preserve"> vega risk in </w:t>
            </w:r>
            <w:r w:rsidR="154FD071" w:rsidRPr="00FE3C59">
              <w:rPr>
                <w:rFonts w:ascii="Times New Roman" w:eastAsia="Times New Roman" w:hAnsi="Times New Roman" w:cs="Times New Roman"/>
                <w:lang w:val="en-GB"/>
              </w:rPr>
              <w:t>the</w:t>
            </w:r>
            <w:r w:rsidR="6B5EC2E7" w:rsidRPr="00FE3C59">
              <w:rPr>
                <w:rFonts w:ascii="Times New Roman" w:eastAsia="Times New Roman" w:hAnsi="Times New Roman" w:cs="Times New Roman"/>
                <w:lang w:val="en-GB"/>
              </w:rPr>
              <w:t xml:space="preserve"> applicable</w:t>
            </w:r>
            <w:r w:rsidR="00A90E55" w:rsidRPr="00FE3C59">
              <w:rPr>
                <w:rFonts w:ascii="Times New Roman" w:eastAsia="Times New Roman" w:hAnsi="Times New Roman" w:cs="Times New Roman"/>
                <w:lang w:val="en-GB"/>
              </w:rPr>
              <w:t xml:space="preserve"> columns</w:t>
            </w:r>
            <w:r w:rsidR="0D1CB00F" w:rsidRPr="00FE3C59">
              <w:rPr>
                <w:rFonts w:ascii="Times New Roman" w:eastAsia="Times New Roman" w:hAnsi="Times New Roman" w:cs="Times New Roman"/>
                <w:lang w:val="en-GB"/>
              </w:rPr>
              <w:t>.</w:t>
            </w:r>
          </w:p>
        </w:tc>
      </w:tr>
      <w:tr w:rsidR="0D1CB00F" w:rsidRPr="00FE3C59" w14:paraId="6F70BFB4" w14:textId="77777777" w:rsidTr="00A523D0">
        <w:tc>
          <w:tcPr>
            <w:tcW w:w="1048" w:type="dxa"/>
            <w:tcBorders>
              <w:top w:val="single" w:sz="8" w:space="0" w:color="auto"/>
              <w:left w:val="single" w:sz="8" w:space="0" w:color="auto"/>
              <w:bottom w:val="single" w:sz="8" w:space="0" w:color="auto"/>
              <w:right w:val="single" w:sz="8" w:space="0" w:color="auto"/>
            </w:tcBorders>
          </w:tcPr>
          <w:p w14:paraId="4F46A539" w14:textId="1AE51CE7"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lastRenderedPageBreak/>
              <w:t>0010</w:t>
            </w:r>
            <w:r w:rsidRPr="00FE3C59">
              <w:rPr>
                <w:rFonts w:ascii="Times New Roman" w:eastAsia="Times New Roman" w:hAnsi="Times New Roman" w:cs="Times New Roman"/>
                <w:lang w:val="en-GB"/>
              </w:rPr>
              <w:t>-0020</w:t>
            </w:r>
          </w:p>
        </w:tc>
        <w:tc>
          <w:tcPr>
            <w:tcW w:w="7967" w:type="dxa"/>
            <w:tcBorders>
              <w:top w:val="single" w:sz="8" w:space="0" w:color="auto"/>
              <w:left w:val="single" w:sz="8" w:space="0" w:color="auto"/>
              <w:bottom w:val="single" w:sz="8" w:space="0" w:color="auto"/>
              <w:right w:val="single" w:sz="8" w:space="0" w:color="auto"/>
            </w:tcBorders>
            <w:vAlign w:val="bottom"/>
          </w:tcPr>
          <w:p w14:paraId="279DFAA7" w14:textId="0A39BC5E" w:rsidR="0D1CB00F" w:rsidRPr="00FE3C59" w:rsidRDefault="0D1CB00F" w:rsidP="00465B03">
            <w:pPr>
              <w:pStyle w:val="BodyText"/>
              <w:spacing w:before="120" w:after="120"/>
              <w:rPr>
                <w:rFonts w:ascii="Times New Roman" w:eastAsia="Times New Roman" w:hAnsi="Times New Roman" w:cs="Times New Roman"/>
                <w:b/>
                <w:u w:val="single"/>
                <w:lang w:val="en-GB"/>
              </w:rPr>
            </w:pPr>
            <w:r w:rsidRPr="00FE3C59">
              <w:rPr>
                <w:rFonts w:ascii="Times New Roman" w:eastAsia="Times New Roman" w:hAnsi="Times New Roman" w:cs="Times New Roman"/>
                <w:b/>
                <w:u w:val="single"/>
                <w:lang w:val="en-GB"/>
              </w:rPr>
              <w:t>Delta risk factors</w:t>
            </w:r>
          </w:p>
          <w:p w14:paraId="76A0CD9E" w14:textId="522D13AD" w:rsidR="0D1CB00F" w:rsidRPr="00FE3C59" w:rsidRDefault="0D1CB00F" w:rsidP="004309FE">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t>Articles 325e(1</w:t>
            </w:r>
            <w:r w:rsidR="00957F5F" w:rsidRPr="00FE3C59">
              <w:rPr>
                <w:rFonts w:ascii="Times New Roman" w:eastAsia="Times New Roman" w:hAnsi="Times New Roman" w:cs="Times New Roman"/>
                <w:lang w:val="en-GB"/>
              </w:rPr>
              <w:t>), point (</w:t>
            </w:r>
            <w:r w:rsidRPr="00FE3C59">
              <w:rPr>
                <w:rFonts w:ascii="Times New Roman" w:eastAsia="Times New Roman" w:hAnsi="Times New Roman" w:cs="Times New Roman"/>
                <w:lang w:val="en-GB"/>
              </w:rPr>
              <w:t>a), 325f(1</w:t>
            </w:r>
            <w:r w:rsidR="00957F5F" w:rsidRPr="00FE3C59">
              <w:rPr>
                <w:rFonts w:ascii="Times New Roman" w:eastAsia="Times New Roman" w:hAnsi="Times New Roman" w:cs="Times New Roman"/>
                <w:lang w:val="en-GB"/>
              </w:rPr>
              <w:t>) to (</w:t>
            </w:r>
            <w:r w:rsidRPr="00FE3C59">
              <w:rPr>
                <w:rFonts w:ascii="Times New Roman" w:eastAsia="Times New Roman" w:hAnsi="Times New Roman" w:cs="Times New Roman"/>
                <w:lang w:val="en-GB"/>
              </w:rPr>
              <w:t>5), 325o(2) and 325r(3)</w:t>
            </w:r>
            <w:r w:rsidR="00FD7136" w:rsidRPr="00FE3C59">
              <w:rPr>
                <w:rFonts w:ascii="Times New Roman" w:eastAsia="Times New Roman" w:hAnsi="Times New Roman" w:cs="Times New Roman"/>
                <w:lang w:val="en-GB"/>
              </w:rPr>
              <w:t xml:space="preserve"> of </w:t>
            </w:r>
            <w:r w:rsidR="00FD7136" w:rsidRPr="00FE3C59">
              <w:rPr>
                <w:rFonts w:ascii="Times New Roman" w:hAnsi="Times New Roman" w:cs="Times New Roman"/>
                <w:lang w:val="en-GB"/>
              </w:rPr>
              <w:t>Regulation</w:t>
            </w:r>
            <w:r w:rsidR="00FD7136" w:rsidRPr="00FE3C59">
              <w:rPr>
                <w:rFonts w:ascii="Times New Roman" w:eastAsia="Times New Roman" w:hAnsi="Times New Roman" w:cs="Times New Roman"/>
                <w:lang w:val="en-GB"/>
              </w:rPr>
              <w:t xml:space="preserve"> (EU) No 575/2013</w:t>
            </w:r>
          </w:p>
        </w:tc>
      </w:tr>
      <w:tr w:rsidR="0D1CB00F" w:rsidRPr="00FE3C59" w14:paraId="514A1E7D" w14:textId="77777777" w:rsidTr="00A523D0">
        <w:tc>
          <w:tcPr>
            <w:tcW w:w="1048" w:type="dxa"/>
            <w:tcBorders>
              <w:top w:val="single" w:sz="8" w:space="0" w:color="auto"/>
              <w:left w:val="single" w:sz="8" w:space="0" w:color="auto"/>
              <w:bottom w:val="single" w:sz="8" w:space="0" w:color="auto"/>
              <w:right w:val="single" w:sz="8" w:space="0" w:color="auto"/>
            </w:tcBorders>
          </w:tcPr>
          <w:p w14:paraId="177B1089" w14:textId="58AB1E11" w:rsidR="0D1CB00F" w:rsidRPr="00FE3C59" w:rsidRDefault="0D1CB00F" w:rsidP="002225E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r w:rsidRPr="00FE3C59">
              <w:rPr>
                <w:rFonts w:ascii="Times New Roman" w:eastAsia="Times New Roman" w:hAnsi="Times New Roman" w:cs="Times New Roman"/>
                <w:lang w:val="en-GB"/>
              </w:rPr>
              <w:t xml:space="preserve"> </w:t>
            </w:r>
          </w:p>
        </w:tc>
        <w:tc>
          <w:tcPr>
            <w:tcW w:w="7967" w:type="dxa"/>
            <w:tcBorders>
              <w:top w:val="single" w:sz="8" w:space="0" w:color="auto"/>
              <w:left w:val="single" w:sz="8" w:space="0" w:color="auto"/>
              <w:bottom w:val="single" w:sz="8" w:space="0" w:color="auto"/>
              <w:right w:val="single" w:sz="8" w:space="0" w:color="auto"/>
            </w:tcBorders>
            <w:vAlign w:val="bottom"/>
          </w:tcPr>
          <w:p w14:paraId="2009709A" w14:textId="08DD3092" w:rsidR="0D1CB00F" w:rsidRPr="00FE3C59" w:rsidRDefault="0D1CB00F" w:rsidP="002225E1">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Spot prices</w:t>
            </w:r>
          </w:p>
        </w:tc>
      </w:tr>
      <w:tr w:rsidR="0D1CB00F" w:rsidRPr="00FE3C59" w14:paraId="5D442CC7" w14:textId="77777777" w:rsidTr="00A523D0">
        <w:tc>
          <w:tcPr>
            <w:tcW w:w="1048" w:type="dxa"/>
            <w:tcBorders>
              <w:top w:val="single" w:sz="8" w:space="0" w:color="auto"/>
              <w:left w:val="single" w:sz="8" w:space="0" w:color="auto"/>
              <w:bottom w:val="single" w:sz="8" w:space="0" w:color="auto"/>
              <w:right w:val="single" w:sz="8" w:space="0" w:color="auto"/>
            </w:tcBorders>
          </w:tcPr>
          <w:p w14:paraId="0352E1CF" w14:textId="16960E01" w:rsidR="0D1CB00F" w:rsidRPr="00FE3C59" w:rsidRDefault="0D1CB00F" w:rsidP="002225E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r w:rsidRPr="00FE3C59">
              <w:rPr>
                <w:rFonts w:ascii="Times New Roman" w:eastAsia="Times New Roman" w:hAnsi="Times New Roman" w:cs="Times New Roman"/>
                <w:lang w:val="en-GB"/>
              </w:rPr>
              <w:t xml:space="preserve"> </w:t>
            </w:r>
          </w:p>
        </w:tc>
        <w:tc>
          <w:tcPr>
            <w:tcW w:w="7967" w:type="dxa"/>
            <w:tcBorders>
              <w:top w:val="single" w:sz="8" w:space="0" w:color="auto"/>
              <w:left w:val="single" w:sz="8" w:space="0" w:color="auto"/>
              <w:bottom w:val="single" w:sz="8" w:space="0" w:color="auto"/>
              <w:right w:val="single" w:sz="8" w:space="0" w:color="auto"/>
            </w:tcBorders>
            <w:vAlign w:val="bottom"/>
          </w:tcPr>
          <w:p w14:paraId="25318942" w14:textId="0460BB25" w:rsidR="0D1CB00F" w:rsidRPr="00FE3C59" w:rsidRDefault="0D1CB00F" w:rsidP="002225E1">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Repo rates</w:t>
            </w:r>
          </w:p>
        </w:tc>
      </w:tr>
      <w:tr w:rsidR="0D1CB00F" w:rsidRPr="00FE3C59" w14:paraId="220C8B5C" w14:textId="77777777" w:rsidTr="00A523D0">
        <w:tc>
          <w:tcPr>
            <w:tcW w:w="1048" w:type="dxa"/>
            <w:tcBorders>
              <w:top w:val="single" w:sz="8" w:space="0" w:color="auto"/>
              <w:left w:val="single" w:sz="8" w:space="0" w:color="auto"/>
              <w:bottom w:val="single" w:sz="8" w:space="0" w:color="auto"/>
              <w:right w:val="single" w:sz="8" w:space="0" w:color="auto"/>
            </w:tcBorders>
          </w:tcPr>
          <w:p w14:paraId="0F72BFF3" w14:textId="0E0A629B"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0030</w:t>
            </w:r>
            <w:r w:rsidRPr="00FE3C59">
              <w:rPr>
                <w:rFonts w:ascii="Times New Roman" w:eastAsia="Times New Roman" w:hAnsi="Times New Roman" w:cs="Times New Roman"/>
                <w:lang w:val="en-GB"/>
              </w:rPr>
              <w:t>-0070</w:t>
            </w:r>
          </w:p>
        </w:tc>
        <w:tc>
          <w:tcPr>
            <w:tcW w:w="7967" w:type="dxa"/>
            <w:tcBorders>
              <w:top w:val="single" w:sz="8" w:space="0" w:color="auto"/>
              <w:left w:val="single" w:sz="8" w:space="0" w:color="auto"/>
              <w:bottom w:val="single" w:sz="8" w:space="0" w:color="auto"/>
              <w:right w:val="single" w:sz="8" w:space="0" w:color="auto"/>
            </w:tcBorders>
            <w:vAlign w:val="bottom"/>
          </w:tcPr>
          <w:p w14:paraId="1C1F940F" w14:textId="79681D5A"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Vega risk factors: Maturities</w:t>
            </w:r>
          </w:p>
          <w:p w14:paraId="55A8062D" w14:textId="77777777" w:rsidR="006637AB" w:rsidRPr="00FE3C59" w:rsidRDefault="0D1CB00F" w:rsidP="00465B03">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t xml:space="preserve">Articles </w:t>
            </w:r>
            <w:r w:rsidR="073965F3" w:rsidRPr="00FE3C59">
              <w:rPr>
                <w:rFonts w:ascii="Times New Roman" w:eastAsia="Times New Roman" w:hAnsi="Times New Roman" w:cs="Times New Roman"/>
                <w:color w:val="000000" w:themeColor="text1"/>
                <w:lang w:val="en-GB"/>
              </w:rPr>
              <w:t>325e</w:t>
            </w:r>
            <w:r w:rsidR="00957F5F" w:rsidRPr="00FE3C59">
              <w:rPr>
                <w:rFonts w:ascii="Times New Roman" w:eastAsia="Times New Roman" w:hAnsi="Times New Roman" w:cs="Times New Roman"/>
                <w:color w:val="000000" w:themeColor="text1"/>
                <w:lang w:val="en-GB"/>
              </w:rPr>
              <w:t>(1), point (b),</w:t>
            </w:r>
            <w:r w:rsidR="073965F3" w:rsidRPr="00FE3C59">
              <w:rPr>
                <w:rFonts w:ascii="Times New Roman" w:eastAsia="Times New Roman" w:hAnsi="Times New Roman" w:cs="Times New Roman"/>
                <w:color w:val="000000" w:themeColor="text1"/>
                <w:lang w:val="en-GB"/>
              </w:rPr>
              <w:t xml:space="preserve"> 325</w:t>
            </w:r>
            <w:r w:rsidR="00957F5F" w:rsidRPr="00FE3C59">
              <w:rPr>
                <w:rFonts w:ascii="Times New Roman" w:eastAsia="Times New Roman" w:hAnsi="Times New Roman" w:cs="Times New Roman"/>
                <w:color w:val="000000" w:themeColor="text1"/>
                <w:lang w:val="en-GB"/>
              </w:rPr>
              <w:t>f(1) to (</w:t>
            </w:r>
            <w:r w:rsidR="073965F3" w:rsidRPr="00FE3C59">
              <w:rPr>
                <w:rFonts w:ascii="Times New Roman" w:eastAsia="Times New Roman" w:hAnsi="Times New Roman" w:cs="Times New Roman"/>
                <w:color w:val="000000" w:themeColor="text1"/>
                <w:lang w:val="en-GB"/>
              </w:rPr>
              <w:t xml:space="preserve">5), </w:t>
            </w:r>
            <w:r w:rsidRPr="00FE3C59">
              <w:rPr>
                <w:rFonts w:ascii="Times New Roman" w:eastAsia="Times New Roman" w:hAnsi="Times New Roman" w:cs="Times New Roman"/>
                <w:lang w:val="en-GB"/>
              </w:rPr>
              <w:t>325o(3)</w:t>
            </w:r>
            <w:r w:rsidR="1BD18A93" w:rsidRPr="00FE3C59">
              <w:rPr>
                <w:rFonts w:ascii="Times New Roman" w:eastAsia="Times New Roman" w:hAnsi="Times New Roman" w:cs="Times New Roman"/>
                <w:color w:val="000000" w:themeColor="text1"/>
                <w:lang w:val="en-GB"/>
              </w:rPr>
              <w:t xml:space="preserve"> </w:t>
            </w:r>
            <w:r w:rsidR="073965F3" w:rsidRPr="00FE3C59">
              <w:rPr>
                <w:rFonts w:ascii="Times New Roman" w:eastAsia="Times New Roman" w:hAnsi="Times New Roman" w:cs="Times New Roman"/>
                <w:color w:val="000000" w:themeColor="text1"/>
                <w:lang w:val="en-GB"/>
              </w:rPr>
              <w:t>and 325s</w:t>
            </w:r>
            <w:r w:rsidR="00FD7136" w:rsidRPr="00FE3C59">
              <w:rPr>
                <w:rFonts w:ascii="Times New Roman" w:eastAsia="Times New Roman" w:hAnsi="Times New Roman" w:cs="Times New Roman"/>
                <w:lang w:val="en-GB"/>
              </w:rPr>
              <w:t xml:space="preserve"> of Regulation (EU) No </w:t>
            </w:r>
            <w:r w:rsidR="006637AB" w:rsidRPr="00FE3C59">
              <w:rPr>
                <w:rFonts w:ascii="Times New Roman" w:eastAsia="Times New Roman" w:hAnsi="Times New Roman" w:cs="Times New Roman"/>
                <w:lang w:val="en-GB"/>
              </w:rPr>
              <w:t>575/2013</w:t>
            </w:r>
          </w:p>
          <w:p w14:paraId="49E07EA6" w14:textId="0B0A45E8" w:rsidR="0D1CB00F" w:rsidRPr="00FE3C59" w:rsidRDefault="00465B03" w:rsidP="00150901">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t>In accordance with Article 325</w:t>
            </w:r>
            <w:r w:rsidR="00E53F48">
              <w:rPr>
                <w:rFonts w:ascii="Times New Roman" w:eastAsia="Times New Roman" w:hAnsi="Times New Roman" w:cs="Times New Roman"/>
                <w:lang w:val="en-GB"/>
              </w:rPr>
              <w:t>o</w:t>
            </w:r>
            <w:r w:rsidRPr="00FE3C59">
              <w:rPr>
                <w:rFonts w:ascii="Times New Roman" w:eastAsia="Times New Roman" w:hAnsi="Times New Roman" w:cs="Times New Roman"/>
                <w:lang w:val="en-GB"/>
              </w:rPr>
              <w:t xml:space="preserve">(3), second sentence, </w:t>
            </w:r>
            <w:r w:rsidR="004B49AF" w:rsidRPr="00FE3C59">
              <w:rPr>
                <w:rFonts w:ascii="Times New Roman" w:eastAsia="Times New Roman" w:hAnsi="Times New Roman" w:cs="Times New Roman"/>
                <w:lang w:val="en-GB"/>
              </w:rPr>
              <w:t xml:space="preserve">of Regulation (EU) No 575/2013, </w:t>
            </w:r>
            <w:r w:rsidR="00864711" w:rsidRPr="00FE3C59">
              <w:rPr>
                <w:rFonts w:ascii="Times New Roman" w:eastAsia="Times New Roman" w:hAnsi="Times New Roman" w:cs="Times New Roman"/>
                <w:lang w:val="en-GB"/>
              </w:rPr>
              <w:t xml:space="preserve">institutions shall only report </w:t>
            </w:r>
            <w:r w:rsidR="0080691B" w:rsidRPr="00FE3C59">
              <w:rPr>
                <w:rFonts w:ascii="Times New Roman" w:eastAsia="Times New Roman" w:hAnsi="Times New Roman" w:cs="Times New Roman"/>
                <w:lang w:val="en-GB"/>
              </w:rPr>
              <w:t xml:space="preserve">the aggregated net unweighted sensitivities to the implied volatilities of equity spot prices, </w:t>
            </w:r>
            <w:r w:rsidR="004E5FC4" w:rsidRPr="00FE3C59">
              <w:rPr>
                <w:rFonts w:ascii="Times New Roman" w:eastAsia="Times New Roman" w:hAnsi="Times New Roman" w:cs="Times New Roman"/>
                <w:lang w:val="en-GB"/>
              </w:rPr>
              <w:t xml:space="preserve">mapped to the maturity of the option, </w:t>
            </w:r>
            <w:r w:rsidR="0080691B" w:rsidRPr="00FE3C59">
              <w:rPr>
                <w:rFonts w:ascii="Times New Roman" w:eastAsia="Times New Roman" w:hAnsi="Times New Roman" w:cs="Times New Roman"/>
                <w:lang w:val="en-GB"/>
              </w:rPr>
              <w:t xml:space="preserve">and not </w:t>
            </w:r>
            <w:r w:rsidR="004E5FC4" w:rsidRPr="00FE3C59">
              <w:rPr>
                <w:rFonts w:ascii="Times New Roman" w:eastAsia="Times New Roman" w:hAnsi="Times New Roman" w:cs="Times New Roman"/>
                <w:lang w:val="en-GB"/>
              </w:rPr>
              <w:t>the sensitivities</w:t>
            </w:r>
            <w:r w:rsidR="008646EE" w:rsidRPr="00FE3C59">
              <w:rPr>
                <w:rFonts w:ascii="Times New Roman" w:eastAsia="Times New Roman" w:hAnsi="Times New Roman" w:cs="Times New Roman"/>
                <w:lang w:val="en-GB"/>
              </w:rPr>
              <w:t xml:space="preserve"> to </w:t>
            </w:r>
            <w:r w:rsidR="0D1CB00F" w:rsidRPr="00FE3C59">
              <w:rPr>
                <w:rFonts w:ascii="Times New Roman" w:eastAsia="Times New Roman" w:hAnsi="Times New Roman" w:cs="Times New Roman"/>
                <w:lang w:val="en-GB"/>
              </w:rPr>
              <w:t>equity repo rates.</w:t>
            </w:r>
          </w:p>
        </w:tc>
      </w:tr>
      <w:tr w:rsidR="0D1CB00F" w:rsidRPr="00FE3C59" w14:paraId="6C234926" w14:textId="77777777" w:rsidTr="00A523D0">
        <w:tc>
          <w:tcPr>
            <w:tcW w:w="1048" w:type="dxa"/>
            <w:tcBorders>
              <w:top w:val="single" w:sz="8" w:space="0" w:color="auto"/>
              <w:left w:val="single" w:sz="8" w:space="0" w:color="auto"/>
              <w:bottom w:val="single" w:sz="8" w:space="0" w:color="auto"/>
              <w:right w:val="single" w:sz="8" w:space="0" w:color="auto"/>
            </w:tcBorders>
          </w:tcPr>
          <w:p w14:paraId="4C391549" w14:textId="75AFF98E"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0030</w:t>
            </w:r>
          </w:p>
        </w:tc>
        <w:tc>
          <w:tcPr>
            <w:tcW w:w="7967" w:type="dxa"/>
            <w:tcBorders>
              <w:top w:val="single" w:sz="8" w:space="0" w:color="auto"/>
              <w:left w:val="single" w:sz="8" w:space="0" w:color="auto"/>
              <w:bottom w:val="single" w:sz="8" w:space="0" w:color="auto"/>
              <w:right w:val="single" w:sz="8" w:space="0" w:color="auto"/>
            </w:tcBorders>
            <w:vAlign w:val="bottom"/>
          </w:tcPr>
          <w:p w14:paraId="14A49F05" w14:textId="56043ED6"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0.5 </w:t>
            </w:r>
            <w:r w:rsidRPr="00FE3C59">
              <w:rPr>
                <w:rFonts w:ascii="Times New Roman" w:hAnsi="Times New Roman" w:cs="Times New Roman"/>
                <w:b/>
                <w:u w:val="single"/>
                <w:lang w:val="en-GB"/>
              </w:rPr>
              <w:t>years</w:t>
            </w:r>
          </w:p>
        </w:tc>
      </w:tr>
      <w:tr w:rsidR="0D1CB00F" w:rsidRPr="00FE3C59" w14:paraId="51FD1F40" w14:textId="77777777" w:rsidTr="00A523D0">
        <w:tc>
          <w:tcPr>
            <w:tcW w:w="1048" w:type="dxa"/>
            <w:tcBorders>
              <w:top w:val="single" w:sz="8" w:space="0" w:color="auto"/>
              <w:left w:val="single" w:sz="8" w:space="0" w:color="auto"/>
              <w:bottom w:val="single" w:sz="8" w:space="0" w:color="auto"/>
              <w:right w:val="single" w:sz="8" w:space="0" w:color="auto"/>
            </w:tcBorders>
          </w:tcPr>
          <w:p w14:paraId="69F016CE" w14:textId="620CDF53"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67" w:type="dxa"/>
            <w:tcBorders>
              <w:top w:val="single" w:sz="8" w:space="0" w:color="auto"/>
              <w:left w:val="single" w:sz="8" w:space="0" w:color="auto"/>
              <w:bottom w:val="single" w:sz="8" w:space="0" w:color="auto"/>
              <w:right w:val="single" w:sz="8" w:space="0" w:color="auto"/>
            </w:tcBorders>
            <w:vAlign w:val="bottom"/>
          </w:tcPr>
          <w:p w14:paraId="5C3C6FB1" w14:textId="6F6F4B68"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1 </w:t>
            </w:r>
            <w:r w:rsidRPr="00FE3C59">
              <w:rPr>
                <w:rFonts w:ascii="Times New Roman" w:hAnsi="Times New Roman" w:cs="Times New Roman"/>
                <w:b/>
                <w:u w:val="single"/>
                <w:lang w:val="en-GB"/>
              </w:rPr>
              <w:t>year</w:t>
            </w:r>
          </w:p>
        </w:tc>
      </w:tr>
      <w:tr w:rsidR="0D1CB00F" w:rsidRPr="00FE3C59" w14:paraId="56AA78D7" w14:textId="77777777" w:rsidTr="00A523D0">
        <w:tc>
          <w:tcPr>
            <w:tcW w:w="1048" w:type="dxa"/>
            <w:tcBorders>
              <w:top w:val="single" w:sz="8" w:space="0" w:color="auto"/>
              <w:left w:val="single" w:sz="8" w:space="0" w:color="auto"/>
              <w:bottom w:val="single" w:sz="8" w:space="0" w:color="auto"/>
              <w:right w:val="single" w:sz="8" w:space="0" w:color="auto"/>
            </w:tcBorders>
          </w:tcPr>
          <w:p w14:paraId="46D40CC9" w14:textId="509C6EA3"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0050</w:t>
            </w:r>
          </w:p>
        </w:tc>
        <w:tc>
          <w:tcPr>
            <w:tcW w:w="7967" w:type="dxa"/>
            <w:tcBorders>
              <w:top w:val="single" w:sz="8" w:space="0" w:color="auto"/>
              <w:left w:val="single" w:sz="8" w:space="0" w:color="auto"/>
              <w:bottom w:val="single" w:sz="8" w:space="0" w:color="auto"/>
              <w:right w:val="single" w:sz="8" w:space="0" w:color="auto"/>
            </w:tcBorders>
            <w:vAlign w:val="bottom"/>
          </w:tcPr>
          <w:p w14:paraId="01AFE49C" w14:textId="4FFFA248"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3 </w:t>
            </w:r>
            <w:r w:rsidRPr="00FE3C59">
              <w:rPr>
                <w:rFonts w:ascii="Times New Roman" w:hAnsi="Times New Roman" w:cs="Times New Roman"/>
                <w:b/>
                <w:u w:val="single"/>
                <w:lang w:val="en-GB"/>
              </w:rPr>
              <w:t>years</w:t>
            </w:r>
          </w:p>
        </w:tc>
      </w:tr>
      <w:tr w:rsidR="0D1CB00F" w:rsidRPr="00FE3C59" w14:paraId="759174E5" w14:textId="77777777" w:rsidTr="00A523D0">
        <w:tc>
          <w:tcPr>
            <w:tcW w:w="1048" w:type="dxa"/>
            <w:tcBorders>
              <w:top w:val="single" w:sz="8" w:space="0" w:color="auto"/>
              <w:left w:val="single" w:sz="8" w:space="0" w:color="auto"/>
              <w:bottom w:val="single" w:sz="8" w:space="0" w:color="auto"/>
              <w:right w:val="single" w:sz="8" w:space="0" w:color="auto"/>
            </w:tcBorders>
          </w:tcPr>
          <w:p w14:paraId="6B070621" w14:textId="5A44D6B4"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0060</w:t>
            </w:r>
          </w:p>
        </w:tc>
        <w:tc>
          <w:tcPr>
            <w:tcW w:w="7967" w:type="dxa"/>
            <w:tcBorders>
              <w:top w:val="single" w:sz="8" w:space="0" w:color="auto"/>
              <w:left w:val="single" w:sz="8" w:space="0" w:color="auto"/>
              <w:bottom w:val="single" w:sz="8" w:space="0" w:color="auto"/>
              <w:right w:val="single" w:sz="8" w:space="0" w:color="auto"/>
            </w:tcBorders>
            <w:vAlign w:val="bottom"/>
          </w:tcPr>
          <w:p w14:paraId="5A32DC78" w14:textId="278B06B5"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5 </w:t>
            </w:r>
            <w:r w:rsidRPr="00FE3C59">
              <w:rPr>
                <w:rFonts w:ascii="Times New Roman" w:hAnsi="Times New Roman" w:cs="Times New Roman"/>
                <w:b/>
                <w:u w:val="single"/>
                <w:lang w:val="en-GB"/>
              </w:rPr>
              <w:t>years</w:t>
            </w:r>
          </w:p>
        </w:tc>
      </w:tr>
      <w:tr w:rsidR="0D1CB00F" w:rsidRPr="00FE3C59" w14:paraId="06701F4B" w14:textId="77777777" w:rsidTr="00A523D0">
        <w:tc>
          <w:tcPr>
            <w:tcW w:w="1048" w:type="dxa"/>
            <w:tcBorders>
              <w:top w:val="single" w:sz="8" w:space="0" w:color="auto"/>
              <w:left w:val="single" w:sz="8" w:space="0" w:color="auto"/>
              <w:bottom w:val="single" w:sz="8" w:space="0" w:color="auto"/>
              <w:right w:val="single" w:sz="8" w:space="0" w:color="auto"/>
            </w:tcBorders>
          </w:tcPr>
          <w:p w14:paraId="662608F8" w14:textId="5BA736DC"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0070</w:t>
            </w:r>
          </w:p>
        </w:tc>
        <w:tc>
          <w:tcPr>
            <w:tcW w:w="7967" w:type="dxa"/>
            <w:tcBorders>
              <w:top w:val="single" w:sz="8" w:space="0" w:color="auto"/>
              <w:left w:val="single" w:sz="8" w:space="0" w:color="auto"/>
              <w:bottom w:val="single" w:sz="8" w:space="0" w:color="auto"/>
              <w:right w:val="single" w:sz="8" w:space="0" w:color="auto"/>
            </w:tcBorders>
            <w:vAlign w:val="bottom"/>
          </w:tcPr>
          <w:p w14:paraId="79BC0601" w14:textId="3E86C492"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10 years</w:t>
            </w:r>
          </w:p>
        </w:tc>
      </w:tr>
      <w:tr w:rsidR="0D1CB00F" w:rsidRPr="00FE3C59" w14:paraId="485ED477" w14:textId="77777777" w:rsidTr="00A523D0">
        <w:tc>
          <w:tcPr>
            <w:tcW w:w="1048" w:type="dxa"/>
            <w:tcBorders>
              <w:top w:val="single" w:sz="8" w:space="0" w:color="auto"/>
              <w:left w:val="single" w:sz="8" w:space="0" w:color="auto"/>
              <w:bottom w:val="single" w:sz="8" w:space="0" w:color="auto"/>
              <w:right w:val="single" w:sz="8" w:space="0" w:color="auto"/>
            </w:tcBorders>
          </w:tcPr>
          <w:p w14:paraId="640A1AD2" w14:textId="1CACE1B9" w:rsidR="0D1CB00F" w:rsidRPr="00FE3C59" w:rsidRDefault="0D1CB00F" w:rsidP="00465B03">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0080-0140</w:t>
            </w:r>
          </w:p>
        </w:tc>
        <w:tc>
          <w:tcPr>
            <w:tcW w:w="7967" w:type="dxa"/>
            <w:tcBorders>
              <w:top w:val="single" w:sz="8" w:space="0" w:color="auto"/>
              <w:left w:val="single" w:sz="8" w:space="0" w:color="auto"/>
              <w:bottom w:val="single" w:sz="8" w:space="0" w:color="auto"/>
              <w:right w:val="single" w:sz="8" w:space="0" w:color="auto"/>
            </w:tcBorders>
            <w:vAlign w:val="bottom"/>
          </w:tcPr>
          <w:p w14:paraId="695127A6" w14:textId="485B153A"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Weighted</w:t>
            </w:r>
            <w:r w:rsidRPr="00FE3C59">
              <w:rPr>
                <w:rFonts w:ascii="Times New Roman" w:eastAsia="Times New Roman" w:hAnsi="Times New Roman" w:cs="Times New Roman"/>
                <w:b/>
                <w:u w:val="single"/>
                <w:lang w:val="en-GB"/>
              </w:rPr>
              <w:t xml:space="preserve"> sensitivities</w:t>
            </w:r>
          </w:p>
          <w:p w14:paraId="09260F4B" w14:textId="07174EE1" w:rsidR="0D1CB00F" w:rsidRPr="00FE3C59" w:rsidRDefault="00E914C3" w:rsidP="00465B03">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lang w:val="en-GB"/>
              </w:rPr>
              <w:t>Article</w:t>
            </w:r>
            <w:r w:rsidR="0D1CB00F" w:rsidRPr="00FE3C59">
              <w:rPr>
                <w:rFonts w:ascii="Times New Roman" w:eastAsia="Times New Roman" w:hAnsi="Times New Roman" w:cs="Times New Roman"/>
                <w:lang w:val="en-GB"/>
              </w:rPr>
              <w:t xml:space="preserve"> 325f(6)</w:t>
            </w:r>
            <w:r w:rsidR="00FD7136" w:rsidRPr="00FE3C59">
              <w:rPr>
                <w:rFonts w:ascii="Times New Roman" w:eastAsia="Times New Roman" w:hAnsi="Times New Roman" w:cs="Times New Roman"/>
                <w:lang w:val="en-GB"/>
              </w:rPr>
              <w:t xml:space="preserve"> of Regulation (EU) No 575/2013</w:t>
            </w:r>
          </w:p>
          <w:p w14:paraId="7C0CE854" w14:textId="481B0300" w:rsidR="0D1CB00F" w:rsidRPr="00FE3C59" w:rsidRDefault="00B75FEC" w:rsidP="00465B03">
            <w:pPr>
              <w:pStyle w:val="BodyText"/>
              <w:spacing w:before="120" w:after="120" w:line="288" w:lineRule="auto"/>
              <w:rPr>
                <w:rFonts w:ascii="Times New Roman" w:eastAsia="Times New Roman" w:hAnsi="Times New Roman" w:cs="Times New Roman"/>
                <w:lang w:val="en-GB"/>
              </w:rPr>
            </w:pPr>
            <w:r w:rsidRPr="00FE3C59">
              <w:rPr>
                <w:rFonts w:ascii="Times New Roman" w:hAnsi="Times New Roman" w:cs="Times New Roman"/>
                <w:lang w:val="en-GB"/>
              </w:rPr>
              <w:t>T</w:t>
            </w:r>
            <w:r w:rsidR="0D1CB00F" w:rsidRPr="00FE3C59">
              <w:rPr>
                <w:rFonts w:ascii="Times New Roman" w:hAnsi="Times New Roman" w:cs="Times New Roman"/>
                <w:lang w:val="en-GB"/>
              </w:rPr>
              <w:t xml:space="preserve">he net sensitivities </w:t>
            </w:r>
            <w:r w:rsidRPr="00FE3C59">
              <w:rPr>
                <w:rFonts w:ascii="Times New Roman" w:hAnsi="Times New Roman" w:cs="Times New Roman"/>
                <w:lang w:val="en-GB"/>
              </w:rPr>
              <w:t xml:space="preserve">per </w:t>
            </w:r>
            <w:r w:rsidR="0D1CB00F" w:rsidRPr="00FE3C59">
              <w:rPr>
                <w:rFonts w:ascii="Times New Roman" w:hAnsi="Times New Roman" w:cs="Times New Roman"/>
                <w:lang w:val="en-GB"/>
              </w:rPr>
              <w:t>risk factor</w:t>
            </w:r>
            <w:r w:rsidR="00001F0C" w:rsidRPr="00FE3C59">
              <w:rPr>
                <w:rFonts w:ascii="Times New Roman" w:hAnsi="Times New Roman" w:cs="Times New Roman"/>
                <w:lang w:val="en-GB"/>
              </w:rPr>
              <w:t xml:space="preserve">, calculated in accordance with </w:t>
            </w:r>
            <w:r w:rsidR="00001F0C" w:rsidRPr="00FE3C59">
              <w:rPr>
                <w:rFonts w:ascii="Times New Roman" w:eastAsia="Times New Roman" w:hAnsi="Times New Roman" w:cs="Times New Roman"/>
                <w:lang w:val="en-GB"/>
              </w:rPr>
              <w:t xml:space="preserve">Articles </w:t>
            </w:r>
            <w:r w:rsidR="00DB31A3" w:rsidRPr="00FE3C59">
              <w:rPr>
                <w:rFonts w:ascii="Times New Roman" w:eastAsia="Times New Roman" w:hAnsi="Times New Roman" w:cs="Times New Roman"/>
                <w:lang w:val="en-GB"/>
              </w:rPr>
              <w:t>325o</w:t>
            </w:r>
            <w:r w:rsidR="00F129CE" w:rsidRPr="00FE3C59">
              <w:rPr>
                <w:rFonts w:ascii="Times New Roman" w:hAnsi="Times New Roman" w:cs="Times New Roman"/>
                <w:lang w:val="en-GB"/>
              </w:rPr>
              <w:t xml:space="preserve">, </w:t>
            </w:r>
            <w:r w:rsidR="00001F0C" w:rsidRPr="00FE3C59">
              <w:rPr>
                <w:rFonts w:ascii="Times New Roman" w:hAnsi="Times New Roman" w:cs="Times New Roman"/>
                <w:lang w:val="en-GB"/>
              </w:rPr>
              <w:t xml:space="preserve">325r and 325s </w:t>
            </w:r>
            <w:r w:rsidR="00001F0C" w:rsidRPr="00FE3C59">
              <w:rPr>
                <w:rFonts w:ascii="Times New Roman" w:eastAsia="Times New Roman" w:hAnsi="Times New Roman" w:cs="Times New Roman"/>
                <w:lang w:val="en-GB"/>
              </w:rPr>
              <w:t xml:space="preserve">of Regulation (EU) No 575/2013, </w:t>
            </w:r>
            <w:r w:rsidR="00001F0C" w:rsidRPr="00FE3C59">
              <w:rPr>
                <w:rFonts w:ascii="Times New Roman" w:hAnsi="Times New Roman" w:cs="Times New Roman"/>
                <w:lang w:val="en-GB"/>
              </w:rPr>
              <w:t>weighted</w:t>
            </w:r>
            <w:r w:rsidR="0D1CB00F" w:rsidRPr="00FE3C59">
              <w:rPr>
                <w:rFonts w:ascii="Times New Roman" w:hAnsi="Times New Roman" w:cs="Times New Roman"/>
                <w:lang w:val="en-GB"/>
              </w:rPr>
              <w:t xml:space="preserve"> by the corresponding risk weights</w:t>
            </w:r>
            <w:r w:rsidR="00BF74B1" w:rsidRPr="00FE3C59">
              <w:rPr>
                <w:rFonts w:ascii="Times New Roman" w:hAnsi="Times New Roman" w:cs="Times New Roman"/>
                <w:lang w:val="en-GB"/>
              </w:rPr>
              <w:t xml:space="preserve"> set out in </w:t>
            </w:r>
            <w:r w:rsidR="00904BAC" w:rsidRPr="00FE3C59">
              <w:rPr>
                <w:rFonts w:ascii="Times New Roman" w:eastAsia="Segoe UI" w:hAnsi="Times New Roman" w:cs="Times New Roman"/>
                <w:color w:val="000000" w:themeColor="text1"/>
                <w:lang w:val="en-GB"/>
              </w:rPr>
              <w:t>Part Three, Title IV, Chapter 1a, Section 6 of Regulation (EU) No 575/2013</w:t>
            </w:r>
            <w:r w:rsidR="004015C2" w:rsidRPr="00FE3C59">
              <w:rPr>
                <w:rFonts w:ascii="Times New Roman" w:eastAsia="Segoe UI" w:hAnsi="Times New Roman" w:cs="Times New Roman"/>
                <w:color w:val="000000" w:themeColor="text1"/>
                <w:lang w:val="en-GB"/>
              </w:rPr>
              <w:t xml:space="preserve">, </w:t>
            </w:r>
            <w:r w:rsidR="004015C2" w:rsidRPr="00FE3C59">
              <w:rPr>
                <w:rFonts w:ascii="Times New Roman" w:hAnsi="Times New Roman" w:cs="Times New Roman"/>
                <w:lang w:val="en-GB"/>
              </w:rPr>
              <w:t>shall be aggregated by bucket and reported separately for delta</w:t>
            </w:r>
            <w:r w:rsidR="6FE12753" w:rsidRPr="00FE3C59">
              <w:rPr>
                <w:rFonts w:ascii="Times New Roman" w:hAnsi="Times New Roman" w:cs="Times New Roman"/>
                <w:lang w:val="en-GB"/>
              </w:rPr>
              <w:t xml:space="preserve"> and</w:t>
            </w:r>
            <w:r w:rsidR="004015C2" w:rsidRPr="00FE3C59">
              <w:rPr>
                <w:rFonts w:ascii="Times New Roman" w:hAnsi="Times New Roman" w:cs="Times New Roman"/>
                <w:lang w:val="en-GB"/>
              </w:rPr>
              <w:t xml:space="preserve"> vega risk in the applicable columns</w:t>
            </w:r>
            <w:r w:rsidR="30B7C4DF" w:rsidRPr="00FE3C59">
              <w:rPr>
                <w:rFonts w:ascii="Times New Roman" w:hAnsi="Times New Roman" w:cs="Times New Roman"/>
                <w:lang w:val="en-GB"/>
              </w:rPr>
              <w:t>.</w:t>
            </w:r>
          </w:p>
        </w:tc>
      </w:tr>
      <w:tr w:rsidR="0D1CB00F" w:rsidRPr="00FE3C59" w14:paraId="6C2D3C44" w14:textId="77777777" w:rsidTr="00A523D0">
        <w:tc>
          <w:tcPr>
            <w:tcW w:w="1048" w:type="dxa"/>
            <w:tcBorders>
              <w:top w:val="single" w:sz="8" w:space="0" w:color="auto"/>
              <w:left w:val="single" w:sz="8" w:space="0" w:color="auto"/>
              <w:bottom w:val="single" w:sz="8" w:space="0" w:color="auto"/>
              <w:right w:val="single" w:sz="8" w:space="0" w:color="auto"/>
            </w:tcBorders>
          </w:tcPr>
          <w:p w14:paraId="44059C34" w14:textId="15F15B30" w:rsidR="0D1CB00F" w:rsidRPr="00FE3C59" w:rsidRDefault="0D1CB00F" w:rsidP="00465B03">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0080-0090</w:t>
            </w:r>
          </w:p>
        </w:tc>
        <w:tc>
          <w:tcPr>
            <w:tcW w:w="7967" w:type="dxa"/>
            <w:tcBorders>
              <w:top w:val="single" w:sz="8" w:space="0" w:color="auto"/>
              <w:left w:val="single" w:sz="8" w:space="0" w:color="auto"/>
              <w:bottom w:val="single" w:sz="8" w:space="0" w:color="auto"/>
              <w:right w:val="single" w:sz="8" w:space="0" w:color="auto"/>
            </w:tcBorders>
            <w:vAlign w:val="bottom"/>
          </w:tcPr>
          <w:p w14:paraId="2D9629DC" w14:textId="3E6A1E50"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Delta risk factors</w:t>
            </w:r>
          </w:p>
          <w:p w14:paraId="3F8EF4C9" w14:textId="4DC086BE" w:rsidR="0D1CB00F" w:rsidRPr="00FE3C59" w:rsidRDefault="0D1CB00F" w:rsidP="00465B03">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t xml:space="preserve">Articles </w:t>
            </w:r>
            <w:r w:rsidR="073965F3" w:rsidRPr="00FE3C59">
              <w:rPr>
                <w:rFonts w:ascii="Times New Roman" w:eastAsia="Times New Roman" w:hAnsi="Times New Roman" w:cs="Times New Roman"/>
                <w:color w:val="000000" w:themeColor="text1"/>
                <w:lang w:val="en-GB"/>
              </w:rPr>
              <w:t>325e(1</w:t>
            </w:r>
            <w:r w:rsidR="00957F5F" w:rsidRPr="00FE3C59">
              <w:rPr>
                <w:rFonts w:ascii="Times New Roman" w:eastAsia="Times New Roman" w:hAnsi="Times New Roman" w:cs="Times New Roman"/>
                <w:color w:val="000000" w:themeColor="text1"/>
                <w:lang w:val="en-GB"/>
              </w:rPr>
              <w:t>), point (</w:t>
            </w:r>
            <w:r w:rsidR="073965F3" w:rsidRPr="00FE3C59">
              <w:rPr>
                <w:rFonts w:ascii="Times New Roman" w:eastAsia="Times New Roman" w:hAnsi="Times New Roman" w:cs="Times New Roman"/>
                <w:color w:val="000000" w:themeColor="text1"/>
                <w:lang w:val="en-GB"/>
              </w:rPr>
              <w:t>a), 325f(1</w:t>
            </w:r>
            <w:r w:rsidR="00957F5F" w:rsidRPr="00FE3C59">
              <w:rPr>
                <w:rFonts w:ascii="Times New Roman" w:eastAsia="Times New Roman" w:hAnsi="Times New Roman" w:cs="Times New Roman"/>
                <w:color w:val="000000" w:themeColor="text1"/>
                <w:lang w:val="en-GB"/>
              </w:rPr>
              <w:t>) to (</w:t>
            </w:r>
            <w:r w:rsidR="073965F3" w:rsidRPr="00FE3C59">
              <w:rPr>
                <w:rFonts w:ascii="Times New Roman" w:eastAsia="Times New Roman" w:hAnsi="Times New Roman" w:cs="Times New Roman"/>
                <w:color w:val="000000" w:themeColor="text1"/>
                <w:lang w:val="en-GB"/>
              </w:rPr>
              <w:t>5), 325o(2), 325r(3) and</w:t>
            </w:r>
            <w:r w:rsidR="1BD18A93" w:rsidRPr="00FE3C59">
              <w:rPr>
                <w:rFonts w:ascii="Times New Roman" w:eastAsia="Times New Roman" w:hAnsi="Times New Roman" w:cs="Times New Roman"/>
                <w:lang w:val="en-GB"/>
              </w:rPr>
              <w:t xml:space="preserve"> </w:t>
            </w:r>
            <w:r w:rsidRPr="00FE3C59">
              <w:rPr>
                <w:rFonts w:ascii="Times New Roman" w:eastAsia="Times New Roman" w:hAnsi="Times New Roman" w:cs="Times New Roman"/>
                <w:lang w:val="en-GB"/>
              </w:rPr>
              <w:t>325ap</w:t>
            </w:r>
            <w:r w:rsidR="00FD7136" w:rsidRPr="00FE3C59">
              <w:rPr>
                <w:rFonts w:ascii="Times New Roman" w:eastAsia="Times New Roman" w:hAnsi="Times New Roman" w:cs="Times New Roman"/>
                <w:lang w:val="en-GB"/>
              </w:rPr>
              <w:t xml:space="preserve"> of Regulation (EU) No 575/2013</w:t>
            </w:r>
            <w:r w:rsidRPr="00FE3C59">
              <w:rPr>
                <w:rFonts w:ascii="Times New Roman" w:eastAsia="Times New Roman" w:hAnsi="Times New Roman" w:cs="Times New Roman"/>
                <w:lang w:val="en-GB"/>
              </w:rPr>
              <w:t xml:space="preserve">. </w:t>
            </w:r>
          </w:p>
        </w:tc>
      </w:tr>
      <w:tr w:rsidR="0D1CB00F" w:rsidRPr="00FE3C59" w14:paraId="73C60FAF" w14:textId="77777777" w:rsidTr="00A523D0">
        <w:tc>
          <w:tcPr>
            <w:tcW w:w="1048" w:type="dxa"/>
            <w:tcBorders>
              <w:top w:val="single" w:sz="8" w:space="0" w:color="auto"/>
              <w:left w:val="single" w:sz="8" w:space="0" w:color="auto"/>
              <w:bottom w:val="single" w:sz="8" w:space="0" w:color="auto"/>
              <w:right w:val="single" w:sz="8" w:space="0" w:color="auto"/>
            </w:tcBorders>
          </w:tcPr>
          <w:p w14:paraId="1639E624" w14:textId="19B95748" w:rsidR="0D1CB00F" w:rsidRPr="00FE3C59" w:rsidRDefault="0D1CB00F" w:rsidP="00ED4524">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0080</w:t>
            </w:r>
          </w:p>
        </w:tc>
        <w:tc>
          <w:tcPr>
            <w:tcW w:w="7967" w:type="dxa"/>
            <w:tcBorders>
              <w:top w:val="single" w:sz="8" w:space="0" w:color="auto"/>
              <w:left w:val="single" w:sz="8" w:space="0" w:color="auto"/>
              <w:bottom w:val="single" w:sz="8" w:space="0" w:color="auto"/>
              <w:right w:val="single" w:sz="8" w:space="0" w:color="auto"/>
            </w:tcBorders>
            <w:vAlign w:val="bottom"/>
          </w:tcPr>
          <w:p w14:paraId="6EC208FD" w14:textId="3C436889" w:rsidR="0D1CB00F" w:rsidRPr="00FE3C59" w:rsidRDefault="0D1CB00F" w:rsidP="00465B03">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b/>
                <w:u w:val="single"/>
                <w:lang w:val="en-GB"/>
              </w:rPr>
              <w:t>Spot prices</w:t>
            </w:r>
          </w:p>
        </w:tc>
      </w:tr>
      <w:tr w:rsidR="0D1CB00F" w:rsidRPr="00FE3C59" w14:paraId="455058B5" w14:textId="77777777" w:rsidTr="00A523D0">
        <w:tc>
          <w:tcPr>
            <w:tcW w:w="1048" w:type="dxa"/>
            <w:tcBorders>
              <w:top w:val="single" w:sz="8" w:space="0" w:color="auto"/>
              <w:left w:val="single" w:sz="8" w:space="0" w:color="auto"/>
              <w:bottom w:val="single" w:sz="8" w:space="0" w:color="auto"/>
              <w:right w:val="single" w:sz="8" w:space="0" w:color="auto"/>
            </w:tcBorders>
          </w:tcPr>
          <w:p w14:paraId="463E9DDD" w14:textId="14FAF20C" w:rsidR="0D1CB00F" w:rsidRPr="00FE3C59" w:rsidRDefault="0D1CB00F" w:rsidP="00ED4524">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0090</w:t>
            </w:r>
          </w:p>
        </w:tc>
        <w:tc>
          <w:tcPr>
            <w:tcW w:w="7967" w:type="dxa"/>
            <w:tcBorders>
              <w:top w:val="single" w:sz="8" w:space="0" w:color="auto"/>
              <w:left w:val="single" w:sz="8" w:space="0" w:color="auto"/>
              <w:bottom w:val="single" w:sz="8" w:space="0" w:color="auto"/>
              <w:right w:val="single" w:sz="8" w:space="0" w:color="auto"/>
            </w:tcBorders>
            <w:vAlign w:val="bottom"/>
          </w:tcPr>
          <w:p w14:paraId="3CCC02C4" w14:textId="6F674622" w:rsidR="0D1CB00F" w:rsidRPr="00FE3C59" w:rsidRDefault="0D1CB00F" w:rsidP="00465B03">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b/>
                <w:u w:val="single"/>
                <w:lang w:val="en-GB"/>
              </w:rPr>
              <w:t>Repo rates</w:t>
            </w:r>
          </w:p>
        </w:tc>
      </w:tr>
      <w:tr w:rsidR="0D1CB00F" w:rsidRPr="00FE3C59" w14:paraId="14DC2645" w14:textId="77777777" w:rsidTr="00A523D0">
        <w:tc>
          <w:tcPr>
            <w:tcW w:w="1048" w:type="dxa"/>
            <w:tcBorders>
              <w:top w:val="single" w:sz="8" w:space="0" w:color="auto"/>
              <w:left w:val="single" w:sz="8" w:space="0" w:color="auto"/>
              <w:bottom w:val="single" w:sz="8" w:space="0" w:color="auto"/>
              <w:right w:val="single" w:sz="8" w:space="0" w:color="auto"/>
            </w:tcBorders>
          </w:tcPr>
          <w:p w14:paraId="0E5270EE" w14:textId="449A5D9C" w:rsidR="0D1CB00F" w:rsidRPr="00FE3C59" w:rsidRDefault="0D1CB00F" w:rsidP="00465B03">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0100-0140</w:t>
            </w:r>
          </w:p>
        </w:tc>
        <w:tc>
          <w:tcPr>
            <w:tcW w:w="7967" w:type="dxa"/>
            <w:tcBorders>
              <w:top w:val="single" w:sz="8" w:space="0" w:color="auto"/>
              <w:left w:val="single" w:sz="8" w:space="0" w:color="auto"/>
              <w:bottom w:val="single" w:sz="8" w:space="0" w:color="auto"/>
              <w:right w:val="single" w:sz="8" w:space="0" w:color="auto"/>
            </w:tcBorders>
            <w:vAlign w:val="bottom"/>
          </w:tcPr>
          <w:p w14:paraId="46CCE50E" w14:textId="5E47C2F1"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Vega risk factors: Maturities</w:t>
            </w:r>
          </w:p>
          <w:p w14:paraId="6B3AF642" w14:textId="15119622" w:rsidR="0D1CB00F" w:rsidRPr="00FE3C59" w:rsidRDefault="0D1CB00F" w:rsidP="00465B03">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lastRenderedPageBreak/>
              <w:t xml:space="preserve">Articles </w:t>
            </w:r>
            <w:r w:rsidR="073965F3" w:rsidRPr="00FE3C59">
              <w:rPr>
                <w:rFonts w:ascii="Times New Roman" w:eastAsia="Times New Roman" w:hAnsi="Times New Roman" w:cs="Times New Roman"/>
                <w:color w:val="000000" w:themeColor="text1"/>
                <w:lang w:val="en-GB"/>
              </w:rPr>
              <w:t>325e(1</w:t>
            </w:r>
            <w:r w:rsidR="00957F5F" w:rsidRPr="00FE3C59">
              <w:rPr>
                <w:rFonts w:ascii="Times New Roman" w:eastAsia="Times New Roman" w:hAnsi="Times New Roman" w:cs="Times New Roman"/>
                <w:color w:val="000000" w:themeColor="text1"/>
                <w:lang w:val="en-GB"/>
              </w:rPr>
              <w:t>), point (</w:t>
            </w:r>
            <w:r w:rsidR="073965F3" w:rsidRPr="00FE3C59">
              <w:rPr>
                <w:rFonts w:ascii="Times New Roman" w:eastAsia="Times New Roman" w:hAnsi="Times New Roman" w:cs="Times New Roman"/>
                <w:color w:val="000000" w:themeColor="text1"/>
                <w:lang w:val="en-GB"/>
              </w:rPr>
              <w:t>b), 325</w:t>
            </w:r>
            <w:r w:rsidR="073965F3" w:rsidRPr="00FE3C59">
              <w:rPr>
                <w:rFonts w:ascii="Times New Roman" w:hAnsi="Times New Roman" w:cs="Times New Roman"/>
                <w:lang w:val="en-GB"/>
              </w:rPr>
              <w:t>f(1</w:t>
            </w:r>
            <w:r w:rsidR="00957F5F" w:rsidRPr="00FE3C59">
              <w:rPr>
                <w:rFonts w:ascii="Times New Roman" w:hAnsi="Times New Roman" w:cs="Times New Roman"/>
                <w:lang w:val="en-GB"/>
              </w:rPr>
              <w:t>) to (</w:t>
            </w:r>
            <w:r w:rsidR="073965F3" w:rsidRPr="00FE3C59">
              <w:rPr>
                <w:rFonts w:ascii="Times New Roman" w:hAnsi="Times New Roman" w:cs="Times New Roman"/>
                <w:lang w:val="en-GB"/>
              </w:rPr>
              <w:t>5), 325o(3), 325r(3)</w:t>
            </w:r>
            <w:r w:rsidRPr="00FE3C59">
              <w:rPr>
                <w:rFonts w:ascii="Times New Roman" w:hAnsi="Times New Roman" w:cs="Times New Roman"/>
                <w:lang w:val="en-GB"/>
              </w:rPr>
              <w:t xml:space="preserve"> and 325ax(1</w:t>
            </w:r>
            <w:r w:rsidR="00465B03" w:rsidRPr="00FE3C59">
              <w:rPr>
                <w:rFonts w:ascii="Times New Roman" w:hAnsi="Times New Roman" w:cs="Times New Roman"/>
                <w:lang w:val="en-GB"/>
              </w:rPr>
              <w:t>) to (</w:t>
            </w:r>
            <w:r w:rsidRPr="00FE3C59">
              <w:rPr>
                <w:rFonts w:ascii="Times New Roman" w:hAnsi="Times New Roman" w:cs="Times New Roman"/>
                <w:lang w:val="en-GB"/>
              </w:rPr>
              <w:t>3)</w:t>
            </w:r>
            <w:r w:rsidR="00FD7136" w:rsidRPr="00FE3C59">
              <w:rPr>
                <w:rFonts w:ascii="Times New Roman" w:eastAsia="Times New Roman" w:hAnsi="Times New Roman" w:cs="Times New Roman"/>
                <w:lang w:val="en-GB"/>
              </w:rPr>
              <w:t xml:space="preserve"> of Regulation (EU) No 575/2013</w:t>
            </w:r>
          </w:p>
        </w:tc>
      </w:tr>
      <w:tr w:rsidR="0D1CB00F" w:rsidRPr="00FE3C59" w14:paraId="2ABCD0F7" w14:textId="77777777" w:rsidTr="00A523D0">
        <w:tc>
          <w:tcPr>
            <w:tcW w:w="1048" w:type="dxa"/>
            <w:tcBorders>
              <w:top w:val="single" w:sz="8" w:space="0" w:color="auto"/>
              <w:left w:val="single" w:sz="8" w:space="0" w:color="auto"/>
              <w:bottom w:val="single" w:sz="8" w:space="0" w:color="auto"/>
              <w:right w:val="single" w:sz="8" w:space="0" w:color="auto"/>
            </w:tcBorders>
          </w:tcPr>
          <w:p w14:paraId="0F8C31D6" w14:textId="66DB579D" w:rsidR="0D1CB00F" w:rsidRPr="00FE3C59" w:rsidRDefault="0D1CB00F" w:rsidP="00465B03">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lastRenderedPageBreak/>
              <w:t>0100</w:t>
            </w:r>
          </w:p>
        </w:tc>
        <w:tc>
          <w:tcPr>
            <w:tcW w:w="7967" w:type="dxa"/>
            <w:tcBorders>
              <w:top w:val="single" w:sz="8" w:space="0" w:color="auto"/>
              <w:left w:val="single" w:sz="8" w:space="0" w:color="auto"/>
              <w:bottom w:val="single" w:sz="8" w:space="0" w:color="auto"/>
              <w:right w:val="single" w:sz="8" w:space="0" w:color="auto"/>
            </w:tcBorders>
            <w:vAlign w:val="bottom"/>
          </w:tcPr>
          <w:p w14:paraId="3F28981F" w14:textId="72075EA6" w:rsidR="0D1CB00F" w:rsidRPr="00FE3C59" w:rsidRDefault="0D1CB00F" w:rsidP="00ED4524">
            <w:pPr>
              <w:pStyle w:val="BodyText"/>
              <w:spacing w:before="120" w:after="120" w:line="288" w:lineRule="auto"/>
              <w:rPr>
                <w:rFonts w:ascii="Times New Roman" w:eastAsia="Times New Roman" w:hAnsi="Times New Roman" w:cs="Times New Roman"/>
                <w:b/>
                <w:u w:val="single"/>
                <w:lang w:val="en-GB"/>
              </w:rPr>
            </w:pPr>
            <w:r w:rsidRPr="00FE3C59">
              <w:rPr>
                <w:rFonts w:ascii="Times New Roman" w:eastAsia="Times New Roman" w:hAnsi="Times New Roman" w:cs="Times New Roman"/>
                <w:b/>
                <w:u w:val="single"/>
                <w:lang w:val="en-GB"/>
              </w:rPr>
              <w:t>0.5 years</w:t>
            </w:r>
          </w:p>
        </w:tc>
      </w:tr>
      <w:tr w:rsidR="0D1CB00F" w:rsidRPr="00FE3C59" w14:paraId="10E6BD5D" w14:textId="77777777" w:rsidTr="00A523D0">
        <w:tc>
          <w:tcPr>
            <w:tcW w:w="1048" w:type="dxa"/>
            <w:tcBorders>
              <w:top w:val="single" w:sz="8" w:space="0" w:color="auto"/>
              <w:left w:val="single" w:sz="8" w:space="0" w:color="auto"/>
              <w:bottom w:val="single" w:sz="8" w:space="0" w:color="auto"/>
              <w:right w:val="single" w:sz="8" w:space="0" w:color="auto"/>
            </w:tcBorders>
          </w:tcPr>
          <w:p w14:paraId="2AE8E02D" w14:textId="121E2CB6" w:rsidR="0D1CB00F" w:rsidRPr="00FE3C59" w:rsidRDefault="0D1CB00F" w:rsidP="00465B03">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0110</w:t>
            </w:r>
          </w:p>
        </w:tc>
        <w:tc>
          <w:tcPr>
            <w:tcW w:w="7967" w:type="dxa"/>
            <w:tcBorders>
              <w:top w:val="single" w:sz="8" w:space="0" w:color="auto"/>
              <w:left w:val="single" w:sz="8" w:space="0" w:color="auto"/>
              <w:bottom w:val="single" w:sz="8" w:space="0" w:color="auto"/>
              <w:right w:val="single" w:sz="8" w:space="0" w:color="auto"/>
            </w:tcBorders>
            <w:vAlign w:val="bottom"/>
          </w:tcPr>
          <w:p w14:paraId="167A8786" w14:textId="5B408B1B" w:rsidR="0D1CB00F" w:rsidRPr="00FE3C59" w:rsidRDefault="0D1CB00F" w:rsidP="00465B03">
            <w:pPr>
              <w:pStyle w:val="BodyText"/>
              <w:spacing w:before="120" w:after="120" w:line="288" w:lineRule="auto"/>
              <w:rPr>
                <w:rFonts w:ascii="Times New Roman" w:eastAsia="Times New Roman" w:hAnsi="Times New Roman" w:cs="Times New Roman"/>
                <w:b/>
                <w:u w:val="single"/>
                <w:lang w:val="en-GB"/>
              </w:rPr>
            </w:pPr>
            <w:r w:rsidRPr="00FE3C59">
              <w:rPr>
                <w:rFonts w:ascii="Times New Roman" w:eastAsia="Times New Roman" w:hAnsi="Times New Roman" w:cs="Times New Roman"/>
                <w:b/>
                <w:u w:val="single"/>
                <w:lang w:val="en-GB"/>
              </w:rPr>
              <w:t>1 year</w:t>
            </w:r>
          </w:p>
        </w:tc>
      </w:tr>
      <w:tr w:rsidR="0D1CB00F" w:rsidRPr="00FE3C59" w14:paraId="6BEB15A3" w14:textId="77777777" w:rsidTr="00A523D0">
        <w:tc>
          <w:tcPr>
            <w:tcW w:w="1048" w:type="dxa"/>
            <w:tcBorders>
              <w:top w:val="single" w:sz="8" w:space="0" w:color="auto"/>
              <w:left w:val="single" w:sz="8" w:space="0" w:color="auto"/>
              <w:bottom w:val="single" w:sz="8" w:space="0" w:color="auto"/>
              <w:right w:val="single" w:sz="8" w:space="0" w:color="auto"/>
            </w:tcBorders>
          </w:tcPr>
          <w:p w14:paraId="16AEA8A2" w14:textId="7461841A" w:rsidR="0D1CB00F" w:rsidRPr="00FE3C59" w:rsidRDefault="0D1CB00F" w:rsidP="00465B03">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0120</w:t>
            </w:r>
          </w:p>
        </w:tc>
        <w:tc>
          <w:tcPr>
            <w:tcW w:w="7967" w:type="dxa"/>
            <w:tcBorders>
              <w:top w:val="single" w:sz="8" w:space="0" w:color="auto"/>
              <w:left w:val="single" w:sz="8" w:space="0" w:color="auto"/>
              <w:bottom w:val="single" w:sz="8" w:space="0" w:color="auto"/>
              <w:right w:val="single" w:sz="8" w:space="0" w:color="auto"/>
            </w:tcBorders>
            <w:vAlign w:val="bottom"/>
          </w:tcPr>
          <w:p w14:paraId="65D50BA7" w14:textId="546C6725" w:rsidR="0D1CB00F" w:rsidRPr="00FE3C59" w:rsidRDefault="0D1CB00F" w:rsidP="00ED4524">
            <w:pPr>
              <w:pStyle w:val="BodyText"/>
              <w:spacing w:before="120" w:after="120" w:line="288" w:lineRule="auto"/>
              <w:rPr>
                <w:rFonts w:ascii="Times New Roman" w:eastAsia="Times New Roman" w:hAnsi="Times New Roman" w:cs="Times New Roman"/>
                <w:b/>
                <w:u w:val="single"/>
                <w:lang w:val="en-GB"/>
              </w:rPr>
            </w:pPr>
            <w:r w:rsidRPr="00FE3C59">
              <w:rPr>
                <w:rFonts w:ascii="Times New Roman" w:eastAsia="Times New Roman" w:hAnsi="Times New Roman" w:cs="Times New Roman"/>
                <w:b/>
                <w:u w:val="single"/>
                <w:lang w:val="en-GB"/>
              </w:rPr>
              <w:t>3 years</w:t>
            </w:r>
          </w:p>
        </w:tc>
      </w:tr>
      <w:tr w:rsidR="0D1CB00F" w:rsidRPr="00FE3C59" w14:paraId="21C05EB6" w14:textId="77777777" w:rsidTr="00A523D0">
        <w:tc>
          <w:tcPr>
            <w:tcW w:w="1048" w:type="dxa"/>
            <w:tcBorders>
              <w:top w:val="single" w:sz="8" w:space="0" w:color="auto"/>
              <w:left w:val="single" w:sz="8" w:space="0" w:color="auto"/>
              <w:bottom w:val="single" w:sz="8" w:space="0" w:color="auto"/>
              <w:right w:val="single" w:sz="8" w:space="0" w:color="auto"/>
            </w:tcBorders>
          </w:tcPr>
          <w:p w14:paraId="1F0BF490" w14:textId="7E7FD9B6" w:rsidR="0D1CB00F" w:rsidRPr="00FE3C59" w:rsidRDefault="0D1CB00F" w:rsidP="00ED4524">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0130</w:t>
            </w:r>
          </w:p>
        </w:tc>
        <w:tc>
          <w:tcPr>
            <w:tcW w:w="7967" w:type="dxa"/>
            <w:tcBorders>
              <w:top w:val="single" w:sz="8" w:space="0" w:color="auto"/>
              <w:left w:val="single" w:sz="8" w:space="0" w:color="auto"/>
              <w:bottom w:val="single" w:sz="8" w:space="0" w:color="auto"/>
              <w:right w:val="single" w:sz="8" w:space="0" w:color="auto"/>
            </w:tcBorders>
            <w:vAlign w:val="bottom"/>
          </w:tcPr>
          <w:p w14:paraId="1EF67979" w14:textId="2BC8AE97" w:rsidR="0D1CB00F" w:rsidRPr="00FE3C59" w:rsidRDefault="0D1CB00F" w:rsidP="00465B03">
            <w:pPr>
              <w:pStyle w:val="BodyText"/>
              <w:spacing w:before="120" w:after="120" w:line="288" w:lineRule="auto"/>
              <w:rPr>
                <w:rFonts w:ascii="Times New Roman" w:eastAsia="Times New Roman" w:hAnsi="Times New Roman" w:cs="Times New Roman"/>
                <w:b/>
                <w:u w:val="single"/>
                <w:lang w:val="en-GB"/>
              </w:rPr>
            </w:pPr>
            <w:r w:rsidRPr="00FE3C59">
              <w:rPr>
                <w:rFonts w:ascii="Times New Roman" w:eastAsia="Times New Roman" w:hAnsi="Times New Roman" w:cs="Times New Roman"/>
                <w:b/>
                <w:u w:val="single"/>
                <w:lang w:val="en-GB"/>
              </w:rPr>
              <w:t>5 years</w:t>
            </w:r>
          </w:p>
        </w:tc>
      </w:tr>
      <w:tr w:rsidR="0D1CB00F" w:rsidRPr="00FE3C59" w14:paraId="384189E5" w14:textId="77777777" w:rsidTr="00A523D0">
        <w:tc>
          <w:tcPr>
            <w:tcW w:w="1048" w:type="dxa"/>
            <w:tcBorders>
              <w:top w:val="single" w:sz="8" w:space="0" w:color="auto"/>
              <w:left w:val="single" w:sz="8" w:space="0" w:color="auto"/>
              <w:bottom w:val="single" w:sz="8" w:space="0" w:color="auto"/>
              <w:right w:val="single" w:sz="8" w:space="0" w:color="auto"/>
            </w:tcBorders>
          </w:tcPr>
          <w:p w14:paraId="2E07CCFF" w14:textId="4D336B3C" w:rsidR="0D1CB00F" w:rsidRPr="00FE3C59" w:rsidRDefault="0D1CB00F" w:rsidP="00465B03">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0140</w:t>
            </w:r>
          </w:p>
        </w:tc>
        <w:tc>
          <w:tcPr>
            <w:tcW w:w="7967" w:type="dxa"/>
            <w:tcBorders>
              <w:top w:val="single" w:sz="8" w:space="0" w:color="auto"/>
              <w:left w:val="single" w:sz="8" w:space="0" w:color="auto"/>
              <w:bottom w:val="single" w:sz="8" w:space="0" w:color="auto"/>
              <w:right w:val="single" w:sz="8" w:space="0" w:color="auto"/>
            </w:tcBorders>
            <w:vAlign w:val="bottom"/>
          </w:tcPr>
          <w:p w14:paraId="238DD5AA" w14:textId="1401DC34" w:rsidR="0D1CB00F" w:rsidRPr="00FE3C59" w:rsidRDefault="0D1CB00F" w:rsidP="00465B03">
            <w:pPr>
              <w:pStyle w:val="BodyText"/>
              <w:spacing w:before="120" w:after="120" w:line="288" w:lineRule="auto"/>
              <w:rPr>
                <w:rFonts w:ascii="Times New Roman" w:eastAsia="Times New Roman" w:hAnsi="Times New Roman" w:cs="Times New Roman"/>
                <w:b/>
                <w:u w:val="single"/>
                <w:lang w:val="en-GB"/>
              </w:rPr>
            </w:pPr>
            <w:r w:rsidRPr="00FE3C59">
              <w:rPr>
                <w:rFonts w:ascii="Times New Roman" w:eastAsia="Times New Roman" w:hAnsi="Times New Roman" w:cs="Times New Roman"/>
                <w:b/>
                <w:u w:val="single"/>
                <w:lang w:val="en-GB"/>
              </w:rPr>
              <w:t>10 years</w:t>
            </w:r>
          </w:p>
        </w:tc>
      </w:tr>
      <w:tr w:rsidR="0D1CB00F" w:rsidRPr="00FE3C59" w14:paraId="227CC178" w14:textId="77777777" w:rsidTr="00A523D0">
        <w:tc>
          <w:tcPr>
            <w:tcW w:w="1048" w:type="dxa"/>
            <w:tcBorders>
              <w:top w:val="single" w:sz="8" w:space="0" w:color="auto"/>
              <w:left w:val="single" w:sz="8" w:space="0" w:color="auto"/>
              <w:bottom w:val="single" w:sz="8" w:space="0" w:color="auto"/>
              <w:right w:val="single" w:sz="8" w:space="0" w:color="auto"/>
            </w:tcBorders>
          </w:tcPr>
          <w:p w14:paraId="4243B071" w14:textId="15D7F6BC" w:rsidR="0D1CB00F" w:rsidRPr="00FE3C59" w:rsidRDefault="0D1CB00F" w:rsidP="00465B03">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0150-0160</w:t>
            </w:r>
          </w:p>
        </w:tc>
        <w:tc>
          <w:tcPr>
            <w:tcW w:w="7967" w:type="dxa"/>
            <w:tcBorders>
              <w:top w:val="single" w:sz="8" w:space="0" w:color="auto"/>
              <w:left w:val="single" w:sz="8" w:space="0" w:color="auto"/>
              <w:bottom w:val="single" w:sz="8" w:space="0" w:color="auto"/>
              <w:right w:val="single" w:sz="8" w:space="0" w:color="auto"/>
            </w:tcBorders>
            <w:vAlign w:val="bottom"/>
          </w:tcPr>
          <w:p w14:paraId="1E8DF112" w14:textId="36C57CD6" w:rsidR="0D1CB00F" w:rsidRPr="00FE3C59" w:rsidRDefault="0D1CB00F" w:rsidP="00465B03">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b/>
                <w:u w:val="single"/>
                <w:lang w:val="en-GB"/>
              </w:rPr>
              <w:t xml:space="preserve">Curvature risk positions </w:t>
            </w:r>
            <w:r w:rsidR="00ED4524"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Curvature risk</w:t>
            </w:r>
          </w:p>
          <w:p w14:paraId="165EB3B3" w14:textId="5AC5410F" w:rsidR="0D1CB00F" w:rsidRPr="00FE3C59" w:rsidRDefault="0D1CB00F" w:rsidP="00ED4524">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lang w:val="en-GB"/>
              </w:rPr>
              <w:t>Articles 325g, 325o(4) and 325ax(5)</w:t>
            </w:r>
            <w:r w:rsidR="00FD7136" w:rsidRPr="00FE3C59">
              <w:rPr>
                <w:rFonts w:ascii="Times New Roman" w:eastAsia="Times New Roman" w:hAnsi="Times New Roman" w:cs="Times New Roman"/>
                <w:lang w:val="en-GB"/>
              </w:rPr>
              <w:t xml:space="preserve"> of </w:t>
            </w:r>
            <w:r w:rsidR="00FD7136" w:rsidRPr="00FE3C59">
              <w:rPr>
                <w:rFonts w:ascii="Times New Roman" w:hAnsi="Times New Roman" w:cs="Times New Roman"/>
                <w:lang w:val="en-GB"/>
              </w:rPr>
              <w:t>Regulation</w:t>
            </w:r>
            <w:r w:rsidR="00FD7136" w:rsidRPr="00FE3C59">
              <w:rPr>
                <w:rFonts w:ascii="Times New Roman" w:eastAsia="Times New Roman" w:hAnsi="Times New Roman" w:cs="Times New Roman"/>
                <w:lang w:val="en-GB"/>
              </w:rPr>
              <w:t xml:space="preserve"> (EU) No 575/2013</w:t>
            </w:r>
          </w:p>
        </w:tc>
      </w:tr>
      <w:tr w:rsidR="0D1CB00F" w:rsidRPr="00FE3C59" w14:paraId="6E5BC1E8" w14:textId="77777777" w:rsidTr="00A523D0">
        <w:tc>
          <w:tcPr>
            <w:tcW w:w="1048" w:type="dxa"/>
            <w:tcBorders>
              <w:top w:val="single" w:sz="8" w:space="0" w:color="auto"/>
              <w:left w:val="single" w:sz="8" w:space="0" w:color="auto"/>
              <w:bottom w:val="single" w:sz="8" w:space="0" w:color="auto"/>
              <w:right w:val="single" w:sz="8" w:space="0" w:color="auto"/>
            </w:tcBorders>
          </w:tcPr>
          <w:p w14:paraId="26A8438A" w14:textId="1F306D61" w:rsidR="0D1CB00F" w:rsidRPr="00FE3C59" w:rsidRDefault="0D1CB00F" w:rsidP="008E2F56">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0150</w:t>
            </w:r>
          </w:p>
        </w:tc>
        <w:tc>
          <w:tcPr>
            <w:tcW w:w="7967" w:type="dxa"/>
            <w:tcBorders>
              <w:top w:val="single" w:sz="8" w:space="0" w:color="auto"/>
              <w:left w:val="single" w:sz="8" w:space="0" w:color="auto"/>
              <w:bottom w:val="single" w:sz="8" w:space="0" w:color="auto"/>
              <w:right w:val="single" w:sz="8" w:space="0" w:color="auto"/>
            </w:tcBorders>
            <w:vAlign w:val="bottom"/>
          </w:tcPr>
          <w:p w14:paraId="4E95AAC9" w14:textId="3CF36C08" w:rsidR="0D1CB00F" w:rsidRPr="00FE3C59" w:rsidRDefault="0D1CB00F" w:rsidP="0D1CB00F">
            <w:pPr>
              <w:spacing w:line="288" w:lineRule="auto"/>
              <w:rPr>
                <w:rFonts w:ascii="Times New Roman" w:hAnsi="Times New Roman" w:cs="Times New Roman"/>
              </w:rPr>
            </w:pPr>
            <w:r w:rsidRPr="00FE3C59">
              <w:rPr>
                <w:rFonts w:ascii="Times New Roman" w:eastAsia="Times New Roman" w:hAnsi="Times New Roman" w:cs="Times New Roman"/>
                <w:b/>
                <w:bCs/>
                <w:sz w:val="24"/>
                <w:szCs w:val="24"/>
                <w:u w:val="single"/>
              </w:rPr>
              <w:t>Upward net curvature risk position</w:t>
            </w:r>
          </w:p>
          <w:p w14:paraId="04B5AFAB" w14:textId="77777777" w:rsidR="006637AB" w:rsidRPr="00FE3C59" w:rsidRDefault="00E914C3" w:rsidP="00465B03">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t>Article</w:t>
            </w:r>
            <w:r w:rsidR="0D1CB00F" w:rsidRPr="00FE3C59">
              <w:rPr>
                <w:rFonts w:ascii="Times New Roman" w:eastAsia="Times New Roman" w:hAnsi="Times New Roman" w:cs="Times New Roman"/>
                <w:lang w:val="en-GB"/>
              </w:rPr>
              <w:t xml:space="preserve"> 325g(2)</w:t>
            </w:r>
            <w:r w:rsidR="00FD7136" w:rsidRPr="00FE3C59">
              <w:rPr>
                <w:rFonts w:ascii="Times New Roman" w:eastAsia="Times New Roman" w:hAnsi="Times New Roman" w:cs="Times New Roman"/>
                <w:lang w:val="en-GB"/>
              </w:rPr>
              <w:t xml:space="preserve"> of Regulation (EU) No 575/2013</w:t>
            </w:r>
          </w:p>
          <w:p w14:paraId="37FEEF63" w14:textId="34721739" w:rsidR="0D1CB00F" w:rsidRPr="00FE3C59" w:rsidRDefault="006F64E9" w:rsidP="005F6FC9">
            <w:pPr>
              <w:pStyle w:val="BodyText"/>
              <w:rPr>
                <w:rFonts w:ascii="Times New Roman" w:eastAsia="Segoe UI" w:hAnsi="Times New Roman" w:cs="Times New Roman"/>
                <w:color w:val="000000" w:themeColor="text1"/>
                <w:lang w:val="en-GB"/>
              </w:rPr>
            </w:pPr>
            <w:r w:rsidRPr="00FE3C59">
              <w:rPr>
                <w:rFonts w:ascii="Times New Roman" w:eastAsia="Segoe UI" w:hAnsi="Times New Roman" w:cs="Times New Roman"/>
                <w:color w:val="000000" w:themeColor="text1"/>
                <w:lang w:val="en-GB"/>
              </w:rPr>
              <w:t>Institutions shall report the upward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eastAsia="Segoe UI" w:hAnsi="Times New Roman" w:cs="Times New Roman"/>
                <w:color w:val="000000" w:themeColor="text1"/>
                <w:lang w:val="en-GB"/>
              </w:rPr>
              <w:t xml:space="preserve">) of the </w:t>
            </w:r>
            <w:r w:rsidR="00F774EA" w:rsidRPr="00FE3C59">
              <w:rPr>
                <w:rFonts w:ascii="Times New Roman" w:eastAsia="Segoe UI" w:hAnsi="Times New Roman" w:cs="Times New Roman"/>
                <w:color w:val="000000" w:themeColor="text1"/>
                <w:lang w:val="en-GB"/>
              </w:rPr>
              <w:t>equity spot prices</w:t>
            </w:r>
            <w:r w:rsidR="006468E5" w:rsidRPr="00FE3C59">
              <w:rPr>
                <w:rFonts w:ascii="Times New Roman" w:eastAsia="Segoe UI" w:hAnsi="Times New Roman" w:cs="Times New Roman"/>
                <w:color w:val="000000" w:themeColor="text1"/>
                <w:lang w:val="en-GB"/>
              </w:rPr>
              <w:t xml:space="preserve"> of the instruments</w:t>
            </w:r>
            <w:r w:rsidRPr="00FE3C59">
              <w:rPr>
                <w:rFonts w:ascii="Times New Roman" w:eastAsia="Segoe UI" w:hAnsi="Times New Roman" w:cs="Times New Roman"/>
                <w:color w:val="000000" w:themeColor="text1"/>
                <w:lang w:val="en-GB"/>
              </w:rPr>
              <w:t xml:space="preserve"> included in the relevant bucket.</w:t>
            </w:r>
          </w:p>
        </w:tc>
      </w:tr>
      <w:tr w:rsidR="0D1CB00F" w:rsidRPr="00FE3C59" w14:paraId="3DA905E3" w14:textId="77777777" w:rsidTr="00A523D0">
        <w:tc>
          <w:tcPr>
            <w:tcW w:w="1048" w:type="dxa"/>
            <w:tcBorders>
              <w:top w:val="single" w:sz="8" w:space="0" w:color="auto"/>
              <w:left w:val="single" w:sz="8" w:space="0" w:color="auto"/>
              <w:bottom w:val="single" w:sz="8" w:space="0" w:color="auto"/>
              <w:right w:val="single" w:sz="8" w:space="0" w:color="auto"/>
            </w:tcBorders>
          </w:tcPr>
          <w:p w14:paraId="581B8591" w14:textId="0BC29B54" w:rsidR="0D1CB00F" w:rsidRPr="00FE3C59" w:rsidRDefault="0D1CB00F" w:rsidP="008E2F56">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0160</w:t>
            </w:r>
          </w:p>
        </w:tc>
        <w:tc>
          <w:tcPr>
            <w:tcW w:w="7967" w:type="dxa"/>
            <w:tcBorders>
              <w:top w:val="single" w:sz="8" w:space="0" w:color="auto"/>
              <w:left w:val="single" w:sz="8" w:space="0" w:color="auto"/>
              <w:bottom w:val="single" w:sz="8" w:space="0" w:color="auto"/>
              <w:right w:val="single" w:sz="8" w:space="0" w:color="auto"/>
            </w:tcBorders>
            <w:vAlign w:val="bottom"/>
          </w:tcPr>
          <w:p w14:paraId="68381066" w14:textId="10516715" w:rsidR="0D1CB00F" w:rsidRPr="00FE3C59" w:rsidRDefault="0D1CB00F" w:rsidP="0D1CB00F">
            <w:pPr>
              <w:spacing w:line="288" w:lineRule="auto"/>
              <w:rPr>
                <w:rFonts w:ascii="Times New Roman" w:hAnsi="Times New Roman" w:cs="Times New Roman"/>
              </w:rPr>
            </w:pPr>
            <w:r w:rsidRPr="00FE3C59">
              <w:rPr>
                <w:rFonts w:ascii="Times New Roman" w:eastAsia="Times New Roman" w:hAnsi="Times New Roman" w:cs="Times New Roman"/>
                <w:b/>
                <w:bCs/>
                <w:sz w:val="24"/>
                <w:szCs w:val="24"/>
                <w:u w:val="single"/>
              </w:rPr>
              <w:t>Downward net curvature risk position</w:t>
            </w:r>
          </w:p>
          <w:p w14:paraId="66F22B54" w14:textId="77777777" w:rsidR="001313C6" w:rsidRPr="00FE3C59" w:rsidRDefault="00E914C3" w:rsidP="00465B03">
            <w:pPr>
              <w:pStyle w:val="BodyText"/>
              <w:spacing w:before="120" w:after="120" w:line="288" w:lineRule="auto"/>
              <w:rPr>
                <w:rFonts w:ascii="Times New Roman" w:eastAsia="Times New Roman" w:hAnsi="Times New Roman" w:cs="Times New Roman"/>
                <w:lang w:val="en-GB"/>
              </w:rPr>
            </w:pPr>
            <w:r w:rsidRPr="00FE3C59">
              <w:rPr>
                <w:rFonts w:ascii="Times New Roman" w:eastAsia="Times New Roman" w:hAnsi="Times New Roman" w:cs="Times New Roman"/>
                <w:lang w:val="en-GB"/>
              </w:rPr>
              <w:t>Article</w:t>
            </w:r>
            <w:r w:rsidR="0D1CB00F" w:rsidRPr="00FE3C59">
              <w:rPr>
                <w:rFonts w:ascii="Times New Roman" w:eastAsia="Times New Roman" w:hAnsi="Times New Roman" w:cs="Times New Roman"/>
                <w:lang w:val="en-GB"/>
              </w:rPr>
              <w:t xml:space="preserve"> 325g(2)</w:t>
            </w:r>
            <w:r w:rsidR="00FD7136" w:rsidRPr="00FE3C59">
              <w:rPr>
                <w:rFonts w:ascii="Times New Roman" w:eastAsia="Times New Roman" w:hAnsi="Times New Roman" w:cs="Times New Roman"/>
                <w:lang w:val="en-GB"/>
              </w:rPr>
              <w:t xml:space="preserve"> of Regulation (EU) No 575/</w:t>
            </w:r>
            <w:r w:rsidR="00FD7136" w:rsidRPr="00FE3C59">
              <w:rPr>
                <w:rFonts w:ascii="Times New Roman" w:hAnsi="Times New Roman" w:cs="Times New Roman"/>
                <w:lang w:val="en-GB"/>
              </w:rPr>
              <w:t>2013</w:t>
            </w:r>
          </w:p>
          <w:p w14:paraId="7765992C" w14:textId="48F314A1" w:rsidR="0D1CB00F" w:rsidRPr="00FE3C59" w:rsidRDefault="001313C6" w:rsidP="00465B03">
            <w:pPr>
              <w:pStyle w:val="BodyText"/>
              <w:spacing w:before="120" w:after="120" w:line="288" w:lineRule="auto"/>
              <w:rPr>
                <w:rFonts w:ascii="Times New Roman" w:hAnsi="Times New Roman" w:cs="Times New Roman"/>
                <w:lang w:val="en-GB"/>
              </w:rPr>
            </w:pPr>
            <w:r w:rsidRPr="00FE3C59">
              <w:rPr>
                <w:rFonts w:ascii="Times New Roman" w:eastAsia="Segoe UI" w:hAnsi="Times New Roman" w:cs="Times New Roman"/>
                <w:color w:val="000000" w:themeColor="text1"/>
                <w:lang w:val="en-GB"/>
              </w:rPr>
              <w:t xml:space="preserve">Institutions shall report the </w:t>
            </w:r>
            <w:r w:rsidR="007976C9" w:rsidRPr="00FE3C59">
              <w:rPr>
                <w:rFonts w:ascii="Times New Roman" w:eastAsia="Segoe UI" w:hAnsi="Times New Roman" w:cs="Times New Roman"/>
                <w:color w:val="000000" w:themeColor="text1"/>
                <w:lang w:val="en-GB"/>
              </w:rPr>
              <w:t>down</w:t>
            </w:r>
            <w:r w:rsidRPr="00FE3C59">
              <w:rPr>
                <w:rFonts w:ascii="Times New Roman" w:eastAsia="Segoe UI" w:hAnsi="Times New Roman" w:cs="Times New Roman"/>
                <w:color w:val="000000" w:themeColor="text1"/>
                <w:lang w:val="en-GB"/>
              </w:rPr>
              <w:t>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eastAsia="Segoe UI" w:hAnsi="Times New Roman" w:cs="Times New Roman"/>
                <w:color w:val="000000" w:themeColor="text1"/>
                <w:lang w:val="en-GB"/>
              </w:rPr>
              <w:t>) of the equity spot prices of the instruments</w:t>
            </w:r>
            <w:r w:rsidR="003412E5" w:rsidRPr="00FE3C59">
              <w:rPr>
                <w:rFonts w:ascii="Times New Roman" w:eastAsia="Segoe UI" w:hAnsi="Times New Roman" w:cs="Times New Roman"/>
                <w:color w:val="000000" w:themeColor="text1"/>
                <w:lang w:val="en-GB"/>
              </w:rPr>
              <w:t xml:space="preserve"> </w:t>
            </w:r>
            <w:r w:rsidRPr="00FE3C59">
              <w:rPr>
                <w:rFonts w:ascii="Times New Roman" w:eastAsia="Segoe UI" w:hAnsi="Times New Roman" w:cs="Times New Roman"/>
                <w:color w:val="000000" w:themeColor="text1"/>
                <w:lang w:val="en-GB"/>
              </w:rPr>
              <w:t>included in the relevant bucket.</w:t>
            </w:r>
          </w:p>
        </w:tc>
      </w:tr>
      <w:tr w:rsidR="0D1CB00F" w:rsidRPr="00FE3C59" w14:paraId="4663152B" w14:textId="77777777" w:rsidTr="00A523D0">
        <w:tc>
          <w:tcPr>
            <w:tcW w:w="1048" w:type="dxa"/>
            <w:tcBorders>
              <w:top w:val="single" w:sz="8" w:space="0" w:color="auto"/>
              <w:left w:val="single" w:sz="8" w:space="0" w:color="auto"/>
              <w:bottom w:val="single" w:sz="8" w:space="0" w:color="auto"/>
              <w:right w:val="single" w:sz="8" w:space="0" w:color="auto"/>
            </w:tcBorders>
          </w:tcPr>
          <w:p w14:paraId="55A3CB87" w14:textId="704079E5" w:rsidR="0D1CB00F" w:rsidRPr="00FE3C59" w:rsidRDefault="0D1CB00F" w:rsidP="00465B03">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0170-0180</w:t>
            </w:r>
          </w:p>
        </w:tc>
        <w:tc>
          <w:tcPr>
            <w:tcW w:w="7967" w:type="dxa"/>
            <w:tcBorders>
              <w:top w:val="single" w:sz="8" w:space="0" w:color="auto"/>
              <w:left w:val="single" w:sz="8" w:space="0" w:color="auto"/>
              <w:bottom w:val="single" w:sz="8" w:space="0" w:color="auto"/>
              <w:right w:val="single" w:sz="8" w:space="0" w:color="auto"/>
            </w:tcBorders>
            <w:vAlign w:val="bottom"/>
          </w:tcPr>
          <w:p w14:paraId="10EA50F0" w14:textId="0B90422A" w:rsidR="0D1CB00F" w:rsidRPr="00FE3C59" w:rsidRDefault="0D1CB00F" w:rsidP="00465B03">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b/>
                <w:u w:val="single"/>
                <w:lang w:val="en-GB"/>
              </w:rPr>
              <w:t>Sum of weighted sensitivities</w:t>
            </w:r>
          </w:p>
          <w:p w14:paraId="185C92AA" w14:textId="7933FAE8" w:rsidR="0D1CB00F" w:rsidRPr="00FE3C59" w:rsidRDefault="00E914C3" w:rsidP="0D1CB00F">
            <w:pPr>
              <w:spacing w:line="288" w:lineRule="auto"/>
              <w:rPr>
                <w:rFonts w:ascii="Times New Roman" w:eastAsia="Times New Roman" w:hAnsi="Times New Roman" w:cs="Times New Roman"/>
                <w:sz w:val="24"/>
                <w:szCs w:val="24"/>
              </w:rPr>
            </w:pPr>
            <w:r w:rsidRPr="00FE3C59">
              <w:rPr>
                <w:rFonts w:ascii="Times New Roman" w:eastAsia="Times New Roman" w:hAnsi="Times New Roman" w:cs="Times New Roman"/>
                <w:sz w:val="24"/>
                <w:szCs w:val="24"/>
              </w:rPr>
              <w:t>Article</w:t>
            </w:r>
            <w:r w:rsidR="0D1CB00F" w:rsidRPr="00FE3C59">
              <w:rPr>
                <w:rFonts w:ascii="Times New Roman" w:eastAsia="Times New Roman" w:hAnsi="Times New Roman" w:cs="Times New Roman"/>
                <w:sz w:val="24"/>
                <w:szCs w:val="24"/>
              </w:rPr>
              <w:t xml:space="preserve"> 325f</w:t>
            </w:r>
            <w:r w:rsidR="007976C9" w:rsidRPr="00FE3C59">
              <w:rPr>
                <w:rFonts w:ascii="Times New Roman" w:eastAsia="Times New Roman" w:hAnsi="Times New Roman" w:cs="Times New Roman"/>
                <w:sz w:val="24"/>
                <w:szCs w:val="24"/>
              </w:rPr>
              <w:t>(</w:t>
            </w:r>
            <w:r w:rsidR="0D1CB00F" w:rsidRPr="00FE3C59">
              <w:rPr>
                <w:rFonts w:ascii="Times New Roman" w:eastAsia="Times New Roman" w:hAnsi="Times New Roman" w:cs="Times New Roman"/>
                <w:sz w:val="24"/>
                <w:szCs w:val="24"/>
              </w:rPr>
              <w:t>8)</w:t>
            </w:r>
            <w:r w:rsidR="00FD7136" w:rsidRPr="00FE3C59">
              <w:rPr>
                <w:rFonts w:ascii="Times New Roman" w:eastAsia="Times New Roman" w:hAnsi="Times New Roman" w:cs="Times New Roman"/>
                <w:sz w:val="24"/>
                <w:szCs w:val="24"/>
              </w:rPr>
              <w:t xml:space="preserve"> of Regulation (EU) No 575/2013</w:t>
            </w:r>
          </w:p>
          <w:p w14:paraId="33E140C4" w14:textId="39E89719" w:rsidR="0D1CB00F" w:rsidRPr="00FE3C59" w:rsidRDefault="007C01FB" w:rsidP="005F6FC9">
            <w:pPr>
              <w:pStyle w:val="BodyText"/>
              <w:spacing w:before="120" w:after="120" w:line="288" w:lineRule="auto"/>
              <w:rPr>
                <w:rFonts w:ascii="Times New Roman" w:hAnsi="Times New Roman" w:cs="Times New Roman"/>
                <w:lang w:val="en-GB"/>
              </w:rPr>
            </w:pPr>
            <w:r w:rsidRPr="00FE3C59">
              <w:rPr>
                <w:rFonts w:ascii="Times New Roman" w:hAnsi="Times New Roman" w:cs="Times New Roman"/>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nary>
                <m:naryPr>
                  <m:chr m:val="∑"/>
                  <m:supHide m:val="1"/>
                  <m:ctrlPr>
                    <w:rPr>
                      <w:rFonts w:ascii="Cambria Math" w:hAnsi="Cambria Math" w:cs="Times New Roman"/>
                      <w:i/>
                      <w:lang w:val="en-GB"/>
                    </w:rPr>
                  </m:ctrlPr>
                </m:naryPr>
                <m:sub>
                  <m:r>
                    <w:rPr>
                      <w:rFonts w:ascii="Cambria Math" w:hAnsi="Cambria Math" w:cs="Times New Roman"/>
                      <w:lang w:val="en-GB"/>
                    </w:rPr>
                    <m:t>k</m:t>
                  </m:r>
                </m:sub>
                <m:sup/>
                <m:e>
                  <m:sSub>
                    <m:sSubPr>
                      <m:ctrlPr>
                        <w:rPr>
                          <w:rFonts w:ascii="Cambria Math" w:hAnsi="Cambria Math" w:cs="Times New Roman"/>
                          <w:i/>
                          <w:lang w:val="en-GB"/>
                        </w:rPr>
                      </m:ctrlPr>
                    </m:sSubPr>
                    <m:e>
                      <m:r>
                        <w:rPr>
                          <w:rFonts w:ascii="Cambria Math" w:hAnsi="Cambria Math" w:cs="Times New Roman"/>
                          <w:lang w:val="en-GB"/>
                        </w:rPr>
                        <m:t>WS</m:t>
                      </m:r>
                    </m:e>
                    <m:sub>
                      <m:r>
                        <w:rPr>
                          <w:rFonts w:ascii="Cambria Math" w:hAnsi="Cambria Math" w:cs="Times New Roman"/>
                          <w:lang w:val="en-GB"/>
                        </w:rPr>
                        <m:t>k</m:t>
                      </m:r>
                    </m:sub>
                  </m:sSub>
                </m:e>
              </m:nary>
            </m:oMath>
            <w:r w:rsidRPr="00FE3C59">
              <w:rPr>
                <w:rFonts w:ascii="Times New Roman" w:hAnsi="Times New Roman" w:cs="Times New Roman"/>
                <w:lang w:val="en-GB"/>
              </w:rPr>
              <w:t>) as defined for the purposes of the aggregation within each bucket in Article 325f(8) of Regulation (EU) No 575/2013 shall be reported.</w:t>
            </w:r>
          </w:p>
        </w:tc>
      </w:tr>
      <w:tr w:rsidR="0D1CB00F" w:rsidRPr="00FE3C59" w14:paraId="707D1B17" w14:textId="77777777" w:rsidTr="00A523D0">
        <w:tc>
          <w:tcPr>
            <w:tcW w:w="1048" w:type="dxa"/>
            <w:tcBorders>
              <w:top w:val="single" w:sz="8" w:space="0" w:color="auto"/>
              <w:left w:val="single" w:sz="8" w:space="0" w:color="auto"/>
              <w:bottom w:val="single" w:sz="8" w:space="0" w:color="auto"/>
              <w:right w:val="single" w:sz="8" w:space="0" w:color="auto"/>
            </w:tcBorders>
          </w:tcPr>
          <w:p w14:paraId="05137CA1" w14:textId="12C17119" w:rsidR="0D1CB00F" w:rsidRPr="00FE3C59" w:rsidRDefault="0D1CB00F" w:rsidP="003412E5">
            <w:pPr>
              <w:spacing w:line="288" w:lineRule="auto"/>
              <w:rPr>
                <w:rFonts w:ascii="Times New Roman" w:hAnsi="Times New Roman" w:cs="Times New Roman"/>
              </w:rPr>
            </w:pPr>
            <w:r w:rsidRPr="00FE3C59">
              <w:rPr>
                <w:rFonts w:ascii="Times New Roman" w:eastAsia="Times New Roman" w:hAnsi="Times New Roman" w:cs="Times New Roman"/>
              </w:rPr>
              <w:t>0170</w:t>
            </w:r>
          </w:p>
        </w:tc>
        <w:tc>
          <w:tcPr>
            <w:tcW w:w="7967" w:type="dxa"/>
            <w:tcBorders>
              <w:top w:val="single" w:sz="8" w:space="0" w:color="auto"/>
              <w:left w:val="single" w:sz="8" w:space="0" w:color="auto"/>
              <w:bottom w:val="single" w:sz="8" w:space="0" w:color="auto"/>
              <w:right w:val="single" w:sz="8" w:space="0" w:color="auto"/>
            </w:tcBorders>
            <w:vAlign w:val="bottom"/>
          </w:tcPr>
          <w:p w14:paraId="53A0347F" w14:textId="1F55AC8F" w:rsidR="0D1CB00F" w:rsidRPr="00FE3C59" w:rsidRDefault="0D1CB00F" w:rsidP="0D1CB00F">
            <w:pPr>
              <w:spacing w:line="288" w:lineRule="auto"/>
              <w:rPr>
                <w:rFonts w:ascii="Times New Roman" w:hAnsi="Times New Roman" w:cs="Times New Roman"/>
              </w:rPr>
            </w:pPr>
            <w:r w:rsidRPr="00FE3C59">
              <w:rPr>
                <w:rFonts w:ascii="Times New Roman" w:eastAsia="Times New Roman" w:hAnsi="Times New Roman" w:cs="Times New Roman"/>
                <w:b/>
                <w:bCs/>
                <w:sz w:val="24"/>
                <w:szCs w:val="24"/>
                <w:u w:val="single"/>
              </w:rPr>
              <w:t>Delta Risk</w:t>
            </w:r>
          </w:p>
          <w:p w14:paraId="373F4B12" w14:textId="435C7442" w:rsidR="0D1CB00F" w:rsidRPr="00FE3C59" w:rsidRDefault="00E914C3" w:rsidP="00465B03">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lang w:val="en-GB"/>
              </w:rPr>
              <w:t>Article</w:t>
            </w:r>
            <w:r w:rsidR="0D1CB00F" w:rsidRPr="00FE3C59">
              <w:rPr>
                <w:rFonts w:ascii="Times New Roman" w:eastAsia="Times New Roman" w:hAnsi="Times New Roman" w:cs="Times New Roman"/>
                <w:lang w:val="en-GB"/>
              </w:rPr>
              <w:t xml:space="preserve"> 325f</w:t>
            </w:r>
            <w:r w:rsidR="007976C9" w:rsidRPr="00FE3C59">
              <w:rPr>
                <w:rFonts w:ascii="Times New Roman" w:eastAsia="Times New Roman" w:hAnsi="Times New Roman" w:cs="Times New Roman"/>
                <w:lang w:val="en-GB"/>
              </w:rPr>
              <w:t>(</w:t>
            </w:r>
            <w:r w:rsidR="0D1CB00F" w:rsidRPr="00FE3C59">
              <w:rPr>
                <w:rFonts w:ascii="Times New Roman" w:eastAsia="Times New Roman" w:hAnsi="Times New Roman" w:cs="Times New Roman"/>
                <w:lang w:val="en-GB"/>
              </w:rPr>
              <w:t>8)</w:t>
            </w:r>
            <w:r w:rsidR="00FD7136" w:rsidRPr="00FE3C59">
              <w:rPr>
                <w:rFonts w:ascii="Times New Roman" w:eastAsia="Times New Roman" w:hAnsi="Times New Roman" w:cs="Times New Roman"/>
                <w:lang w:val="en-GB"/>
              </w:rPr>
              <w:t xml:space="preserve"> of Regulation (EU) No 575/2013</w:t>
            </w:r>
          </w:p>
        </w:tc>
      </w:tr>
      <w:tr w:rsidR="0D1CB00F" w:rsidRPr="00FE3C59" w14:paraId="05559367" w14:textId="77777777" w:rsidTr="00A523D0">
        <w:tc>
          <w:tcPr>
            <w:tcW w:w="1048" w:type="dxa"/>
            <w:tcBorders>
              <w:top w:val="single" w:sz="8" w:space="0" w:color="auto"/>
              <w:left w:val="single" w:sz="8" w:space="0" w:color="auto"/>
              <w:bottom w:val="single" w:sz="8" w:space="0" w:color="auto"/>
              <w:right w:val="single" w:sz="8" w:space="0" w:color="auto"/>
            </w:tcBorders>
          </w:tcPr>
          <w:p w14:paraId="57A0E390" w14:textId="14079915" w:rsidR="0D1CB00F" w:rsidRPr="00FE3C59" w:rsidRDefault="0D1CB00F" w:rsidP="003412E5">
            <w:pPr>
              <w:spacing w:line="288" w:lineRule="auto"/>
              <w:rPr>
                <w:rFonts w:ascii="Times New Roman" w:hAnsi="Times New Roman" w:cs="Times New Roman"/>
              </w:rPr>
            </w:pPr>
            <w:r w:rsidRPr="00FE3C59">
              <w:rPr>
                <w:rFonts w:ascii="Times New Roman" w:hAnsi="Times New Roman" w:cs="Times New Roman"/>
                <w:color w:val="000000" w:themeColor="text1"/>
              </w:rPr>
              <w:t>0180</w:t>
            </w:r>
          </w:p>
        </w:tc>
        <w:tc>
          <w:tcPr>
            <w:tcW w:w="7967" w:type="dxa"/>
            <w:tcBorders>
              <w:top w:val="single" w:sz="8" w:space="0" w:color="auto"/>
              <w:left w:val="single" w:sz="8" w:space="0" w:color="auto"/>
              <w:bottom w:val="single" w:sz="8" w:space="0" w:color="auto"/>
              <w:right w:val="single" w:sz="8" w:space="0" w:color="auto"/>
            </w:tcBorders>
            <w:vAlign w:val="bottom"/>
          </w:tcPr>
          <w:p w14:paraId="034CD9CD" w14:textId="07BD4EC0" w:rsidR="0D1CB00F" w:rsidRPr="00FE3C59" w:rsidRDefault="0D1CB00F" w:rsidP="0D1CB00F">
            <w:pPr>
              <w:spacing w:line="288" w:lineRule="auto"/>
              <w:rPr>
                <w:rFonts w:ascii="Times New Roman" w:hAnsi="Times New Roman" w:cs="Times New Roman"/>
              </w:rPr>
            </w:pPr>
            <w:r w:rsidRPr="00FE3C59">
              <w:rPr>
                <w:rFonts w:ascii="Times New Roman" w:eastAsia="Times New Roman" w:hAnsi="Times New Roman" w:cs="Times New Roman"/>
                <w:b/>
                <w:bCs/>
                <w:sz w:val="24"/>
                <w:szCs w:val="24"/>
                <w:u w:val="single"/>
              </w:rPr>
              <w:t>Vega Risk</w:t>
            </w:r>
          </w:p>
          <w:p w14:paraId="4F65FF4A" w14:textId="425931CA" w:rsidR="0D1CB00F" w:rsidRPr="00FE3C59" w:rsidRDefault="0D1CB00F" w:rsidP="00465B03">
            <w:pPr>
              <w:pStyle w:val="BodyText"/>
              <w:spacing w:before="120" w:after="120" w:line="288" w:lineRule="auto"/>
              <w:rPr>
                <w:rFonts w:ascii="Times New Roman" w:hAnsi="Times New Roman" w:cs="Times New Roman"/>
                <w:lang w:val="en-GB"/>
              </w:rPr>
            </w:pPr>
            <w:r w:rsidRPr="00FE3C59">
              <w:rPr>
                <w:rFonts w:ascii="Times New Roman" w:eastAsia="Times New Roman" w:hAnsi="Times New Roman" w:cs="Times New Roman"/>
                <w:lang w:val="en-GB"/>
              </w:rPr>
              <w:t>Articles 325f</w:t>
            </w:r>
            <w:r w:rsidR="007976C9" w:rsidRPr="00FE3C59">
              <w:rPr>
                <w:rFonts w:ascii="Times New Roman" w:eastAsia="Times New Roman" w:hAnsi="Times New Roman" w:cs="Times New Roman"/>
                <w:lang w:val="en-GB"/>
              </w:rPr>
              <w:t>(</w:t>
            </w:r>
            <w:r w:rsidRPr="00FE3C59">
              <w:rPr>
                <w:rFonts w:ascii="Times New Roman" w:eastAsia="Times New Roman" w:hAnsi="Times New Roman" w:cs="Times New Roman"/>
                <w:lang w:val="en-GB"/>
              </w:rPr>
              <w:t>8)</w:t>
            </w:r>
            <w:r w:rsidR="00FD7136" w:rsidRPr="00FE3C59">
              <w:rPr>
                <w:rFonts w:ascii="Times New Roman" w:eastAsia="Times New Roman" w:hAnsi="Times New Roman" w:cs="Times New Roman"/>
                <w:lang w:val="en-GB"/>
              </w:rPr>
              <w:t xml:space="preserve"> of Regulation (EU) No 575/2013</w:t>
            </w:r>
          </w:p>
        </w:tc>
      </w:tr>
      <w:tr w:rsidR="0D1CB00F" w:rsidRPr="00FE3C59" w14:paraId="1E9DC9D8" w14:textId="77777777" w:rsidTr="00A523D0">
        <w:tc>
          <w:tcPr>
            <w:tcW w:w="1048" w:type="dxa"/>
            <w:tcBorders>
              <w:top w:val="single" w:sz="8" w:space="0" w:color="auto"/>
              <w:left w:val="single" w:sz="8" w:space="0" w:color="auto"/>
              <w:bottom w:val="single" w:sz="8" w:space="0" w:color="auto"/>
              <w:right w:val="single" w:sz="8" w:space="0" w:color="auto"/>
            </w:tcBorders>
          </w:tcPr>
          <w:p w14:paraId="5246DDB1" w14:textId="1DED7A7F" w:rsidR="0D1CB00F" w:rsidRPr="00FE3C59" w:rsidRDefault="0D1CB00F" w:rsidP="003412E5">
            <w:pPr>
              <w:spacing w:line="288" w:lineRule="auto"/>
              <w:rPr>
                <w:rFonts w:ascii="Times New Roman" w:hAnsi="Times New Roman" w:cs="Times New Roman"/>
              </w:rPr>
            </w:pPr>
            <w:r w:rsidRPr="00FE3C59">
              <w:rPr>
                <w:rFonts w:ascii="Times New Roman" w:hAnsi="Times New Roman" w:cs="Times New Roman"/>
                <w:color w:val="000000" w:themeColor="text1"/>
              </w:rPr>
              <w:t>0190</w:t>
            </w:r>
          </w:p>
        </w:tc>
        <w:tc>
          <w:tcPr>
            <w:tcW w:w="7967" w:type="dxa"/>
            <w:tcBorders>
              <w:top w:val="single" w:sz="8" w:space="0" w:color="auto"/>
              <w:left w:val="single" w:sz="8" w:space="0" w:color="auto"/>
              <w:bottom w:val="single" w:sz="8" w:space="0" w:color="auto"/>
              <w:right w:val="single" w:sz="8" w:space="0" w:color="auto"/>
            </w:tcBorders>
            <w:vAlign w:val="bottom"/>
          </w:tcPr>
          <w:p w14:paraId="48A3F1FD" w14:textId="2381A341" w:rsidR="0D1CB00F" w:rsidRPr="00FE3C59" w:rsidRDefault="0D1CB00F" w:rsidP="0D1CB00F">
            <w:pPr>
              <w:spacing w:line="288" w:lineRule="auto"/>
              <w:rPr>
                <w:rFonts w:ascii="Times New Roman" w:hAnsi="Times New Roman" w:cs="Times New Roman"/>
              </w:rPr>
            </w:pPr>
            <w:r w:rsidRPr="00FE3C59">
              <w:rPr>
                <w:rFonts w:ascii="Times New Roman" w:eastAsia="Times New Roman" w:hAnsi="Times New Roman" w:cs="Times New Roman"/>
                <w:b/>
                <w:bCs/>
                <w:sz w:val="24"/>
                <w:szCs w:val="24"/>
                <w:u w:val="single"/>
              </w:rPr>
              <w:t>Sum of curvature risk positions - Curvature risk</w:t>
            </w:r>
          </w:p>
          <w:p w14:paraId="2BC2C4EC" w14:textId="37C7F962" w:rsidR="006637AB" w:rsidRPr="00FE3C59" w:rsidRDefault="00E914C3" w:rsidP="00413874">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 xml:space="preserve">Article </w:t>
            </w:r>
            <w:r w:rsidR="0D1CB00F" w:rsidRPr="00FE3C59">
              <w:rPr>
                <w:rFonts w:ascii="Times New Roman" w:eastAsia="Times New Roman" w:hAnsi="Times New Roman" w:cs="Times New Roman"/>
                <w:lang w:val="en-GB"/>
              </w:rPr>
              <w:t xml:space="preserve">325g(6) </w:t>
            </w:r>
            <w:r w:rsidR="00FD7136" w:rsidRPr="00FE3C59">
              <w:rPr>
                <w:rFonts w:ascii="Times New Roman" w:eastAsia="Times New Roman" w:hAnsi="Times New Roman" w:cs="Times New Roman"/>
                <w:lang w:val="en-GB"/>
              </w:rPr>
              <w:t xml:space="preserve">of Regulation (EU) No </w:t>
            </w:r>
            <w:r w:rsidR="006637AB" w:rsidRPr="00FE3C59">
              <w:rPr>
                <w:rFonts w:ascii="Times New Roman" w:eastAsia="Times New Roman" w:hAnsi="Times New Roman" w:cs="Times New Roman"/>
                <w:lang w:val="en-GB"/>
              </w:rPr>
              <w:t>575/2013</w:t>
            </w:r>
          </w:p>
          <w:p w14:paraId="52C35037" w14:textId="1BE0E1DD" w:rsidR="0D1CB00F" w:rsidRPr="00FE3C59" w:rsidRDefault="1BD18A93" w:rsidP="00413874">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lastRenderedPageBreak/>
              <w:t xml:space="preserve">Institutions shall report the sum of curvature risk positions </w:t>
            </w:r>
            <w:r w:rsidR="4B9C22B6" w:rsidRPr="00FE3C59">
              <w:rPr>
                <w:rFonts w:ascii="Times New Roman" w:hAnsi="Times New Roman" w:cs="Times New Roman"/>
                <w:lang w:val="en-GB"/>
              </w:rPr>
              <w:t>(</w:t>
            </w:r>
            <m:oMath>
              <m:sSub>
                <m:sSubPr>
                  <m:ctrlPr>
                    <w:rPr>
                      <w:rFonts w:ascii="Cambria Math" w:eastAsia="Segoe UI" w:hAnsi="Cambria Math" w:cs="Times New Roman"/>
                      <w:i/>
                      <w:color w:val="000000" w:themeColor="text1"/>
                      <w:lang w:val="en-GB"/>
                    </w:rPr>
                  </m:ctrlPr>
                </m:sSubPr>
                <m:e>
                  <m:r>
                    <w:rPr>
                      <w:rFonts w:ascii="Cambria Math" w:eastAsia="Segoe UI" w:hAnsi="Cambria Math" w:cs="Times New Roman"/>
                      <w:color w:val="000000" w:themeColor="text1"/>
                      <w:lang w:val="en-GB"/>
                    </w:rPr>
                    <m:t>S</m:t>
                  </m:r>
                </m:e>
                <m:sub>
                  <m:r>
                    <w:rPr>
                      <w:rFonts w:ascii="Cambria Math" w:eastAsia="Segoe UI" w:hAnsi="Cambria Math" w:cs="Times New Roman"/>
                      <w:color w:val="000000" w:themeColor="text1"/>
                      <w:lang w:val="en-GB"/>
                    </w:rPr>
                    <m:t>b</m:t>
                  </m:r>
                </m:sub>
              </m:sSub>
            </m:oMath>
            <w:r w:rsidR="4B9C22B6" w:rsidRPr="00FE3C59">
              <w:rPr>
                <w:rFonts w:ascii="Times New Roman" w:hAnsi="Times New Roman" w:cs="Times New Roman"/>
                <w:lang w:val="en-GB"/>
              </w:rPr>
              <w:t>)</w:t>
            </w:r>
            <w:r w:rsidR="346AAC75" w:rsidRPr="00FE3C59">
              <w:rPr>
                <w:rFonts w:ascii="Times New Roman" w:eastAsia="Times New Roman" w:hAnsi="Times New Roman" w:cs="Times New Roman"/>
                <w:lang w:val="en-GB"/>
              </w:rPr>
              <w:t xml:space="preserve"> </w:t>
            </w:r>
            <w:r w:rsidRPr="00FE3C59">
              <w:rPr>
                <w:rFonts w:ascii="Times New Roman" w:eastAsia="Times New Roman" w:hAnsi="Times New Roman" w:cs="Times New Roman"/>
                <w:lang w:val="en-GB"/>
              </w:rPr>
              <w:t xml:space="preserve">as defined for the purposes of the aggregation across </w:t>
            </w:r>
            <w:r w:rsidRPr="00FE3C59">
              <w:rPr>
                <w:rFonts w:ascii="Times New Roman" w:hAnsi="Times New Roman" w:cs="Times New Roman"/>
                <w:lang w:val="en-GB"/>
              </w:rPr>
              <w:t>buckets</w:t>
            </w:r>
            <w:r w:rsidRPr="00FE3C59">
              <w:rPr>
                <w:rFonts w:ascii="Times New Roman" w:eastAsia="Times New Roman" w:hAnsi="Times New Roman" w:cs="Times New Roman"/>
                <w:lang w:val="en-GB"/>
              </w:rPr>
              <w:t xml:space="preserve"> in </w:t>
            </w:r>
            <w:r w:rsidR="00E914C3" w:rsidRPr="00FE3C59">
              <w:rPr>
                <w:rFonts w:ascii="Times New Roman" w:eastAsia="Times New Roman" w:hAnsi="Times New Roman" w:cs="Times New Roman"/>
                <w:lang w:val="en-GB"/>
              </w:rPr>
              <w:t>Article</w:t>
            </w:r>
            <w:r w:rsidRPr="00FE3C59">
              <w:rPr>
                <w:rFonts w:ascii="Times New Roman" w:eastAsia="Times New Roman" w:hAnsi="Times New Roman" w:cs="Times New Roman"/>
                <w:lang w:val="en-GB"/>
              </w:rPr>
              <w:t xml:space="preserve"> 325g(6) of Regulation (EU) No 575/2013. </w:t>
            </w:r>
          </w:p>
        </w:tc>
      </w:tr>
      <w:tr w:rsidR="00A523D0" w:rsidRPr="00FE3C59" w14:paraId="5C8A278E" w14:textId="77777777" w:rsidTr="00A523D0">
        <w:tc>
          <w:tcPr>
            <w:tcW w:w="1048" w:type="dxa"/>
            <w:tcBorders>
              <w:top w:val="single" w:sz="8" w:space="0" w:color="auto"/>
              <w:left w:val="single" w:sz="8" w:space="0" w:color="auto"/>
              <w:bottom w:val="single" w:sz="8" w:space="0" w:color="auto"/>
              <w:right w:val="single" w:sz="8" w:space="0" w:color="auto"/>
            </w:tcBorders>
          </w:tcPr>
          <w:p w14:paraId="636BC440" w14:textId="0677C059"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1000 – 1080</w:t>
            </w:r>
          </w:p>
        </w:tc>
        <w:tc>
          <w:tcPr>
            <w:tcW w:w="7967" w:type="dxa"/>
            <w:tcBorders>
              <w:top w:val="single" w:sz="8" w:space="0" w:color="auto"/>
              <w:left w:val="single" w:sz="8" w:space="0" w:color="auto"/>
              <w:bottom w:val="single" w:sz="8" w:space="0" w:color="auto"/>
              <w:right w:val="single" w:sz="8" w:space="0" w:color="auto"/>
            </w:tcBorders>
            <w:vAlign w:val="bottom"/>
          </w:tcPr>
          <w:p w14:paraId="7E1D8CFA" w14:textId="48B30205" w:rsidR="00A523D0" w:rsidRPr="00FE3C59" w:rsidRDefault="00A523D0" w:rsidP="00A523D0">
            <w:pPr>
              <w:spacing w:line="288" w:lineRule="auto"/>
              <w:rPr>
                <w:rFonts w:ascii="Times New Roman" w:hAnsi="Times New Roman" w:cs="Times New Roman"/>
              </w:rPr>
            </w:pPr>
            <w:r w:rsidRPr="00FE3C59">
              <w:rPr>
                <w:rFonts w:ascii="Times New Roman" w:eastAsia="Times New Roman" w:hAnsi="Times New Roman" w:cs="Times New Roman"/>
                <w:b/>
                <w:bCs/>
                <w:sz w:val="24"/>
                <w:szCs w:val="24"/>
                <w:u w:val="single"/>
              </w:rPr>
              <w:t>Own funds requirements int the different scenarios</w:t>
            </w:r>
          </w:p>
          <w:p w14:paraId="0283B44E" w14:textId="3F2D15E8"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The own funds requirements calculated on the basis of the sensitivities–based method for delta, vega and curvature risks in each of the three scenarios referred to in Article 325h of Regulation (EU) No 575/2013 shall be reported.</w:t>
            </w:r>
          </w:p>
        </w:tc>
      </w:tr>
      <w:tr w:rsidR="00A523D0" w:rsidRPr="00FE3C59" w14:paraId="4AB8B111" w14:textId="77777777" w:rsidTr="00A523D0">
        <w:tc>
          <w:tcPr>
            <w:tcW w:w="1048" w:type="dxa"/>
            <w:tcBorders>
              <w:top w:val="single" w:sz="8" w:space="0" w:color="auto"/>
              <w:left w:val="single" w:sz="8" w:space="0" w:color="auto"/>
              <w:bottom w:val="single" w:sz="8" w:space="0" w:color="auto"/>
              <w:right w:val="single" w:sz="8" w:space="0" w:color="auto"/>
            </w:tcBorders>
          </w:tcPr>
          <w:p w14:paraId="3DCDE5EE" w14:textId="0DDF5A53"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 –1020</w:t>
            </w:r>
          </w:p>
        </w:tc>
        <w:tc>
          <w:tcPr>
            <w:tcW w:w="7967" w:type="dxa"/>
            <w:tcBorders>
              <w:top w:val="single" w:sz="8" w:space="0" w:color="auto"/>
              <w:left w:val="single" w:sz="8" w:space="0" w:color="auto"/>
              <w:bottom w:val="single" w:sz="8" w:space="0" w:color="auto"/>
              <w:right w:val="single" w:sz="8" w:space="0" w:color="auto"/>
            </w:tcBorders>
            <w:vAlign w:val="bottom"/>
          </w:tcPr>
          <w:p w14:paraId="5A854F5F" w14:textId="36B6C78F"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Low correlations scenario</w:t>
            </w:r>
          </w:p>
          <w:p w14:paraId="03B3A9BE" w14:textId="656ACF9E"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 xml:space="preserve">Article </w:t>
            </w:r>
            <w:r w:rsidRPr="00FE3C59">
              <w:rPr>
                <w:rFonts w:ascii="Times New Roman" w:hAnsi="Times New Roman" w:cs="Times New Roman"/>
                <w:lang w:val="en-GB"/>
              </w:rPr>
              <w:t>325h</w:t>
            </w:r>
            <w:r w:rsidRPr="00FE3C59">
              <w:rPr>
                <w:rFonts w:ascii="Times New Roman" w:eastAsia="Times New Roman" w:hAnsi="Times New Roman" w:cs="Times New Roman"/>
                <w:lang w:val="en-GB"/>
              </w:rPr>
              <w:t>(2), point (c), of Regulation (EU) No 575/2013</w:t>
            </w:r>
          </w:p>
        </w:tc>
      </w:tr>
      <w:tr w:rsidR="00A523D0" w:rsidRPr="00FE3C59" w14:paraId="0E256031" w14:textId="77777777" w:rsidTr="00A523D0">
        <w:tc>
          <w:tcPr>
            <w:tcW w:w="1048" w:type="dxa"/>
            <w:tcBorders>
              <w:top w:val="single" w:sz="8" w:space="0" w:color="auto"/>
              <w:left w:val="single" w:sz="8" w:space="0" w:color="auto"/>
              <w:bottom w:val="single" w:sz="8" w:space="0" w:color="auto"/>
              <w:right w:val="single" w:sz="8" w:space="0" w:color="auto"/>
            </w:tcBorders>
          </w:tcPr>
          <w:p w14:paraId="1E839AB8" w14:textId="1C8DA714"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w:t>
            </w:r>
          </w:p>
        </w:tc>
        <w:tc>
          <w:tcPr>
            <w:tcW w:w="7967" w:type="dxa"/>
            <w:tcBorders>
              <w:top w:val="single" w:sz="8" w:space="0" w:color="auto"/>
              <w:left w:val="single" w:sz="8" w:space="0" w:color="auto"/>
              <w:bottom w:val="single" w:sz="8" w:space="0" w:color="auto"/>
              <w:right w:val="single" w:sz="8" w:space="0" w:color="auto"/>
            </w:tcBorders>
            <w:vAlign w:val="bottom"/>
          </w:tcPr>
          <w:p w14:paraId="39D33D44" w14:textId="1C53F599"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Delta Risk</w:t>
            </w:r>
          </w:p>
        </w:tc>
      </w:tr>
      <w:tr w:rsidR="00A523D0" w:rsidRPr="00FE3C59" w14:paraId="0992A79B" w14:textId="77777777" w:rsidTr="00A523D0">
        <w:tc>
          <w:tcPr>
            <w:tcW w:w="1048" w:type="dxa"/>
            <w:tcBorders>
              <w:top w:val="single" w:sz="8" w:space="0" w:color="auto"/>
              <w:left w:val="single" w:sz="8" w:space="0" w:color="auto"/>
              <w:bottom w:val="single" w:sz="8" w:space="0" w:color="auto"/>
              <w:right w:val="single" w:sz="8" w:space="0" w:color="auto"/>
            </w:tcBorders>
          </w:tcPr>
          <w:p w14:paraId="77E22AEC" w14:textId="5FD9F084"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1010</w:t>
            </w:r>
          </w:p>
        </w:tc>
        <w:tc>
          <w:tcPr>
            <w:tcW w:w="7967" w:type="dxa"/>
            <w:tcBorders>
              <w:top w:val="single" w:sz="8" w:space="0" w:color="auto"/>
              <w:left w:val="single" w:sz="8" w:space="0" w:color="auto"/>
              <w:bottom w:val="single" w:sz="8" w:space="0" w:color="auto"/>
              <w:right w:val="single" w:sz="8" w:space="0" w:color="auto"/>
            </w:tcBorders>
            <w:vAlign w:val="bottom"/>
          </w:tcPr>
          <w:p w14:paraId="3A959C0B" w14:textId="7275108F"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Vega Risk</w:t>
            </w:r>
          </w:p>
        </w:tc>
      </w:tr>
      <w:tr w:rsidR="00A523D0" w:rsidRPr="00FE3C59" w14:paraId="1830A53F" w14:textId="77777777" w:rsidTr="00A523D0">
        <w:tc>
          <w:tcPr>
            <w:tcW w:w="1048" w:type="dxa"/>
            <w:tcBorders>
              <w:top w:val="single" w:sz="8" w:space="0" w:color="auto"/>
              <w:left w:val="single" w:sz="8" w:space="0" w:color="auto"/>
              <w:bottom w:val="single" w:sz="8" w:space="0" w:color="auto"/>
              <w:right w:val="single" w:sz="8" w:space="0" w:color="auto"/>
            </w:tcBorders>
          </w:tcPr>
          <w:p w14:paraId="189012A9" w14:textId="0AA5C2EE"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1020</w:t>
            </w:r>
          </w:p>
        </w:tc>
        <w:tc>
          <w:tcPr>
            <w:tcW w:w="7967" w:type="dxa"/>
            <w:tcBorders>
              <w:top w:val="single" w:sz="8" w:space="0" w:color="auto"/>
              <w:left w:val="single" w:sz="8" w:space="0" w:color="auto"/>
              <w:bottom w:val="single" w:sz="8" w:space="0" w:color="auto"/>
              <w:right w:val="single" w:sz="8" w:space="0" w:color="auto"/>
            </w:tcBorders>
            <w:vAlign w:val="bottom"/>
          </w:tcPr>
          <w:p w14:paraId="6A28ADDE" w14:textId="74205AD3"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w:t>
            </w:r>
            <w:r w:rsidRPr="00FE3C59">
              <w:rPr>
                <w:rFonts w:ascii="Times New Roman" w:eastAsia="Times New Roman" w:hAnsi="Times New Roman" w:cs="Times New Roman"/>
                <w:b/>
                <w:u w:val="single"/>
                <w:lang w:val="en-GB"/>
              </w:rPr>
              <w:t xml:space="preserve"> Risk</w:t>
            </w:r>
          </w:p>
        </w:tc>
      </w:tr>
      <w:tr w:rsidR="00A523D0" w:rsidRPr="00FE3C59" w14:paraId="652217E9" w14:textId="77777777" w:rsidTr="00A523D0">
        <w:tc>
          <w:tcPr>
            <w:tcW w:w="1048" w:type="dxa"/>
            <w:tcBorders>
              <w:top w:val="single" w:sz="8" w:space="0" w:color="auto"/>
              <w:left w:val="single" w:sz="8" w:space="0" w:color="auto"/>
              <w:bottom w:val="single" w:sz="8" w:space="0" w:color="auto"/>
              <w:right w:val="single" w:sz="8" w:space="0" w:color="auto"/>
            </w:tcBorders>
          </w:tcPr>
          <w:p w14:paraId="58184E61" w14:textId="268DA5BA"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 –1050</w:t>
            </w:r>
          </w:p>
        </w:tc>
        <w:tc>
          <w:tcPr>
            <w:tcW w:w="7967" w:type="dxa"/>
            <w:tcBorders>
              <w:top w:val="single" w:sz="8" w:space="0" w:color="auto"/>
              <w:left w:val="single" w:sz="8" w:space="0" w:color="auto"/>
              <w:bottom w:val="single" w:sz="8" w:space="0" w:color="auto"/>
              <w:right w:val="single" w:sz="8" w:space="0" w:color="auto"/>
            </w:tcBorders>
            <w:vAlign w:val="bottom"/>
          </w:tcPr>
          <w:p w14:paraId="081DA97A" w14:textId="7A339BF3"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Medium</w:t>
            </w:r>
            <w:r w:rsidRPr="00FE3C59">
              <w:rPr>
                <w:rFonts w:ascii="Times New Roman" w:eastAsia="Times New Roman" w:hAnsi="Times New Roman" w:cs="Times New Roman"/>
                <w:b/>
                <w:u w:val="single"/>
                <w:lang w:val="en-GB"/>
              </w:rPr>
              <w:t xml:space="preserve"> correlations scenario</w:t>
            </w:r>
          </w:p>
          <w:p w14:paraId="35A2FAA3" w14:textId="5B1D13C6"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 xml:space="preserve">Article 325h(2), point (a), of </w:t>
            </w:r>
            <w:r w:rsidRPr="00FE3C59">
              <w:rPr>
                <w:rFonts w:ascii="Times New Roman" w:hAnsi="Times New Roman" w:cs="Times New Roman"/>
                <w:lang w:val="en-GB"/>
              </w:rPr>
              <w:t>Regulation</w:t>
            </w:r>
            <w:r w:rsidRPr="00FE3C59">
              <w:rPr>
                <w:rFonts w:ascii="Times New Roman" w:eastAsia="Times New Roman" w:hAnsi="Times New Roman" w:cs="Times New Roman"/>
                <w:lang w:val="en-GB"/>
              </w:rPr>
              <w:t xml:space="preserve"> (EU) No 575/2013</w:t>
            </w:r>
          </w:p>
        </w:tc>
      </w:tr>
      <w:tr w:rsidR="00A523D0" w:rsidRPr="00FE3C59" w14:paraId="0B5963ED" w14:textId="77777777" w:rsidTr="00A523D0">
        <w:tc>
          <w:tcPr>
            <w:tcW w:w="1048" w:type="dxa"/>
            <w:tcBorders>
              <w:top w:val="single" w:sz="8" w:space="0" w:color="auto"/>
              <w:left w:val="single" w:sz="8" w:space="0" w:color="auto"/>
              <w:bottom w:val="single" w:sz="8" w:space="0" w:color="auto"/>
              <w:right w:val="single" w:sz="8" w:space="0" w:color="auto"/>
            </w:tcBorders>
          </w:tcPr>
          <w:p w14:paraId="487602A6" w14:textId="7728F287"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w:t>
            </w:r>
          </w:p>
        </w:tc>
        <w:tc>
          <w:tcPr>
            <w:tcW w:w="7967" w:type="dxa"/>
            <w:tcBorders>
              <w:top w:val="single" w:sz="8" w:space="0" w:color="auto"/>
              <w:left w:val="single" w:sz="8" w:space="0" w:color="auto"/>
              <w:bottom w:val="single" w:sz="8" w:space="0" w:color="auto"/>
              <w:right w:val="single" w:sz="8" w:space="0" w:color="auto"/>
            </w:tcBorders>
            <w:vAlign w:val="bottom"/>
          </w:tcPr>
          <w:p w14:paraId="7250866C" w14:textId="58740BB0"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w:t>
            </w:r>
            <w:r w:rsidRPr="00FE3C59">
              <w:rPr>
                <w:rFonts w:ascii="Times New Roman" w:eastAsia="Times New Roman" w:hAnsi="Times New Roman" w:cs="Times New Roman"/>
                <w:b/>
                <w:u w:val="single"/>
                <w:lang w:val="en-GB"/>
              </w:rPr>
              <w:t xml:space="preserve"> Risk</w:t>
            </w:r>
          </w:p>
        </w:tc>
      </w:tr>
      <w:tr w:rsidR="00A523D0" w:rsidRPr="00FE3C59" w14:paraId="090173CF" w14:textId="77777777" w:rsidTr="00A523D0">
        <w:tc>
          <w:tcPr>
            <w:tcW w:w="1048" w:type="dxa"/>
            <w:tcBorders>
              <w:top w:val="single" w:sz="8" w:space="0" w:color="auto"/>
              <w:left w:val="single" w:sz="8" w:space="0" w:color="auto"/>
              <w:bottom w:val="single" w:sz="8" w:space="0" w:color="auto"/>
              <w:right w:val="single" w:sz="8" w:space="0" w:color="auto"/>
            </w:tcBorders>
          </w:tcPr>
          <w:p w14:paraId="1641E190" w14:textId="3E220365"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1040</w:t>
            </w:r>
          </w:p>
        </w:tc>
        <w:tc>
          <w:tcPr>
            <w:tcW w:w="7967" w:type="dxa"/>
            <w:tcBorders>
              <w:top w:val="single" w:sz="8" w:space="0" w:color="auto"/>
              <w:left w:val="single" w:sz="8" w:space="0" w:color="auto"/>
              <w:bottom w:val="single" w:sz="8" w:space="0" w:color="auto"/>
              <w:right w:val="single" w:sz="8" w:space="0" w:color="auto"/>
            </w:tcBorders>
            <w:vAlign w:val="bottom"/>
          </w:tcPr>
          <w:p w14:paraId="7876FC65" w14:textId="058FED7A"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Vega</w:t>
            </w:r>
            <w:r w:rsidRPr="00FE3C59">
              <w:rPr>
                <w:rFonts w:ascii="Times New Roman" w:eastAsia="Times New Roman" w:hAnsi="Times New Roman" w:cs="Times New Roman"/>
                <w:b/>
                <w:u w:val="single"/>
                <w:lang w:val="en-GB"/>
              </w:rPr>
              <w:t xml:space="preserve"> Risk</w:t>
            </w:r>
          </w:p>
        </w:tc>
      </w:tr>
      <w:tr w:rsidR="00A523D0" w:rsidRPr="00FE3C59" w14:paraId="128F8322" w14:textId="77777777" w:rsidTr="00A523D0">
        <w:tc>
          <w:tcPr>
            <w:tcW w:w="1048" w:type="dxa"/>
            <w:tcBorders>
              <w:top w:val="single" w:sz="8" w:space="0" w:color="auto"/>
              <w:left w:val="single" w:sz="8" w:space="0" w:color="auto"/>
              <w:bottom w:val="single" w:sz="8" w:space="0" w:color="auto"/>
              <w:right w:val="single" w:sz="8" w:space="0" w:color="auto"/>
            </w:tcBorders>
          </w:tcPr>
          <w:p w14:paraId="07BD998B" w14:textId="3B1B370C"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1050</w:t>
            </w:r>
          </w:p>
        </w:tc>
        <w:tc>
          <w:tcPr>
            <w:tcW w:w="7967" w:type="dxa"/>
            <w:tcBorders>
              <w:top w:val="single" w:sz="8" w:space="0" w:color="auto"/>
              <w:left w:val="single" w:sz="8" w:space="0" w:color="auto"/>
              <w:bottom w:val="single" w:sz="8" w:space="0" w:color="auto"/>
              <w:right w:val="single" w:sz="8" w:space="0" w:color="auto"/>
            </w:tcBorders>
            <w:vAlign w:val="bottom"/>
          </w:tcPr>
          <w:p w14:paraId="0FB81DE0" w14:textId="1528D9C0"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w:t>
            </w:r>
            <w:r w:rsidRPr="00FE3C59">
              <w:rPr>
                <w:rFonts w:ascii="Times New Roman" w:eastAsia="Times New Roman" w:hAnsi="Times New Roman" w:cs="Times New Roman"/>
                <w:b/>
                <w:u w:val="single"/>
                <w:lang w:val="en-GB"/>
              </w:rPr>
              <w:t xml:space="preserve"> Risk</w:t>
            </w:r>
          </w:p>
        </w:tc>
      </w:tr>
      <w:tr w:rsidR="00A523D0" w:rsidRPr="00FE3C59" w14:paraId="43D964B1" w14:textId="77777777" w:rsidTr="00A523D0">
        <w:tc>
          <w:tcPr>
            <w:tcW w:w="1048" w:type="dxa"/>
            <w:tcBorders>
              <w:top w:val="single" w:sz="8" w:space="0" w:color="auto"/>
              <w:left w:val="single" w:sz="8" w:space="0" w:color="auto"/>
              <w:bottom w:val="single" w:sz="8" w:space="0" w:color="auto"/>
              <w:right w:val="single" w:sz="8" w:space="0" w:color="auto"/>
            </w:tcBorders>
          </w:tcPr>
          <w:p w14:paraId="244B1416" w14:textId="254EAFD7"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 – 1080</w:t>
            </w:r>
          </w:p>
        </w:tc>
        <w:tc>
          <w:tcPr>
            <w:tcW w:w="7967" w:type="dxa"/>
            <w:tcBorders>
              <w:top w:val="single" w:sz="8" w:space="0" w:color="auto"/>
              <w:left w:val="single" w:sz="8" w:space="0" w:color="auto"/>
              <w:bottom w:val="single" w:sz="8" w:space="0" w:color="auto"/>
              <w:right w:val="single" w:sz="8" w:space="0" w:color="auto"/>
            </w:tcBorders>
            <w:vAlign w:val="bottom"/>
          </w:tcPr>
          <w:p w14:paraId="7E688A51" w14:textId="63329EF1"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High correlations scenario</w:t>
            </w:r>
          </w:p>
          <w:p w14:paraId="255ECC94" w14:textId="6BC974D0"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325h(2), point (b), of Regulation (EU) No 575/2013</w:t>
            </w:r>
          </w:p>
        </w:tc>
      </w:tr>
      <w:tr w:rsidR="00A523D0" w:rsidRPr="00FE3C59" w14:paraId="05F902AA" w14:textId="77777777" w:rsidTr="00A523D0">
        <w:tc>
          <w:tcPr>
            <w:tcW w:w="1048" w:type="dxa"/>
            <w:tcBorders>
              <w:top w:val="single" w:sz="8" w:space="0" w:color="auto"/>
              <w:left w:val="single" w:sz="8" w:space="0" w:color="auto"/>
              <w:bottom w:val="single" w:sz="8" w:space="0" w:color="auto"/>
              <w:right w:val="single" w:sz="8" w:space="0" w:color="auto"/>
            </w:tcBorders>
          </w:tcPr>
          <w:p w14:paraId="40DB1811" w14:textId="19705EDF"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p>
        </w:tc>
        <w:tc>
          <w:tcPr>
            <w:tcW w:w="7967" w:type="dxa"/>
            <w:tcBorders>
              <w:top w:val="single" w:sz="8" w:space="0" w:color="auto"/>
              <w:left w:val="single" w:sz="8" w:space="0" w:color="auto"/>
              <w:bottom w:val="single" w:sz="8" w:space="0" w:color="auto"/>
              <w:right w:val="single" w:sz="8" w:space="0" w:color="auto"/>
            </w:tcBorders>
            <w:vAlign w:val="bottom"/>
          </w:tcPr>
          <w:p w14:paraId="303716E6" w14:textId="6BBB8D78"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Delta Risk</w:t>
            </w:r>
          </w:p>
        </w:tc>
      </w:tr>
      <w:tr w:rsidR="00A523D0" w:rsidRPr="00FE3C59" w14:paraId="729DB369" w14:textId="77777777" w:rsidTr="00A523D0">
        <w:tc>
          <w:tcPr>
            <w:tcW w:w="1048" w:type="dxa"/>
            <w:tcBorders>
              <w:top w:val="single" w:sz="8" w:space="0" w:color="auto"/>
              <w:left w:val="single" w:sz="8" w:space="0" w:color="auto"/>
              <w:bottom w:val="single" w:sz="8" w:space="0" w:color="auto"/>
              <w:right w:val="single" w:sz="8" w:space="0" w:color="auto"/>
            </w:tcBorders>
          </w:tcPr>
          <w:p w14:paraId="4C763D69" w14:textId="655E70C9"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1070</w:t>
            </w:r>
          </w:p>
        </w:tc>
        <w:tc>
          <w:tcPr>
            <w:tcW w:w="7967" w:type="dxa"/>
            <w:tcBorders>
              <w:top w:val="single" w:sz="8" w:space="0" w:color="auto"/>
              <w:left w:val="single" w:sz="8" w:space="0" w:color="auto"/>
              <w:bottom w:val="single" w:sz="8" w:space="0" w:color="auto"/>
              <w:right w:val="single" w:sz="8" w:space="0" w:color="auto"/>
            </w:tcBorders>
            <w:vAlign w:val="bottom"/>
          </w:tcPr>
          <w:p w14:paraId="6F1EC666" w14:textId="7F63CC5E"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Vega Risk</w:t>
            </w:r>
          </w:p>
        </w:tc>
      </w:tr>
      <w:tr w:rsidR="00A523D0" w:rsidRPr="00FE3C59" w14:paraId="5F595C50" w14:textId="77777777" w:rsidTr="00A523D0">
        <w:tc>
          <w:tcPr>
            <w:tcW w:w="1048" w:type="dxa"/>
            <w:tcBorders>
              <w:top w:val="single" w:sz="8" w:space="0" w:color="auto"/>
              <w:left w:val="single" w:sz="8" w:space="0" w:color="auto"/>
              <w:bottom w:val="single" w:sz="8" w:space="0" w:color="auto"/>
              <w:right w:val="single" w:sz="8" w:space="0" w:color="auto"/>
            </w:tcBorders>
          </w:tcPr>
          <w:p w14:paraId="0AAE2E6B" w14:textId="3D0AB397"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lang w:val="en-GB"/>
              </w:rPr>
              <w:t>1080</w:t>
            </w:r>
          </w:p>
        </w:tc>
        <w:tc>
          <w:tcPr>
            <w:tcW w:w="7967" w:type="dxa"/>
            <w:tcBorders>
              <w:top w:val="single" w:sz="8" w:space="0" w:color="auto"/>
              <w:left w:val="single" w:sz="8" w:space="0" w:color="auto"/>
              <w:bottom w:val="single" w:sz="8" w:space="0" w:color="auto"/>
              <w:right w:val="single" w:sz="8" w:space="0" w:color="auto"/>
            </w:tcBorders>
            <w:vAlign w:val="bottom"/>
          </w:tcPr>
          <w:p w14:paraId="57377FFC" w14:textId="35AA06D1" w:rsidR="00A523D0" w:rsidRPr="00FE3C59" w:rsidRDefault="00A523D0" w:rsidP="00A523D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w:t>
            </w:r>
            <w:r w:rsidRPr="00FE3C59">
              <w:rPr>
                <w:rFonts w:ascii="Times New Roman" w:eastAsia="Times New Roman" w:hAnsi="Times New Roman" w:cs="Times New Roman"/>
                <w:b/>
                <w:u w:val="single"/>
                <w:lang w:val="en-GB"/>
              </w:rPr>
              <w:t xml:space="preserve"> Risk</w:t>
            </w:r>
          </w:p>
        </w:tc>
      </w:tr>
    </w:tbl>
    <w:p w14:paraId="4265F5F0" w14:textId="2C7A8576" w:rsidR="0D1CB00F" w:rsidRPr="00FE3C59" w:rsidRDefault="0D1CB00F" w:rsidP="0D1CB00F">
      <w:pPr>
        <w:spacing w:line="257" w:lineRule="auto"/>
        <w:jc w:val="both"/>
        <w:rPr>
          <w:rFonts w:ascii="Times New Roman" w:hAnsi="Times New Roman" w:cs="Times New Roman"/>
        </w:rPr>
      </w:pPr>
      <w:r w:rsidRPr="00FE3C59">
        <w:rPr>
          <w:rFonts w:ascii="Times New Roman" w:eastAsia="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048"/>
        <w:gridCol w:w="7967"/>
      </w:tblGrid>
      <w:tr w:rsidR="0D1CB00F" w:rsidRPr="00FE3C59" w14:paraId="1B3853F3" w14:textId="77777777" w:rsidTr="0D1CB00F">
        <w:tc>
          <w:tcPr>
            <w:tcW w:w="1048"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4BF178F2" w14:textId="00A04CB1" w:rsidR="0D1CB00F" w:rsidRPr="00FE3C59" w:rsidRDefault="0D1CB00F" w:rsidP="0D1CB00F">
            <w:pPr>
              <w:spacing w:line="288" w:lineRule="auto"/>
              <w:rPr>
                <w:rFonts w:ascii="Times New Roman" w:hAnsi="Times New Roman" w:cs="Times New Roman"/>
              </w:rPr>
            </w:pPr>
            <w:r w:rsidRPr="00FE3C59">
              <w:rPr>
                <w:rFonts w:ascii="Times New Roman" w:eastAsia="Times New Roman" w:hAnsi="Times New Roman" w:cs="Times New Roman"/>
                <w:b/>
                <w:bCs/>
                <w:sz w:val="24"/>
                <w:szCs w:val="24"/>
              </w:rPr>
              <w:t>Row</w:t>
            </w:r>
          </w:p>
        </w:tc>
        <w:tc>
          <w:tcPr>
            <w:tcW w:w="7967"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0581F10F" w14:textId="5CB42907" w:rsidR="0D1CB00F" w:rsidRPr="00FE3C59" w:rsidRDefault="0D1CB00F" w:rsidP="0D1CB00F">
            <w:pPr>
              <w:spacing w:line="288" w:lineRule="auto"/>
              <w:rPr>
                <w:rFonts w:ascii="Times New Roman" w:hAnsi="Times New Roman" w:cs="Times New Roman"/>
              </w:rPr>
            </w:pPr>
            <w:r w:rsidRPr="00FE3C59">
              <w:rPr>
                <w:rFonts w:ascii="Times New Roman" w:eastAsia="Times New Roman" w:hAnsi="Times New Roman" w:cs="Times New Roman"/>
                <w:b/>
                <w:bCs/>
                <w:sz w:val="24"/>
                <w:szCs w:val="24"/>
              </w:rPr>
              <w:t>Legal references and instructions</w:t>
            </w:r>
          </w:p>
        </w:tc>
      </w:tr>
      <w:tr w:rsidR="0073315C" w:rsidRPr="00FE3C59" w14:paraId="40FA9075" w14:textId="77777777" w:rsidTr="0D1CB00F">
        <w:tc>
          <w:tcPr>
            <w:tcW w:w="1048" w:type="dxa"/>
            <w:tcBorders>
              <w:top w:val="single" w:sz="8" w:space="0" w:color="auto"/>
              <w:left w:val="single" w:sz="8" w:space="0" w:color="auto"/>
              <w:bottom w:val="single" w:sz="8" w:space="0" w:color="auto"/>
              <w:right w:val="single" w:sz="8" w:space="0" w:color="auto"/>
            </w:tcBorders>
          </w:tcPr>
          <w:p w14:paraId="06114F2A" w14:textId="5EA61727" w:rsidR="0073315C" w:rsidRPr="00FE3C59" w:rsidRDefault="0073315C" w:rsidP="00465B03">
            <w:pPr>
              <w:pStyle w:val="BodyText"/>
              <w:spacing w:before="120" w:after="120"/>
              <w:rPr>
                <w:rFonts w:ascii="Times New Roman" w:hAnsi="Times New Roman" w:cs="Times New Roman"/>
                <w:color w:val="000000" w:themeColor="text1"/>
                <w:lang w:val="en-GB"/>
              </w:rPr>
            </w:pPr>
            <w:r w:rsidRPr="00FE3C59">
              <w:rPr>
                <w:rFonts w:ascii="Times New Roman" w:hAnsi="Times New Roman" w:cs="Times New Roman"/>
                <w:color w:val="000000" w:themeColor="text1"/>
                <w:lang w:val="en-GB"/>
              </w:rPr>
              <w:t>0010 – 0130</w:t>
            </w:r>
          </w:p>
        </w:tc>
        <w:tc>
          <w:tcPr>
            <w:tcW w:w="7967" w:type="dxa"/>
            <w:tcBorders>
              <w:top w:val="single" w:sz="8" w:space="0" w:color="auto"/>
              <w:left w:val="single" w:sz="8" w:space="0" w:color="auto"/>
              <w:bottom w:val="single" w:sz="8" w:space="0" w:color="auto"/>
              <w:right w:val="single" w:sz="8" w:space="0" w:color="auto"/>
            </w:tcBorders>
            <w:vAlign w:val="bottom"/>
          </w:tcPr>
          <w:p w14:paraId="22732A7F" w14:textId="77777777" w:rsidR="0073315C" w:rsidRPr="00FE3C59" w:rsidRDefault="0073315C" w:rsidP="0073315C">
            <w:pPr>
              <w:pStyle w:val="BodyText"/>
              <w:spacing w:before="120" w:after="120"/>
              <w:rPr>
                <w:rFonts w:ascii="Times New Roman" w:eastAsia="Times New Roman" w:hAnsi="Times New Roman" w:cs="Times New Roman"/>
                <w:b/>
                <w:u w:val="single"/>
                <w:lang w:val="en-GB"/>
              </w:rPr>
            </w:pPr>
            <w:r w:rsidRPr="00FE3C59">
              <w:rPr>
                <w:rFonts w:ascii="Times New Roman" w:eastAsia="Times New Roman" w:hAnsi="Times New Roman" w:cs="Times New Roman"/>
                <w:b/>
                <w:u w:val="single"/>
                <w:lang w:val="en-GB"/>
              </w:rPr>
              <w:t>Buckets</w:t>
            </w:r>
          </w:p>
          <w:p w14:paraId="6116C118" w14:textId="2D8973AD" w:rsidR="0073315C" w:rsidRPr="00FE3C59" w:rsidRDefault="0073315C" w:rsidP="0073315C">
            <w:pPr>
              <w:pStyle w:val="BodyText"/>
              <w:spacing w:before="120" w:after="120"/>
              <w:rPr>
                <w:rFonts w:ascii="Times New Roman" w:eastAsia="Times New Roman" w:hAnsi="Times New Roman" w:cs="Times New Roman"/>
                <w:b/>
                <w:u w:val="single"/>
                <w:lang w:val="en-GB"/>
              </w:rPr>
            </w:pPr>
            <w:r w:rsidRPr="00FE3C59">
              <w:rPr>
                <w:rFonts w:ascii="Times New Roman" w:eastAsia="Times New Roman" w:hAnsi="Times New Roman" w:cs="Times New Roman"/>
                <w:lang w:val="en-GB"/>
              </w:rPr>
              <w:t xml:space="preserve">Article </w:t>
            </w:r>
            <w:r w:rsidRPr="00FE3C59">
              <w:rPr>
                <w:rFonts w:ascii="Times New Roman" w:hAnsi="Times New Roman" w:cs="Times New Roman"/>
                <w:lang w:val="en-GB"/>
              </w:rPr>
              <w:t>325ap</w:t>
            </w:r>
            <w:r w:rsidRPr="00FE3C59">
              <w:rPr>
                <w:rFonts w:ascii="Times New Roman" w:eastAsia="Times New Roman" w:hAnsi="Times New Roman" w:cs="Times New Roman"/>
                <w:lang w:val="en-GB"/>
              </w:rPr>
              <w:t>(1) of Regulation (EU) No 575/2013</w:t>
            </w:r>
          </w:p>
        </w:tc>
      </w:tr>
      <w:tr w:rsidR="0D1CB00F" w:rsidRPr="00FE3C59" w14:paraId="7B631F98" w14:textId="77777777" w:rsidTr="0D1CB00F">
        <w:tc>
          <w:tcPr>
            <w:tcW w:w="1048" w:type="dxa"/>
            <w:tcBorders>
              <w:top w:val="single" w:sz="8" w:space="0" w:color="auto"/>
              <w:left w:val="single" w:sz="8" w:space="0" w:color="auto"/>
              <w:bottom w:val="single" w:sz="8" w:space="0" w:color="auto"/>
              <w:right w:val="single" w:sz="8" w:space="0" w:color="auto"/>
            </w:tcBorders>
          </w:tcPr>
          <w:p w14:paraId="370B7B29" w14:textId="79B39245" w:rsidR="0D1CB00F" w:rsidRPr="00FE3C59" w:rsidRDefault="0D1CB00F" w:rsidP="0D1CB00F">
            <w:pPr>
              <w:spacing w:line="288" w:lineRule="auto"/>
              <w:rPr>
                <w:rFonts w:ascii="Times New Roman" w:hAnsi="Times New Roman" w:cs="Times New Roman"/>
              </w:rPr>
            </w:pPr>
            <w:r w:rsidRPr="00FE3C59">
              <w:rPr>
                <w:rFonts w:ascii="Times New Roman" w:hAnsi="Times New Roman" w:cs="Times New Roman"/>
                <w:color w:val="000000" w:themeColor="text1"/>
              </w:rPr>
              <w:t>0010</w:t>
            </w:r>
          </w:p>
        </w:tc>
        <w:tc>
          <w:tcPr>
            <w:tcW w:w="7967" w:type="dxa"/>
            <w:tcBorders>
              <w:top w:val="single" w:sz="8" w:space="0" w:color="auto"/>
              <w:left w:val="single" w:sz="8" w:space="0" w:color="auto"/>
              <w:bottom w:val="single" w:sz="8" w:space="0" w:color="auto"/>
              <w:right w:val="single" w:sz="8" w:space="0" w:color="auto"/>
            </w:tcBorders>
            <w:vAlign w:val="bottom"/>
          </w:tcPr>
          <w:p w14:paraId="24D9E941" w14:textId="25C54AF8"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1: Large market capitalisation, emerging market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Consumer goods and services, transportation and storage, administrative and support service activities, healthcare, utilities</w:t>
            </w:r>
          </w:p>
        </w:tc>
      </w:tr>
      <w:tr w:rsidR="0D1CB00F" w:rsidRPr="00FE3C59" w14:paraId="50B2C962" w14:textId="77777777" w:rsidTr="0D1CB00F">
        <w:tc>
          <w:tcPr>
            <w:tcW w:w="1048" w:type="dxa"/>
            <w:tcBorders>
              <w:top w:val="single" w:sz="8" w:space="0" w:color="auto"/>
              <w:left w:val="single" w:sz="8" w:space="0" w:color="auto"/>
              <w:bottom w:val="single" w:sz="8" w:space="0" w:color="auto"/>
              <w:right w:val="single" w:sz="8" w:space="0" w:color="auto"/>
            </w:tcBorders>
          </w:tcPr>
          <w:p w14:paraId="06B411A2" w14:textId="1970C82A"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0020</w:t>
            </w:r>
          </w:p>
        </w:tc>
        <w:tc>
          <w:tcPr>
            <w:tcW w:w="7967" w:type="dxa"/>
            <w:tcBorders>
              <w:top w:val="single" w:sz="8" w:space="0" w:color="auto"/>
              <w:left w:val="single" w:sz="8" w:space="0" w:color="auto"/>
              <w:bottom w:val="single" w:sz="8" w:space="0" w:color="auto"/>
              <w:right w:val="single" w:sz="8" w:space="0" w:color="auto"/>
            </w:tcBorders>
            <w:vAlign w:val="bottom"/>
          </w:tcPr>
          <w:p w14:paraId="5F824648" w14:textId="1DC6CF22"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2: Large market capitalisation, emerging market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Telecommunications, industrials</w:t>
            </w:r>
          </w:p>
        </w:tc>
      </w:tr>
      <w:tr w:rsidR="0D1CB00F" w:rsidRPr="00FE3C59" w14:paraId="55421CFD" w14:textId="77777777" w:rsidTr="0D1CB00F">
        <w:tc>
          <w:tcPr>
            <w:tcW w:w="1048" w:type="dxa"/>
            <w:tcBorders>
              <w:top w:val="single" w:sz="8" w:space="0" w:color="auto"/>
              <w:left w:val="single" w:sz="8" w:space="0" w:color="auto"/>
              <w:bottom w:val="single" w:sz="8" w:space="0" w:color="auto"/>
              <w:right w:val="single" w:sz="8" w:space="0" w:color="auto"/>
            </w:tcBorders>
          </w:tcPr>
          <w:p w14:paraId="4F4473D8" w14:textId="4C4416E0"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lastRenderedPageBreak/>
              <w:t>0030</w:t>
            </w:r>
          </w:p>
        </w:tc>
        <w:tc>
          <w:tcPr>
            <w:tcW w:w="7967" w:type="dxa"/>
            <w:tcBorders>
              <w:top w:val="single" w:sz="8" w:space="0" w:color="auto"/>
              <w:left w:val="single" w:sz="8" w:space="0" w:color="auto"/>
              <w:bottom w:val="single" w:sz="8" w:space="0" w:color="auto"/>
              <w:right w:val="single" w:sz="8" w:space="0" w:color="auto"/>
            </w:tcBorders>
            <w:vAlign w:val="bottom"/>
          </w:tcPr>
          <w:p w14:paraId="43E29F6B" w14:textId="4AA79BF8"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3: Large market capitalisation, emerging market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Basic materials, energy, agriculture, manufacturing, mining and quarrying</w:t>
            </w:r>
          </w:p>
        </w:tc>
      </w:tr>
      <w:tr w:rsidR="0D1CB00F" w:rsidRPr="00FE3C59" w14:paraId="2B48E25E" w14:textId="77777777" w:rsidTr="0D1CB00F">
        <w:tc>
          <w:tcPr>
            <w:tcW w:w="1048" w:type="dxa"/>
            <w:tcBorders>
              <w:top w:val="single" w:sz="8" w:space="0" w:color="auto"/>
              <w:left w:val="single" w:sz="8" w:space="0" w:color="auto"/>
              <w:bottom w:val="single" w:sz="8" w:space="0" w:color="auto"/>
              <w:right w:val="single" w:sz="8" w:space="0" w:color="auto"/>
            </w:tcBorders>
          </w:tcPr>
          <w:p w14:paraId="1F694706" w14:textId="4F7A48F7" w:rsidR="0D1CB00F" w:rsidRPr="00FE3C59" w:rsidRDefault="0D1CB00F" w:rsidP="0D1CB00F">
            <w:pPr>
              <w:spacing w:line="288" w:lineRule="auto"/>
              <w:rPr>
                <w:rFonts w:ascii="Times New Roman" w:hAnsi="Times New Roman" w:cs="Times New Roman"/>
              </w:rPr>
            </w:pPr>
            <w:r w:rsidRPr="00FE3C59">
              <w:rPr>
                <w:rFonts w:ascii="Times New Roman" w:hAnsi="Times New Roman" w:cs="Times New Roman"/>
                <w:color w:val="000000" w:themeColor="text1"/>
              </w:rPr>
              <w:t>0040</w:t>
            </w:r>
          </w:p>
        </w:tc>
        <w:tc>
          <w:tcPr>
            <w:tcW w:w="7967" w:type="dxa"/>
            <w:tcBorders>
              <w:top w:val="single" w:sz="8" w:space="0" w:color="auto"/>
              <w:left w:val="single" w:sz="8" w:space="0" w:color="auto"/>
              <w:bottom w:val="single" w:sz="8" w:space="0" w:color="auto"/>
              <w:right w:val="single" w:sz="8" w:space="0" w:color="auto"/>
            </w:tcBorders>
            <w:vAlign w:val="bottom"/>
          </w:tcPr>
          <w:p w14:paraId="2F09D902" w14:textId="50BEA439"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4: Large market capitalisation, emerging market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Financials including government-backed financials, real estate activities, technology</w:t>
            </w:r>
          </w:p>
        </w:tc>
      </w:tr>
      <w:tr w:rsidR="0D1CB00F" w:rsidRPr="00FE3C59" w14:paraId="1AEAFCCA" w14:textId="77777777" w:rsidTr="0D1CB00F">
        <w:tc>
          <w:tcPr>
            <w:tcW w:w="1048" w:type="dxa"/>
            <w:tcBorders>
              <w:top w:val="single" w:sz="8" w:space="0" w:color="auto"/>
              <w:left w:val="single" w:sz="8" w:space="0" w:color="auto"/>
              <w:bottom w:val="single" w:sz="8" w:space="0" w:color="auto"/>
              <w:right w:val="single" w:sz="8" w:space="0" w:color="auto"/>
            </w:tcBorders>
          </w:tcPr>
          <w:p w14:paraId="364F7E6E" w14:textId="047FA106"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0050</w:t>
            </w:r>
          </w:p>
        </w:tc>
        <w:tc>
          <w:tcPr>
            <w:tcW w:w="7967" w:type="dxa"/>
            <w:tcBorders>
              <w:top w:val="single" w:sz="8" w:space="0" w:color="auto"/>
              <w:left w:val="single" w:sz="8" w:space="0" w:color="auto"/>
              <w:bottom w:val="single" w:sz="8" w:space="0" w:color="auto"/>
              <w:right w:val="single" w:sz="8" w:space="0" w:color="auto"/>
            </w:tcBorders>
            <w:vAlign w:val="bottom"/>
          </w:tcPr>
          <w:p w14:paraId="023B02CF" w14:textId="2BA2BE77"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5: Large market capitalisation, advanced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Consumer goods and services, transportation and storage, administrative and support service activities, healthcare, utilities</w:t>
            </w:r>
          </w:p>
        </w:tc>
      </w:tr>
      <w:tr w:rsidR="0D1CB00F" w:rsidRPr="00FE3C59" w14:paraId="18C66153" w14:textId="77777777" w:rsidTr="0D1CB00F">
        <w:tc>
          <w:tcPr>
            <w:tcW w:w="1048" w:type="dxa"/>
            <w:tcBorders>
              <w:top w:val="single" w:sz="8" w:space="0" w:color="auto"/>
              <w:left w:val="single" w:sz="8" w:space="0" w:color="auto"/>
              <w:bottom w:val="single" w:sz="8" w:space="0" w:color="auto"/>
              <w:right w:val="single" w:sz="8" w:space="0" w:color="auto"/>
            </w:tcBorders>
          </w:tcPr>
          <w:p w14:paraId="0E8C2D66" w14:textId="6F9C299E"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0060</w:t>
            </w:r>
          </w:p>
        </w:tc>
        <w:tc>
          <w:tcPr>
            <w:tcW w:w="7967" w:type="dxa"/>
            <w:tcBorders>
              <w:top w:val="single" w:sz="8" w:space="0" w:color="auto"/>
              <w:left w:val="single" w:sz="8" w:space="0" w:color="auto"/>
              <w:bottom w:val="single" w:sz="8" w:space="0" w:color="auto"/>
              <w:right w:val="single" w:sz="8" w:space="0" w:color="auto"/>
            </w:tcBorders>
            <w:vAlign w:val="bottom"/>
          </w:tcPr>
          <w:p w14:paraId="4E20DE8F" w14:textId="694726BD"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6: Large market capitalisation, advanced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Telecommunications, industrials</w:t>
            </w:r>
          </w:p>
        </w:tc>
      </w:tr>
      <w:tr w:rsidR="0D1CB00F" w:rsidRPr="00FE3C59" w14:paraId="07A4880C" w14:textId="77777777" w:rsidTr="0D1CB00F">
        <w:tc>
          <w:tcPr>
            <w:tcW w:w="1048" w:type="dxa"/>
            <w:tcBorders>
              <w:top w:val="single" w:sz="8" w:space="0" w:color="auto"/>
              <w:left w:val="single" w:sz="8" w:space="0" w:color="auto"/>
              <w:bottom w:val="single" w:sz="8" w:space="0" w:color="auto"/>
              <w:right w:val="single" w:sz="8" w:space="0" w:color="auto"/>
            </w:tcBorders>
          </w:tcPr>
          <w:p w14:paraId="5CED7FE7" w14:textId="22C3B57F"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0070</w:t>
            </w:r>
          </w:p>
        </w:tc>
        <w:tc>
          <w:tcPr>
            <w:tcW w:w="7967" w:type="dxa"/>
            <w:tcBorders>
              <w:top w:val="single" w:sz="8" w:space="0" w:color="auto"/>
              <w:left w:val="single" w:sz="8" w:space="0" w:color="auto"/>
              <w:bottom w:val="single" w:sz="8" w:space="0" w:color="auto"/>
              <w:right w:val="single" w:sz="8" w:space="0" w:color="auto"/>
            </w:tcBorders>
            <w:vAlign w:val="bottom"/>
          </w:tcPr>
          <w:p w14:paraId="7660FA6F" w14:textId="1604F058"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7: Large market capitalisation, advanced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Basic materials, energy, agriculture, manufacturing, mining and quarrying</w:t>
            </w:r>
          </w:p>
        </w:tc>
      </w:tr>
      <w:tr w:rsidR="0D1CB00F" w:rsidRPr="00FE3C59" w14:paraId="0BF79E2A" w14:textId="77777777" w:rsidTr="0D1CB00F">
        <w:tc>
          <w:tcPr>
            <w:tcW w:w="1048" w:type="dxa"/>
            <w:tcBorders>
              <w:top w:val="single" w:sz="8" w:space="0" w:color="auto"/>
              <w:left w:val="single" w:sz="8" w:space="0" w:color="auto"/>
              <w:bottom w:val="single" w:sz="8" w:space="0" w:color="auto"/>
              <w:right w:val="single" w:sz="8" w:space="0" w:color="auto"/>
            </w:tcBorders>
          </w:tcPr>
          <w:p w14:paraId="6A4FDE9C" w14:textId="040E24A5"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0080</w:t>
            </w:r>
          </w:p>
        </w:tc>
        <w:tc>
          <w:tcPr>
            <w:tcW w:w="7967" w:type="dxa"/>
            <w:tcBorders>
              <w:top w:val="single" w:sz="8" w:space="0" w:color="auto"/>
              <w:left w:val="single" w:sz="8" w:space="0" w:color="auto"/>
              <w:bottom w:val="single" w:sz="8" w:space="0" w:color="auto"/>
              <w:right w:val="single" w:sz="8" w:space="0" w:color="auto"/>
            </w:tcBorders>
            <w:vAlign w:val="bottom"/>
          </w:tcPr>
          <w:p w14:paraId="02DCA781" w14:textId="1B97A0AF"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8: Large market capitalisation, advanced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Financials including government-backed financials, real estate activities, technology</w:t>
            </w:r>
          </w:p>
        </w:tc>
      </w:tr>
      <w:tr w:rsidR="0D1CB00F" w:rsidRPr="00FE3C59" w14:paraId="6386CDDF" w14:textId="77777777" w:rsidTr="0D1CB00F">
        <w:tc>
          <w:tcPr>
            <w:tcW w:w="1048" w:type="dxa"/>
            <w:tcBorders>
              <w:top w:val="single" w:sz="8" w:space="0" w:color="auto"/>
              <w:left w:val="single" w:sz="8" w:space="0" w:color="auto"/>
              <w:bottom w:val="single" w:sz="8" w:space="0" w:color="auto"/>
              <w:right w:val="single" w:sz="8" w:space="0" w:color="auto"/>
            </w:tcBorders>
          </w:tcPr>
          <w:p w14:paraId="2EA5C581" w14:textId="6D8B9C55"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0090</w:t>
            </w:r>
          </w:p>
        </w:tc>
        <w:tc>
          <w:tcPr>
            <w:tcW w:w="7967" w:type="dxa"/>
            <w:tcBorders>
              <w:top w:val="single" w:sz="8" w:space="0" w:color="auto"/>
              <w:left w:val="single" w:sz="8" w:space="0" w:color="auto"/>
              <w:bottom w:val="single" w:sz="8" w:space="0" w:color="auto"/>
              <w:right w:val="single" w:sz="8" w:space="0" w:color="auto"/>
            </w:tcBorders>
            <w:vAlign w:val="bottom"/>
          </w:tcPr>
          <w:p w14:paraId="623AFEC9" w14:textId="2FC0F348"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9: Small market capitalisation, emerging market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All sectors described under bucket numbers 1, 2, 3 and 4</w:t>
            </w:r>
          </w:p>
        </w:tc>
      </w:tr>
      <w:tr w:rsidR="0D1CB00F" w:rsidRPr="00FE3C59" w14:paraId="0FC66ED0" w14:textId="77777777" w:rsidTr="0D1CB00F">
        <w:tc>
          <w:tcPr>
            <w:tcW w:w="1048" w:type="dxa"/>
            <w:tcBorders>
              <w:top w:val="single" w:sz="8" w:space="0" w:color="auto"/>
              <w:left w:val="single" w:sz="8" w:space="0" w:color="auto"/>
              <w:bottom w:val="single" w:sz="8" w:space="0" w:color="auto"/>
              <w:right w:val="single" w:sz="8" w:space="0" w:color="auto"/>
            </w:tcBorders>
          </w:tcPr>
          <w:p w14:paraId="4D8E479B" w14:textId="5DA92CA2"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0100</w:t>
            </w:r>
          </w:p>
        </w:tc>
        <w:tc>
          <w:tcPr>
            <w:tcW w:w="7967" w:type="dxa"/>
            <w:tcBorders>
              <w:top w:val="single" w:sz="8" w:space="0" w:color="auto"/>
              <w:left w:val="single" w:sz="8" w:space="0" w:color="auto"/>
              <w:bottom w:val="single" w:sz="8" w:space="0" w:color="auto"/>
              <w:right w:val="single" w:sz="8" w:space="0" w:color="auto"/>
            </w:tcBorders>
            <w:vAlign w:val="bottom"/>
          </w:tcPr>
          <w:p w14:paraId="7DEE0FB4" w14:textId="512AB166"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10: Small market capitalisation, advanced economy </w:t>
            </w:r>
            <w:r w:rsidR="0073315C" w:rsidRPr="00FE3C59">
              <w:rPr>
                <w:rFonts w:ascii="Times New Roman" w:eastAsia="Times New Roman" w:hAnsi="Times New Roman" w:cs="Times New Roman"/>
                <w:b/>
                <w:u w:val="single"/>
                <w:lang w:val="en-GB"/>
              </w:rPr>
              <w:t>–</w:t>
            </w:r>
            <w:r w:rsidRPr="00FE3C59">
              <w:rPr>
                <w:rFonts w:ascii="Times New Roman" w:eastAsia="Times New Roman" w:hAnsi="Times New Roman" w:cs="Times New Roman"/>
                <w:b/>
                <w:u w:val="single"/>
                <w:lang w:val="en-GB"/>
              </w:rPr>
              <w:t xml:space="preserve"> All sectors described under bucket numbers 5, 6, 7 and 8</w:t>
            </w:r>
          </w:p>
        </w:tc>
      </w:tr>
      <w:tr w:rsidR="0D1CB00F" w:rsidRPr="00FE3C59" w14:paraId="117080FB" w14:textId="77777777" w:rsidTr="0D1CB00F">
        <w:tc>
          <w:tcPr>
            <w:tcW w:w="1048" w:type="dxa"/>
            <w:tcBorders>
              <w:top w:val="single" w:sz="8" w:space="0" w:color="auto"/>
              <w:left w:val="single" w:sz="8" w:space="0" w:color="auto"/>
              <w:bottom w:val="single" w:sz="8" w:space="0" w:color="auto"/>
              <w:right w:val="single" w:sz="8" w:space="0" w:color="auto"/>
            </w:tcBorders>
          </w:tcPr>
          <w:p w14:paraId="380D6BAE" w14:textId="74BA380D"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0110</w:t>
            </w:r>
          </w:p>
        </w:tc>
        <w:tc>
          <w:tcPr>
            <w:tcW w:w="7967" w:type="dxa"/>
            <w:tcBorders>
              <w:top w:val="single" w:sz="8" w:space="0" w:color="auto"/>
              <w:left w:val="single" w:sz="8" w:space="0" w:color="auto"/>
              <w:bottom w:val="single" w:sz="8" w:space="0" w:color="auto"/>
              <w:right w:val="single" w:sz="8" w:space="0" w:color="auto"/>
            </w:tcBorders>
            <w:vAlign w:val="bottom"/>
          </w:tcPr>
          <w:p w14:paraId="6AC96FFB" w14:textId="726BC81C"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Bucket 11: Other sector</w:t>
            </w:r>
          </w:p>
        </w:tc>
      </w:tr>
      <w:tr w:rsidR="0D1CB00F" w:rsidRPr="00FE3C59" w14:paraId="0805F72E" w14:textId="77777777" w:rsidTr="0D1CB00F">
        <w:tc>
          <w:tcPr>
            <w:tcW w:w="1048" w:type="dxa"/>
            <w:tcBorders>
              <w:top w:val="single" w:sz="8" w:space="0" w:color="auto"/>
              <w:left w:val="single" w:sz="8" w:space="0" w:color="auto"/>
              <w:bottom w:val="single" w:sz="8" w:space="0" w:color="auto"/>
              <w:right w:val="single" w:sz="8" w:space="0" w:color="auto"/>
            </w:tcBorders>
          </w:tcPr>
          <w:p w14:paraId="5F67B95F" w14:textId="012C150C"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0120</w:t>
            </w:r>
          </w:p>
        </w:tc>
        <w:tc>
          <w:tcPr>
            <w:tcW w:w="7967" w:type="dxa"/>
            <w:tcBorders>
              <w:top w:val="single" w:sz="8" w:space="0" w:color="auto"/>
              <w:left w:val="single" w:sz="8" w:space="0" w:color="auto"/>
              <w:bottom w:val="single" w:sz="8" w:space="0" w:color="auto"/>
              <w:right w:val="single" w:sz="8" w:space="0" w:color="auto"/>
            </w:tcBorders>
            <w:vAlign w:val="bottom"/>
          </w:tcPr>
          <w:p w14:paraId="08361C4D" w14:textId="1A80A169"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 xml:space="preserve">Bucket 12: Large market capitalisation, advanced economy indices </w:t>
            </w:r>
          </w:p>
        </w:tc>
      </w:tr>
      <w:tr w:rsidR="0D1CB00F" w:rsidRPr="00FE3C59" w14:paraId="6C0ADDEB" w14:textId="77777777" w:rsidTr="0D1CB00F">
        <w:tc>
          <w:tcPr>
            <w:tcW w:w="1048" w:type="dxa"/>
            <w:tcBorders>
              <w:top w:val="single" w:sz="8" w:space="0" w:color="auto"/>
              <w:left w:val="single" w:sz="8" w:space="0" w:color="auto"/>
              <w:bottom w:val="single" w:sz="8" w:space="0" w:color="auto"/>
              <w:right w:val="single" w:sz="8" w:space="0" w:color="auto"/>
            </w:tcBorders>
          </w:tcPr>
          <w:p w14:paraId="5AD8D5F4" w14:textId="3DEB0224"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hAnsi="Times New Roman" w:cs="Times New Roman"/>
                <w:color w:val="000000" w:themeColor="text1"/>
                <w:lang w:val="en-GB"/>
              </w:rPr>
              <w:t>0130</w:t>
            </w:r>
          </w:p>
        </w:tc>
        <w:tc>
          <w:tcPr>
            <w:tcW w:w="7967" w:type="dxa"/>
            <w:tcBorders>
              <w:top w:val="single" w:sz="8" w:space="0" w:color="auto"/>
              <w:left w:val="single" w:sz="8" w:space="0" w:color="auto"/>
              <w:bottom w:val="single" w:sz="8" w:space="0" w:color="auto"/>
              <w:right w:val="single" w:sz="8" w:space="0" w:color="auto"/>
            </w:tcBorders>
            <w:vAlign w:val="bottom"/>
          </w:tcPr>
          <w:p w14:paraId="77672876" w14:textId="128B8BFD" w:rsidR="0D1CB00F" w:rsidRPr="00FE3C59" w:rsidRDefault="0D1CB00F" w:rsidP="0073315C">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b/>
                <w:u w:val="single"/>
                <w:lang w:val="en-GB"/>
              </w:rPr>
              <w:t>Bucket 13: Other indices</w:t>
            </w:r>
          </w:p>
        </w:tc>
      </w:tr>
    </w:tbl>
    <w:p w14:paraId="11278C09" w14:textId="7826F793" w:rsidR="00C65F1F" w:rsidRPr="00FE3C59" w:rsidRDefault="00C65F1F" w:rsidP="0D1CB00F">
      <w:pPr>
        <w:tabs>
          <w:tab w:val="left" w:pos="708"/>
        </w:tabs>
        <w:ind w:left="357" w:hanging="357"/>
        <w:jc w:val="both"/>
        <w:rPr>
          <w:rFonts w:ascii="Times New Roman" w:eastAsia="Times New Roman" w:hAnsi="Times New Roman" w:cs="Times New Roman"/>
          <w:sz w:val="24"/>
          <w:szCs w:val="24"/>
        </w:rPr>
      </w:pPr>
    </w:p>
    <w:p w14:paraId="6F63B283" w14:textId="56D45079" w:rsidR="00D43916" w:rsidRPr="00FE3C59" w:rsidRDefault="00D34F1B" w:rsidP="00CA1AF4">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w:t>
      </w:r>
      <w:r w:rsidR="00B8262A" w:rsidRPr="00FE3C59">
        <w:rPr>
          <w:rFonts w:ascii="Times New Roman" w:hAnsi="Times New Roman" w:cs="Times New Roman"/>
          <w:sz w:val="24"/>
          <w:szCs w:val="24"/>
          <w:u w:val="none"/>
          <w:lang w:val="en-GB"/>
        </w:rPr>
        <w:t>7</w:t>
      </w:r>
      <w:r w:rsidR="00B8262A" w:rsidRPr="00FE3C59">
        <w:rPr>
          <w:rFonts w:ascii="Times New Roman" w:hAnsi="Times New Roman" w:cs="Times New Roman"/>
          <w:lang w:val="en-GB"/>
        </w:rPr>
        <w:tab/>
      </w:r>
      <w:r w:rsidR="00D43916" w:rsidRPr="00FE3C59">
        <w:rPr>
          <w:rFonts w:ascii="Times New Roman" w:hAnsi="Times New Roman" w:cs="Times New Roman"/>
          <w:sz w:val="24"/>
          <w:szCs w:val="24"/>
          <w:u w:val="none"/>
          <w:lang w:val="en-GB"/>
        </w:rPr>
        <w:t xml:space="preserve">C 92.06: commodity risk (MKR </w:t>
      </w:r>
      <w:r w:rsidR="008F4C9D" w:rsidRPr="00FE3C59">
        <w:rPr>
          <w:rFonts w:ascii="Times New Roman" w:hAnsi="Times New Roman" w:cs="Times New Roman"/>
          <w:sz w:val="24"/>
          <w:szCs w:val="24"/>
          <w:u w:val="none"/>
          <w:lang w:val="en-GB"/>
        </w:rPr>
        <w:t xml:space="preserve">SBM </w:t>
      </w:r>
      <w:r w:rsidR="00D43916" w:rsidRPr="00FE3C59">
        <w:rPr>
          <w:rFonts w:ascii="Times New Roman" w:hAnsi="Times New Roman" w:cs="Times New Roman"/>
          <w:sz w:val="24"/>
          <w:szCs w:val="24"/>
          <w:u w:val="none"/>
          <w:lang w:val="en-GB"/>
        </w:rPr>
        <w:t>COM</w:t>
      </w:r>
      <w:r w:rsidR="008F4C9D" w:rsidRPr="00FE3C59">
        <w:rPr>
          <w:rFonts w:ascii="Times New Roman" w:hAnsi="Times New Roman" w:cs="Times New Roman"/>
          <w:sz w:val="24"/>
          <w:szCs w:val="24"/>
          <w:u w:val="none"/>
          <w:lang w:val="en-GB"/>
        </w:rPr>
        <w:t>)</w:t>
      </w:r>
    </w:p>
    <w:p w14:paraId="64888EB4" w14:textId="58198C91" w:rsidR="00C65F1F" w:rsidRPr="00FE3C59" w:rsidRDefault="004F7DA1"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.7.</w:t>
      </w:r>
      <w:r w:rsidR="00C65F1F" w:rsidRPr="00FE3C59">
        <w:rPr>
          <w:rFonts w:ascii="Times New Roman" w:hAnsi="Times New Roman" w:cs="Times New Roman"/>
          <w:sz w:val="24"/>
          <w:szCs w:val="24"/>
          <w:u w:val="none"/>
          <w:lang w:val="en-GB"/>
        </w:rPr>
        <w:t>1</w:t>
      </w:r>
      <w:r w:rsidR="00C65F1F"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General remarks</w:t>
      </w:r>
    </w:p>
    <w:p w14:paraId="557D9B29" w14:textId="0209434A" w:rsidR="0D1CB00F" w:rsidRPr="00FE3C59" w:rsidRDefault="58EB7912" w:rsidP="006E2ED1">
      <w:pPr>
        <w:pStyle w:val="InstructionsText2"/>
        <w:numPr>
          <w:ilvl w:val="0"/>
          <w:numId w:val="57"/>
        </w:numPr>
        <w:rPr>
          <w:rFonts w:eastAsiaTheme="minorEastAsia"/>
        </w:rPr>
      </w:pPr>
      <w:r w:rsidRPr="00FE3C59">
        <w:t>This template provides detailed information on the calculation of own funds requirements for Commodity risk (COM)</w:t>
      </w:r>
      <w:r w:rsidR="005B669F" w:rsidRPr="00FE3C59">
        <w:t xml:space="preserve"> on the basis of the sensitivities-based method</w:t>
      </w:r>
      <w:r w:rsidRPr="00FE3C59">
        <w:t>.</w:t>
      </w:r>
    </w:p>
    <w:p w14:paraId="16EF2B73" w14:textId="18662359" w:rsidR="00C65F1F" w:rsidRPr="00FE3C59" w:rsidRDefault="004F7DA1"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.7.</w:t>
      </w:r>
      <w:r w:rsidR="00C65F1F" w:rsidRPr="00FE3C59">
        <w:rPr>
          <w:rFonts w:ascii="Times New Roman" w:hAnsi="Times New Roman" w:cs="Times New Roman"/>
          <w:sz w:val="24"/>
          <w:szCs w:val="24"/>
          <w:u w:val="none"/>
          <w:lang w:val="en-GB"/>
        </w:rPr>
        <w:t>2</w:t>
      </w:r>
      <w:r w:rsidR="00C65F1F"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Instructions concerning specific positions</w:t>
      </w:r>
    </w:p>
    <w:tbl>
      <w:tblPr>
        <w:tblStyle w:val="TableGrid"/>
        <w:tblW w:w="0" w:type="auto"/>
        <w:tblLook w:val="04A0" w:firstRow="1" w:lastRow="0" w:firstColumn="1" w:lastColumn="0" w:noHBand="0" w:noVBand="1"/>
      </w:tblPr>
      <w:tblGrid>
        <w:gridCol w:w="1043"/>
        <w:gridCol w:w="7973"/>
      </w:tblGrid>
      <w:tr w:rsidR="00C65F1F" w:rsidRPr="00FE3C59" w14:paraId="2DC96BC2" w14:textId="77777777" w:rsidTr="1BD18A93">
        <w:tc>
          <w:tcPr>
            <w:tcW w:w="1043" w:type="dxa"/>
            <w:shd w:val="clear" w:color="auto" w:fill="BFBFBF" w:themeFill="background1" w:themeFillShade="BF"/>
          </w:tcPr>
          <w:p w14:paraId="706295E5"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111D5819"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6452DD" w:rsidRPr="00FE3C59" w14:paraId="614A4AB2" w14:textId="77777777" w:rsidTr="1BD18A93">
        <w:tc>
          <w:tcPr>
            <w:tcW w:w="1043" w:type="dxa"/>
          </w:tcPr>
          <w:p w14:paraId="3F145C26" w14:textId="7DD33E15"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0010-0160</w:t>
            </w:r>
          </w:p>
        </w:tc>
        <w:tc>
          <w:tcPr>
            <w:tcW w:w="7973" w:type="dxa"/>
            <w:vAlign w:val="bottom"/>
          </w:tcPr>
          <w:p w14:paraId="12AB5A9D" w14:textId="77777777"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Unweighted sensitivities</w:t>
            </w:r>
          </w:p>
          <w:p w14:paraId="521277BC" w14:textId="77777777" w:rsidR="006637AB" w:rsidRPr="00FE3C59" w:rsidRDefault="0D1CB00F" w:rsidP="006C3AAF">
            <w:pPr>
              <w:pStyle w:val="BodyText"/>
              <w:spacing w:before="120" w:after="120"/>
              <w:rPr>
                <w:rFonts w:ascii="Times New Roman" w:eastAsia="Times New Roman" w:hAnsi="Times New Roman" w:cs="Times New Roman"/>
                <w:lang w:val="en-GB"/>
              </w:rPr>
            </w:pPr>
            <w:r w:rsidRPr="00FE3C59">
              <w:rPr>
                <w:rFonts w:ascii="Times New Roman" w:hAnsi="Times New Roman" w:cs="Times New Roman"/>
                <w:lang w:val="en-GB"/>
              </w:rPr>
              <w:t>Articles325r</w:t>
            </w:r>
            <w:r w:rsidRPr="00FE3C59">
              <w:rPr>
                <w:rFonts w:ascii="Times New Roman" w:eastAsia="Times New Roman" w:hAnsi="Times New Roman" w:cs="Times New Roman"/>
                <w:lang w:val="en-GB"/>
              </w:rPr>
              <w:t>(4) and 325s</w:t>
            </w:r>
            <w:r w:rsidR="00FD7136" w:rsidRPr="00FE3C59">
              <w:rPr>
                <w:rFonts w:ascii="Times New Roman" w:eastAsia="Times New Roman" w:hAnsi="Times New Roman" w:cs="Times New Roman"/>
                <w:lang w:val="en-GB"/>
              </w:rPr>
              <w:t xml:space="preserve"> of Regulation (EU) No </w:t>
            </w:r>
            <w:r w:rsidR="006637AB" w:rsidRPr="00FE3C59">
              <w:rPr>
                <w:rFonts w:ascii="Times New Roman" w:eastAsia="Times New Roman" w:hAnsi="Times New Roman" w:cs="Times New Roman"/>
                <w:lang w:val="en-GB"/>
              </w:rPr>
              <w:t>575/2013</w:t>
            </w:r>
          </w:p>
          <w:p w14:paraId="333F51DB" w14:textId="34E876D9" w:rsidR="007453B4" w:rsidRPr="00FE3C59" w:rsidRDefault="00A27EC6" w:rsidP="006C3AAF">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 xml:space="preserve">The net sensitivities per risk factor, calculated in accordance with Articles </w:t>
            </w:r>
            <w:r w:rsidR="00787BB1" w:rsidRPr="00FE3C59">
              <w:rPr>
                <w:rFonts w:ascii="Times New Roman" w:hAnsi="Times New Roman" w:cs="Times New Roman"/>
                <w:lang w:val="en-GB"/>
              </w:rPr>
              <w:t xml:space="preserve">325p, </w:t>
            </w:r>
            <w:r w:rsidRPr="00FE3C59">
              <w:rPr>
                <w:rFonts w:ascii="Times New Roman" w:hAnsi="Times New Roman" w:cs="Times New Roman"/>
                <w:lang w:val="en-GB"/>
              </w:rPr>
              <w:t>325r and 325s of Regulation (EU) No 575/2013, before the application of the corresponding risk weights set out in Part Three, Title IV, Chapter 1a, Section 6 of that Regulation</w:t>
            </w:r>
            <w:r w:rsidR="00E5007C" w:rsidRPr="00FE3C59">
              <w:rPr>
                <w:rFonts w:ascii="Times New Roman" w:hAnsi="Times New Roman" w:cs="Times New Roman"/>
                <w:lang w:val="en-GB"/>
              </w:rPr>
              <w:t>,</w:t>
            </w:r>
            <w:r w:rsidRPr="00FE3C59">
              <w:rPr>
                <w:rFonts w:ascii="Times New Roman" w:hAnsi="Times New Roman" w:cs="Times New Roman"/>
                <w:lang w:val="en-GB"/>
              </w:rPr>
              <w:t xml:space="preserve"> shall be aggregated by bucket separately for delta</w:t>
            </w:r>
            <w:r w:rsidR="1DC741A5" w:rsidRPr="00FE3C59">
              <w:rPr>
                <w:rFonts w:ascii="Times New Roman" w:hAnsi="Times New Roman" w:cs="Times New Roman"/>
                <w:lang w:val="en-GB"/>
              </w:rPr>
              <w:t xml:space="preserve"> and</w:t>
            </w:r>
            <w:r w:rsidRPr="00FE3C59">
              <w:rPr>
                <w:rFonts w:ascii="Times New Roman" w:hAnsi="Times New Roman" w:cs="Times New Roman"/>
                <w:lang w:val="en-GB"/>
              </w:rPr>
              <w:t xml:space="preserve"> vega risk and reported in </w:t>
            </w:r>
            <w:r w:rsidR="00A24AD4" w:rsidRPr="00FE3C59">
              <w:rPr>
                <w:rFonts w:ascii="Times New Roman" w:hAnsi="Times New Roman" w:cs="Times New Roman"/>
                <w:lang w:val="en-GB"/>
              </w:rPr>
              <w:t xml:space="preserve">the </w:t>
            </w:r>
            <w:r w:rsidRPr="00FE3C59">
              <w:rPr>
                <w:rFonts w:ascii="Times New Roman" w:hAnsi="Times New Roman" w:cs="Times New Roman"/>
                <w:lang w:val="en-GB"/>
              </w:rPr>
              <w:t>applicable columns</w:t>
            </w:r>
            <w:r w:rsidR="00A24AD4" w:rsidRPr="00FE3C59">
              <w:rPr>
                <w:rFonts w:ascii="Times New Roman" w:hAnsi="Times New Roman" w:cs="Times New Roman"/>
                <w:lang w:val="en-GB"/>
              </w:rPr>
              <w:t>.</w:t>
            </w:r>
          </w:p>
        </w:tc>
      </w:tr>
      <w:tr w:rsidR="006452DD" w:rsidRPr="00FE3C59" w14:paraId="06A2BD86" w14:textId="77777777" w:rsidTr="1BD18A93">
        <w:tc>
          <w:tcPr>
            <w:tcW w:w="1043" w:type="dxa"/>
          </w:tcPr>
          <w:p w14:paraId="118EDC67" w14:textId="2C01B63F"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0010-0110</w:t>
            </w:r>
          </w:p>
        </w:tc>
        <w:tc>
          <w:tcPr>
            <w:tcW w:w="7973" w:type="dxa"/>
            <w:vAlign w:val="bottom"/>
          </w:tcPr>
          <w:p w14:paraId="14750838" w14:textId="77777777"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 factors: Maturities</w:t>
            </w:r>
          </w:p>
          <w:p w14:paraId="1F34043F" w14:textId="498732CB" w:rsidR="007453B4" w:rsidRPr="00FE3C59" w:rsidRDefault="0D1CB00F" w:rsidP="1BD18A93">
            <w:pPr>
              <w:spacing w:before="120" w:after="120" w:line="288" w:lineRule="auto"/>
              <w:rPr>
                <w:rFonts w:ascii="Times New Roman" w:eastAsia="Times New Roman" w:hAnsi="Times New Roman" w:cs="Times New Roman"/>
                <w:sz w:val="24"/>
                <w:szCs w:val="24"/>
              </w:rPr>
            </w:pPr>
            <w:r w:rsidRPr="00FE3C59">
              <w:rPr>
                <w:rFonts w:ascii="Times New Roman" w:eastAsia="Times New Roman" w:hAnsi="Times New Roman" w:cs="Times New Roman"/>
                <w:sz w:val="24"/>
                <w:szCs w:val="24"/>
              </w:rPr>
              <w:t>Articles 325e(</w:t>
            </w:r>
            <w:r w:rsidR="00957F5F" w:rsidRPr="00FE3C59">
              <w:rPr>
                <w:rFonts w:ascii="Times New Roman" w:eastAsia="Times New Roman" w:hAnsi="Times New Roman" w:cs="Times New Roman"/>
                <w:sz w:val="24"/>
                <w:szCs w:val="24"/>
              </w:rPr>
              <w:t>1), point (a),</w:t>
            </w:r>
            <w:r w:rsidRPr="00FE3C59">
              <w:rPr>
                <w:rFonts w:ascii="Times New Roman" w:eastAsia="Times New Roman" w:hAnsi="Times New Roman" w:cs="Times New Roman"/>
                <w:sz w:val="24"/>
                <w:szCs w:val="24"/>
              </w:rPr>
              <w:t xml:space="preserve"> 325</w:t>
            </w:r>
            <w:r w:rsidR="00957F5F" w:rsidRPr="00FE3C59">
              <w:rPr>
                <w:rFonts w:ascii="Times New Roman" w:eastAsia="Times New Roman" w:hAnsi="Times New Roman" w:cs="Times New Roman"/>
                <w:sz w:val="24"/>
                <w:szCs w:val="24"/>
              </w:rPr>
              <w:t>f(1) to (</w:t>
            </w:r>
            <w:r w:rsidRPr="00FE3C59">
              <w:rPr>
                <w:rFonts w:ascii="Times New Roman" w:eastAsia="Times New Roman" w:hAnsi="Times New Roman" w:cs="Times New Roman"/>
                <w:sz w:val="24"/>
                <w:szCs w:val="24"/>
              </w:rPr>
              <w:t>5), 325p(2)</w:t>
            </w:r>
            <w:r w:rsidR="1BD18A93" w:rsidRPr="00FE3C59">
              <w:rPr>
                <w:rFonts w:ascii="Times New Roman" w:eastAsia="Times New Roman" w:hAnsi="Times New Roman" w:cs="Times New Roman"/>
                <w:sz w:val="24"/>
                <w:szCs w:val="24"/>
              </w:rPr>
              <w:t xml:space="preserve"> </w:t>
            </w:r>
            <w:r w:rsidRPr="00FE3C59">
              <w:rPr>
                <w:rFonts w:ascii="Times New Roman" w:eastAsia="Times New Roman" w:hAnsi="Times New Roman" w:cs="Times New Roman"/>
                <w:sz w:val="24"/>
                <w:szCs w:val="24"/>
              </w:rPr>
              <w:t xml:space="preserve">and 325r(3) </w:t>
            </w:r>
            <w:r w:rsidR="00FD7136" w:rsidRPr="00FE3C59">
              <w:rPr>
                <w:rFonts w:ascii="Times New Roman" w:eastAsia="Times New Roman" w:hAnsi="Times New Roman" w:cs="Times New Roman"/>
                <w:sz w:val="24"/>
                <w:szCs w:val="24"/>
              </w:rPr>
              <w:t xml:space="preserve"> of Regulation (EU) No 575/2013</w:t>
            </w:r>
            <w:r w:rsidRPr="00FE3C59">
              <w:rPr>
                <w:rFonts w:ascii="Times New Roman" w:eastAsia="Times New Roman" w:hAnsi="Times New Roman" w:cs="Times New Roman"/>
                <w:sz w:val="24"/>
                <w:szCs w:val="24"/>
              </w:rPr>
              <w:t xml:space="preserve">. </w:t>
            </w:r>
          </w:p>
        </w:tc>
      </w:tr>
      <w:tr w:rsidR="006452DD" w:rsidRPr="00FE3C59" w14:paraId="357979C9" w14:textId="77777777" w:rsidTr="1BD18A93">
        <w:tc>
          <w:tcPr>
            <w:tcW w:w="1043" w:type="dxa"/>
          </w:tcPr>
          <w:p w14:paraId="1DDBBE60" w14:textId="55C87571"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0010</w:t>
            </w:r>
          </w:p>
        </w:tc>
        <w:tc>
          <w:tcPr>
            <w:tcW w:w="7973" w:type="dxa"/>
            <w:vAlign w:val="bottom"/>
          </w:tcPr>
          <w:p w14:paraId="2644F376" w14:textId="21E80D76" w:rsidR="007453B4" w:rsidRPr="00FE3C59" w:rsidRDefault="6433A9B4" w:rsidP="65EC9DBC">
            <w:pPr>
              <w:pStyle w:val="BodyText"/>
              <w:spacing w:before="120" w:after="120" w:line="259" w:lineRule="auto"/>
              <w:rPr>
                <w:rFonts w:ascii="Times New Roman" w:hAnsi="Times New Roman" w:cs="Times New Roman"/>
                <w:b/>
                <w:u w:val="single"/>
                <w:lang w:val="en-GB"/>
              </w:rPr>
            </w:pPr>
            <w:r w:rsidRPr="00FE3C59">
              <w:rPr>
                <w:rFonts w:ascii="Times New Roman" w:hAnsi="Times New Roman" w:cs="Times New Roman"/>
                <w:b/>
                <w:bCs/>
                <w:u w:val="single"/>
                <w:lang w:val="en-GB"/>
              </w:rPr>
              <w:t>0 years</w:t>
            </w:r>
          </w:p>
        </w:tc>
      </w:tr>
      <w:tr w:rsidR="006452DD" w:rsidRPr="00FE3C59" w14:paraId="008105CD" w14:textId="77777777" w:rsidTr="1BD18A93">
        <w:tc>
          <w:tcPr>
            <w:tcW w:w="1043" w:type="dxa"/>
          </w:tcPr>
          <w:p w14:paraId="3E3CB4F5" w14:textId="23125493"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0020</w:t>
            </w:r>
          </w:p>
        </w:tc>
        <w:tc>
          <w:tcPr>
            <w:tcW w:w="7973" w:type="dxa"/>
            <w:vAlign w:val="bottom"/>
          </w:tcPr>
          <w:p w14:paraId="39F6F299" w14:textId="63A2451F"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0.25 years</w:t>
            </w:r>
          </w:p>
        </w:tc>
      </w:tr>
      <w:tr w:rsidR="006452DD" w:rsidRPr="00FE3C59" w14:paraId="39D8F3C7" w14:textId="77777777" w:rsidTr="1BD18A93">
        <w:tc>
          <w:tcPr>
            <w:tcW w:w="1043" w:type="dxa"/>
          </w:tcPr>
          <w:p w14:paraId="51C59805" w14:textId="1BF5A0EF"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0030</w:t>
            </w:r>
          </w:p>
        </w:tc>
        <w:tc>
          <w:tcPr>
            <w:tcW w:w="7973" w:type="dxa"/>
            <w:vAlign w:val="bottom"/>
          </w:tcPr>
          <w:p w14:paraId="2465D9C0" w14:textId="0DD16319"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0.5 years</w:t>
            </w:r>
          </w:p>
        </w:tc>
      </w:tr>
      <w:tr w:rsidR="006452DD" w:rsidRPr="00FE3C59" w14:paraId="61D3561B" w14:textId="77777777" w:rsidTr="1BD18A93">
        <w:tc>
          <w:tcPr>
            <w:tcW w:w="1043" w:type="dxa"/>
          </w:tcPr>
          <w:p w14:paraId="725F5DBC" w14:textId="5E0FC131"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0040</w:t>
            </w:r>
          </w:p>
        </w:tc>
        <w:tc>
          <w:tcPr>
            <w:tcW w:w="7973" w:type="dxa"/>
            <w:vAlign w:val="bottom"/>
          </w:tcPr>
          <w:p w14:paraId="4F9BDDF9" w14:textId="6052B726"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 year</w:t>
            </w:r>
          </w:p>
        </w:tc>
      </w:tr>
      <w:tr w:rsidR="006452DD" w:rsidRPr="00FE3C59" w14:paraId="2EEA8700" w14:textId="77777777" w:rsidTr="1BD18A93">
        <w:tc>
          <w:tcPr>
            <w:tcW w:w="1043" w:type="dxa"/>
          </w:tcPr>
          <w:p w14:paraId="299F69DB" w14:textId="536B42BB"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0050</w:t>
            </w:r>
          </w:p>
        </w:tc>
        <w:tc>
          <w:tcPr>
            <w:tcW w:w="7973" w:type="dxa"/>
            <w:vAlign w:val="bottom"/>
          </w:tcPr>
          <w:p w14:paraId="63ACCC93" w14:textId="7493AD97"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2 years</w:t>
            </w:r>
          </w:p>
        </w:tc>
      </w:tr>
      <w:tr w:rsidR="006452DD" w:rsidRPr="00FE3C59" w14:paraId="7B2B81E5" w14:textId="77777777" w:rsidTr="1BD18A93">
        <w:tc>
          <w:tcPr>
            <w:tcW w:w="1043" w:type="dxa"/>
          </w:tcPr>
          <w:p w14:paraId="77311152" w14:textId="32FF409D"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0060</w:t>
            </w:r>
          </w:p>
        </w:tc>
        <w:tc>
          <w:tcPr>
            <w:tcW w:w="7973" w:type="dxa"/>
            <w:vAlign w:val="bottom"/>
          </w:tcPr>
          <w:p w14:paraId="3072628A" w14:textId="1DB66210"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3 years</w:t>
            </w:r>
          </w:p>
        </w:tc>
      </w:tr>
      <w:tr w:rsidR="006452DD" w:rsidRPr="00FE3C59" w14:paraId="60311194" w14:textId="77777777" w:rsidTr="1BD18A93">
        <w:tc>
          <w:tcPr>
            <w:tcW w:w="1043" w:type="dxa"/>
          </w:tcPr>
          <w:p w14:paraId="2F3B0367" w14:textId="1BF6D0F7"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0070</w:t>
            </w:r>
          </w:p>
        </w:tc>
        <w:tc>
          <w:tcPr>
            <w:tcW w:w="7973" w:type="dxa"/>
            <w:vAlign w:val="bottom"/>
          </w:tcPr>
          <w:p w14:paraId="05FE53E6" w14:textId="1D354450"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5 years</w:t>
            </w:r>
          </w:p>
        </w:tc>
      </w:tr>
      <w:tr w:rsidR="006452DD" w:rsidRPr="00FE3C59" w14:paraId="2A7D1DD8" w14:textId="77777777" w:rsidTr="1BD18A93">
        <w:tc>
          <w:tcPr>
            <w:tcW w:w="1043" w:type="dxa"/>
          </w:tcPr>
          <w:p w14:paraId="08E54AFE" w14:textId="64A98C8F"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0080</w:t>
            </w:r>
          </w:p>
        </w:tc>
        <w:tc>
          <w:tcPr>
            <w:tcW w:w="7973" w:type="dxa"/>
            <w:vAlign w:val="bottom"/>
          </w:tcPr>
          <w:p w14:paraId="5F7A9ABC" w14:textId="2D1751EA"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10 years</w:t>
            </w:r>
          </w:p>
        </w:tc>
      </w:tr>
      <w:tr w:rsidR="006452DD" w:rsidRPr="00FE3C59" w14:paraId="6E726B2E" w14:textId="77777777" w:rsidTr="1BD18A93">
        <w:tc>
          <w:tcPr>
            <w:tcW w:w="1043" w:type="dxa"/>
          </w:tcPr>
          <w:p w14:paraId="7D8EFB6E" w14:textId="79C7CA8B"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0090</w:t>
            </w:r>
          </w:p>
        </w:tc>
        <w:tc>
          <w:tcPr>
            <w:tcW w:w="7973" w:type="dxa"/>
            <w:vAlign w:val="bottom"/>
          </w:tcPr>
          <w:p w14:paraId="7150A2B2" w14:textId="20768E5A"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15 years</w:t>
            </w:r>
          </w:p>
        </w:tc>
      </w:tr>
      <w:tr w:rsidR="006452DD" w:rsidRPr="00FE3C59" w14:paraId="6C6E7024" w14:textId="77777777" w:rsidTr="1BD18A93">
        <w:tc>
          <w:tcPr>
            <w:tcW w:w="1043" w:type="dxa"/>
          </w:tcPr>
          <w:p w14:paraId="3D7E6AB2" w14:textId="33F33FC5"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0100</w:t>
            </w:r>
          </w:p>
        </w:tc>
        <w:tc>
          <w:tcPr>
            <w:tcW w:w="7973" w:type="dxa"/>
            <w:vAlign w:val="bottom"/>
          </w:tcPr>
          <w:p w14:paraId="35CFF506" w14:textId="4395D1F2"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20 years</w:t>
            </w:r>
          </w:p>
        </w:tc>
      </w:tr>
      <w:tr w:rsidR="006452DD" w:rsidRPr="00FE3C59" w14:paraId="2EEC41D8" w14:textId="77777777" w:rsidTr="1BD18A93">
        <w:tc>
          <w:tcPr>
            <w:tcW w:w="1043" w:type="dxa"/>
          </w:tcPr>
          <w:p w14:paraId="05F7B02A" w14:textId="0CB599B1"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0110</w:t>
            </w:r>
          </w:p>
        </w:tc>
        <w:tc>
          <w:tcPr>
            <w:tcW w:w="7973" w:type="dxa"/>
            <w:vAlign w:val="bottom"/>
          </w:tcPr>
          <w:p w14:paraId="0A2DEB97" w14:textId="0AF0183B"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30 years</w:t>
            </w:r>
          </w:p>
        </w:tc>
      </w:tr>
      <w:tr w:rsidR="006452DD" w:rsidRPr="00FE3C59" w14:paraId="7DA6E0EF" w14:textId="77777777" w:rsidTr="1BD18A93">
        <w:tc>
          <w:tcPr>
            <w:tcW w:w="1043" w:type="dxa"/>
          </w:tcPr>
          <w:p w14:paraId="49170387" w14:textId="2D248A0B"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0120-0160</w:t>
            </w:r>
          </w:p>
        </w:tc>
        <w:tc>
          <w:tcPr>
            <w:tcW w:w="7973" w:type="dxa"/>
            <w:vAlign w:val="bottom"/>
          </w:tcPr>
          <w:p w14:paraId="53373223" w14:textId="77777777"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 factors: Maturities</w:t>
            </w:r>
          </w:p>
          <w:p w14:paraId="12EF33E7" w14:textId="31CCF3E4" w:rsidR="007453B4" w:rsidRPr="00FE3C59" w:rsidRDefault="0D1CB00F" w:rsidP="008A07E0">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Articles 325e</w:t>
            </w:r>
            <w:r w:rsidR="00957F5F" w:rsidRPr="00FE3C59">
              <w:rPr>
                <w:rFonts w:ascii="Times New Roman" w:eastAsia="Times New Roman" w:hAnsi="Times New Roman" w:cs="Times New Roman"/>
                <w:lang w:val="en-GB"/>
              </w:rPr>
              <w:t>(1), point (b),</w:t>
            </w:r>
            <w:r w:rsidRPr="00FE3C59">
              <w:rPr>
                <w:rFonts w:ascii="Times New Roman" w:eastAsia="Times New Roman" w:hAnsi="Times New Roman" w:cs="Times New Roman"/>
                <w:lang w:val="en-GB"/>
              </w:rPr>
              <w:t xml:space="preserve"> 325</w:t>
            </w:r>
            <w:r w:rsidR="00957F5F" w:rsidRPr="00FE3C59">
              <w:rPr>
                <w:rFonts w:ascii="Times New Roman" w:eastAsia="Times New Roman" w:hAnsi="Times New Roman" w:cs="Times New Roman"/>
                <w:lang w:val="en-GB"/>
              </w:rPr>
              <w:t>f(1) to (</w:t>
            </w:r>
            <w:r w:rsidRPr="00FE3C59">
              <w:rPr>
                <w:rFonts w:ascii="Times New Roman" w:eastAsia="Times New Roman" w:hAnsi="Times New Roman" w:cs="Times New Roman"/>
                <w:lang w:val="en-GB"/>
              </w:rPr>
              <w:t>5), 325p(3)</w:t>
            </w:r>
            <w:r w:rsidR="1BD18A93" w:rsidRPr="00FE3C59">
              <w:rPr>
                <w:rFonts w:ascii="Times New Roman" w:eastAsia="Times New Roman" w:hAnsi="Times New Roman" w:cs="Times New Roman"/>
                <w:lang w:val="en-GB"/>
              </w:rPr>
              <w:t xml:space="preserve"> </w:t>
            </w:r>
            <w:r w:rsidRPr="00FE3C59">
              <w:rPr>
                <w:rFonts w:ascii="Times New Roman" w:eastAsia="Times New Roman" w:hAnsi="Times New Roman" w:cs="Times New Roman"/>
                <w:lang w:val="en-GB"/>
              </w:rPr>
              <w:t>and 325r(3)</w:t>
            </w:r>
            <w:r w:rsidR="00FD7136" w:rsidRPr="00FE3C59">
              <w:rPr>
                <w:rFonts w:ascii="Times New Roman" w:eastAsia="Times New Roman" w:hAnsi="Times New Roman" w:cs="Times New Roman"/>
                <w:lang w:val="en-GB"/>
              </w:rPr>
              <w:t xml:space="preserve"> of Regulation (EU) No 575/2013</w:t>
            </w:r>
            <w:r w:rsidRPr="00FE3C59">
              <w:rPr>
                <w:rFonts w:ascii="Times New Roman" w:eastAsia="Times New Roman" w:hAnsi="Times New Roman" w:cs="Times New Roman"/>
                <w:lang w:val="en-GB"/>
              </w:rPr>
              <w:t xml:space="preserve">. </w:t>
            </w:r>
          </w:p>
        </w:tc>
      </w:tr>
      <w:tr w:rsidR="006452DD" w:rsidRPr="00FE3C59" w14:paraId="0EDB71AE" w14:textId="77777777" w:rsidTr="1BD18A93">
        <w:tc>
          <w:tcPr>
            <w:tcW w:w="1043" w:type="dxa"/>
          </w:tcPr>
          <w:p w14:paraId="67D62663" w14:textId="2E4B56F4"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0120</w:t>
            </w:r>
          </w:p>
        </w:tc>
        <w:tc>
          <w:tcPr>
            <w:tcW w:w="7973" w:type="dxa"/>
            <w:vAlign w:val="bottom"/>
          </w:tcPr>
          <w:p w14:paraId="1D8B94E2" w14:textId="04D2FEFD" w:rsidR="007453B4" w:rsidRPr="00FE3C59" w:rsidRDefault="41331977" w:rsidP="0D1CB00F">
            <w:pPr>
              <w:pStyle w:val="BodyText"/>
              <w:spacing w:before="120" w:after="120"/>
              <w:rPr>
                <w:rFonts w:ascii="Times New Roman" w:eastAsia="Times New Roman" w:hAnsi="Times New Roman" w:cs="Times New Roman"/>
                <w:lang w:val="en-GB"/>
              </w:rPr>
            </w:pPr>
            <w:r w:rsidRPr="00FE3C59">
              <w:rPr>
                <w:rFonts w:ascii="Times New Roman" w:hAnsi="Times New Roman" w:cs="Times New Roman"/>
                <w:b/>
                <w:u w:val="single"/>
                <w:lang w:val="en-GB"/>
              </w:rPr>
              <w:t>0.5 years</w:t>
            </w:r>
          </w:p>
        </w:tc>
      </w:tr>
      <w:tr w:rsidR="006452DD" w:rsidRPr="00FE3C59" w14:paraId="52925BD6" w14:textId="77777777" w:rsidTr="1BD18A93">
        <w:tc>
          <w:tcPr>
            <w:tcW w:w="1043" w:type="dxa"/>
          </w:tcPr>
          <w:p w14:paraId="3F435F09" w14:textId="69E67BAC"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0130</w:t>
            </w:r>
          </w:p>
        </w:tc>
        <w:tc>
          <w:tcPr>
            <w:tcW w:w="7973" w:type="dxa"/>
            <w:vAlign w:val="bottom"/>
          </w:tcPr>
          <w:p w14:paraId="16A1A70D" w14:textId="5D2F407C" w:rsidR="007453B4" w:rsidRPr="00FE3C59" w:rsidRDefault="41331977" w:rsidP="0D1CB00F">
            <w:pPr>
              <w:pStyle w:val="BodyText"/>
              <w:spacing w:before="120" w:after="120"/>
              <w:rPr>
                <w:rFonts w:ascii="Times New Roman" w:eastAsia="Times New Roman" w:hAnsi="Times New Roman" w:cs="Times New Roman"/>
                <w:lang w:val="en-GB"/>
              </w:rPr>
            </w:pPr>
            <w:r w:rsidRPr="00FE3C59">
              <w:rPr>
                <w:rFonts w:ascii="Times New Roman" w:hAnsi="Times New Roman" w:cs="Times New Roman"/>
                <w:b/>
                <w:u w:val="single"/>
                <w:lang w:val="en-GB"/>
              </w:rPr>
              <w:t>1 year</w:t>
            </w:r>
          </w:p>
        </w:tc>
      </w:tr>
      <w:tr w:rsidR="006452DD" w:rsidRPr="00FE3C59" w14:paraId="17F2B064" w14:textId="77777777" w:rsidTr="1BD18A93">
        <w:tc>
          <w:tcPr>
            <w:tcW w:w="1043" w:type="dxa"/>
          </w:tcPr>
          <w:p w14:paraId="2172DF24" w14:textId="7EAF7559"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0140</w:t>
            </w:r>
          </w:p>
        </w:tc>
        <w:tc>
          <w:tcPr>
            <w:tcW w:w="7973" w:type="dxa"/>
            <w:vAlign w:val="bottom"/>
          </w:tcPr>
          <w:p w14:paraId="4EE73BEC" w14:textId="201507B7" w:rsidR="007453B4" w:rsidRPr="00FE3C59" w:rsidRDefault="41331977" w:rsidP="0D1CB00F">
            <w:pPr>
              <w:pStyle w:val="BodyText"/>
              <w:spacing w:before="120" w:after="120"/>
              <w:rPr>
                <w:rFonts w:ascii="Times New Roman" w:eastAsia="Times New Roman" w:hAnsi="Times New Roman" w:cs="Times New Roman"/>
                <w:lang w:val="en-GB"/>
              </w:rPr>
            </w:pPr>
            <w:r w:rsidRPr="00FE3C59">
              <w:rPr>
                <w:rFonts w:ascii="Times New Roman" w:hAnsi="Times New Roman" w:cs="Times New Roman"/>
                <w:b/>
                <w:u w:val="single"/>
                <w:lang w:val="en-GB"/>
              </w:rPr>
              <w:t>3 years</w:t>
            </w:r>
          </w:p>
        </w:tc>
      </w:tr>
      <w:tr w:rsidR="006452DD" w:rsidRPr="00FE3C59" w14:paraId="56797D05" w14:textId="77777777" w:rsidTr="1BD18A93">
        <w:tc>
          <w:tcPr>
            <w:tcW w:w="1043" w:type="dxa"/>
          </w:tcPr>
          <w:p w14:paraId="34358E01" w14:textId="6483466F"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0150</w:t>
            </w:r>
          </w:p>
        </w:tc>
        <w:tc>
          <w:tcPr>
            <w:tcW w:w="7973" w:type="dxa"/>
            <w:vAlign w:val="bottom"/>
          </w:tcPr>
          <w:p w14:paraId="059594C8" w14:textId="6B223064" w:rsidR="007453B4" w:rsidRPr="00FE3C59" w:rsidRDefault="41331977" w:rsidP="0D1CB00F">
            <w:pPr>
              <w:pStyle w:val="BodyText"/>
              <w:spacing w:before="120" w:after="120"/>
              <w:rPr>
                <w:rFonts w:ascii="Times New Roman" w:eastAsia="Times New Roman" w:hAnsi="Times New Roman" w:cs="Times New Roman"/>
                <w:lang w:val="en-GB"/>
              </w:rPr>
            </w:pPr>
            <w:r w:rsidRPr="00FE3C59">
              <w:rPr>
                <w:rFonts w:ascii="Times New Roman" w:hAnsi="Times New Roman" w:cs="Times New Roman"/>
                <w:b/>
                <w:u w:val="single"/>
                <w:lang w:val="en-GB"/>
              </w:rPr>
              <w:t>5 years</w:t>
            </w:r>
          </w:p>
        </w:tc>
      </w:tr>
      <w:tr w:rsidR="006452DD" w:rsidRPr="00FE3C59" w14:paraId="3E1B8DF1" w14:textId="77777777" w:rsidTr="1BD18A93">
        <w:tc>
          <w:tcPr>
            <w:tcW w:w="1043" w:type="dxa"/>
          </w:tcPr>
          <w:p w14:paraId="28A91A4E" w14:textId="0E1C6A4F" w:rsidR="004B5260"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0160</w:t>
            </w:r>
          </w:p>
        </w:tc>
        <w:tc>
          <w:tcPr>
            <w:tcW w:w="7973" w:type="dxa"/>
            <w:vAlign w:val="bottom"/>
          </w:tcPr>
          <w:p w14:paraId="7A62DF40" w14:textId="7C717393" w:rsidR="007453B4" w:rsidRPr="00FE3C59" w:rsidRDefault="41331977" w:rsidP="0D1CB00F">
            <w:pPr>
              <w:pStyle w:val="BodyText"/>
              <w:spacing w:before="120" w:after="120"/>
              <w:rPr>
                <w:rFonts w:ascii="Times New Roman" w:eastAsia="Times New Roman" w:hAnsi="Times New Roman" w:cs="Times New Roman"/>
                <w:lang w:val="en-GB"/>
              </w:rPr>
            </w:pPr>
            <w:r w:rsidRPr="00FE3C59">
              <w:rPr>
                <w:rFonts w:ascii="Times New Roman" w:hAnsi="Times New Roman" w:cs="Times New Roman"/>
                <w:b/>
                <w:u w:val="single"/>
                <w:lang w:val="en-GB"/>
              </w:rPr>
              <w:t>10 years</w:t>
            </w:r>
          </w:p>
        </w:tc>
      </w:tr>
      <w:tr w:rsidR="006452DD" w:rsidRPr="00FE3C59" w14:paraId="3B4B9626" w14:textId="77777777" w:rsidTr="1BD18A93">
        <w:tc>
          <w:tcPr>
            <w:tcW w:w="1043" w:type="dxa"/>
          </w:tcPr>
          <w:p w14:paraId="26F9828A" w14:textId="2E16BCF3"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0170-0320</w:t>
            </w:r>
          </w:p>
        </w:tc>
        <w:tc>
          <w:tcPr>
            <w:tcW w:w="7973" w:type="dxa"/>
            <w:vAlign w:val="bottom"/>
          </w:tcPr>
          <w:p w14:paraId="271096E5" w14:textId="77777777"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Weighted sensitivities</w:t>
            </w:r>
          </w:p>
          <w:p w14:paraId="13213016" w14:textId="2AA38220" w:rsidR="007453B4" w:rsidRPr="00FE3C59" w:rsidRDefault="00E914C3" w:rsidP="0D1CB00F">
            <w:pPr>
              <w:spacing w:before="120" w:after="120" w:line="288" w:lineRule="auto"/>
              <w:rPr>
                <w:rFonts w:ascii="Times New Roman" w:hAnsi="Times New Roman" w:cs="Times New Roman"/>
              </w:rPr>
            </w:pPr>
            <w:r w:rsidRPr="00FE3C59">
              <w:rPr>
                <w:rFonts w:ascii="Times New Roman" w:eastAsia="Times New Roman" w:hAnsi="Times New Roman" w:cs="Times New Roman"/>
                <w:sz w:val="24"/>
                <w:szCs w:val="24"/>
              </w:rPr>
              <w:t>Article</w:t>
            </w:r>
            <w:r w:rsidR="0D1CB00F" w:rsidRPr="00FE3C59">
              <w:rPr>
                <w:rFonts w:ascii="Times New Roman" w:eastAsia="Times New Roman" w:hAnsi="Times New Roman" w:cs="Times New Roman"/>
                <w:sz w:val="24"/>
                <w:szCs w:val="24"/>
              </w:rPr>
              <w:t xml:space="preserve"> 325f(6) </w:t>
            </w:r>
            <w:r w:rsidR="00FD7136" w:rsidRPr="00FE3C59">
              <w:rPr>
                <w:rFonts w:ascii="Times New Roman" w:eastAsia="Times New Roman" w:hAnsi="Times New Roman" w:cs="Times New Roman"/>
                <w:sz w:val="24"/>
                <w:szCs w:val="24"/>
              </w:rPr>
              <w:t>of Regulation (EU) No 575/2013</w:t>
            </w:r>
          </w:p>
          <w:p w14:paraId="4D11B4A2" w14:textId="0C9BC298" w:rsidR="007453B4" w:rsidRPr="00FE3C59" w:rsidRDefault="00E629E8" w:rsidP="0D1CB00F">
            <w:pPr>
              <w:spacing w:before="120" w:after="120" w:line="288" w:lineRule="auto"/>
              <w:rPr>
                <w:rFonts w:ascii="Times New Roman" w:hAnsi="Times New Roman" w:cs="Times New Roman"/>
              </w:rPr>
            </w:pPr>
            <w:r w:rsidRPr="00FE3C59">
              <w:rPr>
                <w:rFonts w:ascii="Times New Roman" w:eastAsia="Times New Roman" w:hAnsi="Times New Roman" w:cs="Times New Roman"/>
                <w:sz w:val="24"/>
                <w:szCs w:val="24"/>
              </w:rPr>
              <w:lastRenderedPageBreak/>
              <w:t xml:space="preserve">The net sensitivities per risk factor, calculated in accordance with Articles </w:t>
            </w:r>
            <w:r w:rsidR="00DB31A3" w:rsidRPr="00FE3C59">
              <w:rPr>
                <w:rFonts w:ascii="Times New Roman" w:eastAsia="Times New Roman" w:hAnsi="Times New Roman" w:cs="Times New Roman"/>
                <w:sz w:val="24"/>
                <w:szCs w:val="24"/>
              </w:rPr>
              <w:t>325p,</w:t>
            </w:r>
            <w:r w:rsidRPr="00FE3C59">
              <w:rPr>
                <w:rFonts w:ascii="Times New Roman" w:eastAsia="Times New Roman" w:hAnsi="Times New Roman" w:cs="Times New Roman"/>
                <w:sz w:val="24"/>
                <w:szCs w:val="24"/>
              </w:rPr>
              <w:t xml:space="preserve"> 325r and 325s of Regulation (EU) No 575/2013 and weighted by the corresponding risk weights set out in Part Three, Title IV, Chapter 1a, Section 6 of Regulation (EU) No 575/2013, shall be aggregated by bucket separately for delta</w:t>
            </w:r>
            <w:r w:rsidR="59E4DBF2" w:rsidRPr="00FE3C59">
              <w:rPr>
                <w:rFonts w:ascii="Times New Roman" w:eastAsia="Times New Roman" w:hAnsi="Times New Roman" w:cs="Times New Roman"/>
                <w:sz w:val="24"/>
                <w:szCs w:val="24"/>
              </w:rPr>
              <w:t xml:space="preserve"> and</w:t>
            </w:r>
            <w:r w:rsidRPr="00FE3C59">
              <w:rPr>
                <w:rFonts w:ascii="Times New Roman" w:eastAsia="Times New Roman" w:hAnsi="Times New Roman" w:cs="Times New Roman"/>
                <w:sz w:val="24"/>
                <w:szCs w:val="24"/>
              </w:rPr>
              <w:t xml:space="preserve"> vega risk and be reported in the applicable columns.</w:t>
            </w:r>
          </w:p>
        </w:tc>
      </w:tr>
      <w:tr w:rsidR="006452DD" w:rsidRPr="00FE3C59" w14:paraId="4821D708" w14:textId="77777777" w:rsidTr="1BD18A93">
        <w:tc>
          <w:tcPr>
            <w:tcW w:w="1043" w:type="dxa"/>
          </w:tcPr>
          <w:p w14:paraId="17C7B50E" w14:textId="395B84CE"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0170-0270</w:t>
            </w:r>
          </w:p>
        </w:tc>
        <w:tc>
          <w:tcPr>
            <w:tcW w:w="7973" w:type="dxa"/>
            <w:vAlign w:val="bottom"/>
          </w:tcPr>
          <w:p w14:paraId="0C4AAD6E" w14:textId="19830EE3" w:rsidR="007453B4"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 factors: Maturities</w:t>
            </w:r>
          </w:p>
          <w:p w14:paraId="6379864B" w14:textId="28F10FEA" w:rsidR="007453B4" w:rsidRPr="00FE3C59" w:rsidRDefault="0D1CB00F" w:rsidP="008A07E0">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 xml:space="preserve">Articles </w:t>
            </w:r>
            <w:r w:rsidR="073965F3" w:rsidRPr="00FE3C59">
              <w:rPr>
                <w:rFonts w:ascii="Times New Roman" w:eastAsia="Times New Roman" w:hAnsi="Times New Roman" w:cs="Times New Roman"/>
                <w:color w:val="000000" w:themeColor="text1"/>
                <w:lang w:val="en-GB"/>
              </w:rPr>
              <w:t>325e(</w:t>
            </w:r>
            <w:r w:rsidR="00957F5F" w:rsidRPr="00FE3C59">
              <w:rPr>
                <w:rFonts w:ascii="Times New Roman" w:eastAsia="Times New Roman" w:hAnsi="Times New Roman" w:cs="Times New Roman"/>
                <w:color w:val="000000" w:themeColor="text1"/>
                <w:lang w:val="en-GB"/>
              </w:rPr>
              <w:t>1), point (a),</w:t>
            </w:r>
            <w:r w:rsidR="073965F3" w:rsidRPr="00FE3C59">
              <w:rPr>
                <w:rFonts w:ascii="Times New Roman" w:eastAsia="Times New Roman" w:hAnsi="Times New Roman" w:cs="Times New Roman"/>
                <w:color w:val="000000" w:themeColor="text1"/>
                <w:lang w:val="en-GB"/>
              </w:rPr>
              <w:t xml:space="preserve"> 325</w:t>
            </w:r>
            <w:r w:rsidR="00957F5F" w:rsidRPr="00FE3C59">
              <w:rPr>
                <w:rFonts w:ascii="Times New Roman" w:eastAsia="Times New Roman" w:hAnsi="Times New Roman" w:cs="Times New Roman"/>
                <w:color w:val="000000" w:themeColor="text1"/>
                <w:lang w:val="en-GB"/>
              </w:rPr>
              <w:t>f(1) to (</w:t>
            </w:r>
            <w:r w:rsidR="073965F3" w:rsidRPr="00FE3C59">
              <w:rPr>
                <w:rFonts w:ascii="Times New Roman" w:eastAsia="Times New Roman" w:hAnsi="Times New Roman" w:cs="Times New Roman"/>
                <w:color w:val="000000" w:themeColor="text1"/>
                <w:lang w:val="en-GB"/>
              </w:rPr>
              <w:t>5), 325p(2), 325r(4) and</w:t>
            </w:r>
            <w:r w:rsidR="1BD18A93" w:rsidRPr="00FE3C59">
              <w:rPr>
                <w:rFonts w:ascii="Times New Roman" w:eastAsia="Times New Roman" w:hAnsi="Times New Roman" w:cs="Times New Roman"/>
                <w:lang w:val="en-GB"/>
              </w:rPr>
              <w:t xml:space="preserve"> </w:t>
            </w:r>
            <w:r w:rsidRPr="00FE3C59">
              <w:rPr>
                <w:rFonts w:ascii="Times New Roman" w:eastAsia="Times New Roman" w:hAnsi="Times New Roman" w:cs="Times New Roman"/>
                <w:lang w:val="en-GB"/>
              </w:rPr>
              <w:t>325as</w:t>
            </w:r>
            <w:r w:rsidR="00FD7136" w:rsidRPr="00FE3C59">
              <w:rPr>
                <w:rFonts w:ascii="Times New Roman" w:eastAsia="Times New Roman" w:hAnsi="Times New Roman" w:cs="Times New Roman"/>
                <w:lang w:val="en-GB"/>
              </w:rPr>
              <w:t xml:space="preserve"> of Regulation (EU) No </w:t>
            </w:r>
            <w:r w:rsidR="006637AB" w:rsidRPr="00FE3C59">
              <w:rPr>
                <w:rFonts w:ascii="Times New Roman" w:eastAsia="Times New Roman" w:hAnsi="Times New Roman" w:cs="Times New Roman"/>
                <w:lang w:val="en-GB"/>
              </w:rPr>
              <w:t>575/2013</w:t>
            </w:r>
          </w:p>
        </w:tc>
      </w:tr>
      <w:tr w:rsidR="006452DD" w:rsidRPr="00FE3C59" w14:paraId="3B87FD91" w14:textId="77777777" w:rsidTr="1BD18A93">
        <w:tc>
          <w:tcPr>
            <w:tcW w:w="1043" w:type="dxa"/>
          </w:tcPr>
          <w:p w14:paraId="274914E7" w14:textId="005EBBA7" w:rsidR="004B5260" w:rsidRPr="00FE3C59" w:rsidRDefault="006452DD" w:rsidP="001174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0170</w:t>
            </w:r>
          </w:p>
        </w:tc>
        <w:tc>
          <w:tcPr>
            <w:tcW w:w="7973" w:type="dxa"/>
            <w:vAlign w:val="bottom"/>
          </w:tcPr>
          <w:p w14:paraId="39B3A32E" w14:textId="691AB5C7"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0 years</w:t>
            </w:r>
          </w:p>
        </w:tc>
      </w:tr>
      <w:tr w:rsidR="006452DD" w:rsidRPr="00FE3C59" w14:paraId="3FFEFAD9" w14:textId="77777777" w:rsidTr="1BD18A93">
        <w:tc>
          <w:tcPr>
            <w:tcW w:w="1043" w:type="dxa"/>
          </w:tcPr>
          <w:p w14:paraId="3CB97901" w14:textId="756FEB66" w:rsidR="004B5260" w:rsidRPr="00FE3C59" w:rsidRDefault="006452DD" w:rsidP="001174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0180</w:t>
            </w:r>
          </w:p>
        </w:tc>
        <w:tc>
          <w:tcPr>
            <w:tcW w:w="7973" w:type="dxa"/>
            <w:vAlign w:val="bottom"/>
          </w:tcPr>
          <w:p w14:paraId="3263F6C7" w14:textId="42AFA7BF"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0.25 years</w:t>
            </w:r>
          </w:p>
        </w:tc>
      </w:tr>
      <w:tr w:rsidR="006452DD" w:rsidRPr="00FE3C59" w14:paraId="4F7C52DA" w14:textId="77777777" w:rsidTr="1BD18A93">
        <w:tc>
          <w:tcPr>
            <w:tcW w:w="1043" w:type="dxa"/>
          </w:tcPr>
          <w:p w14:paraId="36C073B7" w14:textId="51DE0CEA" w:rsidR="004B5260" w:rsidRPr="00FE3C59" w:rsidRDefault="006452DD" w:rsidP="001174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0190</w:t>
            </w:r>
          </w:p>
        </w:tc>
        <w:tc>
          <w:tcPr>
            <w:tcW w:w="7973" w:type="dxa"/>
            <w:vAlign w:val="bottom"/>
          </w:tcPr>
          <w:p w14:paraId="1023FBB7" w14:textId="3021F646"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0.5 years</w:t>
            </w:r>
          </w:p>
        </w:tc>
      </w:tr>
      <w:tr w:rsidR="006452DD" w:rsidRPr="00FE3C59" w14:paraId="197F19A9" w14:textId="77777777" w:rsidTr="1BD18A93">
        <w:tc>
          <w:tcPr>
            <w:tcW w:w="1043" w:type="dxa"/>
          </w:tcPr>
          <w:p w14:paraId="37C2B9BB" w14:textId="4635993B" w:rsidR="004B5260" w:rsidRPr="00FE3C59" w:rsidRDefault="006452DD" w:rsidP="001174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0200</w:t>
            </w:r>
          </w:p>
        </w:tc>
        <w:tc>
          <w:tcPr>
            <w:tcW w:w="7973" w:type="dxa"/>
            <w:vAlign w:val="bottom"/>
          </w:tcPr>
          <w:p w14:paraId="445C06D6" w14:textId="146BE960"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 year</w:t>
            </w:r>
          </w:p>
        </w:tc>
      </w:tr>
      <w:tr w:rsidR="006452DD" w:rsidRPr="00FE3C59" w14:paraId="77848631" w14:textId="77777777" w:rsidTr="1BD18A93">
        <w:tc>
          <w:tcPr>
            <w:tcW w:w="1043" w:type="dxa"/>
          </w:tcPr>
          <w:p w14:paraId="60917DE4" w14:textId="4F74ADF1" w:rsidR="001B58B7" w:rsidRPr="00FE3C59" w:rsidRDefault="006452DD" w:rsidP="001174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0210</w:t>
            </w:r>
          </w:p>
        </w:tc>
        <w:tc>
          <w:tcPr>
            <w:tcW w:w="7973" w:type="dxa"/>
            <w:vAlign w:val="bottom"/>
          </w:tcPr>
          <w:p w14:paraId="489782DF" w14:textId="4500E61C"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2 years</w:t>
            </w:r>
          </w:p>
        </w:tc>
      </w:tr>
      <w:tr w:rsidR="006452DD" w:rsidRPr="00FE3C59" w14:paraId="32F23DCD" w14:textId="77777777" w:rsidTr="1BD18A93">
        <w:tc>
          <w:tcPr>
            <w:tcW w:w="1043" w:type="dxa"/>
          </w:tcPr>
          <w:p w14:paraId="2C43D3E4" w14:textId="1D3D4665" w:rsidR="001B58B7" w:rsidRPr="00FE3C59" w:rsidRDefault="006452DD" w:rsidP="001174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0220</w:t>
            </w:r>
          </w:p>
        </w:tc>
        <w:tc>
          <w:tcPr>
            <w:tcW w:w="7973" w:type="dxa"/>
            <w:vAlign w:val="bottom"/>
          </w:tcPr>
          <w:p w14:paraId="41249198" w14:textId="1328BBB1"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3 years</w:t>
            </w:r>
          </w:p>
        </w:tc>
      </w:tr>
      <w:tr w:rsidR="006452DD" w:rsidRPr="00FE3C59" w14:paraId="4CB7ECDF" w14:textId="77777777" w:rsidTr="1BD18A93">
        <w:tc>
          <w:tcPr>
            <w:tcW w:w="1043" w:type="dxa"/>
          </w:tcPr>
          <w:p w14:paraId="5BB1D4C8" w14:textId="6EC49939" w:rsidR="001B58B7" w:rsidRPr="00FE3C59" w:rsidRDefault="006452DD" w:rsidP="008A07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0230</w:t>
            </w:r>
          </w:p>
        </w:tc>
        <w:tc>
          <w:tcPr>
            <w:tcW w:w="7973" w:type="dxa"/>
            <w:vAlign w:val="bottom"/>
          </w:tcPr>
          <w:p w14:paraId="503CEF5F" w14:textId="20559428"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5 years</w:t>
            </w:r>
          </w:p>
        </w:tc>
      </w:tr>
      <w:tr w:rsidR="006452DD" w:rsidRPr="00FE3C59" w14:paraId="2AE88CD4" w14:textId="77777777" w:rsidTr="1BD18A93">
        <w:tc>
          <w:tcPr>
            <w:tcW w:w="1043" w:type="dxa"/>
          </w:tcPr>
          <w:p w14:paraId="13CD85EE" w14:textId="05FB5CED" w:rsidR="00773379" w:rsidRPr="00FE3C59" w:rsidRDefault="006452DD" w:rsidP="008A07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0240</w:t>
            </w:r>
          </w:p>
        </w:tc>
        <w:tc>
          <w:tcPr>
            <w:tcW w:w="7973" w:type="dxa"/>
            <w:vAlign w:val="bottom"/>
          </w:tcPr>
          <w:p w14:paraId="4E97A6D8" w14:textId="405EE2B6"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10 years</w:t>
            </w:r>
          </w:p>
        </w:tc>
      </w:tr>
      <w:tr w:rsidR="006452DD" w:rsidRPr="00FE3C59" w14:paraId="7C966647" w14:textId="77777777" w:rsidTr="1BD18A93">
        <w:tc>
          <w:tcPr>
            <w:tcW w:w="1043" w:type="dxa"/>
          </w:tcPr>
          <w:p w14:paraId="66FEF8DF" w14:textId="1328F069" w:rsidR="00773379" w:rsidRPr="00FE3C59" w:rsidRDefault="006452DD" w:rsidP="008A07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0250</w:t>
            </w:r>
          </w:p>
        </w:tc>
        <w:tc>
          <w:tcPr>
            <w:tcW w:w="7973" w:type="dxa"/>
            <w:vAlign w:val="bottom"/>
          </w:tcPr>
          <w:p w14:paraId="5E9E5E59" w14:textId="2ECD9C90"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15 years</w:t>
            </w:r>
          </w:p>
        </w:tc>
      </w:tr>
      <w:tr w:rsidR="006452DD" w:rsidRPr="00FE3C59" w14:paraId="38DD1C34" w14:textId="77777777" w:rsidTr="1BD18A93">
        <w:tc>
          <w:tcPr>
            <w:tcW w:w="1043" w:type="dxa"/>
          </w:tcPr>
          <w:p w14:paraId="27982C75" w14:textId="5AE21997" w:rsidR="00773379" w:rsidRPr="00FE3C59" w:rsidRDefault="006452DD" w:rsidP="008A07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0260</w:t>
            </w:r>
          </w:p>
        </w:tc>
        <w:tc>
          <w:tcPr>
            <w:tcW w:w="7973" w:type="dxa"/>
            <w:vAlign w:val="bottom"/>
          </w:tcPr>
          <w:p w14:paraId="13EE526F" w14:textId="7F83D924"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20 years</w:t>
            </w:r>
          </w:p>
        </w:tc>
      </w:tr>
      <w:tr w:rsidR="006452DD" w:rsidRPr="00FE3C59" w14:paraId="329F4505" w14:textId="77777777" w:rsidTr="1BD18A93">
        <w:tc>
          <w:tcPr>
            <w:tcW w:w="1043" w:type="dxa"/>
          </w:tcPr>
          <w:p w14:paraId="20D599D3" w14:textId="7CFB7336" w:rsidR="00773379" w:rsidRPr="00FE3C59" w:rsidRDefault="006452DD" w:rsidP="008A07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0270</w:t>
            </w:r>
          </w:p>
        </w:tc>
        <w:tc>
          <w:tcPr>
            <w:tcW w:w="7973" w:type="dxa"/>
            <w:vAlign w:val="bottom"/>
          </w:tcPr>
          <w:p w14:paraId="3D7AFF41" w14:textId="607D89E0"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30 years</w:t>
            </w:r>
          </w:p>
        </w:tc>
      </w:tr>
      <w:tr w:rsidR="006452DD" w:rsidRPr="00FE3C59" w14:paraId="7A69E4F0" w14:textId="77777777" w:rsidTr="1BD18A93">
        <w:tc>
          <w:tcPr>
            <w:tcW w:w="1043" w:type="dxa"/>
          </w:tcPr>
          <w:p w14:paraId="46552878" w14:textId="0D4B9F4B"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0280-0320</w:t>
            </w:r>
          </w:p>
        </w:tc>
        <w:tc>
          <w:tcPr>
            <w:tcW w:w="7973" w:type="dxa"/>
            <w:vAlign w:val="bottom"/>
          </w:tcPr>
          <w:p w14:paraId="446F6E1E" w14:textId="77777777"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 factors: Maturities</w:t>
            </w:r>
          </w:p>
          <w:p w14:paraId="4BFE6B5E" w14:textId="18EFCF35" w:rsidR="007453B4" w:rsidRPr="00FE3C59" w:rsidRDefault="0D1CB00F" w:rsidP="008A07E0">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 xml:space="preserve">Articles </w:t>
            </w:r>
            <w:r w:rsidR="073965F3" w:rsidRPr="00FE3C59">
              <w:rPr>
                <w:rFonts w:ascii="Times New Roman" w:eastAsia="Times New Roman" w:hAnsi="Times New Roman" w:cs="Times New Roman"/>
                <w:color w:val="000000" w:themeColor="text1"/>
                <w:lang w:val="en-GB"/>
              </w:rPr>
              <w:t>325e</w:t>
            </w:r>
            <w:r w:rsidR="00957F5F" w:rsidRPr="00FE3C59">
              <w:rPr>
                <w:rFonts w:ascii="Times New Roman" w:eastAsia="Times New Roman" w:hAnsi="Times New Roman" w:cs="Times New Roman"/>
                <w:color w:val="000000" w:themeColor="text1"/>
                <w:lang w:val="en-GB"/>
              </w:rPr>
              <w:t>(1), point (b),</w:t>
            </w:r>
            <w:r w:rsidR="073965F3" w:rsidRPr="00FE3C59">
              <w:rPr>
                <w:rFonts w:ascii="Times New Roman" w:eastAsia="Times New Roman" w:hAnsi="Times New Roman" w:cs="Times New Roman"/>
                <w:color w:val="000000" w:themeColor="text1"/>
                <w:lang w:val="en-GB"/>
              </w:rPr>
              <w:t xml:space="preserve"> 325</w:t>
            </w:r>
            <w:r w:rsidR="00957F5F" w:rsidRPr="00FE3C59">
              <w:rPr>
                <w:rFonts w:ascii="Times New Roman" w:eastAsia="Times New Roman" w:hAnsi="Times New Roman" w:cs="Times New Roman"/>
                <w:color w:val="000000" w:themeColor="text1"/>
                <w:lang w:val="en-GB"/>
              </w:rPr>
              <w:t>f(1) to (</w:t>
            </w:r>
            <w:r w:rsidR="073965F3" w:rsidRPr="00FE3C59">
              <w:rPr>
                <w:rFonts w:ascii="Times New Roman" w:eastAsia="Times New Roman" w:hAnsi="Times New Roman" w:cs="Times New Roman"/>
                <w:color w:val="000000" w:themeColor="text1"/>
                <w:lang w:val="en-GB"/>
              </w:rPr>
              <w:t>5), 325p(3), 325s(1</w:t>
            </w:r>
            <w:r w:rsidR="008A07E0" w:rsidRPr="00FE3C59">
              <w:rPr>
                <w:rFonts w:ascii="Times New Roman" w:eastAsia="Times New Roman" w:hAnsi="Times New Roman" w:cs="Times New Roman"/>
                <w:color w:val="000000" w:themeColor="text1"/>
                <w:lang w:val="en-GB"/>
              </w:rPr>
              <w:t>) to (</w:t>
            </w:r>
            <w:r w:rsidR="073965F3" w:rsidRPr="00FE3C59">
              <w:rPr>
                <w:rFonts w:ascii="Times New Roman" w:eastAsia="Times New Roman" w:hAnsi="Times New Roman" w:cs="Times New Roman"/>
                <w:color w:val="000000" w:themeColor="text1"/>
                <w:lang w:val="en-GB"/>
              </w:rPr>
              <w:t>3)</w:t>
            </w:r>
            <w:r w:rsidR="1BD18A93" w:rsidRPr="00FE3C59">
              <w:rPr>
                <w:rFonts w:ascii="Times New Roman" w:eastAsia="Times New Roman" w:hAnsi="Times New Roman" w:cs="Times New Roman"/>
                <w:lang w:val="en-GB"/>
              </w:rPr>
              <w:t xml:space="preserve"> and </w:t>
            </w:r>
            <w:r w:rsidRPr="00FE3C59">
              <w:rPr>
                <w:rFonts w:ascii="Times New Roman" w:eastAsia="Times New Roman" w:hAnsi="Times New Roman" w:cs="Times New Roman"/>
                <w:lang w:val="en-GB"/>
              </w:rPr>
              <w:t>325as</w:t>
            </w:r>
            <w:r w:rsidR="00FD7136" w:rsidRPr="00FE3C59">
              <w:rPr>
                <w:rFonts w:ascii="Times New Roman" w:eastAsia="Times New Roman" w:hAnsi="Times New Roman" w:cs="Times New Roman"/>
                <w:lang w:val="en-GB"/>
              </w:rPr>
              <w:t xml:space="preserve"> of Regulation (EU) No </w:t>
            </w:r>
            <w:r w:rsidR="006637AB" w:rsidRPr="00FE3C59">
              <w:rPr>
                <w:rFonts w:ascii="Times New Roman" w:eastAsia="Times New Roman" w:hAnsi="Times New Roman" w:cs="Times New Roman"/>
                <w:lang w:val="en-GB"/>
              </w:rPr>
              <w:t>575/2013</w:t>
            </w:r>
          </w:p>
        </w:tc>
      </w:tr>
      <w:tr w:rsidR="006452DD" w:rsidRPr="00FE3C59" w14:paraId="4794B088" w14:textId="77777777" w:rsidTr="1BD18A93">
        <w:tc>
          <w:tcPr>
            <w:tcW w:w="1043" w:type="dxa"/>
          </w:tcPr>
          <w:p w14:paraId="1B154F9D" w14:textId="3E1C7E59" w:rsidR="00773379" w:rsidRPr="00FE3C59" w:rsidRDefault="006452DD" w:rsidP="008A07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0280</w:t>
            </w:r>
          </w:p>
        </w:tc>
        <w:tc>
          <w:tcPr>
            <w:tcW w:w="7973" w:type="dxa"/>
            <w:vAlign w:val="bottom"/>
          </w:tcPr>
          <w:p w14:paraId="1B9BEB0A" w14:textId="2B097152"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0.5 years</w:t>
            </w:r>
          </w:p>
        </w:tc>
      </w:tr>
      <w:tr w:rsidR="006452DD" w:rsidRPr="00FE3C59" w14:paraId="68D976AD" w14:textId="77777777" w:rsidTr="1BD18A93">
        <w:tc>
          <w:tcPr>
            <w:tcW w:w="1043" w:type="dxa"/>
          </w:tcPr>
          <w:p w14:paraId="3BB9F6EE" w14:textId="7C4FEFA8" w:rsidR="00773379" w:rsidRPr="00FE3C59" w:rsidRDefault="006452DD" w:rsidP="008A07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0290</w:t>
            </w:r>
          </w:p>
        </w:tc>
        <w:tc>
          <w:tcPr>
            <w:tcW w:w="7973" w:type="dxa"/>
            <w:vAlign w:val="bottom"/>
          </w:tcPr>
          <w:p w14:paraId="6842E1B3" w14:textId="5C07D7E0"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 year</w:t>
            </w:r>
          </w:p>
        </w:tc>
      </w:tr>
      <w:tr w:rsidR="006452DD" w:rsidRPr="00FE3C59" w14:paraId="2E2C35A5" w14:textId="77777777" w:rsidTr="1BD18A93">
        <w:tc>
          <w:tcPr>
            <w:tcW w:w="1043" w:type="dxa"/>
          </w:tcPr>
          <w:p w14:paraId="59309C01" w14:textId="6B006D11" w:rsidR="00773379" w:rsidRPr="00FE3C59" w:rsidRDefault="006452DD" w:rsidP="008A07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0300</w:t>
            </w:r>
          </w:p>
        </w:tc>
        <w:tc>
          <w:tcPr>
            <w:tcW w:w="7973" w:type="dxa"/>
            <w:vAlign w:val="bottom"/>
          </w:tcPr>
          <w:p w14:paraId="38DDC06F" w14:textId="6FC52F98"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3 years</w:t>
            </w:r>
          </w:p>
        </w:tc>
      </w:tr>
      <w:tr w:rsidR="006452DD" w:rsidRPr="00FE3C59" w14:paraId="49B0E386" w14:textId="77777777" w:rsidTr="1BD18A93">
        <w:tc>
          <w:tcPr>
            <w:tcW w:w="1043" w:type="dxa"/>
          </w:tcPr>
          <w:p w14:paraId="17369B4F" w14:textId="3E8F6040" w:rsidR="00773379" w:rsidRPr="00FE3C59" w:rsidRDefault="006452DD" w:rsidP="008A07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0310</w:t>
            </w:r>
          </w:p>
        </w:tc>
        <w:tc>
          <w:tcPr>
            <w:tcW w:w="7973" w:type="dxa"/>
            <w:vAlign w:val="bottom"/>
          </w:tcPr>
          <w:p w14:paraId="24F0EC95" w14:textId="58DD7623"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5 years</w:t>
            </w:r>
          </w:p>
        </w:tc>
      </w:tr>
      <w:tr w:rsidR="006452DD" w:rsidRPr="00FE3C59" w14:paraId="2146DE75" w14:textId="77777777" w:rsidTr="1BD18A93">
        <w:tc>
          <w:tcPr>
            <w:tcW w:w="1043" w:type="dxa"/>
          </w:tcPr>
          <w:p w14:paraId="4D3527AA" w14:textId="2E7191E1" w:rsidR="00773379" w:rsidRPr="00FE3C59" w:rsidRDefault="006452DD" w:rsidP="008A07E0">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0320</w:t>
            </w:r>
          </w:p>
        </w:tc>
        <w:tc>
          <w:tcPr>
            <w:tcW w:w="7973" w:type="dxa"/>
            <w:vAlign w:val="bottom"/>
          </w:tcPr>
          <w:p w14:paraId="0B3F9514" w14:textId="198FD55A" w:rsidR="007453B4"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10 years</w:t>
            </w:r>
          </w:p>
        </w:tc>
      </w:tr>
      <w:tr w:rsidR="006452DD" w:rsidRPr="00FE3C59" w14:paraId="7CE90773" w14:textId="77777777" w:rsidTr="1BD18A93">
        <w:tc>
          <w:tcPr>
            <w:tcW w:w="1043" w:type="dxa"/>
          </w:tcPr>
          <w:p w14:paraId="54A763A6" w14:textId="64E96CEF"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0330-0340</w:t>
            </w:r>
          </w:p>
        </w:tc>
        <w:tc>
          <w:tcPr>
            <w:tcW w:w="7973" w:type="dxa"/>
            <w:vAlign w:val="bottom"/>
          </w:tcPr>
          <w:p w14:paraId="3EB018DC" w14:textId="42ECF28E"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Curvature risk positions </w:t>
            </w:r>
            <w:r w:rsidR="008A07E0"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curvature risk</w:t>
            </w:r>
          </w:p>
          <w:p w14:paraId="34A6C53A" w14:textId="1C2891A2" w:rsidR="007453B4" w:rsidRPr="00FE3C59" w:rsidRDefault="0D1CB00F" w:rsidP="0D1CB00F">
            <w:pPr>
              <w:spacing w:before="120" w:after="120" w:line="288" w:lineRule="auto"/>
              <w:rPr>
                <w:rFonts w:ascii="Times New Roman" w:eastAsia="Times New Roman" w:hAnsi="Times New Roman" w:cs="Times New Roman"/>
                <w:sz w:val="24"/>
                <w:szCs w:val="24"/>
              </w:rPr>
            </w:pPr>
            <w:r w:rsidRPr="00FE3C59">
              <w:rPr>
                <w:rFonts w:ascii="Times New Roman" w:eastAsia="Times New Roman" w:hAnsi="Times New Roman" w:cs="Times New Roman"/>
                <w:sz w:val="24"/>
                <w:szCs w:val="24"/>
              </w:rPr>
              <w:t>Articles 325g(1</w:t>
            </w:r>
            <w:r w:rsidR="008A07E0" w:rsidRPr="00FE3C59">
              <w:rPr>
                <w:rFonts w:ascii="Times New Roman" w:eastAsia="Times New Roman" w:hAnsi="Times New Roman" w:cs="Times New Roman"/>
                <w:sz w:val="24"/>
                <w:szCs w:val="24"/>
              </w:rPr>
              <w:t>)</w:t>
            </w:r>
            <w:r w:rsidRPr="00FE3C59">
              <w:rPr>
                <w:rFonts w:ascii="Times New Roman" w:eastAsia="Times New Roman" w:hAnsi="Times New Roman" w:cs="Times New Roman"/>
                <w:sz w:val="24"/>
                <w:szCs w:val="24"/>
              </w:rPr>
              <w:t xml:space="preserve">, </w:t>
            </w:r>
            <w:r w:rsidR="008A07E0" w:rsidRPr="00FE3C59">
              <w:rPr>
                <w:rFonts w:ascii="Times New Roman" w:eastAsia="Times New Roman" w:hAnsi="Times New Roman" w:cs="Times New Roman"/>
                <w:sz w:val="24"/>
                <w:szCs w:val="24"/>
              </w:rPr>
              <w:t>(</w:t>
            </w:r>
            <w:r w:rsidRPr="00FE3C59">
              <w:rPr>
                <w:rFonts w:ascii="Times New Roman" w:eastAsia="Times New Roman" w:hAnsi="Times New Roman" w:cs="Times New Roman"/>
                <w:sz w:val="24"/>
                <w:szCs w:val="24"/>
              </w:rPr>
              <w:t>3</w:t>
            </w:r>
            <w:r w:rsidR="008A07E0" w:rsidRPr="00FE3C59">
              <w:rPr>
                <w:rFonts w:ascii="Times New Roman" w:eastAsia="Times New Roman" w:hAnsi="Times New Roman" w:cs="Times New Roman"/>
                <w:sz w:val="24"/>
                <w:szCs w:val="24"/>
              </w:rPr>
              <w:t>)</w:t>
            </w:r>
            <w:r w:rsidRPr="00FE3C59">
              <w:rPr>
                <w:rFonts w:ascii="Times New Roman" w:eastAsia="Times New Roman" w:hAnsi="Times New Roman" w:cs="Times New Roman"/>
                <w:sz w:val="24"/>
                <w:szCs w:val="24"/>
              </w:rPr>
              <w:t xml:space="preserve"> and </w:t>
            </w:r>
            <w:r w:rsidR="008A07E0" w:rsidRPr="00FE3C59">
              <w:rPr>
                <w:rFonts w:ascii="Times New Roman" w:eastAsia="Times New Roman" w:hAnsi="Times New Roman" w:cs="Times New Roman"/>
                <w:sz w:val="24"/>
                <w:szCs w:val="24"/>
              </w:rPr>
              <w:t>(</w:t>
            </w:r>
            <w:r w:rsidRPr="00FE3C59">
              <w:rPr>
                <w:rFonts w:ascii="Times New Roman" w:eastAsia="Times New Roman" w:hAnsi="Times New Roman" w:cs="Times New Roman"/>
                <w:sz w:val="24"/>
                <w:szCs w:val="24"/>
              </w:rPr>
              <w:t>6), 325p(4) and 325ax(6)</w:t>
            </w:r>
            <w:r w:rsidR="00FD7136" w:rsidRPr="00FE3C59">
              <w:rPr>
                <w:rFonts w:ascii="Times New Roman" w:eastAsia="Times New Roman" w:hAnsi="Times New Roman" w:cs="Times New Roman"/>
                <w:sz w:val="24"/>
                <w:szCs w:val="24"/>
              </w:rPr>
              <w:t xml:space="preserve"> of Regulation (EU) No 575/2013</w:t>
            </w:r>
            <w:r w:rsidRPr="00FE3C59">
              <w:rPr>
                <w:rFonts w:ascii="Times New Roman" w:eastAsia="Times New Roman" w:hAnsi="Times New Roman" w:cs="Times New Roman"/>
                <w:sz w:val="24"/>
                <w:szCs w:val="24"/>
              </w:rPr>
              <w:t xml:space="preserve"> </w:t>
            </w:r>
          </w:p>
        </w:tc>
      </w:tr>
      <w:tr w:rsidR="006452DD" w:rsidRPr="00FE3C59" w14:paraId="7687E3F3" w14:textId="77777777" w:rsidTr="1BD18A93">
        <w:tc>
          <w:tcPr>
            <w:tcW w:w="1043" w:type="dxa"/>
          </w:tcPr>
          <w:p w14:paraId="073DBC05" w14:textId="1616FD62" w:rsidR="00773379" w:rsidRPr="00FE3C59" w:rsidRDefault="006452DD" w:rsidP="00E30CB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0330</w:t>
            </w:r>
          </w:p>
        </w:tc>
        <w:tc>
          <w:tcPr>
            <w:tcW w:w="7973" w:type="dxa"/>
            <w:vAlign w:val="bottom"/>
          </w:tcPr>
          <w:p w14:paraId="61F8C6D9" w14:textId="77777777"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Upward net curvature risk position</w:t>
            </w:r>
          </w:p>
          <w:p w14:paraId="62AA1B1F" w14:textId="40C88E24" w:rsidR="007453B4" w:rsidRPr="00FE3C59" w:rsidRDefault="0D1CB00F" w:rsidP="65EC9DBC">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Article 325g(</w:t>
            </w:r>
            <w:r w:rsidR="008A07E0" w:rsidRPr="00FE3C59">
              <w:rPr>
                <w:rFonts w:ascii="Times New Roman" w:eastAsia="Times New Roman" w:hAnsi="Times New Roman" w:cs="Times New Roman"/>
                <w:lang w:val="en-GB"/>
              </w:rPr>
              <w:t>2</w:t>
            </w:r>
            <w:r w:rsidRPr="00FE3C59">
              <w:rPr>
                <w:rFonts w:ascii="Times New Roman" w:eastAsia="Times New Roman" w:hAnsi="Times New Roman" w:cs="Times New Roman"/>
                <w:lang w:val="en-GB"/>
              </w:rPr>
              <w:t>)</w:t>
            </w:r>
            <w:r w:rsidR="008A07E0" w:rsidRPr="00FE3C59">
              <w:rPr>
                <w:rFonts w:ascii="Times New Roman" w:eastAsia="Times New Roman" w:hAnsi="Times New Roman" w:cs="Times New Roman"/>
                <w:lang w:val="en-GB"/>
              </w:rPr>
              <w:t xml:space="preserve"> and (3)</w:t>
            </w:r>
            <w:r w:rsidR="00FD7136" w:rsidRPr="00FE3C59">
              <w:rPr>
                <w:rFonts w:ascii="Times New Roman" w:eastAsia="Times New Roman" w:hAnsi="Times New Roman" w:cs="Times New Roman"/>
                <w:lang w:val="en-GB"/>
              </w:rPr>
              <w:t xml:space="preserve"> of Regulation (EU) No 575/2013</w:t>
            </w:r>
            <w:r w:rsidRPr="00FE3C59">
              <w:rPr>
                <w:rFonts w:ascii="Times New Roman" w:eastAsia="Times New Roman" w:hAnsi="Times New Roman" w:cs="Times New Roman"/>
                <w:lang w:val="en-GB"/>
              </w:rPr>
              <w:t>.</w:t>
            </w:r>
          </w:p>
          <w:p w14:paraId="6662C762" w14:textId="2852086D" w:rsidR="007453B4" w:rsidRPr="00FE3C59" w:rsidRDefault="137C6757"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upward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hAnsi="Times New Roman" w:cs="Times New Roman"/>
                <w:lang w:val="en-GB"/>
              </w:rPr>
              <w:t>)</w:t>
            </w:r>
            <w:r w:rsidR="00B72767" w:rsidRPr="00FE3C59">
              <w:rPr>
                <w:rFonts w:ascii="Times New Roman" w:hAnsi="Times New Roman" w:cs="Times New Roman"/>
                <w:lang w:val="en-GB"/>
              </w:rPr>
              <w:t>.</w:t>
            </w:r>
          </w:p>
        </w:tc>
      </w:tr>
      <w:tr w:rsidR="006452DD" w:rsidRPr="00FE3C59" w14:paraId="3AC802A8" w14:textId="77777777" w:rsidTr="1BD18A93">
        <w:tc>
          <w:tcPr>
            <w:tcW w:w="1043" w:type="dxa"/>
          </w:tcPr>
          <w:p w14:paraId="7B5A67C5" w14:textId="4CA1B54F" w:rsidR="00AA14AF" w:rsidRPr="00FE3C59" w:rsidRDefault="006452DD" w:rsidP="00E30CB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0340</w:t>
            </w:r>
          </w:p>
        </w:tc>
        <w:tc>
          <w:tcPr>
            <w:tcW w:w="7973" w:type="dxa"/>
            <w:vAlign w:val="bottom"/>
          </w:tcPr>
          <w:p w14:paraId="76E32596" w14:textId="2C03C9BD"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Downward net curvature risk position</w:t>
            </w:r>
          </w:p>
          <w:p w14:paraId="28DD5EA8" w14:textId="10136231" w:rsidR="007453B4" w:rsidRPr="00FE3C59" w:rsidRDefault="0D1CB00F" w:rsidP="65EC9DBC">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Article 325g(</w:t>
            </w:r>
            <w:r w:rsidR="008A07E0" w:rsidRPr="00FE3C59">
              <w:rPr>
                <w:rFonts w:ascii="Times New Roman" w:eastAsia="Times New Roman" w:hAnsi="Times New Roman" w:cs="Times New Roman"/>
                <w:lang w:val="en-GB"/>
              </w:rPr>
              <w:t>2</w:t>
            </w:r>
            <w:r w:rsidRPr="00FE3C59">
              <w:rPr>
                <w:rFonts w:ascii="Times New Roman" w:eastAsia="Times New Roman" w:hAnsi="Times New Roman" w:cs="Times New Roman"/>
                <w:lang w:val="en-GB"/>
              </w:rPr>
              <w:t>)</w:t>
            </w:r>
            <w:r w:rsidR="008A07E0" w:rsidRPr="00FE3C59">
              <w:rPr>
                <w:rFonts w:ascii="Times New Roman" w:eastAsia="Times New Roman" w:hAnsi="Times New Roman" w:cs="Times New Roman"/>
                <w:lang w:val="en-GB"/>
              </w:rPr>
              <w:t xml:space="preserve"> and (3)</w:t>
            </w:r>
            <w:r w:rsidR="00FD7136" w:rsidRPr="00FE3C59">
              <w:rPr>
                <w:rFonts w:ascii="Times New Roman" w:eastAsia="Times New Roman" w:hAnsi="Times New Roman" w:cs="Times New Roman"/>
                <w:lang w:val="en-GB"/>
              </w:rPr>
              <w:t xml:space="preserve"> of Regulation (EU) No 575/2013</w:t>
            </w:r>
          </w:p>
          <w:p w14:paraId="564BF377" w14:textId="7A1054B6" w:rsidR="007453B4" w:rsidRPr="00FE3C59" w:rsidRDefault="2102FC75" w:rsidP="0D1CB00F">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the downward net curvature risk position (</w:t>
            </w:r>
            <m:oMath>
              <m:sSubSup>
                <m:sSubSupPr>
                  <m:ctrlPr>
                    <w:rPr>
                      <w:rFonts w:ascii="Cambria Math" w:eastAsia="Segoe UI" w:hAnsi="Cambria Math" w:cs="Times New Roman"/>
                      <w:i/>
                      <w:color w:val="000000" w:themeColor="text1"/>
                      <w:lang w:val="en-GB"/>
                    </w:rPr>
                  </m:ctrlPr>
                </m:sSubSupPr>
                <m:e>
                  <m:r>
                    <w:rPr>
                      <w:rFonts w:ascii="Cambria Math" w:eastAsia="Segoe UI" w:hAnsi="Cambria Math" w:cs="Times New Roman"/>
                      <w:color w:val="000000" w:themeColor="text1"/>
                      <w:lang w:val="en-GB"/>
                    </w:rPr>
                    <m:t>CVR</m:t>
                  </m:r>
                </m:e>
                <m:sub>
                  <m:r>
                    <w:rPr>
                      <w:rFonts w:ascii="Cambria Math" w:eastAsia="Segoe UI" w:hAnsi="Cambria Math" w:cs="Times New Roman"/>
                      <w:color w:val="000000" w:themeColor="text1"/>
                      <w:lang w:val="en-GB"/>
                    </w:rPr>
                    <m:t>k</m:t>
                  </m:r>
                </m:sub>
                <m:sup>
                  <m:r>
                    <w:rPr>
                      <w:rFonts w:ascii="Cambria Math" w:eastAsia="Segoe UI" w:hAnsi="Cambria Math" w:cs="Times New Roman"/>
                      <w:color w:val="000000" w:themeColor="text1"/>
                      <w:lang w:val="en-GB"/>
                    </w:rPr>
                    <m:t>-</m:t>
                  </m:r>
                </m:sup>
              </m:sSubSup>
            </m:oMath>
            <w:r w:rsidRPr="00FE3C59">
              <w:rPr>
                <w:rFonts w:ascii="Times New Roman" w:hAnsi="Times New Roman" w:cs="Times New Roman"/>
                <w:lang w:val="en-GB"/>
              </w:rPr>
              <w:t>).</w:t>
            </w:r>
          </w:p>
        </w:tc>
      </w:tr>
      <w:tr w:rsidR="006452DD" w:rsidRPr="00FE3C59" w14:paraId="16AA9391" w14:textId="77777777" w:rsidTr="1BD18A93">
        <w:tc>
          <w:tcPr>
            <w:tcW w:w="1043" w:type="dxa"/>
          </w:tcPr>
          <w:p w14:paraId="13A3B41F" w14:textId="62FAD425"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0350-0360</w:t>
            </w:r>
          </w:p>
        </w:tc>
        <w:tc>
          <w:tcPr>
            <w:tcW w:w="7973" w:type="dxa"/>
            <w:vAlign w:val="bottom"/>
          </w:tcPr>
          <w:p w14:paraId="77D293D9" w14:textId="77777777"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Sum of weighted sensitivities</w:t>
            </w:r>
          </w:p>
          <w:p w14:paraId="271E3880" w14:textId="24E57D27" w:rsidR="007453B4" w:rsidRPr="00FE3C59" w:rsidRDefault="00E914C3" w:rsidP="0D1CB00F">
            <w:pPr>
              <w:spacing w:before="120" w:after="120" w:line="288" w:lineRule="auto"/>
              <w:rPr>
                <w:rFonts w:ascii="Times New Roman" w:eastAsia="Times New Roman" w:hAnsi="Times New Roman" w:cs="Times New Roman"/>
                <w:sz w:val="24"/>
                <w:szCs w:val="24"/>
              </w:rPr>
            </w:pPr>
            <w:r w:rsidRPr="00FE3C59">
              <w:rPr>
                <w:rFonts w:ascii="Times New Roman" w:eastAsia="Times New Roman" w:hAnsi="Times New Roman" w:cs="Times New Roman"/>
                <w:sz w:val="24"/>
                <w:szCs w:val="24"/>
              </w:rPr>
              <w:t>Article</w:t>
            </w:r>
            <w:r w:rsidR="0D1CB00F" w:rsidRPr="00FE3C59">
              <w:rPr>
                <w:rFonts w:ascii="Times New Roman" w:eastAsia="Times New Roman" w:hAnsi="Times New Roman" w:cs="Times New Roman"/>
                <w:sz w:val="24"/>
                <w:szCs w:val="24"/>
              </w:rPr>
              <w:t xml:space="preserve"> 325f(8)</w:t>
            </w:r>
            <w:r w:rsidR="00FD7136" w:rsidRPr="00FE3C59">
              <w:rPr>
                <w:rFonts w:ascii="Times New Roman" w:eastAsia="Times New Roman" w:hAnsi="Times New Roman" w:cs="Times New Roman"/>
                <w:sz w:val="24"/>
                <w:szCs w:val="24"/>
              </w:rPr>
              <w:t xml:space="preserve"> of Regulation (EU) No 575/2013</w:t>
            </w:r>
          </w:p>
          <w:p w14:paraId="0A41BADE" w14:textId="4D6A4D15" w:rsidR="00BD2865" w:rsidRPr="00FE3C59" w:rsidRDefault="00BD2865" w:rsidP="00BC3D68">
            <w:pPr>
              <w:pStyle w:val="BodyText"/>
              <w:spacing w:before="120" w:after="120"/>
              <w:rPr>
                <w:rFonts w:ascii="Times New Roman" w:hAnsi="Times New Roman" w:cs="Times New Roman"/>
                <w:lang w:val="en-GB"/>
              </w:rPr>
            </w:pPr>
            <w:r w:rsidRPr="00FE3C59">
              <w:rPr>
                <w:rFonts w:ascii="Times New Roman" w:eastAsia="Times New Roman" w:hAnsi="Times New Roman" w:cs="Times New Roman"/>
                <w:lang w:val="en-GB"/>
              </w:rPr>
              <w:t>The sum of weighted sensitivities (</w:t>
            </w:r>
            <m:oMath>
              <m:sSub>
                <m:sSubPr>
                  <m:ctrlPr>
                    <w:rPr>
                      <w:rFonts w:ascii="Cambria Math" w:eastAsia="Times New Roman" w:hAnsi="Cambria Math" w:cs="Times New Roman"/>
                      <w:lang w:val="en-GB"/>
                    </w:rPr>
                  </m:ctrlPr>
                </m:sSubPr>
                <m:e>
                  <m:r>
                    <w:rPr>
                      <w:rFonts w:ascii="Cambria Math" w:eastAsia="Times New Roman" w:hAnsi="Cambria Math" w:cs="Times New Roman"/>
                      <w:lang w:val="en-GB"/>
                    </w:rPr>
                    <m:t>S</m:t>
                  </m:r>
                </m:e>
                <m:sub>
                  <m:r>
                    <w:rPr>
                      <w:rFonts w:ascii="Cambria Math" w:eastAsia="Times New Roman" w:hAnsi="Cambria Math" w:cs="Times New Roman"/>
                      <w:lang w:val="en-GB"/>
                    </w:rPr>
                    <m:t>b</m:t>
                  </m:r>
                </m:sub>
              </m:sSub>
              <m:r>
                <m:rPr>
                  <m:sty m:val="p"/>
                </m:rPr>
                <w:rPr>
                  <w:rFonts w:ascii="Cambria Math" w:eastAsia="Times New Roman" w:hAnsi="Cambria Math" w:cs="Times New Roman"/>
                  <w:lang w:val="en-GB"/>
                </w:rPr>
                <m:t>=</m:t>
              </m:r>
              <m:sSub>
                <m:sSubPr>
                  <m:ctrlPr>
                    <w:rPr>
                      <w:rFonts w:ascii="Cambria Math" w:eastAsia="Times New Roman" w:hAnsi="Cambria Math" w:cs="Times New Roman"/>
                      <w:lang w:val="en-GB"/>
                    </w:rPr>
                  </m:ctrlPr>
                </m:sSubPr>
                <m:e>
                  <m:r>
                    <m:rPr>
                      <m:sty m:val="p"/>
                    </m:rPr>
                    <w:rPr>
                      <w:rFonts w:ascii="Cambria Math" w:eastAsia="Times New Roman" w:hAnsi="Cambria Math" w:cs="Times New Roman"/>
                      <w:lang w:val="en-GB"/>
                    </w:rPr>
                    <m:t>Σ</m:t>
                  </m:r>
                </m:e>
                <m:sub>
                  <m:r>
                    <w:rPr>
                      <w:rFonts w:ascii="Cambria Math" w:eastAsia="Times New Roman" w:hAnsi="Cambria Math" w:cs="Times New Roman"/>
                      <w:lang w:val="en-GB"/>
                    </w:rPr>
                    <m:t>k</m:t>
                  </m:r>
                </m:sub>
              </m:sSub>
              <m:r>
                <w:rPr>
                  <w:rFonts w:ascii="Cambria Math" w:eastAsia="Times New Roman" w:hAnsi="Cambria Math" w:cs="Times New Roman"/>
                  <w:lang w:val="en-GB"/>
                </w:rPr>
                <m:t>W</m:t>
              </m:r>
              <m:sSub>
                <m:sSubPr>
                  <m:ctrlPr>
                    <w:rPr>
                      <w:rFonts w:ascii="Cambria Math" w:eastAsia="Times New Roman" w:hAnsi="Cambria Math" w:cs="Times New Roman"/>
                      <w:lang w:val="en-GB"/>
                    </w:rPr>
                  </m:ctrlPr>
                </m:sSubPr>
                <m:e>
                  <m:r>
                    <w:rPr>
                      <w:rFonts w:ascii="Cambria Math" w:eastAsia="Times New Roman" w:hAnsi="Cambria Math" w:cs="Times New Roman"/>
                      <w:lang w:val="en-GB"/>
                    </w:rPr>
                    <m:t>S</m:t>
                  </m:r>
                </m:e>
                <m:sub>
                  <m:r>
                    <w:rPr>
                      <w:rFonts w:ascii="Cambria Math" w:eastAsia="Times New Roman" w:hAnsi="Cambria Math" w:cs="Times New Roman"/>
                      <w:lang w:val="en-GB"/>
                    </w:rPr>
                    <m:t>k</m:t>
                  </m:r>
                </m:sub>
              </m:sSub>
            </m:oMath>
            <w:r w:rsidRPr="00FE3C59">
              <w:rPr>
                <w:rFonts w:ascii="Times New Roman" w:eastAsia="Times New Roman" w:hAnsi="Times New Roman" w:cs="Times New Roman"/>
                <w:lang w:val="en-GB"/>
              </w:rPr>
              <w:t>) as defined for the purposes of the aggregation within each bucket in Article 325f(8) of Regulation (EU) No 575/2013 shall be reported.</w:t>
            </w:r>
          </w:p>
        </w:tc>
      </w:tr>
      <w:tr w:rsidR="006452DD" w:rsidRPr="00FE3C59" w14:paraId="244681DC" w14:textId="77777777" w:rsidTr="1BD18A93">
        <w:tc>
          <w:tcPr>
            <w:tcW w:w="1043" w:type="dxa"/>
          </w:tcPr>
          <w:p w14:paraId="5E95333B" w14:textId="037FD48D" w:rsidR="00AA14AF" w:rsidRPr="00FE3C59" w:rsidRDefault="006452DD" w:rsidP="00E30CB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0350</w:t>
            </w:r>
          </w:p>
        </w:tc>
        <w:tc>
          <w:tcPr>
            <w:tcW w:w="7973" w:type="dxa"/>
            <w:vAlign w:val="bottom"/>
          </w:tcPr>
          <w:p w14:paraId="3223010E" w14:textId="77777777" w:rsidR="006452DD" w:rsidRPr="00FE3C59" w:rsidRDefault="1E3734B1" w:rsidP="006452D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Delta Risk</w:t>
            </w:r>
          </w:p>
          <w:p w14:paraId="1CDB4DDB" w14:textId="340DDE61" w:rsidR="007453B4" w:rsidRPr="00FE3C59" w:rsidRDefault="00E914C3" w:rsidP="0D1CB00F">
            <w:pPr>
              <w:spacing w:before="120" w:after="120" w:line="288" w:lineRule="auto"/>
              <w:rPr>
                <w:rFonts w:ascii="Times New Roman" w:hAnsi="Times New Roman" w:cs="Times New Roman"/>
              </w:rPr>
            </w:pPr>
            <w:r w:rsidRPr="00FE3C59">
              <w:rPr>
                <w:rFonts w:ascii="Times New Roman" w:eastAsia="Times New Roman" w:hAnsi="Times New Roman" w:cs="Times New Roman"/>
                <w:sz w:val="24"/>
                <w:szCs w:val="24"/>
              </w:rPr>
              <w:t>Article</w:t>
            </w:r>
            <w:r w:rsidR="0D1CB00F" w:rsidRPr="00FE3C59">
              <w:rPr>
                <w:rFonts w:ascii="Times New Roman" w:eastAsia="Times New Roman" w:hAnsi="Times New Roman" w:cs="Times New Roman"/>
                <w:sz w:val="24"/>
                <w:szCs w:val="24"/>
              </w:rPr>
              <w:t xml:space="preserve"> 325f(8)</w:t>
            </w:r>
            <w:r w:rsidR="00FD7136" w:rsidRPr="00FE3C59">
              <w:rPr>
                <w:rFonts w:ascii="Times New Roman" w:eastAsia="Times New Roman" w:hAnsi="Times New Roman" w:cs="Times New Roman"/>
                <w:sz w:val="24"/>
                <w:szCs w:val="24"/>
              </w:rPr>
              <w:t xml:space="preserve"> of Regulation (EU) No 575/2013</w:t>
            </w:r>
          </w:p>
        </w:tc>
      </w:tr>
      <w:tr w:rsidR="006452DD" w:rsidRPr="00FE3C59" w14:paraId="377EB4E4" w14:textId="77777777" w:rsidTr="1BD18A93">
        <w:tc>
          <w:tcPr>
            <w:tcW w:w="1043" w:type="dxa"/>
          </w:tcPr>
          <w:p w14:paraId="622ADF38" w14:textId="5DBDB0E1" w:rsidR="00AA14AF" w:rsidRPr="00FE3C59" w:rsidRDefault="006452DD" w:rsidP="00E30CB2">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0360</w:t>
            </w:r>
          </w:p>
        </w:tc>
        <w:tc>
          <w:tcPr>
            <w:tcW w:w="7973" w:type="dxa"/>
            <w:vAlign w:val="bottom"/>
          </w:tcPr>
          <w:p w14:paraId="28F65CF4" w14:textId="77777777" w:rsidR="006452DD" w:rsidRPr="00FE3C59" w:rsidRDefault="1E3734B1" w:rsidP="006452D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Vega Risk</w:t>
            </w:r>
          </w:p>
          <w:p w14:paraId="21C2568A" w14:textId="60C74B36" w:rsidR="007453B4" w:rsidRPr="00FE3C59" w:rsidRDefault="00E914C3" w:rsidP="0D1CB00F">
            <w:pPr>
              <w:spacing w:before="120" w:after="120" w:line="288" w:lineRule="auto"/>
              <w:rPr>
                <w:rFonts w:ascii="Times New Roman" w:hAnsi="Times New Roman" w:cs="Times New Roman"/>
              </w:rPr>
            </w:pPr>
            <w:r w:rsidRPr="00FE3C59">
              <w:rPr>
                <w:rFonts w:ascii="Times New Roman" w:eastAsia="Times New Roman" w:hAnsi="Times New Roman" w:cs="Times New Roman"/>
                <w:sz w:val="24"/>
                <w:szCs w:val="24"/>
              </w:rPr>
              <w:t>Article</w:t>
            </w:r>
            <w:r w:rsidR="0D1CB00F" w:rsidRPr="00FE3C59">
              <w:rPr>
                <w:rFonts w:ascii="Times New Roman" w:eastAsia="Times New Roman" w:hAnsi="Times New Roman" w:cs="Times New Roman"/>
                <w:sz w:val="24"/>
                <w:szCs w:val="24"/>
              </w:rPr>
              <w:t xml:space="preserve"> 325f(8)</w:t>
            </w:r>
            <w:r w:rsidR="00FD7136" w:rsidRPr="00FE3C59">
              <w:rPr>
                <w:rFonts w:ascii="Times New Roman" w:eastAsia="Times New Roman" w:hAnsi="Times New Roman" w:cs="Times New Roman"/>
                <w:sz w:val="24"/>
                <w:szCs w:val="24"/>
              </w:rPr>
              <w:t xml:space="preserve"> of Regulation (EU) No 575/2013</w:t>
            </w:r>
          </w:p>
        </w:tc>
      </w:tr>
      <w:tr w:rsidR="006452DD" w:rsidRPr="00FE3C59" w14:paraId="4B79BFD5" w14:textId="77777777" w:rsidTr="1BD18A93">
        <w:tc>
          <w:tcPr>
            <w:tcW w:w="1043" w:type="dxa"/>
          </w:tcPr>
          <w:p w14:paraId="2C703909" w14:textId="4771D51C" w:rsidR="00AA14AF" w:rsidRPr="00FE3C59" w:rsidRDefault="006452DD" w:rsidP="00BD2865">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037</w:t>
            </w:r>
            <w:r w:rsidR="00BD2865" w:rsidRPr="00FE3C59">
              <w:rPr>
                <w:rFonts w:ascii="Times New Roman" w:hAnsi="Times New Roman" w:cs="Times New Roman"/>
                <w:lang w:val="en-GB"/>
              </w:rPr>
              <w:t>0</w:t>
            </w:r>
          </w:p>
        </w:tc>
        <w:tc>
          <w:tcPr>
            <w:tcW w:w="7973" w:type="dxa"/>
            <w:vAlign w:val="bottom"/>
          </w:tcPr>
          <w:p w14:paraId="36487609" w14:textId="0881FCEB"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Sum of curvature risk positions </w:t>
            </w:r>
            <w:r w:rsidR="00BD2865"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w:t>
            </w:r>
            <w:r w:rsidR="00BD2865" w:rsidRPr="00FE3C59">
              <w:rPr>
                <w:rFonts w:ascii="Times New Roman" w:hAnsi="Times New Roman" w:cs="Times New Roman"/>
                <w:b/>
                <w:u w:val="single"/>
                <w:lang w:val="en-GB"/>
              </w:rPr>
              <w:t>C</w:t>
            </w:r>
            <w:r w:rsidRPr="00FE3C59">
              <w:rPr>
                <w:rFonts w:ascii="Times New Roman" w:hAnsi="Times New Roman" w:cs="Times New Roman"/>
                <w:b/>
                <w:u w:val="single"/>
                <w:lang w:val="en-GB"/>
              </w:rPr>
              <w:t>urvature risk</w:t>
            </w:r>
          </w:p>
          <w:p w14:paraId="541C7C60" w14:textId="6360176E" w:rsidR="006637AB" w:rsidRPr="00FE3C59" w:rsidRDefault="00E914C3" w:rsidP="1BD18A93">
            <w:pPr>
              <w:spacing w:before="120" w:after="120" w:line="288" w:lineRule="auto"/>
              <w:rPr>
                <w:rFonts w:ascii="Times New Roman" w:eastAsia="Times New Roman" w:hAnsi="Times New Roman" w:cs="Times New Roman"/>
                <w:sz w:val="24"/>
                <w:szCs w:val="24"/>
              </w:rPr>
            </w:pPr>
            <w:r w:rsidRPr="00FE3C59">
              <w:rPr>
                <w:rFonts w:ascii="Times New Roman" w:eastAsia="Times New Roman" w:hAnsi="Times New Roman" w:cs="Times New Roman"/>
                <w:sz w:val="24"/>
                <w:szCs w:val="24"/>
              </w:rPr>
              <w:t>Article</w:t>
            </w:r>
            <w:r w:rsidR="00BD2865" w:rsidRPr="00FE3C59">
              <w:rPr>
                <w:rFonts w:ascii="Times New Roman" w:eastAsia="Times New Roman" w:hAnsi="Times New Roman" w:cs="Times New Roman"/>
                <w:sz w:val="24"/>
                <w:szCs w:val="24"/>
              </w:rPr>
              <w:t>s</w:t>
            </w:r>
            <w:r w:rsidRPr="00FE3C59">
              <w:rPr>
                <w:rFonts w:ascii="Times New Roman" w:eastAsia="Times New Roman" w:hAnsi="Times New Roman" w:cs="Times New Roman"/>
                <w:sz w:val="24"/>
                <w:szCs w:val="24"/>
              </w:rPr>
              <w:t xml:space="preserve"> </w:t>
            </w:r>
            <w:r w:rsidR="0D1CB00F" w:rsidRPr="00FE3C59">
              <w:rPr>
                <w:rFonts w:ascii="Times New Roman" w:eastAsia="Times New Roman" w:hAnsi="Times New Roman" w:cs="Times New Roman"/>
                <w:sz w:val="24"/>
                <w:szCs w:val="24"/>
              </w:rPr>
              <w:t>325g(6)</w:t>
            </w:r>
            <w:r w:rsidR="00241DB7" w:rsidRPr="00FE3C59">
              <w:rPr>
                <w:rFonts w:ascii="Times New Roman" w:eastAsia="Times New Roman" w:hAnsi="Times New Roman" w:cs="Times New Roman"/>
                <w:sz w:val="24"/>
                <w:szCs w:val="24"/>
              </w:rPr>
              <w:t xml:space="preserve"> </w:t>
            </w:r>
            <w:r w:rsidR="00FD7136" w:rsidRPr="00FE3C59">
              <w:rPr>
                <w:rFonts w:ascii="Times New Roman" w:eastAsia="Times New Roman" w:hAnsi="Times New Roman" w:cs="Times New Roman"/>
                <w:sz w:val="24"/>
                <w:szCs w:val="24"/>
              </w:rPr>
              <w:t xml:space="preserve">of Regulation (EU) No </w:t>
            </w:r>
            <w:r w:rsidR="006637AB" w:rsidRPr="00FE3C59">
              <w:rPr>
                <w:rFonts w:ascii="Times New Roman" w:eastAsia="Times New Roman" w:hAnsi="Times New Roman" w:cs="Times New Roman"/>
                <w:sz w:val="24"/>
                <w:szCs w:val="24"/>
              </w:rPr>
              <w:t>575/2013</w:t>
            </w:r>
          </w:p>
          <w:p w14:paraId="6848C9FC" w14:textId="3FB74829" w:rsidR="007453B4" w:rsidRPr="00FE3C59" w:rsidRDefault="1BD18A93" w:rsidP="1BD18A93">
            <w:pPr>
              <w:pStyle w:val="BodyText"/>
              <w:spacing w:before="120" w:after="120"/>
              <w:rPr>
                <w:rFonts w:ascii="Times New Roman" w:eastAsia="Times New Roman" w:hAnsi="Times New Roman" w:cs="Times New Roman"/>
                <w:lang w:val="en-GB"/>
              </w:rPr>
            </w:pPr>
            <w:r w:rsidRPr="00FE3C59">
              <w:rPr>
                <w:rFonts w:ascii="Times New Roman" w:eastAsia="Times New Roman" w:hAnsi="Times New Roman" w:cs="Times New Roman"/>
                <w:lang w:val="en-GB"/>
              </w:rPr>
              <w:t>Institutions shall report the sum of curvature risk positions</w:t>
            </w:r>
            <w:r w:rsidR="002B78ED" w:rsidRPr="00FE3C59">
              <w:rPr>
                <w:rFonts w:ascii="Times New Roman" w:eastAsia="Times New Roman" w:hAnsi="Times New Roman" w:cs="Times New Roman"/>
                <w:lang w:val="en-GB"/>
              </w:rPr>
              <w:t xml:space="preserve"> (</w:t>
            </w:r>
            <m:oMath>
              <m:sSub>
                <m:sSubPr>
                  <m:ctrlPr>
                    <w:rPr>
                      <w:rFonts w:ascii="Cambria Math" w:eastAsia="Times New Roman" w:hAnsi="Cambria Math" w:cs="Times New Roman"/>
                      <w:i/>
                      <w:lang w:val="en-GB"/>
                    </w:rPr>
                  </m:ctrlPr>
                </m:sSubPr>
                <m:e>
                  <m:r>
                    <w:rPr>
                      <w:rFonts w:ascii="Cambria Math" w:eastAsia="Times New Roman" w:hAnsi="Cambria Math" w:cs="Times New Roman"/>
                      <w:lang w:val="en-GB"/>
                    </w:rPr>
                    <m:t>S</m:t>
                  </m:r>
                </m:e>
                <m:sub>
                  <m:r>
                    <w:rPr>
                      <w:rFonts w:ascii="Cambria Math" w:eastAsia="Times New Roman" w:hAnsi="Cambria Math" w:cs="Times New Roman"/>
                      <w:lang w:val="en-GB"/>
                    </w:rPr>
                    <m:t>b</m:t>
                  </m:r>
                </m:sub>
              </m:sSub>
              <m:r>
                <w:rPr>
                  <w:rFonts w:ascii="Cambria Math" w:eastAsia="Times New Roman" w:hAnsi="Cambria Math" w:cs="Times New Roman"/>
                  <w:lang w:val="en-GB"/>
                </w:rPr>
                <m:t>)</m:t>
              </m:r>
            </m:oMath>
            <w:r w:rsidRPr="00FE3C59">
              <w:rPr>
                <w:rFonts w:ascii="Times New Roman" w:eastAsia="Times New Roman" w:hAnsi="Times New Roman" w:cs="Times New Roman"/>
                <w:lang w:val="en-GB"/>
              </w:rPr>
              <w:t xml:space="preserve"> as defined for the purposes of the aggregation across buckets in </w:t>
            </w:r>
            <w:r w:rsidR="00E914C3" w:rsidRPr="00FE3C59">
              <w:rPr>
                <w:rFonts w:ascii="Times New Roman" w:eastAsia="Times New Roman" w:hAnsi="Times New Roman" w:cs="Times New Roman"/>
                <w:lang w:val="en-GB"/>
              </w:rPr>
              <w:t>Article</w:t>
            </w:r>
            <w:r w:rsidRPr="00FE3C59">
              <w:rPr>
                <w:rFonts w:ascii="Times New Roman" w:eastAsia="Times New Roman" w:hAnsi="Times New Roman" w:cs="Times New Roman"/>
                <w:lang w:val="en-GB"/>
              </w:rPr>
              <w:t xml:space="preserve"> 325g(6) of Regulation (EU) No 575/2013. </w:t>
            </w:r>
          </w:p>
        </w:tc>
      </w:tr>
      <w:tr w:rsidR="006452DD" w:rsidRPr="00FE3C59" w14:paraId="57DF4FBE" w14:textId="77777777" w:rsidTr="1BD18A93">
        <w:tc>
          <w:tcPr>
            <w:tcW w:w="1043" w:type="dxa"/>
          </w:tcPr>
          <w:p w14:paraId="4F8C57C9" w14:textId="65536A77"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0380-0460</w:t>
            </w:r>
          </w:p>
        </w:tc>
        <w:tc>
          <w:tcPr>
            <w:tcW w:w="7973" w:type="dxa"/>
            <w:vAlign w:val="bottom"/>
          </w:tcPr>
          <w:p w14:paraId="2ABB2216" w14:textId="75583305"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Own funds requirements </w:t>
            </w:r>
            <w:r w:rsidR="00B30779" w:rsidRPr="00FE3C59">
              <w:rPr>
                <w:rFonts w:ascii="Times New Roman" w:hAnsi="Times New Roman" w:cs="Times New Roman"/>
                <w:b/>
                <w:u w:val="single"/>
                <w:lang w:val="en-GB"/>
              </w:rPr>
              <w:t xml:space="preserve">in </w:t>
            </w:r>
            <w:r w:rsidRPr="00FE3C59">
              <w:rPr>
                <w:rFonts w:ascii="Times New Roman" w:hAnsi="Times New Roman" w:cs="Times New Roman"/>
                <w:b/>
                <w:u w:val="single"/>
                <w:lang w:val="en-GB"/>
              </w:rPr>
              <w:t>the different scenarios</w:t>
            </w:r>
          </w:p>
          <w:p w14:paraId="5610A6E4" w14:textId="4718558A" w:rsidR="00922CB6" w:rsidRPr="00FE3C59" w:rsidRDefault="00922CB6" w:rsidP="00BC3D68">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The own funds requirements calculated on the basis of the sensitivities–based method for delta, vega and curvature risks in each of the three scenarios referred to in Article 325h of Regulation (EU) No 575/2013 shall be reported.</w:t>
            </w:r>
          </w:p>
        </w:tc>
      </w:tr>
      <w:tr w:rsidR="006452DD" w:rsidRPr="00FE3C59" w14:paraId="3F64E99A" w14:textId="77777777" w:rsidTr="1BD18A93">
        <w:tc>
          <w:tcPr>
            <w:tcW w:w="1043" w:type="dxa"/>
          </w:tcPr>
          <w:p w14:paraId="7D1BFC85" w14:textId="4C284BAB"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0380-0400</w:t>
            </w:r>
          </w:p>
        </w:tc>
        <w:tc>
          <w:tcPr>
            <w:tcW w:w="7973" w:type="dxa"/>
            <w:vAlign w:val="bottom"/>
          </w:tcPr>
          <w:p w14:paraId="0A8738E5" w14:textId="77777777"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Low correlation scenario</w:t>
            </w:r>
          </w:p>
          <w:p w14:paraId="35B36CE2" w14:textId="732B3649" w:rsidR="007453B4" w:rsidRPr="00FE3C59" w:rsidRDefault="00E914C3" w:rsidP="00BC3D68">
            <w:pPr>
              <w:spacing w:before="120" w:after="120" w:line="288" w:lineRule="auto"/>
              <w:rPr>
                <w:rFonts w:ascii="Times New Roman" w:hAnsi="Times New Roman" w:cs="Times New Roman"/>
              </w:rPr>
            </w:pPr>
            <w:r w:rsidRPr="00FE3C59">
              <w:rPr>
                <w:rFonts w:ascii="Times New Roman" w:eastAsia="Times New Roman" w:hAnsi="Times New Roman" w:cs="Times New Roman"/>
                <w:sz w:val="24"/>
                <w:szCs w:val="24"/>
              </w:rPr>
              <w:t xml:space="preserve">Article </w:t>
            </w:r>
            <w:r w:rsidR="0D1CB00F" w:rsidRPr="00FE3C59">
              <w:rPr>
                <w:rFonts w:ascii="Times New Roman" w:eastAsia="Times New Roman" w:hAnsi="Times New Roman" w:cs="Times New Roman"/>
                <w:sz w:val="24"/>
                <w:szCs w:val="24"/>
              </w:rPr>
              <w:t>325h(2)</w:t>
            </w:r>
            <w:r w:rsidR="000E2697" w:rsidRPr="00FE3C59">
              <w:rPr>
                <w:rFonts w:ascii="Times New Roman" w:eastAsia="Times New Roman" w:hAnsi="Times New Roman" w:cs="Times New Roman"/>
                <w:sz w:val="24"/>
                <w:szCs w:val="24"/>
              </w:rPr>
              <w:t xml:space="preserve">, point </w:t>
            </w:r>
            <w:r w:rsidR="0D1CB00F" w:rsidRPr="00FE3C59">
              <w:rPr>
                <w:rFonts w:ascii="Times New Roman" w:eastAsia="Times New Roman" w:hAnsi="Times New Roman" w:cs="Times New Roman"/>
                <w:sz w:val="24"/>
                <w:szCs w:val="24"/>
              </w:rPr>
              <w:t>(c)</w:t>
            </w:r>
            <w:r w:rsidR="000E2697" w:rsidRPr="00FE3C59">
              <w:rPr>
                <w:rFonts w:ascii="Times New Roman" w:eastAsia="Times New Roman" w:hAnsi="Times New Roman" w:cs="Times New Roman"/>
                <w:sz w:val="24"/>
                <w:szCs w:val="24"/>
              </w:rPr>
              <w:t>,</w:t>
            </w:r>
            <w:r w:rsidR="00FD7136" w:rsidRPr="00FE3C59">
              <w:rPr>
                <w:rFonts w:ascii="Times New Roman" w:eastAsia="Times New Roman" w:hAnsi="Times New Roman" w:cs="Times New Roman"/>
                <w:sz w:val="24"/>
                <w:szCs w:val="24"/>
              </w:rPr>
              <w:t xml:space="preserve"> of Regulation (EU) No </w:t>
            </w:r>
            <w:r w:rsidR="006637AB" w:rsidRPr="00FE3C59">
              <w:rPr>
                <w:rFonts w:ascii="Times New Roman" w:eastAsia="Times New Roman" w:hAnsi="Times New Roman" w:cs="Times New Roman"/>
                <w:sz w:val="24"/>
                <w:szCs w:val="24"/>
              </w:rPr>
              <w:t>575/2013</w:t>
            </w:r>
          </w:p>
        </w:tc>
      </w:tr>
      <w:tr w:rsidR="006452DD" w:rsidRPr="00FE3C59" w14:paraId="3865F24A" w14:textId="77777777" w:rsidTr="1BD18A93">
        <w:tc>
          <w:tcPr>
            <w:tcW w:w="1043" w:type="dxa"/>
          </w:tcPr>
          <w:p w14:paraId="54F9E77D" w14:textId="0BFF8A1D" w:rsidR="00910DB8"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0380</w:t>
            </w:r>
          </w:p>
        </w:tc>
        <w:tc>
          <w:tcPr>
            <w:tcW w:w="7973" w:type="dxa"/>
            <w:vAlign w:val="bottom"/>
          </w:tcPr>
          <w:p w14:paraId="12328D5D" w14:textId="30646C7C" w:rsidR="001E56FF" w:rsidRPr="00FE3C59" w:rsidRDefault="1E3734B1"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6452DD" w:rsidRPr="00FE3C59" w14:paraId="5603F6E1" w14:textId="77777777" w:rsidTr="1BD18A93">
        <w:tc>
          <w:tcPr>
            <w:tcW w:w="1043" w:type="dxa"/>
          </w:tcPr>
          <w:p w14:paraId="1E2C583F" w14:textId="6EE1183B" w:rsidR="00910DB8"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0390</w:t>
            </w:r>
          </w:p>
        </w:tc>
        <w:tc>
          <w:tcPr>
            <w:tcW w:w="7973" w:type="dxa"/>
            <w:vAlign w:val="bottom"/>
          </w:tcPr>
          <w:p w14:paraId="26423BFC" w14:textId="70D50FBE" w:rsidR="001E56FF" w:rsidRPr="00FE3C59" w:rsidRDefault="1E3734B1"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Vega Risk</w:t>
            </w:r>
          </w:p>
        </w:tc>
      </w:tr>
      <w:tr w:rsidR="006452DD" w:rsidRPr="00FE3C59" w14:paraId="02F51520" w14:textId="77777777" w:rsidTr="1BD18A93">
        <w:tc>
          <w:tcPr>
            <w:tcW w:w="1043" w:type="dxa"/>
          </w:tcPr>
          <w:p w14:paraId="1FD8CBBA" w14:textId="0C99E930" w:rsidR="00910DB8"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0400</w:t>
            </w:r>
          </w:p>
        </w:tc>
        <w:tc>
          <w:tcPr>
            <w:tcW w:w="7973" w:type="dxa"/>
            <w:vAlign w:val="bottom"/>
          </w:tcPr>
          <w:p w14:paraId="5B0C53BB" w14:textId="1A03C2B3" w:rsidR="001E56FF" w:rsidRPr="00FE3C59" w:rsidRDefault="41331977" w:rsidP="1BD18A93">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 Risk</w:t>
            </w:r>
          </w:p>
        </w:tc>
      </w:tr>
      <w:tr w:rsidR="006452DD" w:rsidRPr="00FE3C59" w14:paraId="0135DC98" w14:textId="77777777" w:rsidTr="1BD18A93">
        <w:tc>
          <w:tcPr>
            <w:tcW w:w="1043" w:type="dxa"/>
          </w:tcPr>
          <w:p w14:paraId="3B1F7521" w14:textId="052D4464" w:rsidR="006452DD"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0410-0430</w:t>
            </w:r>
          </w:p>
        </w:tc>
        <w:tc>
          <w:tcPr>
            <w:tcW w:w="7973" w:type="dxa"/>
            <w:vAlign w:val="bottom"/>
          </w:tcPr>
          <w:p w14:paraId="7C92465C" w14:textId="7A31214C"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Medium correlation scenario</w:t>
            </w:r>
          </w:p>
          <w:p w14:paraId="40DD348D" w14:textId="79EDDB30" w:rsidR="001E56FF" w:rsidRPr="00FE3C59" w:rsidRDefault="00E914C3" w:rsidP="00BC3D68">
            <w:pPr>
              <w:spacing w:before="120" w:after="120" w:line="288" w:lineRule="auto"/>
              <w:rPr>
                <w:rFonts w:ascii="Times New Roman" w:hAnsi="Times New Roman" w:cs="Times New Roman"/>
              </w:rPr>
            </w:pPr>
            <w:r w:rsidRPr="00FE3C59">
              <w:rPr>
                <w:rFonts w:ascii="Times New Roman" w:eastAsia="Times New Roman" w:hAnsi="Times New Roman" w:cs="Times New Roman"/>
                <w:sz w:val="24"/>
                <w:szCs w:val="24"/>
              </w:rPr>
              <w:t xml:space="preserve">Article </w:t>
            </w:r>
            <w:r w:rsidR="0D1CB00F" w:rsidRPr="00FE3C59">
              <w:rPr>
                <w:rFonts w:ascii="Times New Roman" w:eastAsia="Times New Roman" w:hAnsi="Times New Roman" w:cs="Times New Roman"/>
                <w:sz w:val="24"/>
                <w:szCs w:val="24"/>
              </w:rPr>
              <w:t>325h(2)</w:t>
            </w:r>
            <w:r w:rsidR="000E2697" w:rsidRPr="00FE3C59">
              <w:rPr>
                <w:rFonts w:ascii="Times New Roman" w:eastAsia="Times New Roman" w:hAnsi="Times New Roman" w:cs="Times New Roman"/>
                <w:sz w:val="24"/>
                <w:szCs w:val="24"/>
              </w:rPr>
              <w:t xml:space="preserve">, point </w:t>
            </w:r>
            <w:r w:rsidR="0D1CB00F" w:rsidRPr="00FE3C59">
              <w:rPr>
                <w:rFonts w:ascii="Times New Roman" w:eastAsia="Times New Roman" w:hAnsi="Times New Roman" w:cs="Times New Roman"/>
                <w:sz w:val="24"/>
                <w:szCs w:val="24"/>
              </w:rPr>
              <w:t>(a)</w:t>
            </w:r>
            <w:r w:rsidR="000E2697" w:rsidRPr="00FE3C59">
              <w:rPr>
                <w:rFonts w:ascii="Times New Roman" w:eastAsia="Times New Roman" w:hAnsi="Times New Roman" w:cs="Times New Roman"/>
                <w:sz w:val="24"/>
                <w:szCs w:val="24"/>
              </w:rPr>
              <w:t>,</w:t>
            </w:r>
            <w:r w:rsidR="00FD7136" w:rsidRPr="00FE3C59">
              <w:rPr>
                <w:rFonts w:ascii="Times New Roman" w:eastAsia="Times New Roman" w:hAnsi="Times New Roman" w:cs="Times New Roman"/>
                <w:sz w:val="24"/>
                <w:szCs w:val="24"/>
              </w:rPr>
              <w:t xml:space="preserve"> of Regulation (EU) No </w:t>
            </w:r>
            <w:r w:rsidR="006637AB" w:rsidRPr="00FE3C59">
              <w:rPr>
                <w:rFonts w:ascii="Times New Roman" w:eastAsia="Times New Roman" w:hAnsi="Times New Roman" w:cs="Times New Roman"/>
                <w:sz w:val="24"/>
                <w:szCs w:val="24"/>
              </w:rPr>
              <w:t>575/2013</w:t>
            </w:r>
          </w:p>
        </w:tc>
      </w:tr>
      <w:tr w:rsidR="006452DD" w:rsidRPr="00FE3C59" w14:paraId="20F136CF" w14:textId="77777777" w:rsidTr="1BD18A93">
        <w:tc>
          <w:tcPr>
            <w:tcW w:w="1043" w:type="dxa"/>
          </w:tcPr>
          <w:p w14:paraId="7D354D60" w14:textId="6D30A8B4" w:rsidR="00910DB8" w:rsidRPr="00FE3C59" w:rsidRDefault="006452DD" w:rsidP="000E2697">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lastRenderedPageBreak/>
              <w:t>0410</w:t>
            </w:r>
          </w:p>
        </w:tc>
        <w:tc>
          <w:tcPr>
            <w:tcW w:w="7973" w:type="dxa"/>
            <w:vAlign w:val="bottom"/>
          </w:tcPr>
          <w:p w14:paraId="00E65FAE" w14:textId="69E71A03" w:rsidR="001E56FF" w:rsidRPr="00FE3C59" w:rsidRDefault="1E3734B1" w:rsidP="00BC3D6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6452DD" w:rsidRPr="00FE3C59" w14:paraId="1243A74D" w14:textId="77777777" w:rsidTr="1BD18A93">
        <w:tc>
          <w:tcPr>
            <w:tcW w:w="1043" w:type="dxa"/>
          </w:tcPr>
          <w:p w14:paraId="3B6415CA" w14:textId="1736C1BF" w:rsidR="00910DB8" w:rsidRPr="00FE3C59" w:rsidRDefault="006452DD" w:rsidP="000E2697">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0420</w:t>
            </w:r>
          </w:p>
        </w:tc>
        <w:tc>
          <w:tcPr>
            <w:tcW w:w="7973" w:type="dxa"/>
            <w:vAlign w:val="bottom"/>
          </w:tcPr>
          <w:p w14:paraId="09A4CC70" w14:textId="03678399" w:rsidR="001E56FF" w:rsidRPr="00FE3C59" w:rsidRDefault="1E3734B1" w:rsidP="00BC3D6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Vega Risk</w:t>
            </w:r>
          </w:p>
        </w:tc>
      </w:tr>
      <w:tr w:rsidR="006452DD" w:rsidRPr="00FE3C59" w14:paraId="5BA88EDA" w14:textId="77777777" w:rsidTr="1BD18A93">
        <w:tc>
          <w:tcPr>
            <w:tcW w:w="1043" w:type="dxa"/>
          </w:tcPr>
          <w:p w14:paraId="38DC3AF6" w14:textId="5C87C7C8" w:rsidR="00910DB8" w:rsidRPr="00FE3C59" w:rsidRDefault="006452DD" w:rsidP="000E2697">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0430</w:t>
            </w:r>
          </w:p>
        </w:tc>
        <w:tc>
          <w:tcPr>
            <w:tcW w:w="7973" w:type="dxa"/>
            <w:vAlign w:val="bottom"/>
          </w:tcPr>
          <w:p w14:paraId="73CEB2A6" w14:textId="18A3B661" w:rsidR="001E56FF" w:rsidRPr="00FE3C59" w:rsidRDefault="41331977" w:rsidP="00BC3D6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 Risk</w:t>
            </w:r>
          </w:p>
        </w:tc>
      </w:tr>
      <w:tr w:rsidR="006452DD" w:rsidRPr="00FE3C59" w14:paraId="211D4DD1" w14:textId="77777777" w:rsidTr="1BD18A93">
        <w:tc>
          <w:tcPr>
            <w:tcW w:w="1043" w:type="dxa"/>
          </w:tcPr>
          <w:p w14:paraId="69836F30" w14:textId="281C6F60" w:rsidR="00141431"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0440-0460</w:t>
            </w:r>
          </w:p>
        </w:tc>
        <w:tc>
          <w:tcPr>
            <w:tcW w:w="7973" w:type="dxa"/>
            <w:vAlign w:val="bottom"/>
          </w:tcPr>
          <w:p w14:paraId="32AEF619" w14:textId="7A31214C" w:rsidR="006452DD" w:rsidRPr="00FE3C59" w:rsidRDefault="41331977" w:rsidP="1BD18A9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High correlation scenario</w:t>
            </w:r>
          </w:p>
          <w:p w14:paraId="724D78B9" w14:textId="3BAD9C12" w:rsidR="001E56FF" w:rsidRPr="00FE3C59" w:rsidRDefault="00E914C3" w:rsidP="0D1CB00F">
            <w:pPr>
              <w:spacing w:before="120" w:after="120" w:line="288" w:lineRule="auto"/>
              <w:rPr>
                <w:rFonts w:ascii="Times New Roman" w:hAnsi="Times New Roman" w:cs="Times New Roman"/>
              </w:rPr>
            </w:pPr>
            <w:r w:rsidRPr="00FE3C59">
              <w:rPr>
                <w:rFonts w:ascii="Times New Roman" w:eastAsia="Times New Roman" w:hAnsi="Times New Roman" w:cs="Times New Roman"/>
                <w:sz w:val="24"/>
                <w:szCs w:val="24"/>
              </w:rPr>
              <w:t xml:space="preserve">Article </w:t>
            </w:r>
            <w:r w:rsidR="0D1CB00F" w:rsidRPr="00FE3C59">
              <w:rPr>
                <w:rFonts w:ascii="Times New Roman" w:eastAsia="Times New Roman" w:hAnsi="Times New Roman" w:cs="Times New Roman"/>
                <w:sz w:val="24"/>
                <w:szCs w:val="24"/>
              </w:rPr>
              <w:t>325h(2)</w:t>
            </w:r>
            <w:r w:rsidR="000E2697" w:rsidRPr="00FE3C59">
              <w:rPr>
                <w:rFonts w:ascii="Times New Roman" w:eastAsia="Times New Roman" w:hAnsi="Times New Roman" w:cs="Times New Roman"/>
                <w:sz w:val="24"/>
                <w:szCs w:val="24"/>
              </w:rPr>
              <w:t xml:space="preserve">, point </w:t>
            </w:r>
            <w:r w:rsidR="0D1CB00F" w:rsidRPr="00FE3C59">
              <w:rPr>
                <w:rFonts w:ascii="Times New Roman" w:eastAsia="Times New Roman" w:hAnsi="Times New Roman" w:cs="Times New Roman"/>
                <w:sz w:val="24"/>
                <w:szCs w:val="24"/>
              </w:rPr>
              <w:t>(b)</w:t>
            </w:r>
            <w:r w:rsidR="00FD7136" w:rsidRPr="00FE3C59">
              <w:rPr>
                <w:rFonts w:ascii="Times New Roman" w:eastAsia="Times New Roman" w:hAnsi="Times New Roman" w:cs="Times New Roman"/>
                <w:sz w:val="24"/>
                <w:szCs w:val="24"/>
              </w:rPr>
              <w:t xml:space="preserve"> of Regulation (EU) No </w:t>
            </w:r>
            <w:r w:rsidR="006637AB" w:rsidRPr="00FE3C59">
              <w:rPr>
                <w:rFonts w:ascii="Times New Roman" w:eastAsia="Times New Roman" w:hAnsi="Times New Roman" w:cs="Times New Roman"/>
                <w:sz w:val="24"/>
                <w:szCs w:val="24"/>
              </w:rPr>
              <w:t>575/2013</w:t>
            </w:r>
          </w:p>
        </w:tc>
      </w:tr>
      <w:tr w:rsidR="006452DD" w:rsidRPr="00FE3C59" w14:paraId="0474181B" w14:textId="77777777" w:rsidTr="1BD18A93">
        <w:tc>
          <w:tcPr>
            <w:tcW w:w="1043" w:type="dxa"/>
          </w:tcPr>
          <w:p w14:paraId="0433CA57" w14:textId="4844F752" w:rsidR="00910DB8"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0440</w:t>
            </w:r>
          </w:p>
        </w:tc>
        <w:tc>
          <w:tcPr>
            <w:tcW w:w="7973" w:type="dxa"/>
            <w:vAlign w:val="bottom"/>
          </w:tcPr>
          <w:p w14:paraId="51E6205B" w14:textId="2967BAA2" w:rsidR="001E56FF" w:rsidRPr="00FE3C59" w:rsidRDefault="1E3734B1" w:rsidP="00BC3D6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6452DD" w:rsidRPr="00FE3C59" w14:paraId="05F491D9" w14:textId="77777777" w:rsidTr="1BD18A93">
        <w:tc>
          <w:tcPr>
            <w:tcW w:w="1043" w:type="dxa"/>
          </w:tcPr>
          <w:p w14:paraId="56BC0C66" w14:textId="67FD4124" w:rsidR="00910DB8"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0450</w:t>
            </w:r>
          </w:p>
        </w:tc>
        <w:tc>
          <w:tcPr>
            <w:tcW w:w="7973" w:type="dxa"/>
            <w:vAlign w:val="bottom"/>
          </w:tcPr>
          <w:p w14:paraId="07348C3C" w14:textId="48CA19C9" w:rsidR="001E56FF" w:rsidRPr="00FE3C59" w:rsidRDefault="1E3734B1" w:rsidP="00BC3D6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Vega Risk</w:t>
            </w:r>
          </w:p>
        </w:tc>
      </w:tr>
      <w:tr w:rsidR="006452DD" w:rsidRPr="00FE3C59" w14:paraId="2A8A4628" w14:textId="77777777" w:rsidTr="1BD18A93">
        <w:tc>
          <w:tcPr>
            <w:tcW w:w="1043" w:type="dxa"/>
          </w:tcPr>
          <w:p w14:paraId="17E62788" w14:textId="54F5C5B2" w:rsidR="00910DB8" w:rsidRPr="00FE3C59" w:rsidRDefault="006452DD"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0460</w:t>
            </w:r>
          </w:p>
        </w:tc>
        <w:tc>
          <w:tcPr>
            <w:tcW w:w="7973" w:type="dxa"/>
            <w:vAlign w:val="bottom"/>
          </w:tcPr>
          <w:p w14:paraId="738759BB" w14:textId="0660A724" w:rsidR="001E56FF" w:rsidRPr="00FE3C59" w:rsidRDefault="41331977" w:rsidP="00BC3D6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 Risk</w:t>
            </w:r>
          </w:p>
        </w:tc>
      </w:tr>
    </w:tbl>
    <w:p w14:paraId="6DAACDE4" w14:textId="77777777" w:rsidR="00C65F1F" w:rsidRPr="00FE3C59" w:rsidRDefault="00C65F1F" w:rsidP="00C65F1F">
      <w:pPr>
        <w:rPr>
          <w:rFonts w:ascii="Times New Roman" w:hAnsi="Times New Roman" w:cs="Times New Roman"/>
        </w:rPr>
      </w:pPr>
    </w:p>
    <w:tbl>
      <w:tblPr>
        <w:tblStyle w:val="TableGrid"/>
        <w:tblW w:w="0" w:type="auto"/>
        <w:tblLook w:val="04A0" w:firstRow="1" w:lastRow="0" w:firstColumn="1" w:lastColumn="0" w:noHBand="0" w:noVBand="1"/>
      </w:tblPr>
      <w:tblGrid>
        <w:gridCol w:w="1043"/>
        <w:gridCol w:w="7973"/>
      </w:tblGrid>
      <w:tr w:rsidR="00C65F1F" w:rsidRPr="00FE3C59" w14:paraId="6AB480C6" w14:textId="77777777" w:rsidTr="3F965E88">
        <w:tc>
          <w:tcPr>
            <w:tcW w:w="1043" w:type="dxa"/>
            <w:shd w:val="clear" w:color="auto" w:fill="BFBFBF" w:themeFill="background1" w:themeFillShade="BF"/>
          </w:tcPr>
          <w:p w14:paraId="4CA9A2D5"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22D89AB9"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0E2697" w:rsidRPr="00FE3C59" w14:paraId="6A18D4EB" w14:textId="77777777" w:rsidTr="3F965E88">
        <w:tc>
          <w:tcPr>
            <w:tcW w:w="1043" w:type="dxa"/>
          </w:tcPr>
          <w:p w14:paraId="1D22A09B" w14:textId="0A3C53BE" w:rsidR="000E2697" w:rsidRPr="00FE3C59" w:rsidRDefault="000E2697"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0010-0120</w:t>
            </w:r>
          </w:p>
        </w:tc>
        <w:tc>
          <w:tcPr>
            <w:tcW w:w="7973" w:type="dxa"/>
          </w:tcPr>
          <w:p w14:paraId="547820D1" w14:textId="77777777" w:rsidR="000E2697" w:rsidRPr="00FE3C59" w:rsidRDefault="000E2697"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ID: Bucket</w:t>
            </w:r>
          </w:p>
          <w:p w14:paraId="1F8FC8D8" w14:textId="1B7F5572" w:rsidR="000E2697" w:rsidRPr="00FE3C59" w:rsidRDefault="000E2697"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325as of Regulation (EU) No 575/2013</w:t>
            </w:r>
          </w:p>
        </w:tc>
      </w:tr>
      <w:tr w:rsidR="00A71B94" w:rsidRPr="00FE3C59" w14:paraId="5E2A6BDF" w14:textId="77777777" w:rsidTr="3F965E88">
        <w:tc>
          <w:tcPr>
            <w:tcW w:w="1043" w:type="dxa"/>
          </w:tcPr>
          <w:p w14:paraId="3E55C14F" w14:textId="5774D1B3" w:rsidR="00BB2F8B" w:rsidRPr="00FE3C59" w:rsidRDefault="00A71B94"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0010</w:t>
            </w:r>
          </w:p>
        </w:tc>
        <w:tc>
          <w:tcPr>
            <w:tcW w:w="7973" w:type="dxa"/>
            <w:vAlign w:val="bottom"/>
          </w:tcPr>
          <w:p w14:paraId="7AE5D507" w14:textId="7D31B4A8" w:rsidR="00D04518" w:rsidRPr="00FE3C59" w:rsidRDefault="531A3C2E" w:rsidP="000E2697">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1: Energy — solid combustibles</w:t>
            </w:r>
          </w:p>
        </w:tc>
      </w:tr>
      <w:tr w:rsidR="00A71B94" w:rsidRPr="00FE3C59" w14:paraId="7681B3B4" w14:textId="77777777" w:rsidTr="3F965E88">
        <w:tc>
          <w:tcPr>
            <w:tcW w:w="1043" w:type="dxa"/>
          </w:tcPr>
          <w:p w14:paraId="0345FB1D" w14:textId="2DFE6ED6" w:rsidR="00BB2F8B" w:rsidRPr="00FE3C59" w:rsidRDefault="00A71B94"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0020</w:t>
            </w:r>
          </w:p>
        </w:tc>
        <w:tc>
          <w:tcPr>
            <w:tcW w:w="7973" w:type="dxa"/>
            <w:vAlign w:val="bottom"/>
          </w:tcPr>
          <w:p w14:paraId="2EBF2881" w14:textId="4419D28C" w:rsidR="00D04518" w:rsidRPr="00FE3C59" w:rsidRDefault="531A3C2E" w:rsidP="000E2697">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2: Energy — liquid combustibles</w:t>
            </w:r>
          </w:p>
        </w:tc>
      </w:tr>
      <w:tr w:rsidR="00A71B94" w:rsidRPr="00FE3C59" w14:paraId="61914EEC" w14:textId="77777777" w:rsidTr="3F965E88">
        <w:tc>
          <w:tcPr>
            <w:tcW w:w="1043" w:type="dxa"/>
          </w:tcPr>
          <w:p w14:paraId="7E8C69B9" w14:textId="085B51F6" w:rsidR="00BB2F8B" w:rsidRPr="00FE3C59" w:rsidRDefault="00A71B94"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0030</w:t>
            </w:r>
          </w:p>
        </w:tc>
        <w:tc>
          <w:tcPr>
            <w:tcW w:w="7973" w:type="dxa"/>
            <w:vAlign w:val="bottom"/>
          </w:tcPr>
          <w:p w14:paraId="6FBFC250" w14:textId="64860DA2" w:rsidR="00D04518" w:rsidRPr="00FE3C59" w:rsidRDefault="4B659091" w:rsidP="000E2697">
            <w:pPr>
              <w:spacing w:before="120" w:after="120" w:line="288" w:lineRule="auto"/>
              <w:rPr>
                <w:rFonts w:ascii="Times New Roman" w:hAnsi="Times New Roman" w:cs="Times New Roman"/>
                <w:strike/>
              </w:rPr>
            </w:pPr>
            <w:r w:rsidRPr="00FE3C59">
              <w:rPr>
                <w:rFonts w:ascii="Times New Roman" w:hAnsi="Times New Roman" w:cs="Times New Roman"/>
                <w:b/>
                <w:bCs/>
                <w:u w:val="single"/>
              </w:rPr>
              <w:t>Bucket 3: Energy — electricity</w:t>
            </w:r>
            <w:r w:rsidR="49E44EEE" w:rsidRPr="00FE3C59">
              <w:rPr>
                <w:rFonts w:ascii="Times New Roman" w:hAnsi="Times New Roman" w:cs="Times New Roman"/>
                <w:b/>
                <w:bCs/>
                <w:u w:val="single"/>
              </w:rPr>
              <w:t xml:space="preserve"> </w:t>
            </w:r>
            <w:r w:rsidR="49E44EEE" w:rsidRPr="00FE3C59">
              <w:rPr>
                <w:rFonts w:ascii="Times New Roman" w:hAnsi="Times New Roman" w:cs="Times New Roman"/>
                <w:b/>
                <w:bCs/>
                <w:strike/>
                <w:highlight w:val="yellow"/>
                <w:u w:val="single"/>
              </w:rPr>
              <w:t>and carbon trading</w:t>
            </w:r>
          </w:p>
        </w:tc>
      </w:tr>
      <w:tr w:rsidR="6C7090EC" w:rsidRPr="00FE3C59" w14:paraId="1EE48AA5" w14:textId="77777777" w:rsidTr="3F965E88">
        <w:tc>
          <w:tcPr>
            <w:tcW w:w="1043" w:type="dxa"/>
          </w:tcPr>
          <w:p w14:paraId="72C2BC73" w14:textId="6EC4B0CB" w:rsidR="6C7090EC" w:rsidRPr="00FE3C59" w:rsidRDefault="4A755457" w:rsidP="000E2697">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vAlign w:val="bottom"/>
          </w:tcPr>
          <w:p w14:paraId="500D999B" w14:textId="200FB5C3" w:rsidR="6C7090EC" w:rsidRPr="00FE3C59" w:rsidRDefault="06EEF794" w:rsidP="000E2697">
            <w:pPr>
              <w:pStyle w:val="BodyText"/>
              <w:spacing w:before="120" w:after="120"/>
              <w:rPr>
                <w:rFonts w:ascii="Times New Roman" w:hAnsi="Times New Roman" w:cs="Times New Roman"/>
                <w:lang w:val="en-GB"/>
              </w:rPr>
            </w:pPr>
            <w:r w:rsidRPr="00FE3C59">
              <w:rPr>
                <w:rFonts w:ascii="Times New Roman" w:hAnsi="Times New Roman" w:cs="Times New Roman"/>
                <w:b/>
                <w:highlight w:val="yellow"/>
                <w:u w:val="single"/>
                <w:lang w:val="en-GB"/>
              </w:rPr>
              <w:t>Bucket 3a: Energy — carbon trading</w:t>
            </w:r>
          </w:p>
        </w:tc>
      </w:tr>
      <w:tr w:rsidR="00A71B94" w:rsidRPr="00FE3C59" w14:paraId="13CF9861" w14:textId="77777777" w:rsidTr="3F965E88">
        <w:tc>
          <w:tcPr>
            <w:tcW w:w="1043" w:type="dxa"/>
          </w:tcPr>
          <w:p w14:paraId="201647E5" w14:textId="4696F4D2" w:rsidR="00BB2F8B" w:rsidRPr="00FE3C59" w:rsidRDefault="0A2521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005</w:t>
            </w:r>
            <w:r w:rsidR="00A71B94" w:rsidRPr="00FE3C59">
              <w:rPr>
                <w:rFonts w:ascii="Times New Roman" w:hAnsi="Times New Roman" w:cs="Times New Roman"/>
                <w:lang w:val="en-GB"/>
              </w:rPr>
              <w:t>0</w:t>
            </w:r>
          </w:p>
        </w:tc>
        <w:tc>
          <w:tcPr>
            <w:tcW w:w="7973" w:type="dxa"/>
            <w:vAlign w:val="bottom"/>
          </w:tcPr>
          <w:p w14:paraId="11D0D6DD" w14:textId="70222C9C" w:rsidR="00D04518" w:rsidRPr="00FE3C59" w:rsidRDefault="531A3C2E" w:rsidP="000E2697">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4: Freight</w:t>
            </w:r>
          </w:p>
        </w:tc>
      </w:tr>
      <w:tr w:rsidR="00A71B94" w:rsidRPr="00FE3C59" w14:paraId="71AC4C12" w14:textId="77777777" w:rsidTr="3F965E88">
        <w:tc>
          <w:tcPr>
            <w:tcW w:w="1043" w:type="dxa"/>
          </w:tcPr>
          <w:p w14:paraId="1E14CDE7" w14:textId="49E3E0A9" w:rsidR="00BB2F8B" w:rsidRPr="00FE3C59" w:rsidRDefault="0A2521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0060</w:t>
            </w:r>
          </w:p>
        </w:tc>
        <w:tc>
          <w:tcPr>
            <w:tcW w:w="7973" w:type="dxa"/>
            <w:vAlign w:val="bottom"/>
          </w:tcPr>
          <w:p w14:paraId="1F2BE2E6" w14:textId="140B222B" w:rsidR="00D04518" w:rsidRPr="00FE3C59" w:rsidRDefault="531A3C2E" w:rsidP="000E2697">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Bucket 5: Metals — non-precious</w:t>
            </w:r>
          </w:p>
        </w:tc>
      </w:tr>
      <w:tr w:rsidR="00A71B94" w:rsidRPr="00FE3C59" w14:paraId="2BCA7E50" w14:textId="77777777" w:rsidTr="3F965E88">
        <w:tc>
          <w:tcPr>
            <w:tcW w:w="1043" w:type="dxa"/>
          </w:tcPr>
          <w:p w14:paraId="2323B3C2" w14:textId="64C4D2FD" w:rsidR="00BB2F8B" w:rsidRPr="00FE3C59" w:rsidRDefault="0A2521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007</w:t>
            </w:r>
            <w:r w:rsidR="000E2697" w:rsidRPr="00FE3C59">
              <w:rPr>
                <w:rFonts w:ascii="Times New Roman" w:hAnsi="Times New Roman" w:cs="Times New Roman"/>
                <w:lang w:val="en-GB"/>
              </w:rPr>
              <w:t>0</w:t>
            </w:r>
          </w:p>
        </w:tc>
        <w:tc>
          <w:tcPr>
            <w:tcW w:w="7973" w:type="dxa"/>
            <w:vAlign w:val="bottom"/>
          </w:tcPr>
          <w:p w14:paraId="2BB3CCF4" w14:textId="5477AC44" w:rsidR="00D04518" w:rsidRPr="00FE3C59" w:rsidRDefault="531A3C2E" w:rsidP="000E269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6: Gaseous combustibles</w:t>
            </w:r>
          </w:p>
        </w:tc>
      </w:tr>
      <w:tr w:rsidR="00A71B94" w:rsidRPr="00FE3C59" w14:paraId="5623397E" w14:textId="77777777" w:rsidTr="3F965E88">
        <w:tc>
          <w:tcPr>
            <w:tcW w:w="1043" w:type="dxa"/>
          </w:tcPr>
          <w:p w14:paraId="785E24B7" w14:textId="325D4034" w:rsidR="00BB2F8B" w:rsidRPr="00FE3C59" w:rsidRDefault="0A2521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008</w:t>
            </w:r>
            <w:r w:rsidR="000E2697" w:rsidRPr="00FE3C59">
              <w:rPr>
                <w:rFonts w:ascii="Times New Roman" w:hAnsi="Times New Roman" w:cs="Times New Roman"/>
                <w:lang w:val="en-GB"/>
              </w:rPr>
              <w:t>0</w:t>
            </w:r>
          </w:p>
        </w:tc>
        <w:tc>
          <w:tcPr>
            <w:tcW w:w="7973" w:type="dxa"/>
            <w:vAlign w:val="bottom"/>
          </w:tcPr>
          <w:p w14:paraId="4EB37884" w14:textId="4FAD58EF" w:rsidR="00D04518" w:rsidRPr="00FE3C59" w:rsidRDefault="531A3C2E" w:rsidP="000E269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7: Precious metals (including gold)</w:t>
            </w:r>
          </w:p>
        </w:tc>
      </w:tr>
      <w:tr w:rsidR="00A71B94" w:rsidRPr="00FE3C59" w14:paraId="28BFCAE4" w14:textId="77777777" w:rsidTr="3F965E88">
        <w:tc>
          <w:tcPr>
            <w:tcW w:w="1043" w:type="dxa"/>
          </w:tcPr>
          <w:p w14:paraId="5727FAD8" w14:textId="3E74C8A2" w:rsidR="00BB2F8B" w:rsidRPr="00FE3C59" w:rsidRDefault="0A2521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009</w:t>
            </w:r>
            <w:r w:rsidR="000E2697" w:rsidRPr="00FE3C59">
              <w:rPr>
                <w:rFonts w:ascii="Times New Roman" w:hAnsi="Times New Roman" w:cs="Times New Roman"/>
                <w:lang w:val="en-GB"/>
              </w:rPr>
              <w:t>0</w:t>
            </w:r>
          </w:p>
        </w:tc>
        <w:tc>
          <w:tcPr>
            <w:tcW w:w="7973" w:type="dxa"/>
            <w:vAlign w:val="bottom"/>
          </w:tcPr>
          <w:p w14:paraId="33CF0A02" w14:textId="5E697B5B" w:rsidR="00D04518" w:rsidRPr="00FE3C59" w:rsidRDefault="531A3C2E" w:rsidP="000E269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8: Grains and oilseed</w:t>
            </w:r>
          </w:p>
        </w:tc>
      </w:tr>
      <w:tr w:rsidR="00A71B94" w:rsidRPr="00FE3C59" w14:paraId="7E160CAB" w14:textId="77777777" w:rsidTr="3F965E88">
        <w:tc>
          <w:tcPr>
            <w:tcW w:w="1043" w:type="dxa"/>
          </w:tcPr>
          <w:p w14:paraId="1BFD7E44" w14:textId="47DB1845" w:rsidR="00BB2F8B" w:rsidRPr="00FE3C59" w:rsidRDefault="0A2521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w:t>
            </w:r>
            <w:r w:rsidR="00E618BD">
              <w:rPr>
                <w:rFonts w:ascii="Times New Roman" w:hAnsi="Times New Roman" w:cs="Times New Roman"/>
                <w:lang w:val="en-GB"/>
              </w:rPr>
              <w:t>10</w:t>
            </w:r>
            <w:r w:rsidR="000E2697" w:rsidRPr="00FE3C59">
              <w:rPr>
                <w:rFonts w:ascii="Times New Roman" w:hAnsi="Times New Roman" w:cs="Times New Roman"/>
                <w:lang w:val="en-GB"/>
              </w:rPr>
              <w:t>0</w:t>
            </w:r>
          </w:p>
        </w:tc>
        <w:tc>
          <w:tcPr>
            <w:tcW w:w="7973" w:type="dxa"/>
            <w:vAlign w:val="bottom"/>
          </w:tcPr>
          <w:p w14:paraId="66E1C381" w14:textId="669C007A" w:rsidR="00D04518" w:rsidRPr="00FE3C59" w:rsidRDefault="531A3C2E" w:rsidP="000E269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9: Livestock and dairy</w:t>
            </w:r>
          </w:p>
        </w:tc>
      </w:tr>
      <w:tr w:rsidR="00A71B94" w:rsidRPr="00FE3C59" w14:paraId="7CAB74A5" w14:textId="77777777" w:rsidTr="3F965E88">
        <w:tc>
          <w:tcPr>
            <w:tcW w:w="1043" w:type="dxa"/>
          </w:tcPr>
          <w:p w14:paraId="293E08B3" w14:textId="71DA15B2" w:rsidR="00BB2F8B" w:rsidRPr="00FE3C59" w:rsidRDefault="0A25219F"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011</w:t>
            </w:r>
            <w:r w:rsidR="000E2697" w:rsidRPr="00FE3C59">
              <w:rPr>
                <w:rFonts w:ascii="Times New Roman" w:hAnsi="Times New Roman" w:cs="Times New Roman"/>
                <w:lang w:val="en-GB"/>
              </w:rPr>
              <w:t>0</w:t>
            </w:r>
          </w:p>
        </w:tc>
        <w:tc>
          <w:tcPr>
            <w:tcW w:w="7973" w:type="dxa"/>
            <w:vAlign w:val="bottom"/>
          </w:tcPr>
          <w:p w14:paraId="4BE07313" w14:textId="08CDC3AD" w:rsidR="00BB2F8B" w:rsidRPr="00FE3C59" w:rsidRDefault="531A3C2E" w:rsidP="000E269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10: Softs and other agricultural commodities</w:t>
            </w:r>
          </w:p>
        </w:tc>
      </w:tr>
      <w:tr w:rsidR="00BB2F8B" w:rsidRPr="00FE3C59" w14:paraId="2ED6883C" w14:textId="77777777" w:rsidTr="3F965E88">
        <w:tc>
          <w:tcPr>
            <w:tcW w:w="1043" w:type="dxa"/>
          </w:tcPr>
          <w:p w14:paraId="3FB9B377" w14:textId="567F4F37" w:rsidR="00EE1286" w:rsidRPr="00FE3C59" w:rsidRDefault="4EAF9959" w:rsidP="000D1DC8">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012</w:t>
            </w:r>
            <w:r w:rsidR="000E2697" w:rsidRPr="00FE3C59">
              <w:rPr>
                <w:rFonts w:ascii="Times New Roman" w:hAnsi="Times New Roman" w:cs="Times New Roman"/>
                <w:lang w:val="en-GB"/>
              </w:rPr>
              <w:t>0</w:t>
            </w:r>
          </w:p>
        </w:tc>
        <w:tc>
          <w:tcPr>
            <w:tcW w:w="7973" w:type="dxa"/>
            <w:vAlign w:val="bottom"/>
          </w:tcPr>
          <w:p w14:paraId="201DFC4D" w14:textId="42A69719" w:rsidR="00EE1286" w:rsidRPr="00FE3C59" w:rsidRDefault="764E443E" w:rsidP="000E2697">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11: Other commodities</w:t>
            </w:r>
          </w:p>
        </w:tc>
      </w:tr>
    </w:tbl>
    <w:p w14:paraId="3B4778A6" w14:textId="7F194A32" w:rsidR="00B8262A" w:rsidRPr="00FE3C59" w:rsidRDefault="00D34F1B" w:rsidP="00CA1AF4">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lastRenderedPageBreak/>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w:t>
      </w:r>
      <w:r w:rsidR="00B8262A" w:rsidRPr="00FE3C59">
        <w:rPr>
          <w:rFonts w:ascii="Times New Roman" w:hAnsi="Times New Roman" w:cs="Times New Roman"/>
          <w:sz w:val="24"/>
          <w:szCs w:val="24"/>
          <w:u w:val="none"/>
          <w:lang w:val="en-GB"/>
        </w:rPr>
        <w:t>8</w:t>
      </w:r>
      <w:r w:rsidR="00B8262A" w:rsidRPr="00FE3C59">
        <w:rPr>
          <w:rFonts w:ascii="Times New Roman" w:hAnsi="Times New Roman" w:cs="Times New Roman"/>
          <w:lang w:val="en-GB"/>
        </w:rPr>
        <w:tab/>
      </w:r>
      <w:r w:rsidR="00B8262A" w:rsidRPr="00FE3C59">
        <w:rPr>
          <w:rFonts w:ascii="Times New Roman" w:hAnsi="Times New Roman" w:cs="Times New Roman"/>
          <w:sz w:val="24"/>
          <w:szCs w:val="24"/>
          <w:u w:val="none"/>
          <w:lang w:val="en-GB"/>
        </w:rPr>
        <w:t>Fore</w:t>
      </w:r>
      <w:r w:rsidR="008770DE" w:rsidRPr="00FE3C59">
        <w:rPr>
          <w:rFonts w:ascii="Times New Roman" w:hAnsi="Times New Roman" w:cs="Times New Roman"/>
          <w:sz w:val="24"/>
          <w:szCs w:val="24"/>
          <w:u w:val="none"/>
          <w:lang w:val="en-GB"/>
        </w:rPr>
        <w:t>ign exchange risk (FX)</w:t>
      </w:r>
    </w:p>
    <w:p w14:paraId="74815634" w14:textId="25A46B97" w:rsidR="004F7DA1" w:rsidRPr="00FE3C59" w:rsidRDefault="004F7DA1" w:rsidP="004F7DA1">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.8.1</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General remarks</w:t>
      </w:r>
    </w:p>
    <w:p w14:paraId="0AB0FC62" w14:textId="44F8CD5F" w:rsidR="2EEB821E" w:rsidRPr="00FE3C59" w:rsidRDefault="51417B27" w:rsidP="006E2ED1">
      <w:pPr>
        <w:pStyle w:val="InstructionsText2"/>
        <w:numPr>
          <w:ilvl w:val="0"/>
          <w:numId w:val="57"/>
        </w:numPr>
        <w:rPr>
          <w:rFonts w:eastAsiaTheme="minorEastAsia"/>
        </w:rPr>
      </w:pPr>
      <w:r w:rsidRPr="00FE3C59">
        <w:t>The</w:t>
      </w:r>
      <w:r w:rsidR="00F35BCE" w:rsidRPr="00FE3C59">
        <w:t>se two</w:t>
      </w:r>
      <w:r w:rsidRPr="00FE3C59">
        <w:t xml:space="preserve"> templates provide detailed information on the calculation of </w:t>
      </w:r>
      <w:r w:rsidR="00F35BCE" w:rsidRPr="00FE3C59">
        <w:t xml:space="preserve">own funds requirements </w:t>
      </w:r>
      <w:r w:rsidR="002D64D2" w:rsidRPr="00FE3C59">
        <w:t xml:space="preserve">for </w:t>
      </w:r>
      <w:r w:rsidRPr="00FE3C59">
        <w:t>foreign exchange</w:t>
      </w:r>
      <w:r w:rsidR="77916B76" w:rsidRPr="00FE3C59">
        <w:t xml:space="preserve"> (FX)</w:t>
      </w:r>
      <w:r w:rsidR="002D64D2" w:rsidRPr="00FE3C59">
        <w:t xml:space="preserve"> risk</w:t>
      </w:r>
      <w:r w:rsidR="77916B76" w:rsidRPr="00FE3C59">
        <w:t>.</w:t>
      </w:r>
    </w:p>
    <w:p w14:paraId="0F5265EE" w14:textId="0869F92E" w:rsidR="7C3D88C5" w:rsidRPr="00FE3C59" w:rsidRDefault="1DFB3AB2" w:rsidP="006E2ED1">
      <w:pPr>
        <w:pStyle w:val="InstructionsText2"/>
        <w:numPr>
          <w:ilvl w:val="0"/>
          <w:numId w:val="57"/>
        </w:numPr>
        <w:rPr>
          <w:rFonts w:eastAsiaTheme="minorEastAsia"/>
        </w:rPr>
      </w:pPr>
      <w:r w:rsidRPr="00FE3C59">
        <w:t>T</w:t>
      </w:r>
      <w:r w:rsidR="4DEF50E2" w:rsidRPr="00FE3C59">
        <w:t>he</w:t>
      </w:r>
      <w:r w:rsidR="01B65F16" w:rsidRPr="00FE3C59">
        <w:t xml:space="preserve"> reporting of </w:t>
      </w:r>
      <w:r w:rsidR="0053210F" w:rsidRPr="00FE3C59">
        <w:t>information on d</w:t>
      </w:r>
      <w:r w:rsidR="01B65F16" w:rsidRPr="00FE3C59">
        <w:t xml:space="preserve">elta and </w:t>
      </w:r>
      <w:r w:rsidR="0053210F" w:rsidRPr="00FE3C59">
        <w:t xml:space="preserve">curvature </w:t>
      </w:r>
      <w:r w:rsidR="01B65F16" w:rsidRPr="00FE3C59">
        <w:t xml:space="preserve">risk (MKR SBM FX1) is separated from the reporting of </w:t>
      </w:r>
      <w:r w:rsidR="00100CE1" w:rsidRPr="00FE3C59">
        <w:t>information on v</w:t>
      </w:r>
      <w:r w:rsidR="01B65F16" w:rsidRPr="00FE3C59">
        <w:t>ega risk (MKR SBM FX2)</w:t>
      </w:r>
      <w:r w:rsidR="00100CE1" w:rsidRPr="00FE3C59">
        <w:t>, in order to take account of differences in the definition of the buckets and risk factors</w:t>
      </w:r>
      <w:r w:rsidR="01B65F16" w:rsidRPr="00FE3C59">
        <w:t>.</w:t>
      </w:r>
    </w:p>
    <w:p w14:paraId="1106615A" w14:textId="4D5A85E2" w:rsidR="7C3D88C5" w:rsidRPr="00FE3C59" w:rsidRDefault="01B65F16" w:rsidP="006E2ED1">
      <w:pPr>
        <w:pStyle w:val="InstructionsText2"/>
        <w:numPr>
          <w:ilvl w:val="0"/>
          <w:numId w:val="57"/>
        </w:numPr>
        <w:rPr>
          <w:rFonts w:eastAsiaTheme="minorEastAsia"/>
          <w:color w:val="333333"/>
        </w:rPr>
      </w:pPr>
      <w:r w:rsidRPr="00FE3C59">
        <w:rPr>
          <w:color w:val="333333"/>
        </w:rPr>
        <w:t>Institutions that have obtained permission to use th</w:t>
      </w:r>
      <w:r w:rsidR="0012210C" w:rsidRPr="00FE3C59">
        <w:rPr>
          <w:color w:val="333333"/>
        </w:rPr>
        <w:t>e</w:t>
      </w:r>
      <w:r w:rsidRPr="00FE3C59">
        <w:rPr>
          <w:color w:val="333333"/>
        </w:rPr>
        <w:t xml:space="preserve"> ‘base currency’ approach </w:t>
      </w:r>
      <w:r w:rsidR="0012210C" w:rsidRPr="00FE3C59">
        <w:rPr>
          <w:color w:val="333333"/>
        </w:rPr>
        <w:t>in accordance with</w:t>
      </w:r>
      <w:r w:rsidRPr="00FE3C59">
        <w:rPr>
          <w:color w:val="333333"/>
        </w:rPr>
        <w:t xml:space="preserve"> </w:t>
      </w:r>
      <w:r w:rsidR="0012210C" w:rsidRPr="00FE3C59">
        <w:t xml:space="preserve">Article 325q(7) of Regulation (EU) No 575/2013 </w:t>
      </w:r>
      <w:r w:rsidRPr="00FE3C59">
        <w:rPr>
          <w:color w:val="333333"/>
        </w:rPr>
        <w:t xml:space="preserve">shall consider the </w:t>
      </w:r>
      <w:r w:rsidR="003D128E" w:rsidRPr="00FE3C59">
        <w:rPr>
          <w:color w:val="333333"/>
        </w:rPr>
        <w:t xml:space="preserve">dedicated </w:t>
      </w:r>
      <w:r w:rsidRPr="00FE3C59">
        <w:rPr>
          <w:color w:val="333333"/>
        </w:rPr>
        <w:t>instructions</w:t>
      </w:r>
      <w:r w:rsidR="001827D7" w:rsidRPr="00FE3C59">
        <w:rPr>
          <w:color w:val="333333"/>
        </w:rPr>
        <w:t xml:space="preserve"> on this approach included in the </w:t>
      </w:r>
      <w:r w:rsidRPr="00FE3C59">
        <w:rPr>
          <w:color w:val="333333"/>
        </w:rPr>
        <w:t>instructions for template MKR SBM FX1. T</w:t>
      </w:r>
      <w:r w:rsidR="00BC21FE" w:rsidRPr="00FE3C59">
        <w:rPr>
          <w:color w:val="333333"/>
        </w:rPr>
        <w:t>he information in t</w:t>
      </w:r>
      <w:r w:rsidRPr="00FE3C59">
        <w:rPr>
          <w:color w:val="333333"/>
        </w:rPr>
        <w:t xml:space="preserve">emplate </w:t>
      </w:r>
      <w:r w:rsidR="72FBDB8E" w:rsidRPr="00FE3C59">
        <w:t xml:space="preserve">MKR </w:t>
      </w:r>
      <w:r w:rsidR="78E73ADF" w:rsidRPr="00FE3C59">
        <w:t xml:space="preserve">SBM </w:t>
      </w:r>
      <w:r w:rsidR="72FBDB8E" w:rsidRPr="00FE3C59">
        <w:t>FX2 is not influenced by the use of the ‘base currency’ approach.</w:t>
      </w:r>
    </w:p>
    <w:p w14:paraId="5EC44712" w14:textId="00327F5E" w:rsidR="00D43916" w:rsidRPr="00FE3C59" w:rsidRDefault="00D34F1B" w:rsidP="00CA1AF4">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w:t>
      </w:r>
      <w:r w:rsidR="008770DE" w:rsidRPr="00FE3C59">
        <w:rPr>
          <w:rFonts w:ascii="Times New Roman" w:hAnsi="Times New Roman" w:cs="Times New Roman"/>
          <w:sz w:val="24"/>
          <w:szCs w:val="24"/>
          <w:u w:val="none"/>
          <w:lang w:val="en-GB"/>
        </w:rPr>
        <w:t>8.</w:t>
      </w:r>
      <w:r w:rsidR="004F7DA1" w:rsidRPr="00FE3C59">
        <w:rPr>
          <w:rFonts w:ascii="Times New Roman" w:hAnsi="Times New Roman" w:cs="Times New Roman"/>
          <w:sz w:val="24"/>
          <w:szCs w:val="24"/>
          <w:u w:val="none"/>
          <w:lang w:val="en-GB"/>
        </w:rPr>
        <w:t>2</w:t>
      </w:r>
      <w:r w:rsidR="008770DE" w:rsidRPr="00FE3C59">
        <w:rPr>
          <w:rFonts w:ascii="Times New Roman" w:hAnsi="Times New Roman" w:cs="Times New Roman"/>
          <w:lang w:val="en-GB"/>
        </w:rPr>
        <w:tab/>
      </w:r>
      <w:r w:rsidR="00D43916" w:rsidRPr="00FE3C59">
        <w:rPr>
          <w:rFonts w:ascii="Times New Roman" w:hAnsi="Times New Roman" w:cs="Times New Roman"/>
          <w:sz w:val="24"/>
          <w:szCs w:val="24"/>
          <w:u w:val="none"/>
          <w:lang w:val="en-GB"/>
        </w:rPr>
        <w:t>C 92.07</w:t>
      </w:r>
      <w:r w:rsidR="00795726" w:rsidRPr="00FE3C59">
        <w:rPr>
          <w:rFonts w:ascii="Times New Roman" w:hAnsi="Times New Roman" w:cs="Times New Roman"/>
          <w:sz w:val="24"/>
          <w:szCs w:val="24"/>
          <w:u w:val="none"/>
          <w:lang w:val="en-GB"/>
        </w:rPr>
        <w:t>.1</w:t>
      </w:r>
      <w:r w:rsidR="00D43916" w:rsidRPr="00FE3C59">
        <w:rPr>
          <w:rFonts w:ascii="Times New Roman" w:hAnsi="Times New Roman" w:cs="Times New Roman"/>
          <w:sz w:val="24"/>
          <w:szCs w:val="24"/>
          <w:u w:val="none"/>
          <w:lang w:val="en-GB"/>
        </w:rPr>
        <w:t xml:space="preserve">: </w:t>
      </w:r>
      <w:r w:rsidR="008770DE" w:rsidRPr="00FE3C59">
        <w:rPr>
          <w:rFonts w:ascii="Times New Roman" w:hAnsi="Times New Roman" w:cs="Times New Roman"/>
          <w:sz w:val="24"/>
          <w:szCs w:val="24"/>
          <w:u w:val="none"/>
          <w:lang w:val="en-GB"/>
        </w:rPr>
        <w:t>F</w:t>
      </w:r>
      <w:r w:rsidR="00D43916" w:rsidRPr="00FE3C59">
        <w:rPr>
          <w:rFonts w:ascii="Times New Roman" w:hAnsi="Times New Roman" w:cs="Times New Roman"/>
          <w:sz w:val="24"/>
          <w:szCs w:val="24"/>
          <w:u w:val="none"/>
          <w:lang w:val="en-GB"/>
        </w:rPr>
        <w:t>oreign exchange risk</w:t>
      </w:r>
      <w:r w:rsidR="008770DE" w:rsidRPr="00FE3C59">
        <w:rPr>
          <w:rFonts w:ascii="Times New Roman" w:hAnsi="Times New Roman" w:cs="Times New Roman"/>
          <w:sz w:val="24"/>
          <w:szCs w:val="24"/>
          <w:u w:val="none"/>
          <w:lang w:val="en-GB"/>
        </w:rPr>
        <w:t xml:space="preserve"> – Delta and curvature risk</w:t>
      </w:r>
      <w:r w:rsidR="00D43916" w:rsidRPr="00FE3C59">
        <w:rPr>
          <w:rFonts w:ascii="Times New Roman" w:hAnsi="Times New Roman" w:cs="Times New Roman"/>
          <w:sz w:val="24"/>
          <w:szCs w:val="24"/>
          <w:u w:val="none"/>
          <w:lang w:val="en-GB"/>
        </w:rPr>
        <w:t xml:space="preserve"> (MKR </w:t>
      </w:r>
      <w:r w:rsidR="008770DE" w:rsidRPr="00FE3C59">
        <w:rPr>
          <w:rFonts w:ascii="Times New Roman" w:hAnsi="Times New Roman" w:cs="Times New Roman"/>
          <w:sz w:val="24"/>
          <w:szCs w:val="24"/>
          <w:u w:val="none"/>
          <w:lang w:val="en-GB"/>
        </w:rPr>
        <w:t xml:space="preserve">SBM </w:t>
      </w:r>
      <w:r w:rsidR="00D43916" w:rsidRPr="00FE3C59">
        <w:rPr>
          <w:rFonts w:ascii="Times New Roman" w:hAnsi="Times New Roman" w:cs="Times New Roman"/>
          <w:sz w:val="24"/>
          <w:szCs w:val="24"/>
          <w:u w:val="none"/>
          <w:lang w:val="en-GB"/>
        </w:rPr>
        <w:t>FX</w:t>
      </w:r>
      <w:r w:rsidR="008770DE" w:rsidRPr="00FE3C59">
        <w:rPr>
          <w:rFonts w:ascii="Times New Roman" w:hAnsi="Times New Roman" w:cs="Times New Roman"/>
          <w:sz w:val="24"/>
          <w:szCs w:val="24"/>
          <w:u w:val="none"/>
          <w:lang w:val="en-GB"/>
        </w:rPr>
        <w:t>1)</w:t>
      </w:r>
    </w:p>
    <w:p w14:paraId="3517932D" w14:textId="1DFEE939" w:rsidR="00C65F1F" w:rsidRPr="00FE3C59" w:rsidRDefault="00C65F1F"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8</w:t>
      </w:r>
      <w:r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2.1</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General remarks</w:t>
      </w:r>
    </w:p>
    <w:p w14:paraId="05AB7C7B" w14:textId="34FE7E14" w:rsidR="7C3D88C5" w:rsidRPr="00FE3C59" w:rsidRDefault="01B65F16" w:rsidP="006E2ED1">
      <w:pPr>
        <w:pStyle w:val="InstructionsText2"/>
        <w:numPr>
          <w:ilvl w:val="0"/>
          <w:numId w:val="57"/>
        </w:numPr>
        <w:rPr>
          <w:rFonts w:eastAsiaTheme="minorEastAsia"/>
        </w:rPr>
      </w:pPr>
      <w:r w:rsidRPr="00FE3C59">
        <w:t xml:space="preserve">This template provides information on the results of the </w:t>
      </w:r>
      <w:r w:rsidR="00721915" w:rsidRPr="00FE3C59">
        <w:t xml:space="preserve">calculation of own funds requirements for </w:t>
      </w:r>
      <w:r w:rsidRPr="00FE3C59">
        <w:t xml:space="preserve">delta and curvature risk calculation within the </w:t>
      </w:r>
      <w:r w:rsidR="72C9AB4F" w:rsidRPr="00FE3C59">
        <w:t>FX risk class o</w:t>
      </w:r>
      <w:r w:rsidR="00B73271" w:rsidRPr="00FE3C59">
        <w:t>n</w:t>
      </w:r>
      <w:r w:rsidR="72C9AB4F" w:rsidRPr="00FE3C59">
        <w:t xml:space="preserve"> </w:t>
      </w:r>
      <w:r w:rsidR="00B73271" w:rsidRPr="00FE3C59">
        <w:t xml:space="preserve">the basis </w:t>
      </w:r>
      <w:r w:rsidR="72C9AB4F" w:rsidRPr="00FE3C59">
        <w:t xml:space="preserve">of the </w:t>
      </w:r>
      <w:r w:rsidRPr="00FE3C59">
        <w:t>sensitivities-based method.</w:t>
      </w:r>
    </w:p>
    <w:p w14:paraId="4DDEFB42" w14:textId="49EF7B40" w:rsidR="002F7313" w:rsidRPr="00FE3C59" w:rsidRDefault="00D97841" w:rsidP="006E2ED1">
      <w:pPr>
        <w:pStyle w:val="InstructionsText2"/>
        <w:numPr>
          <w:ilvl w:val="0"/>
          <w:numId w:val="57"/>
        </w:numPr>
        <w:rPr>
          <w:rFonts w:eastAsiaTheme="minorEastAsia"/>
        </w:rPr>
      </w:pPr>
      <w:r w:rsidRPr="00FE3C59">
        <w:t>I</w:t>
      </w:r>
      <w:r w:rsidR="002A1451" w:rsidRPr="00FE3C59">
        <w:t>n</w:t>
      </w:r>
      <w:r w:rsidRPr="00FE3C59">
        <w:t xml:space="preserve"> accordance with </w:t>
      </w:r>
      <w:r w:rsidR="01B65F16" w:rsidRPr="00FE3C59">
        <w:t>Art</w:t>
      </w:r>
      <w:r w:rsidRPr="00FE3C59">
        <w:t>icle</w:t>
      </w:r>
      <w:r w:rsidR="01B65F16" w:rsidRPr="00FE3C59">
        <w:t xml:space="preserve"> 325q(1) of </w:t>
      </w:r>
      <w:r w:rsidR="256B38D2" w:rsidRPr="00FE3C59">
        <w:t>Regulation (EU) No 575/2013, t</w:t>
      </w:r>
      <w:r w:rsidR="01B65F16" w:rsidRPr="00FE3C59">
        <w:t xml:space="preserve">here shall be one </w:t>
      </w:r>
      <w:r w:rsidR="0097676C" w:rsidRPr="00FE3C59">
        <w:t xml:space="preserve">row for each bucket consisting of a </w:t>
      </w:r>
      <w:r w:rsidR="01B65F16" w:rsidRPr="00FE3C59">
        <w:t xml:space="preserve">currency pair. </w:t>
      </w:r>
    </w:p>
    <w:p w14:paraId="1C4D5750" w14:textId="324B4FAA" w:rsidR="00C65F1F" w:rsidRPr="00FE3C59" w:rsidRDefault="00C65F1F"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8.2</w:t>
      </w:r>
      <w:r w:rsidRPr="00FE3C59">
        <w:rPr>
          <w:rFonts w:ascii="Times New Roman" w:hAnsi="Times New Roman" w:cs="Times New Roman"/>
          <w:sz w:val="24"/>
          <w:szCs w:val="24"/>
          <w:u w:val="none"/>
          <w:lang w:val="en-GB"/>
        </w:rPr>
        <w:t>.2</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Instructions concerning specific positions</w:t>
      </w:r>
    </w:p>
    <w:tbl>
      <w:tblPr>
        <w:tblStyle w:val="TableGrid"/>
        <w:tblW w:w="0" w:type="auto"/>
        <w:tblLook w:val="04A0" w:firstRow="1" w:lastRow="0" w:firstColumn="1" w:lastColumn="0" w:noHBand="0" w:noVBand="1"/>
      </w:tblPr>
      <w:tblGrid>
        <w:gridCol w:w="1043"/>
        <w:gridCol w:w="7973"/>
      </w:tblGrid>
      <w:tr w:rsidR="00C65F1F" w:rsidRPr="00FE3C59" w14:paraId="2AC610CF" w14:textId="77777777" w:rsidTr="3F965E88">
        <w:tc>
          <w:tcPr>
            <w:tcW w:w="1043" w:type="dxa"/>
            <w:shd w:val="clear" w:color="auto" w:fill="BFBFBF" w:themeFill="background1" w:themeFillShade="BF"/>
          </w:tcPr>
          <w:p w14:paraId="5E1B561A"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59C30C92"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543FB2" w:rsidRPr="00FE3C59" w14:paraId="654FBEAE" w14:textId="77777777" w:rsidTr="3F965E88">
        <w:tc>
          <w:tcPr>
            <w:tcW w:w="1043" w:type="dxa"/>
          </w:tcPr>
          <w:p w14:paraId="4EB9B00F" w14:textId="50646803" w:rsidR="00543FB2" w:rsidRPr="00FE3C59" w:rsidRDefault="00543FB2"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0010-0020</w:t>
            </w:r>
          </w:p>
        </w:tc>
        <w:tc>
          <w:tcPr>
            <w:tcW w:w="7973" w:type="dxa"/>
            <w:vAlign w:val="bottom"/>
          </w:tcPr>
          <w:p w14:paraId="0A1FCB46" w14:textId="77777777" w:rsidR="00543FB2" w:rsidRPr="00FE3C59" w:rsidRDefault="17F29AE3"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Currency pair</w:t>
            </w:r>
          </w:p>
          <w:p w14:paraId="4C40CA50" w14:textId="4333CF38" w:rsidR="00F20790" w:rsidRPr="00FE3C59" w:rsidRDefault="00E914C3"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C3D88C5" w:rsidRPr="00FE3C59">
              <w:rPr>
                <w:rFonts w:ascii="Times New Roman" w:hAnsi="Times New Roman" w:cs="Times New Roman"/>
                <w:lang w:val="en-GB"/>
              </w:rPr>
              <w:t xml:space="preserve"> 325q(1) of Regulation (EU) No 575/2013</w:t>
            </w:r>
          </w:p>
          <w:p w14:paraId="44A411E8" w14:textId="5D1CDF67" w:rsidR="00F20790" w:rsidRPr="00FE3C59" w:rsidRDefault="7C3D88C5"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combination of columns 0010 and 0020 </w:t>
            </w:r>
            <w:r w:rsidR="00CB51F5" w:rsidRPr="00FE3C59">
              <w:rPr>
                <w:rFonts w:ascii="Times New Roman" w:hAnsi="Times New Roman" w:cs="Times New Roman"/>
                <w:lang w:val="en-GB"/>
              </w:rPr>
              <w:t xml:space="preserve">reflects </w:t>
            </w:r>
            <w:r w:rsidRPr="00FE3C59">
              <w:rPr>
                <w:rFonts w:ascii="Times New Roman" w:hAnsi="Times New Roman" w:cs="Times New Roman"/>
                <w:lang w:val="en-GB"/>
              </w:rPr>
              <w:t xml:space="preserve">the bucket or risk factor. </w:t>
            </w:r>
          </w:p>
        </w:tc>
      </w:tr>
      <w:tr w:rsidR="00543FB2" w:rsidRPr="00FE3C59" w14:paraId="0B69A6BD" w14:textId="77777777" w:rsidTr="3F965E88">
        <w:tc>
          <w:tcPr>
            <w:tcW w:w="1043" w:type="dxa"/>
          </w:tcPr>
          <w:p w14:paraId="2E6F3F48" w14:textId="36F70B57" w:rsidR="00543FB2" w:rsidRPr="00FE3C59" w:rsidRDefault="00543FB2"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vAlign w:val="bottom"/>
          </w:tcPr>
          <w:p w14:paraId="5362163C" w14:textId="73CF19AA" w:rsidR="00543FB2" w:rsidRPr="00FE3C59" w:rsidRDefault="17F29AE3"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Currency </w:t>
            </w:r>
            <w:r w:rsidR="00322B0E" w:rsidRPr="00FE3C59">
              <w:rPr>
                <w:rFonts w:ascii="Times New Roman" w:hAnsi="Times New Roman" w:cs="Times New Roman"/>
                <w:b/>
                <w:u w:val="single"/>
                <w:lang w:val="en-GB"/>
              </w:rPr>
              <w:t>of</w:t>
            </w:r>
            <w:r w:rsidRPr="00FE3C59">
              <w:rPr>
                <w:rFonts w:ascii="Times New Roman" w:hAnsi="Times New Roman" w:cs="Times New Roman"/>
                <w:b/>
                <w:u w:val="single"/>
                <w:lang w:val="en-GB"/>
              </w:rPr>
              <w:t xml:space="preserve"> denominat</w:t>
            </w:r>
            <w:r w:rsidR="00322B0E" w:rsidRPr="00FE3C59">
              <w:rPr>
                <w:rFonts w:ascii="Times New Roman" w:hAnsi="Times New Roman" w:cs="Times New Roman"/>
                <w:b/>
                <w:u w:val="single"/>
                <w:lang w:val="en-GB"/>
              </w:rPr>
              <w:t>ion</w:t>
            </w:r>
          </w:p>
          <w:p w14:paraId="28C56B6F" w14:textId="0D210E04" w:rsidR="7C3D88C5" w:rsidRPr="00FE3C59" w:rsidRDefault="00E914C3"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C3D88C5" w:rsidRPr="00FE3C59">
              <w:rPr>
                <w:rFonts w:ascii="Times New Roman" w:hAnsi="Times New Roman" w:cs="Times New Roman"/>
                <w:lang w:val="en-GB"/>
              </w:rPr>
              <w:t xml:space="preserve"> 325q(1) of Regulation (EU) No 575/2013</w:t>
            </w:r>
          </w:p>
          <w:p w14:paraId="7CDB7D7A" w14:textId="6B188179" w:rsidR="00F20790" w:rsidRPr="00FE3C59" w:rsidRDefault="14B83324"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The foreign currency in which the instrument is denominated</w:t>
            </w:r>
            <w:r w:rsidR="00CB51F5" w:rsidRPr="00FE3C59">
              <w:rPr>
                <w:rFonts w:ascii="Times New Roman" w:hAnsi="Times New Roman" w:cs="Times New Roman"/>
                <w:lang w:val="en-GB"/>
              </w:rPr>
              <w:t xml:space="preserve"> shall be reported.</w:t>
            </w:r>
          </w:p>
        </w:tc>
      </w:tr>
      <w:tr w:rsidR="00543FB2" w:rsidRPr="00FE3C59" w14:paraId="750C81E2" w14:textId="77777777" w:rsidTr="3F965E88">
        <w:tc>
          <w:tcPr>
            <w:tcW w:w="1043" w:type="dxa"/>
          </w:tcPr>
          <w:p w14:paraId="221F1E15" w14:textId="3E7AD0B0" w:rsidR="00543FB2" w:rsidRPr="00FE3C59" w:rsidRDefault="00543FB2"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vAlign w:val="bottom"/>
          </w:tcPr>
          <w:p w14:paraId="0FB37851" w14:textId="16BB1BAC" w:rsidR="00543FB2" w:rsidRPr="00FE3C59" w:rsidRDefault="17F29AE3"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Reporting currency or base currency</w:t>
            </w:r>
          </w:p>
          <w:p w14:paraId="7BE3F2F4" w14:textId="1AB3A19B" w:rsidR="00F20790" w:rsidRPr="00FE3C59" w:rsidRDefault="00E914C3"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C3D88C5" w:rsidRPr="00FE3C59">
              <w:rPr>
                <w:rFonts w:ascii="Times New Roman" w:hAnsi="Times New Roman" w:cs="Times New Roman"/>
                <w:lang w:val="en-GB"/>
              </w:rPr>
              <w:t xml:space="preserve"> 325q(1) and (7) of Regulation (EU) No 575/2013</w:t>
            </w:r>
          </w:p>
          <w:p w14:paraId="1ED1E35F" w14:textId="23214B5C" w:rsidR="00F20790" w:rsidRPr="00FE3C59" w:rsidRDefault="7C3D88C5" w:rsidP="7C3D88C5">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lang w:val="en-GB"/>
              </w:rPr>
              <w:t xml:space="preserve">The institution’s reporting currency or, if the institution has obtained permission to use the ‘base currency’ approach of </w:t>
            </w:r>
            <w:r w:rsidR="00E914C3" w:rsidRPr="00FE3C59">
              <w:rPr>
                <w:rFonts w:ascii="Times New Roman" w:hAnsi="Times New Roman" w:cs="Times New Roman"/>
                <w:lang w:val="en-GB"/>
              </w:rPr>
              <w:t>Article</w:t>
            </w:r>
            <w:r w:rsidRPr="00FE3C59">
              <w:rPr>
                <w:rFonts w:ascii="Times New Roman" w:hAnsi="Times New Roman" w:cs="Times New Roman"/>
                <w:lang w:val="en-GB"/>
              </w:rPr>
              <w:t xml:space="preserve"> 325q(7) of Regulation (EU) No 575/2013, the chosen base currency</w:t>
            </w:r>
            <w:r w:rsidR="00424F46" w:rsidRPr="00FE3C59">
              <w:rPr>
                <w:rFonts w:ascii="Times New Roman" w:hAnsi="Times New Roman" w:cs="Times New Roman"/>
                <w:lang w:val="en-GB"/>
              </w:rPr>
              <w:t xml:space="preserve"> shall be indicated</w:t>
            </w:r>
            <w:r w:rsidRPr="00FE3C59">
              <w:rPr>
                <w:rFonts w:ascii="Times New Roman" w:hAnsi="Times New Roman" w:cs="Times New Roman"/>
                <w:lang w:val="en-GB"/>
              </w:rPr>
              <w:t xml:space="preserve">. </w:t>
            </w:r>
          </w:p>
        </w:tc>
      </w:tr>
      <w:tr w:rsidR="00543FB2" w:rsidRPr="00FE3C59" w14:paraId="704BD439" w14:textId="77777777" w:rsidTr="3F965E88">
        <w:tc>
          <w:tcPr>
            <w:tcW w:w="1043" w:type="dxa"/>
          </w:tcPr>
          <w:p w14:paraId="534B28AC" w14:textId="08A4BFBD" w:rsidR="00543FB2" w:rsidRPr="00FE3C59" w:rsidRDefault="00543FB2"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0030</w:t>
            </w:r>
          </w:p>
        </w:tc>
        <w:tc>
          <w:tcPr>
            <w:tcW w:w="7973" w:type="dxa"/>
            <w:vAlign w:val="bottom"/>
          </w:tcPr>
          <w:p w14:paraId="227DADAE" w14:textId="39E896D7" w:rsidR="00543FB2" w:rsidRPr="00FE3C59" w:rsidRDefault="17F29AE3"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Unweighted sensitivities </w:t>
            </w:r>
            <w:r w:rsidR="004225FC"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Delta risk factors </w:t>
            </w:r>
            <w:r w:rsidR="004225FC"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Spot exchange rate</w:t>
            </w:r>
          </w:p>
          <w:p w14:paraId="57FC8A14" w14:textId="1E09C459" w:rsidR="00F20790" w:rsidRPr="00FE3C59" w:rsidRDefault="2829EA09" w:rsidP="06265CE2">
            <w:pPr>
              <w:pStyle w:val="BodyText"/>
              <w:spacing w:before="120" w:after="120"/>
              <w:rPr>
                <w:rFonts w:ascii="Times New Roman" w:hAnsi="Times New Roman" w:cs="Times New Roman"/>
                <w:lang w:val="en-GB"/>
              </w:rPr>
            </w:pPr>
            <w:r w:rsidRPr="00FE3C59">
              <w:rPr>
                <w:rFonts w:ascii="Times New Roman" w:hAnsi="Times New Roman" w:cs="Times New Roman"/>
                <w:lang w:val="en-GB"/>
              </w:rPr>
              <w:t>Art</w:t>
            </w:r>
            <w:r w:rsidR="00822556" w:rsidRPr="00FE3C59">
              <w:rPr>
                <w:rFonts w:ascii="Times New Roman" w:hAnsi="Times New Roman" w:cs="Times New Roman"/>
                <w:lang w:val="en-GB"/>
              </w:rPr>
              <w:t>icle</w:t>
            </w:r>
            <w:r w:rsidR="004225FC" w:rsidRPr="00FE3C59">
              <w:rPr>
                <w:rFonts w:ascii="Times New Roman" w:hAnsi="Times New Roman" w:cs="Times New Roman"/>
                <w:lang w:val="en-GB"/>
              </w:rPr>
              <w:t>s</w:t>
            </w:r>
            <w:r w:rsidRPr="00FE3C59">
              <w:rPr>
                <w:rFonts w:ascii="Times New Roman" w:hAnsi="Times New Roman" w:cs="Times New Roman"/>
                <w:lang w:val="en-GB"/>
              </w:rPr>
              <w:t xml:space="preserve"> 325q(1) and 325r(5) of Regulation (EU) No 575/2013</w:t>
            </w:r>
          </w:p>
          <w:p w14:paraId="056434D7" w14:textId="43901B84" w:rsidR="00F20790" w:rsidRPr="00FE3C59" w:rsidRDefault="00384722"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net </w:t>
            </w:r>
            <w:r w:rsidR="7C3D88C5" w:rsidRPr="00FE3C59">
              <w:rPr>
                <w:rFonts w:ascii="Times New Roman" w:hAnsi="Times New Roman" w:cs="Times New Roman"/>
                <w:lang w:val="en-GB"/>
              </w:rPr>
              <w:t xml:space="preserve">sensitivity </w:t>
            </w:r>
            <w:r w:rsidR="00A30A35" w:rsidRPr="00FE3C59">
              <w:rPr>
                <w:rFonts w:ascii="Times New Roman" w:hAnsi="Times New Roman" w:cs="Times New Roman"/>
                <w:lang w:val="en-GB"/>
              </w:rPr>
              <w:t>per risk factor (</w:t>
            </w:r>
            <w:r w:rsidR="7C3D88C5" w:rsidRPr="00FE3C59">
              <w:rPr>
                <w:rFonts w:ascii="Times New Roman" w:hAnsi="Times New Roman" w:cs="Times New Roman"/>
                <w:lang w:val="en-GB"/>
              </w:rPr>
              <w:t>spot exchange rate</w:t>
            </w:r>
            <w:r w:rsidR="00A30A35" w:rsidRPr="00FE3C59">
              <w:rPr>
                <w:rFonts w:ascii="Times New Roman" w:hAnsi="Times New Roman" w:cs="Times New Roman"/>
                <w:lang w:val="en-GB"/>
              </w:rPr>
              <w:t>)</w:t>
            </w:r>
            <w:r w:rsidR="7C3D88C5" w:rsidRPr="00FE3C59">
              <w:rPr>
                <w:rFonts w:ascii="Times New Roman" w:hAnsi="Times New Roman" w:cs="Times New Roman"/>
                <w:lang w:val="en-GB"/>
              </w:rPr>
              <w:t xml:space="preserve"> </w:t>
            </w:r>
            <w:r w:rsidR="00A30A35" w:rsidRPr="00FE3C59">
              <w:rPr>
                <w:rFonts w:ascii="Times New Roman" w:hAnsi="Times New Roman" w:cs="Times New Roman"/>
                <w:lang w:val="en-GB"/>
              </w:rPr>
              <w:t>calculated in accordance with Articles 325q and 325r of Regulation (EU) No 575/2013</w:t>
            </w:r>
            <w:r w:rsidR="004E7133" w:rsidRPr="00FE3C59">
              <w:rPr>
                <w:rFonts w:ascii="Times New Roman" w:hAnsi="Times New Roman" w:cs="Times New Roman"/>
                <w:lang w:val="en-GB"/>
              </w:rPr>
              <w:t>, before the application of the corresponding risk weights set out in Part Three, Title IV, Chapter 1a, Section 6 of that Regulation</w:t>
            </w:r>
            <w:r w:rsidR="006C3B29">
              <w:rPr>
                <w:rFonts w:ascii="Times New Roman" w:hAnsi="Times New Roman" w:cs="Times New Roman"/>
                <w:lang w:val="en-GB"/>
              </w:rPr>
              <w:t xml:space="preserve">, </w:t>
            </w:r>
            <w:r w:rsidR="007065DE" w:rsidRPr="00FE3C59">
              <w:rPr>
                <w:rFonts w:ascii="Times New Roman" w:hAnsi="Times New Roman" w:cs="Times New Roman"/>
                <w:lang w:val="en-GB"/>
              </w:rPr>
              <w:t>shall be reported.</w:t>
            </w:r>
          </w:p>
        </w:tc>
      </w:tr>
      <w:tr w:rsidR="00543FB2" w:rsidRPr="00FE3C59" w14:paraId="6542395D" w14:textId="77777777" w:rsidTr="3F965E88">
        <w:tc>
          <w:tcPr>
            <w:tcW w:w="1043" w:type="dxa"/>
          </w:tcPr>
          <w:p w14:paraId="69C2C921" w14:textId="335C7A4C" w:rsidR="00543FB2" w:rsidRPr="00FE3C59" w:rsidRDefault="00543FB2"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vAlign w:val="bottom"/>
          </w:tcPr>
          <w:p w14:paraId="4B557B1F" w14:textId="43F2100B" w:rsidR="00543FB2" w:rsidRPr="00FE3C59" w:rsidRDefault="17F29AE3"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Weighted sensitivities </w:t>
            </w:r>
            <w:r w:rsidR="004225FC"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Delta risk factors </w:t>
            </w:r>
            <w:r w:rsidR="004225FC"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Spot exchange rate</w:t>
            </w:r>
          </w:p>
          <w:p w14:paraId="1D269DED" w14:textId="001C5BC8" w:rsidR="00F20790" w:rsidRPr="00FE3C59" w:rsidRDefault="7C3D88C5" w:rsidP="06265CE2">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004225FC" w:rsidRPr="00FE3C59">
              <w:rPr>
                <w:rFonts w:ascii="Times New Roman" w:hAnsi="Times New Roman" w:cs="Times New Roman"/>
                <w:lang w:val="en-GB"/>
              </w:rPr>
              <w:t>s</w:t>
            </w:r>
            <w:r w:rsidRPr="00FE3C59">
              <w:rPr>
                <w:rFonts w:ascii="Times New Roman" w:hAnsi="Times New Roman" w:cs="Times New Roman"/>
                <w:lang w:val="en-GB"/>
              </w:rPr>
              <w:t xml:space="preserve"> 325r(5) and 325av of Regulation (EU) No 575/2013</w:t>
            </w:r>
          </w:p>
          <w:p w14:paraId="70AAD88B" w14:textId="5595D6B6" w:rsidR="00F20790" w:rsidRPr="00FE3C59" w:rsidRDefault="191146F3" w:rsidP="06265CE2">
            <w:pPr>
              <w:pStyle w:val="BodyText"/>
              <w:spacing w:before="120" w:after="120"/>
              <w:rPr>
                <w:rFonts w:ascii="Times New Roman" w:hAnsi="Times New Roman" w:cs="Times New Roman"/>
                <w:lang w:val="en-GB"/>
              </w:rPr>
            </w:pPr>
            <w:r w:rsidRPr="00FE3C59">
              <w:rPr>
                <w:rFonts w:ascii="Times New Roman" w:hAnsi="Times New Roman" w:cs="Times New Roman"/>
                <w:lang w:val="en-GB"/>
              </w:rPr>
              <w:t>The net sensitivit</w:t>
            </w:r>
            <w:r w:rsidR="0786E5F0" w:rsidRPr="00FE3C59">
              <w:rPr>
                <w:rFonts w:ascii="Times New Roman" w:hAnsi="Times New Roman" w:cs="Times New Roman"/>
                <w:lang w:val="en-GB"/>
              </w:rPr>
              <w:t>y</w:t>
            </w:r>
            <w:r w:rsidRPr="00FE3C59">
              <w:rPr>
                <w:rFonts w:ascii="Times New Roman" w:hAnsi="Times New Roman" w:cs="Times New Roman"/>
                <w:lang w:val="en-GB"/>
              </w:rPr>
              <w:t xml:space="preserve"> per risk factor (spot exchange rate), calculated in accordance with Articles 325</w:t>
            </w:r>
            <w:r w:rsidR="09C94809" w:rsidRPr="00FE3C59">
              <w:rPr>
                <w:rFonts w:ascii="Times New Roman" w:hAnsi="Times New Roman" w:cs="Times New Roman"/>
                <w:lang w:val="en-GB"/>
              </w:rPr>
              <w:t>q</w:t>
            </w:r>
            <w:r w:rsidRPr="00FE3C59">
              <w:rPr>
                <w:rFonts w:ascii="Times New Roman" w:hAnsi="Times New Roman" w:cs="Times New Roman"/>
                <w:lang w:val="en-GB"/>
              </w:rPr>
              <w:t xml:space="preserve"> and 325r of Regulation (EU) No 575/2013 and weighted by the corresponding risk weight set out in </w:t>
            </w:r>
            <w:r w:rsidR="09C94809" w:rsidRPr="00FE3C59">
              <w:rPr>
                <w:rFonts w:ascii="Times New Roman" w:hAnsi="Times New Roman" w:cs="Times New Roman"/>
                <w:lang w:val="en-GB"/>
              </w:rPr>
              <w:t>Article 32</w:t>
            </w:r>
            <w:r w:rsidR="0BC1E896" w:rsidRPr="00FE3C59">
              <w:rPr>
                <w:rFonts w:ascii="Times New Roman" w:hAnsi="Times New Roman" w:cs="Times New Roman"/>
                <w:lang w:val="en-GB"/>
              </w:rPr>
              <w:t>5av</w:t>
            </w:r>
            <w:r w:rsidRPr="00FE3C59">
              <w:rPr>
                <w:rFonts w:ascii="Times New Roman" w:hAnsi="Times New Roman" w:cs="Times New Roman"/>
                <w:lang w:val="en-GB"/>
              </w:rPr>
              <w:t xml:space="preserve"> of Regulation (EU) No 575/2013</w:t>
            </w:r>
            <w:r w:rsidR="007F5E88" w:rsidRPr="00FE3C59">
              <w:rPr>
                <w:rFonts w:ascii="Times New Roman" w:hAnsi="Times New Roman" w:cs="Times New Roman"/>
                <w:lang w:val="en-GB"/>
              </w:rPr>
              <w:t xml:space="preserve"> shall be reported.</w:t>
            </w:r>
          </w:p>
        </w:tc>
      </w:tr>
      <w:tr w:rsidR="00543FB2" w:rsidRPr="00FE3C59" w14:paraId="174CF78A" w14:textId="77777777" w:rsidTr="3F965E88">
        <w:tc>
          <w:tcPr>
            <w:tcW w:w="1043" w:type="dxa"/>
          </w:tcPr>
          <w:p w14:paraId="0A763BD4" w14:textId="7DCC77C5" w:rsidR="00543FB2" w:rsidRPr="00FE3C59" w:rsidRDefault="00543FB2"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0050-0060</w:t>
            </w:r>
          </w:p>
        </w:tc>
        <w:tc>
          <w:tcPr>
            <w:tcW w:w="7973" w:type="dxa"/>
            <w:vAlign w:val="bottom"/>
          </w:tcPr>
          <w:p w14:paraId="51ED0FAC" w14:textId="17A3CF3D" w:rsidR="00543FB2" w:rsidRPr="00FE3C59" w:rsidRDefault="17F29AE3"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Curvature risk positions </w:t>
            </w:r>
            <w:r w:rsidR="009F2332"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Curvature Risk</w:t>
            </w:r>
          </w:p>
          <w:p w14:paraId="74E1D8F4" w14:textId="1F9A3D53" w:rsidR="00F20790" w:rsidRPr="00FE3C59" w:rsidRDefault="7C3D88C5" w:rsidP="49C404E0">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325g(2) of Regulation (EU) No 575/2013</w:t>
            </w:r>
          </w:p>
        </w:tc>
      </w:tr>
      <w:tr w:rsidR="00543FB2" w:rsidRPr="00FE3C59" w14:paraId="59850C56" w14:textId="77777777" w:rsidTr="3F965E88">
        <w:tc>
          <w:tcPr>
            <w:tcW w:w="1043" w:type="dxa"/>
          </w:tcPr>
          <w:p w14:paraId="28CB8959" w14:textId="281BA951" w:rsidR="00543FB2" w:rsidRPr="00FE3C59" w:rsidRDefault="00543FB2"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vAlign w:val="bottom"/>
          </w:tcPr>
          <w:p w14:paraId="55448231" w14:textId="77777777" w:rsidR="00543FB2" w:rsidRPr="00FE3C59" w:rsidRDefault="17F29AE3"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Upward net curvature risk position</w:t>
            </w:r>
          </w:p>
          <w:p w14:paraId="76E1832B" w14:textId="025226D0" w:rsidR="00F20790" w:rsidRPr="00FE3C59" w:rsidRDefault="00E914C3"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C3D88C5" w:rsidRPr="00FE3C59">
              <w:rPr>
                <w:rFonts w:ascii="Times New Roman" w:hAnsi="Times New Roman" w:cs="Times New Roman"/>
                <w:lang w:val="en-GB"/>
              </w:rPr>
              <w:t xml:space="preserve"> 325g(2) of Regulation (EU) No 575/2013</w:t>
            </w:r>
          </w:p>
          <w:p w14:paraId="3504D91A" w14:textId="40781454" w:rsidR="00F20790" w:rsidRPr="00FE3C59" w:rsidRDefault="00B929B8" w:rsidP="65EC9DBC">
            <w:pPr>
              <w:pStyle w:val="BodyText"/>
              <w:spacing w:before="120" w:after="120" w:line="259" w:lineRule="auto"/>
              <w:rPr>
                <w:rFonts w:ascii="Times New Roman" w:hAnsi="Times New Roman" w:cs="Times New Roman"/>
                <w:lang w:val="en-GB"/>
              </w:rPr>
            </w:pPr>
            <w:r w:rsidRPr="00FE3C59">
              <w:rPr>
                <w:rFonts w:ascii="Times New Roman" w:hAnsi="Times New Roman" w:cs="Times New Roman"/>
                <w:lang w:val="en-GB"/>
              </w:rPr>
              <w:t>Institutions shall report t</w:t>
            </w:r>
            <w:r w:rsidR="00AA1DB4" w:rsidRPr="00FE3C59">
              <w:rPr>
                <w:rFonts w:ascii="Times New Roman" w:hAnsi="Times New Roman" w:cs="Times New Roman"/>
                <w:lang w:val="en-GB"/>
              </w:rPr>
              <w:t xml:space="preserve">he upward net curvature risk position </w:t>
            </w:r>
            <w:r w:rsidR="0037791B" w:rsidRPr="00FE3C59">
              <w:rPr>
                <w:rFonts w:ascii="Times New Roman" w:hAnsi="Times New Roman" w:cs="Times New Roman"/>
                <w:lang w:val="en-GB"/>
              </w:rPr>
              <w:t>(</w:t>
            </w:r>
            <m:oMath>
              <m:r>
                <w:rPr>
                  <w:rFonts w:ascii="Cambria Math" w:hAnsi="Cambria Math" w:cs="Times New Roman"/>
                  <w:lang w:val="en-GB"/>
                </w:rPr>
                <m:t>CV</m:t>
              </m:r>
              <m:sSubSup>
                <m:sSubSupPr>
                  <m:ctrlPr>
                    <w:rPr>
                      <w:rFonts w:ascii="Cambria Math" w:hAnsi="Cambria Math" w:cs="Times New Roman"/>
                      <w:lang w:val="en-GB"/>
                    </w:rPr>
                  </m:ctrlPr>
                </m:sSubSupPr>
                <m:e>
                  <m:r>
                    <w:rPr>
                      <w:rFonts w:ascii="Cambria Math" w:hAnsi="Cambria Math" w:cs="Times New Roman"/>
                      <w:lang w:val="en-GB"/>
                    </w:rPr>
                    <m:t>R</m:t>
                  </m:r>
                </m:e>
                <m:sub>
                  <m:r>
                    <w:rPr>
                      <w:rFonts w:ascii="Cambria Math" w:hAnsi="Cambria Math" w:cs="Times New Roman"/>
                      <w:lang w:val="en-GB"/>
                    </w:rPr>
                    <m:t>k</m:t>
                  </m:r>
                </m:sub>
                <m:sup>
                  <m:r>
                    <w:rPr>
                      <w:rFonts w:ascii="Cambria Math" w:hAnsi="Cambria Math" w:cs="Times New Roman"/>
                      <w:lang w:val="en-GB"/>
                    </w:rPr>
                    <m:t>+</m:t>
                  </m:r>
                </m:sup>
              </m:sSubSup>
            </m:oMath>
            <w:r w:rsidR="0037791B" w:rsidRPr="00FE3C59">
              <w:rPr>
                <w:rFonts w:ascii="Times New Roman" w:hAnsi="Times New Roman" w:cs="Times New Roman"/>
                <w:lang w:val="en-GB"/>
              </w:rPr>
              <w:t xml:space="preserve">) </w:t>
            </w:r>
            <w:r w:rsidR="3161DF83" w:rsidRPr="00FE3C59">
              <w:rPr>
                <w:rFonts w:ascii="Times New Roman" w:hAnsi="Times New Roman" w:cs="Times New Roman"/>
                <w:lang w:val="en-GB"/>
              </w:rPr>
              <w:t>to</w:t>
            </w:r>
            <w:r w:rsidR="00AA1DB4" w:rsidRPr="00FE3C59">
              <w:rPr>
                <w:rFonts w:ascii="Times New Roman" w:hAnsi="Times New Roman" w:cs="Times New Roman"/>
                <w:lang w:val="en-GB"/>
              </w:rPr>
              <w:t xml:space="preserve"> the spot exchange rate risk factor </w:t>
            </w:r>
            <w:r w:rsidR="00F15A45" w:rsidRPr="00FE3C59">
              <w:rPr>
                <w:rFonts w:ascii="Times New Roman" w:hAnsi="Times New Roman" w:cs="Times New Roman"/>
                <w:lang w:val="en-GB"/>
              </w:rPr>
              <w:t>of the instruments in the bucket</w:t>
            </w:r>
          </w:p>
          <w:p w14:paraId="2360F433" w14:textId="38440D7D" w:rsidR="00F20790" w:rsidRPr="00FE3C59" w:rsidRDefault="00B61204" w:rsidP="65EC9DBC">
            <w:pPr>
              <w:pStyle w:val="BodyText"/>
              <w:spacing w:before="120" w:after="120" w:line="259" w:lineRule="auto"/>
              <w:rPr>
                <w:rFonts w:ascii="Times New Roman" w:hAnsi="Times New Roman" w:cs="Times New Roman"/>
                <w:lang w:val="en-GB"/>
              </w:rPr>
            </w:pPr>
            <w:r w:rsidRPr="00FE3C59">
              <w:rPr>
                <w:rFonts w:ascii="Times New Roman" w:hAnsi="Times New Roman" w:cs="Times New Roman"/>
                <w:lang w:val="en-GB"/>
              </w:rPr>
              <w:t xml:space="preserve">Where an institution obtained </w:t>
            </w:r>
            <w:r w:rsidR="003D1324" w:rsidRPr="00FE3C59">
              <w:rPr>
                <w:rFonts w:ascii="Times New Roman" w:hAnsi="Times New Roman" w:cs="Times New Roman"/>
                <w:lang w:val="en-GB"/>
              </w:rPr>
              <w:t xml:space="preserve">the </w:t>
            </w:r>
            <w:r w:rsidRPr="00FE3C59">
              <w:rPr>
                <w:rFonts w:ascii="Times New Roman" w:hAnsi="Times New Roman" w:cs="Times New Roman"/>
                <w:lang w:val="en-GB"/>
              </w:rPr>
              <w:t xml:space="preserve">permission </w:t>
            </w:r>
            <w:r w:rsidR="003D1324" w:rsidRPr="00FE3C59">
              <w:rPr>
                <w:rFonts w:ascii="Times New Roman" w:hAnsi="Times New Roman" w:cs="Times New Roman"/>
                <w:lang w:val="en-GB"/>
              </w:rPr>
              <w:t>to apply</w:t>
            </w:r>
            <w:r w:rsidRPr="00FE3C59">
              <w:rPr>
                <w:rFonts w:ascii="Times New Roman" w:hAnsi="Times New Roman" w:cs="Times New Roman"/>
                <w:lang w:val="en-GB"/>
              </w:rPr>
              <w:t xml:space="preserve"> Article 325q(6) of Regulation (EU) No 575/2013</w:t>
            </w:r>
            <w:r w:rsidR="003D1324" w:rsidRPr="00FE3C59">
              <w:rPr>
                <w:rFonts w:ascii="Times New Roman" w:hAnsi="Times New Roman" w:cs="Times New Roman"/>
                <w:lang w:val="en-GB"/>
              </w:rPr>
              <w:t>, the value reported in this column shall be the</w:t>
            </w:r>
            <w:r w:rsidRPr="00FE3C59">
              <w:rPr>
                <w:rFonts w:ascii="Times New Roman" w:hAnsi="Times New Roman" w:cs="Times New Roman"/>
                <w:lang w:val="en-GB"/>
              </w:rPr>
              <w:t xml:space="preserve"> </w:t>
            </w:r>
            <w:r w:rsidR="00FA4C51" w:rsidRPr="00FE3C59">
              <w:rPr>
                <w:rFonts w:ascii="Times New Roman" w:hAnsi="Times New Roman" w:cs="Times New Roman"/>
                <w:lang w:val="en-GB"/>
              </w:rPr>
              <w:t>result of the division by 1.5.</w:t>
            </w:r>
          </w:p>
        </w:tc>
      </w:tr>
      <w:tr w:rsidR="00543FB2" w:rsidRPr="00FE3C59" w14:paraId="4F80F9E3" w14:textId="77777777" w:rsidTr="3F965E88">
        <w:tc>
          <w:tcPr>
            <w:tcW w:w="1043" w:type="dxa"/>
          </w:tcPr>
          <w:p w14:paraId="73CC56C9" w14:textId="483B5FDE" w:rsidR="00543FB2" w:rsidRPr="00FE3C59" w:rsidRDefault="00543FB2"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vAlign w:val="bottom"/>
          </w:tcPr>
          <w:p w14:paraId="5DC0400E" w14:textId="77777777" w:rsidR="00543FB2" w:rsidRPr="00FE3C59" w:rsidRDefault="17F29AE3"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Downward net curvature risk position</w:t>
            </w:r>
          </w:p>
          <w:p w14:paraId="531B6A52" w14:textId="765C8509" w:rsidR="00F20790" w:rsidRPr="00FE3C59" w:rsidRDefault="00E914C3"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C3D88C5" w:rsidRPr="00FE3C59">
              <w:rPr>
                <w:rFonts w:ascii="Times New Roman" w:hAnsi="Times New Roman" w:cs="Times New Roman"/>
                <w:lang w:val="en-GB"/>
              </w:rPr>
              <w:t xml:space="preserve"> 325q(3) and 325g(2) of Regulation (EU) No 575/2013</w:t>
            </w:r>
          </w:p>
          <w:p w14:paraId="5BE0CC92" w14:textId="6B36C222" w:rsidR="00F20790" w:rsidRPr="00FE3C59" w:rsidRDefault="0037791B" w:rsidP="59893CDE">
            <w:pPr>
              <w:pStyle w:val="BodyText"/>
              <w:spacing w:before="120" w:after="120"/>
              <w:rPr>
                <w:rFonts w:ascii="Times New Roman" w:hAnsi="Times New Roman" w:cs="Times New Roman"/>
                <w:lang w:val="en-GB"/>
              </w:rPr>
            </w:pPr>
            <w:r w:rsidRPr="00FE3C59">
              <w:rPr>
                <w:rFonts w:ascii="Times New Roman" w:hAnsi="Times New Roman" w:cs="Times New Roman"/>
                <w:lang w:val="en-GB"/>
              </w:rPr>
              <w:t>Institutions shall report t</w:t>
            </w:r>
            <w:r w:rsidR="00AA1DB4" w:rsidRPr="00FE3C59">
              <w:rPr>
                <w:rFonts w:ascii="Times New Roman" w:hAnsi="Times New Roman" w:cs="Times New Roman"/>
                <w:lang w:val="en-GB"/>
              </w:rPr>
              <w:t xml:space="preserve">he downward net curvature risk position </w:t>
            </w:r>
            <w:r w:rsidRPr="00FE3C59">
              <w:rPr>
                <w:rFonts w:ascii="Times New Roman" w:hAnsi="Times New Roman" w:cs="Times New Roman"/>
                <w:lang w:val="en-GB"/>
              </w:rPr>
              <w:t>(</w:t>
            </w:r>
            <m:oMath>
              <m:r>
                <w:rPr>
                  <w:rFonts w:ascii="Cambria Math" w:hAnsi="Cambria Math" w:cs="Times New Roman"/>
                  <w:lang w:val="en-GB"/>
                </w:rPr>
                <m:t>CV</m:t>
              </m:r>
              <m:sSubSup>
                <m:sSubSupPr>
                  <m:ctrlPr>
                    <w:rPr>
                      <w:rFonts w:ascii="Cambria Math" w:hAnsi="Cambria Math" w:cs="Times New Roman"/>
                      <w:lang w:val="en-GB"/>
                    </w:rPr>
                  </m:ctrlPr>
                </m:sSubSupPr>
                <m:e>
                  <m:r>
                    <w:rPr>
                      <w:rFonts w:ascii="Cambria Math" w:hAnsi="Cambria Math" w:cs="Times New Roman"/>
                      <w:lang w:val="en-GB"/>
                    </w:rPr>
                    <m:t>R</m:t>
                  </m:r>
                </m:e>
                <m:sub>
                  <m:r>
                    <w:rPr>
                      <w:rFonts w:ascii="Cambria Math" w:hAnsi="Cambria Math" w:cs="Times New Roman"/>
                      <w:lang w:val="en-GB"/>
                    </w:rPr>
                    <m:t>k</m:t>
                  </m:r>
                </m:sub>
                <m:sup>
                  <m:r>
                    <w:rPr>
                      <w:rFonts w:ascii="Cambria Math" w:hAnsi="Cambria Math" w:cs="Times New Roman"/>
                      <w:lang w:val="en-GB"/>
                    </w:rPr>
                    <m:t>-</m:t>
                  </m:r>
                </m:sup>
              </m:sSubSup>
            </m:oMath>
            <w:r w:rsidRPr="00FE3C59">
              <w:rPr>
                <w:rFonts w:ascii="Times New Roman" w:hAnsi="Times New Roman" w:cs="Times New Roman"/>
                <w:lang w:val="en-GB"/>
              </w:rPr>
              <w:t xml:space="preserve">) </w:t>
            </w:r>
            <w:r w:rsidR="408AD157" w:rsidRPr="00FE3C59">
              <w:rPr>
                <w:rFonts w:ascii="Times New Roman" w:hAnsi="Times New Roman" w:cs="Times New Roman"/>
                <w:lang w:val="en-GB"/>
              </w:rPr>
              <w:t>to</w:t>
            </w:r>
            <w:r w:rsidR="1E9D15EE" w:rsidRPr="00FE3C59">
              <w:rPr>
                <w:rFonts w:ascii="Times New Roman" w:hAnsi="Times New Roman" w:cs="Times New Roman"/>
                <w:lang w:val="en-GB"/>
              </w:rPr>
              <w:t xml:space="preserve"> the spot exchange rate</w:t>
            </w:r>
            <w:r w:rsidR="54156AA6" w:rsidRPr="00FE3C59">
              <w:rPr>
                <w:rFonts w:ascii="Times New Roman" w:hAnsi="Times New Roman" w:cs="Times New Roman"/>
                <w:lang w:val="en-GB"/>
              </w:rPr>
              <w:t xml:space="preserve"> risk </w:t>
            </w:r>
            <w:r w:rsidR="1E9D15EE" w:rsidRPr="00FE3C59">
              <w:rPr>
                <w:rFonts w:ascii="Times New Roman" w:hAnsi="Times New Roman" w:cs="Times New Roman"/>
                <w:lang w:val="en-GB"/>
              </w:rPr>
              <w:t>factor</w:t>
            </w:r>
            <w:r w:rsidR="60BF77E9" w:rsidRPr="00FE3C59">
              <w:rPr>
                <w:rFonts w:ascii="Times New Roman" w:hAnsi="Times New Roman" w:cs="Times New Roman"/>
                <w:lang w:val="en-GB"/>
              </w:rPr>
              <w:t xml:space="preserve"> of the instruments in the bucket</w:t>
            </w:r>
            <w:r w:rsidR="1E9D15EE" w:rsidRPr="00FE3C59">
              <w:rPr>
                <w:rFonts w:ascii="Times New Roman" w:hAnsi="Times New Roman" w:cs="Times New Roman"/>
                <w:lang w:val="en-GB"/>
              </w:rPr>
              <w:t>.</w:t>
            </w:r>
          </w:p>
          <w:p w14:paraId="012A5163" w14:textId="2F0BB568" w:rsidR="00F20790" w:rsidRPr="00FE3C59" w:rsidRDefault="00FA4C51" w:rsidP="65EC9DBC">
            <w:pPr>
              <w:pStyle w:val="BodyText"/>
              <w:spacing w:before="120" w:after="120" w:line="259" w:lineRule="auto"/>
              <w:rPr>
                <w:rFonts w:ascii="Times New Roman" w:hAnsi="Times New Roman" w:cs="Times New Roman"/>
                <w:lang w:val="en-GB"/>
              </w:rPr>
            </w:pPr>
            <w:r w:rsidRPr="00FE3C59">
              <w:rPr>
                <w:rFonts w:ascii="Times New Roman" w:hAnsi="Times New Roman" w:cs="Times New Roman"/>
                <w:lang w:val="en-GB"/>
              </w:rPr>
              <w:t>Where an institution obtained the permission to apply Article 325q(6) of Regulation (EU) No 575/2013, the value reported in this column shall be the result of the division by 1.5.</w:t>
            </w:r>
          </w:p>
        </w:tc>
      </w:tr>
      <w:tr w:rsidR="00543FB2" w:rsidRPr="00FE3C59" w14:paraId="5BFFB19F" w14:textId="77777777" w:rsidTr="3F965E88">
        <w:tc>
          <w:tcPr>
            <w:tcW w:w="1043" w:type="dxa"/>
          </w:tcPr>
          <w:p w14:paraId="1137F634" w14:textId="28D9A084" w:rsidR="00543FB2" w:rsidRPr="00FE3C59" w:rsidRDefault="00543FB2"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vAlign w:val="bottom"/>
          </w:tcPr>
          <w:p w14:paraId="5E8C3EF1" w14:textId="6F4F9144" w:rsidR="00543FB2" w:rsidRPr="00FE3C59" w:rsidRDefault="17F29AE3" w:rsidP="00543FB2">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Sum of weighted sensitivities </w:t>
            </w:r>
            <w:r w:rsidR="00772EE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Delta Risk</w:t>
            </w:r>
          </w:p>
          <w:p w14:paraId="1F40463A" w14:textId="4919781F" w:rsidR="00F20790" w:rsidRPr="00FE3C59" w:rsidRDefault="00E914C3"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14B83324" w:rsidRPr="00FE3C59">
              <w:rPr>
                <w:rFonts w:ascii="Times New Roman" w:hAnsi="Times New Roman" w:cs="Times New Roman"/>
                <w:lang w:val="en-GB"/>
              </w:rPr>
              <w:t xml:space="preserve"> 325f(8) </w:t>
            </w:r>
            <w:r w:rsidR="7C3D88C5" w:rsidRPr="00FE3C59">
              <w:rPr>
                <w:rFonts w:ascii="Times New Roman" w:hAnsi="Times New Roman" w:cs="Times New Roman"/>
                <w:lang w:val="en-GB"/>
              </w:rPr>
              <w:t>of Regulation (EU) No 575/2013</w:t>
            </w:r>
          </w:p>
          <w:p w14:paraId="2AECDDA4" w14:textId="14A1A8B7" w:rsidR="00F20790" w:rsidRPr="00FE3C59" w:rsidRDefault="00AA1DB4" w:rsidP="74FC7439">
            <w:pPr>
              <w:pStyle w:val="BodyText"/>
              <w:spacing w:before="120" w:after="120"/>
              <w:rPr>
                <w:rFonts w:ascii="Times New Roman" w:hAnsi="Times New Roman" w:cs="Times New Roman"/>
                <w:lang w:val="en-GB"/>
              </w:rPr>
            </w:pPr>
            <w:r w:rsidRPr="00FE3C59">
              <w:rPr>
                <w:rFonts w:ascii="Times New Roman" w:hAnsi="Times New Roman" w:cs="Times New Roman"/>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sSub>
                <m:sSubPr>
                  <m:ctrlPr>
                    <w:rPr>
                      <w:rFonts w:ascii="Cambria Math" w:hAnsi="Cambria Math" w:cs="Times New Roman"/>
                      <w:lang w:val="en-GB"/>
                    </w:rPr>
                  </m:ctrlPr>
                </m:sSubPr>
                <m:e>
                  <m:r>
                    <m:rPr>
                      <m:sty m:val="p"/>
                    </m:rPr>
                    <w:rPr>
                      <w:rFonts w:ascii="Cambria Math" w:hAnsi="Cambria Math" w:cs="Times New Roman"/>
                      <w:lang w:val="en-GB"/>
                    </w:rPr>
                    <m:t>Σ</m:t>
                  </m:r>
                </m:e>
                <m:sub>
                  <m:r>
                    <w:rPr>
                      <w:rFonts w:ascii="Cambria Math" w:hAnsi="Cambria Math" w:cs="Times New Roman"/>
                      <w:lang w:val="en-GB"/>
                    </w:rPr>
                    <m:t>k</m:t>
                  </m:r>
                </m:sub>
              </m:sSub>
              <m:r>
                <w:rPr>
                  <w:rFonts w:ascii="Cambria Math" w:hAnsi="Cambria Math" w:cs="Times New Roman"/>
                  <w:lang w:val="en-GB"/>
                </w:rPr>
                <m:t>W</m:t>
              </m:r>
              <m:sSub>
                <m:sSubPr>
                  <m:ctrlPr>
                    <w:rPr>
                      <w:rFonts w:ascii="Cambria Math" w:hAnsi="Cambria Math" w:cs="Times New Roman"/>
                      <w:lang w:val="en-GB"/>
                    </w:rPr>
                  </m:ctrlPr>
                </m:sSubPr>
                <m:e>
                  <m:r>
                    <w:rPr>
                      <w:rFonts w:ascii="Cambria Math" w:hAnsi="Cambria Math" w:cs="Times New Roman"/>
                      <w:lang w:val="en-GB"/>
                    </w:rPr>
                    <m:t>S</m:t>
                  </m:r>
                </m:e>
                <m:sub>
                  <m:r>
                    <w:rPr>
                      <w:rFonts w:ascii="Cambria Math" w:hAnsi="Cambria Math" w:cs="Times New Roman"/>
                      <w:lang w:val="en-GB"/>
                    </w:rPr>
                    <m:t>k</m:t>
                  </m:r>
                </m:sub>
              </m:sSub>
            </m:oMath>
            <w:r w:rsidRPr="00FE3C59">
              <w:rPr>
                <w:rFonts w:ascii="Times New Roman" w:hAnsi="Times New Roman" w:cs="Times New Roman"/>
                <w:lang w:val="en-GB"/>
              </w:rPr>
              <w:t xml:space="preserve">) as defined for the purposes of the aggregation within each bucket in </w:t>
            </w:r>
            <w:r w:rsidR="00E914C3" w:rsidRPr="00FE3C59">
              <w:rPr>
                <w:rFonts w:ascii="Times New Roman" w:hAnsi="Times New Roman" w:cs="Times New Roman"/>
                <w:lang w:val="en-GB"/>
              </w:rPr>
              <w:t>Article</w:t>
            </w:r>
            <w:r w:rsidRPr="00FE3C59">
              <w:rPr>
                <w:rFonts w:ascii="Times New Roman" w:hAnsi="Times New Roman" w:cs="Times New Roman"/>
                <w:lang w:val="en-GB"/>
              </w:rPr>
              <w:t xml:space="preserve"> 325f(8) of Regulation (EU) No 575/2013 shall be reported. </w:t>
            </w:r>
          </w:p>
        </w:tc>
      </w:tr>
      <w:tr w:rsidR="00543FB2" w:rsidRPr="00FE3C59" w14:paraId="32FDE5D1" w14:textId="77777777" w:rsidTr="3F965E88">
        <w:tc>
          <w:tcPr>
            <w:tcW w:w="1043" w:type="dxa"/>
          </w:tcPr>
          <w:p w14:paraId="4FD84917" w14:textId="3FEFABC3" w:rsidR="00543FB2" w:rsidRPr="00FE3C59" w:rsidRDefault="00543FB2"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vAlign w:val="bottom"/>
          </w:tcPr>
          <w:p w14:paraId="657ED1E5" w14:textId="18D24123" w:rsidR="00543FB2" w:rsidRPr="00FE3C59" w:rsidRDefault="4DB6EC52" w:rsidP="758C6A7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Sum of curvature risk positions </w:t>
            </w:r>
            <w:r w:rsidR="00772EE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Curvature Risk</w:t>
            </w:r>
          </w:p>
          <w:p w14:paraId="26DD0CC6" w14:textId="42C8B40C" w:rsidR="00F20790" w:rsidRPr="00FE3C59" w:rsidRDefault="00E914C3" w:rsidP="758C6A71">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2DCBDD3C" w:rsidRPr="00FE3C59">
              <w:rPr>
                <w:rFonts w:ascii="Times New Roman" w:hAnsi="Times New Roman" w:cs="Times New Roman"/>
                <w:lang w:val="en-GB"/>
              </w:rPr>
              <w:t xml:space="preserve"> 325g(6) </w:t>
            </w:r>
            <w:r w:rsidR="00AA1DB4" w:rsidRPr="00FE3C59">
              <w:rPr>
                <w:rFonts w:ascii="Times New Roman" w:hAnsi="Times New Roman" w:cs="Times New Roman"/>
                <w:lang w:val="en-GB"/>
              </w:rPr>
              <w:t>of Regulation (EU) No 575/2013</w:t>
            </w:r>
          </w:p>
          <w:p w14:paraId="4EF9060E" w14:textId="0FB6EF0B" w:rsidR="00F20790" w:rsidRPr="00FE3C59" w:rsidRDefault="00AA1DB4" w:rsidP="1A2AFB73">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Institutions shall report the sum of curvature risk positions (</w:t>
            </w:r>
            <m:oMath>
              <m:sSub>
                <m:sSubPr>
                  <m:ctrlPr>
                    <w:rPr>
                      <w:rFonts w:ascii="Cambria Math" w:hAnsi="Cambria Math" w:cs="Times New Roman"/>
                      <w:lang w:val="en-GB"/>
                    </w:rPr>
                  </m:ctrlPr>
                </m:sSubPr>
                <m:e>
                  <m:r>
                    <w:rPr>
                      <w:rFonts w:ascii="Cambria Math" w:hAnsi="Cambria Math" w:cs="Times New Roman"/>
                      <w:lang w:val="en-GB"/>
                    </w:rPr>
                    <m:t>S</m:t>
                  </m:r>
                </m:e>
                <m:sub>
                  <m:r>
                    <w:rPr>
                      <w:rFonts w:ascii="Cambria Math" w:hAnsi="Cambria Math" w:cs="Times New Roman"/>
                      <w:lang w:val="en-GB"/>
                    </w:rPr>
                    <m:t>b</m:t>
                  </m:r>
                </m:sub>
              </m:sSub>
            </m:oMath>
            <w:r w:rsidR="00D95188" w:rsidRPr="00FE3C59">
              <w:rPr>
                <w:rFonts w:ascii="Times New Roman" w:hAnsi="Times New Roman" w:cs="Times New Roman"/>
                <w:lang w:val="en-GB"/>
              </w:rPr>
              <w:t>)</w:t>
            </w:r>
            <w:r w:rsidRPr="00FE3C59">
              <w:rPr>
                <w:rFonts w:ascii="Times New Roman" w:hAnsi="Times New Roman" w:cs="Times New Roman"/>
                <w:lang w:val="en-GB"/>
              </w:rPr>
              <w:t xml:space="preserve"> as defined for the purposes of the aggregation across buckets in </w:t>
            </w:r>
            <w:r w:rsidR="00E914C3" w:rsidRPr="00FE3C59">
              <w:rPr>
                <w:rFonts w:ascii="Times New Roman" w:hAnsi="Times New Roman" w:cs="Times New Roman"/>
                <w:lang w:val="en-GB"/>
              </w:rPr>
              <w:t>Article</w:t>
            </w:r>
            <w:r w:rsidRPr="00FE3C59">
              <w:rPr>
                <w:rFonts w:ascii="Times New Roman" w:hAnsi="Times New Roman" w:cs="Times New Roman"/>
                <w:lang w:val="en-GB"/>
              </w:rPr>
              <w:t xml:space="preserve"> 325g(6) of Regulation (EU) No 575/2013. </w:t>
            </w:r>
          </w:p>
          <w:p w14:paraId="3778DE88" w14:textId="0DE5D4D3" w:rsidR="00F20790" w:rsidRPr="00FE3C59" w:rsidRDefault="74E02BF0" w:rsidP="65EC9DBC">
            <w:pPr>
              <w:pStyle w:val="BodyText"/>
              <w:spacing w:before="120" w:after="120" w:line="259" w:lineRule="auto"/>
              <w:rPr>
                <w:rFonts w:ascii="Times New Roman" w:hAnsi="Times New Roman" w:cs="Times New Roman"/>
                <w:lang w:val="en-GB"/>
              </w:rPr>
            </w:pPr>
            <w:r w:rsidRPr="00FE3C59">
              <w:rPr>
                <w:rFonts w:ascii="Times New Roman" w:hAnsi="Times New Roman" w:cs="Times New Roman"/>
                <w:lang w:val="en-GB"/>
              </w:rPr>
              <w:t>Where an institution obtained the permission to apply Article 325q(6) of Regulation (EU) No 575/2013, the value reported in this column shall take into account the division by 1.5.</w:t>
            </w:r>
          </w:p>
        </w:tc>
      </w:tr>
      <w:tr w:rsidR="00543FB2" w:rsidRPr="00FE3C59" w14:paraId="312BD66F" w14:textId="77777777" w:rsidTr="00352383">
        <w:trPr>
          <w:trHeight w:val="521"/>
        </w:trPr>
        <w:tc>
          <w:tcPr>
            <w:tcW w:w="1043" w:type="dxa"/>
          </w:tcPr>
          <w:p w14:paraId="14D07DAB" w14:textId="55198839" w:rsidR="00543FB2" w:rsidRPr="00FE3C59" w:rsidRDefault="1EAAF25E" w:rsidP="00352383">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1000</w:t>
            </w:r>
            <w:r w:rsidR="002A6D58" w:rsidRPr="00FE3C59">
              <w:rPr>
                <w:rFonts w:ascii="Times New Roman" w:hAnsi="Times New Roman" w:cs="Times New Roman"/>
                <w:lang w:val="en-GB"/>
              </w:rPr>
              <w:t xml:space="preserve">, 1020, 1030, 1050, 1060, </w:t>
            </w:r>
            <w:r w:rsidRPr="00FE3C59">
              <w:rPr>
                <w:rFonts w:ascii="Times New Roman" w:hAnsi="Times New Roman" w:cs="Times New Roman"/>
                <w:lang w:val="en-GB"/>
              </w:rPr>
              <w:t>1080</w:t>
            </w:r>
          </w:p>
        </w:tc>
        <w:tc>
          <w:tcPr>
            <w:tcW w:w="7973" w:type="dxa"/>
          </w:tcPr>
          <w:p w14:paraId="4CA5A09A" w14:textId="4F8BC880" w:rsidR="00543FB2" w:rsidRPr="00FE3C59" w:rsidRDefault="17F29AE3" w:rsidP="00352383">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Own funds requirements </w:t>
            </w:r>
            <w:r w:rsidR="00B30779" w:rsidRPr="00FE3C59">
              <w:rPr>
                <w:rFonts w:ascii="Times New Roman" w:hAnsi="Times New Roman" w:cs="Times New Roman"/>
                <w:b/>
                <w:u w:val="single"/>
                <w:lang w:val="en-GB"/>
              </w:rPr>
              <w:t xml:space="preserve">in </w:t>
            </w:r>
            <w:r w:rsidRPr="00FE3C59">
              <w:rPr>
                <w:rFonts w:ascii="Times New Roman" w:hAnsi="Times New Roman" w:cs="Times New Roman"/>
                <w:b/>
                <w:u w:val="single"/>
                <w:lang w:val="en-GB"/>
              </w:rPr>
              <w:t>the different scenarios</w:t>
            </w:r>
          </w:p>
          <w:p w14:paraId="1D71C8AA" w14:textId="41600A14" w:rsidR="003B774D" w:rsidRPr="00FE3C59" w:rsidRDefault="00352383" w:rsidP="00352383">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The own funds requirements calculated on the basis of the sensitivities–based method for delta and curvature risks in each of the three scenarios referred to in Article 325h of Regulation (EU) No 575/2013 shall be reported.</w:t>
            </w:r>
          </w:p>
        </w:tc>
      </w:tr>
      <w:tr w:rsidR="00E73CD5" w:rsidRPr="00FE3C59" w14:paraId="51ABCC32" w14:textId="77777777" w:rsidTr="3F965E88">
        <w:tc>
          <w:tcPr>
            <w:tcW w:w="1043" w:type="dxa"/>
          </w:tcPr>
          <w:p w14:paraId="4023D238" w14:textId="6FCAA2DB" w:rsidR="00E73CD5" w:rsidRPr="00FE3C59" w:rsidRDefault="00E73CD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1000, 1020</w:t>
            </w:r>
          </w:p>
        </w:tc>
        <w:tc>
          <w:tcPr>
            <w:tcW w:w="7973" w:type="dxa"/>
          </w:tcPr>
          <w:p w14:paraId="39448736" w14:textId="77777777" w:rsidR="00E73CD5" w:rsidRPr="00FE3C59" w:rsidRDefault="00E73CD5"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Low correlation scenario</w:t>
            </w:r>
          </w:p>
          <w:p w14:paraId="1503E66E" w14:textId="77777777" w:rsidR="00E73CD5" w:rsidRPr="00FE3C59" w:rsidRDefault="00E73CD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325h(2), point (c), of Regulation (EU) No 575/2013</w:t>
            </w:r>
          </w:p>
        </w:tc>
      </w:tr>
      <w:tr w:rsidR="000465A2" w:rsidRPr="00FE3C59" w14:paraId="1F69353C" w14:textId="77777777" w:rsidTr="3F965E88">
        <w:tc>
          <w:tcPr>
            <w:tcW w:w="1043" w:type="dxa"/>
          </w:tcPr>
          <w:p w14:paraId="37D0D0FA"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1000</w:t>
            </w:r>
          </w:p>
        </w:tc>
        <w:tc>
          <w:tcPr>
            <w:tcW w:w="7973" w:type="dxa"/>
          </w:tcPr>
          <w:p w14:paraId="60EDD74B"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0465A2" w:rsidRPr="00FE3C59" w14:paraId="74A332C0" w14:textId="77777777" w:rsidTr="3F965E88">
        <w:tc>
          <w:tcPr>
            <w:tcW w:w="1043" w:type="dxa"/>
          </w:tcPr>
          <w:p w14:paraId="0C806229"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1020</w:t>
            </w:r>
          </w:p>
        </w:tc>
        <w:tc>
          <w:tcPr>
            <w:tcW w:w="7973" w:type="dxa"/>
          </w:tcPr>
          <w:p w14:paraId="34427585"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 Risk</w:t>
            </w:r>
          </w:p>
        </w:tc>
      </w:tr>
      <w:tr w:rsidR="000465A2" w:rsidRPr="00FE3C59" w14:paraId="357CFEEA" w14:textId="77777777" w:rsidTr="3F965E88">
        <w:tc>
          <w:tcPr>
            <w:tcW w:w="1043" w:type="dxa"/>
          </w:tcPr>
          <w:p w14:paraId="33DEDBDF" w14:textId="5126B7CA"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w:t>
            </w:r>
            <w:r w:rsidR="00E73CD5" w:rsidRPr="00FE3C59">
              <w:rPr>
                <w:rFonts w:ascii="Times New Roman" w:hAnsi="Times New Roman" w:cs="Times New Roman"/>
                <w:lang w:val="en-GB"/>
              </w:rPr>
              <w:t xml:space="preserve">, </w:t>
            </w:r>
            <w:r w:rsidRPr="00FE3C59">
              <w:rPr>
                <w:rFonts w:ascii="Times New Roman" w:hAnsi="Times New Roman" w:cs="Times New Roman"/>
                <w:lang w:val="en-GB"/>
              </w:rPr>
              <w:t>1050</w:t>
            </w:r>
          </w:p>
        </w:tc>
        <w:tc>
          <w:tcPr>
            <w:tcW w:w="7973" w:type="dxa"/>
          </w:tcPr>
          <w:p w14:paraId="07A5D80D" w14:textId="77777777" w:rsidR="000465A2" w:rsidRPr="00FE3C59" w:rsidRDefault="000465A2"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Medium correlation scenario</w:t>
            </w:r>
          </w:p>
          <w:p w14:paraId="005E1CA1"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325h(2), point (a), of Regulation (EU) No 575/2013</w:t>
            </w:r>
          </w:p>
        </w:tc>
      </w:tr>
      <w:tr w:rsidR="000465A2" w:rsidRPr="00FE3C59" w14:paraId="6A27B7C1" w14:textId="77777777" w:rsidTr="3F965E88">
        <w:tc>
          <w:tcPr>
            <w:tcW w:w="1043" w:type="dxa"/>
          </w:tcPr>
          <w:p w14:paraId="174C3A38"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1030</w:t>
            </w:r>
          </w:p>
        </w:tc>
        <w:tc>
          <w:tcPr>
            <w:tcW w:w="7973" w:type="dxa"/>
          </w:tcPr>
          <w:p w14:paraId="626224B9"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0465A2" w:rsidRPr="00FE3C59" w14:paraId="51BB91DB" w14:textId="77777777" w:rsidTr="3F965E88">
        <w:tc>
          <w:tcPr>
            <w:tcW w:w="1043" w:type="dxa"/>
          </w:tcPr>
          <w:p w14:paraId="0C851EC9"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1050</w:t>
            </w:r>
          </w:p>
        </w:tc>
        <w:tc>
          <w:tcPr>
            <w:tcW w:w="7973" w:type="dxa"/>
          </w:tcPr>
          <w:p w14:paraId="69FAB340"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 Risk</w:t>
            </w:r>
          </w:p>
        </w:tc>
      </w:tr>
      <w:tr w:rsidR="000465A2" w:rsidRPr="00FE3C59" w14:paraId="1423486A" w14:textId="77777777" w:rsidTr="3F965E88">
        <w:tc>
          <w:tcPr>
            <w:tcW w:w="1043" w:type="dxa"/>
          </w:tcPr>
          <w:p w14:paraId="23D75388" w14:textId="0DA39D96"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r w:rsidR="00E73CD5" w:rsidRPr="00FE3C59">
              <w:rPr>
                <w:rFonts w:ascii="Times New Roman" w:hAnsi="Times New Roman" w:cs="Times New Roman"/>
                <w:lang w:val="en-GB"/>
              </w:rPr>
              <w:t>, 1</w:t>
            </w:r>
            <w:r w:rsidRPr="00FE3C59">
              <w:rPr>
                <w:rFonts w:ascii="Times New Roman" w:hAnsi="Times New Roman" w:cs="Times New Roman"/>
                <w:lang w:val="en-GB"/>
              </w:rPr>
              <w:t>080</w:t>
            </w:r>
          </w:p>
        </w:tc>
        <w:tc>
          <w:tcPr>
            <w:tcW w:w="7973" w:type="dxa"/>
          </w:tcPr>
          <w:p w14:paraId="16AC3B23" w14:textId="77777777" w:rsidR="000465A2" w:rsidRPr="00FE3C59" w:rsidRDefault="000465A2"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 correlation scenario</w:t>
            </w:r>
          </w:p>
          <w:p w14:paraId="68656011"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325h(2), point (b), of Regulation (EU) No 575/2013</w:t>
            </w:r>
          </w:p>
        </w:tc>
      </w:tr>
      <w:tr w:rsidR="000465A2" w:rsidRPr="00FE3C59" w14:paraId="1866C02B" w14:textId="77777777" w:rsidTr="3F965E88">
        <w:tc>
          <w:tcPr>
            <w:tcW w:w="1043" w:type="dxa"/>
          </w:tcPr>
          <w:p w14:paraId="289DD4FD"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1060</w:t>
            </w:r>
          </w:p>
        </w:tc>
        <w:tc>
          <w:tcPr>
            <w:tcW w:w="7973" w:type="dxa"/>
          </w:tcPr>
          <w:p w14:paraId="4A00B684"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Delta risk</w:t>
            </w:r>
          </w:p>
        </w:tc>
      </w:tr>
      <w:tr w:rsidR="000465A2" w:rsidRPr="00FE3C59" w14:paraId="6F5ECE8B" w14:textId="77777777" w:rsidTr="3F965E88">
        <w:tc>
          <w:tcPr>
            <w:tcW w:w="1043" w:type="dxa"/>
          </w:tcPr>
          <w:p w14:paraId="6B65C545" w14:textId="77777777" w:rsidR="000465A2" w:rsidRPr="00FE3C59" w:rsidRDefault="000465A2"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1080</w:t>
            </w:r>
          </w:p>
        </w:tc>
        <w:tc>
          <w:tcPr>
            <w:tcW w:w="7973" w:type="dxa"/>
          </w:tcPr>
          <w:p w14:paraId="598F73EA" w14:textId="53E5CD3B" w:rsidR="000465A2" w:rsidRPr="00FE3C59" w:rsidRDefault="000465A2" w:rsidP="00E73CD5">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Curvature Risk</w:t>
            </w:r>
          </w:p>
        </w:tc>
      </w:tr>
    </w:tbl>
    <w:p w14:paraId="4E41DA91" w14:textId="2000CA1B" w:rsidR="00045806" w:rsidRPr="00FE3C59" w:rsidRDefault="00D34F1B" w:rsidP="00045806">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w:t>
      </w:r>
      <w:r w:rsidR="00045806" w:rsidRPr="00FE3C59">
        <w:rPr>
          <w:rFonts w:ascii="Times New Roman" w:hAnsi="Times New Roman" w:cs="Times New Roman"/>
          <w:sz w:val="24"/>
          <w:szCs w:val="24"/>
          <w:u w:val="none"/>
          <w:lang w:val="en-GB"/>
        </w:rPr>
        <w:t>8.</w:t>
      </w:r>
      <w:r w:rsidR="004F7DA1" w:rsidRPr="00FE3C59">
        <w:rPr>
          <w:rFonts w:ascii="Times New Roman" w:hAnsi="Times New Roman" w:cs="Times New Roman"/>
          <w:sz w:val="24"/>
          <w:szCs w:val="24"/>
          <w:u w:val="none"/>
          <w:lang w:val="en-GB"/>
        </w:rPr>
        <w:t>3</w:t>
      </w:r>
      <w:r w:rsidR="00045806" w:rsidRPr="00FE3C59">
        <w:rPr>
          <w:rFonts w:ascii="Times New Roman" w:hAnsi="Times New Roman" w:cs="Times New Roman"/>
          <w:lang w:val="en-GB"/>
        </w:rPr>
        <w:tab/>
      </w:r>
      <w:r w:rsidR="00045806" w:rsidRPr="00FE3C59">
        <w:rPr>
          <w:rFonts w:ascii="Times New Roman" w:hAnsi="Times New Roman" w:cs="Times New Roman"/>
          <w:sz w:val="24"/>
          <w:szCs w:val="24"/>
          <w:u w:val="none"/>
          <w:lang w:val="en-GB"/>
        </w:rPr>
        <w:t>C 92.07</w:t>
      </w:r>
      <w:r w:rsidR="00AF447E" w:rsidRPr="00FE3C59">
        <w:rPr>
          <w:rFonts w:ascii="Times New Roman" w:hAnsi="Times New Roman" w:cs="Times New Roman"/>
          <w:sz w:val="24"/>
          <w:szCs w:val="24"/>
          <w:u w:val="none"/>
          <w:lang w:val="en-GB"/>
        </w:rPr>
        <w:t>.2</w:t>
      </w:r>
      <w:r w:rsidR="00045806" w:rsidRPr="00FE3C59">
        <w:rPr>
          <w:rFonts w:ascii="Times New Roman" w:hAnsi="Times New Roman" w:cs="Times New Roman"/>
          <w:sz w:val="24"/>
          <w:szCs w:val="24"/>
          <w:u w:val="none"/>
          <w:lang w:val="en-GB"/>
        </w:rPr>
        <w:t>: Foreign exchange risk – Vega risk (MKR SBM FX</w:t>
      </w:r>
      <w:r w:rsidR="004F7DA1" w:rsidRPr="00FE3C59">
        <w:rPr>
          <w:rFonts w:ascii="Times New Roman" w:hAnsi="Times New Roman" w:cs="Times New Roman"/>
          <w:sz w:val="24"/>
          <w:szCs w:val="24"/>
          <w:u w:val="none"/>
          <w:lang w:val="en-GB"/>
        </w:rPr>
        <w:t>2</w:t>
      </w:r>
      <w:r w:rsidR="00045806" w:rsidRPr="00FE3C59">
        <w:rPr>
          <w:rFonts w:ascii="Times New Roman" w:hAnsi="Times New Roman" w:cs="Times New Roman"/>
          <w:sz w:val="24"/>
          <w:szCs w:val="24"/>
          <w:u w:val="none"/>
          <w:lang w:val="en-GB"/>
        </w:rPr>
        <w:t>)</w:t>
      </w:r>
    </w:p>
    <w:p w14:paraId="1853D63B" w14:textId="3C4AB66A" w:rsidR="00C65F1F" w:rsidRPr="00FE3C59" w:rsidRDefault="00C65F1F"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8</w:t>
      </w:r>
      <w:r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1</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General remarks</w:t>
      </w:r>
    </w:p>
    <w:p w14:paraId="55411B36" w14:textId="65073993" w:rsidR="7C3D88C5" w:rsidRPr="00FE3C59" w:rsidRDefault="01B65F16" w:rsidP="006E2ED1">
      <w:pPr>
        <w:pStyle w:val="InstructionsText2"/>
        <w:numPr>
          <w:ilvl w:val="0"/>
          <w:numId w:val="57"/>
        </w:numPr>
        <w:rPr>
          <w:rFonts w:eastAsiaTheme="minorEastAsia"/>
        </w:rPr>
      </w:pPr>
      <w:r w:rsidRPr="00FE3C59">
        <w:t xml:space="preserve">This template provides information on the results of the </w:t>
      </w:r>
      <w:r w:rsidR="003B69B5" w:rsidRPr="00FE3C59">
        <w:t xml:space="preserve">calculation of own funds requirements for </w:t>
      </w:r>
      <w:r w:rsidRPr="00FE3C59">
        <w:t xml:space="preserve">vega risk within the </w:t>
      </w:r>
      <w:r w:rsidR="72C9AB4F" w:rsidRPr="00FE3C59">
        <w:t>FX risk class o</w:t>
      </w:r>
      <w:r w:rsidR="00B73271" w:rsidRPr="00FE3C59">
        <w:t>n</w:t>
      </w:r>
      <w:r w:rsidR="72C9AB4F" w:rsidRPr="00FE3C59">
        <w:t xml:space="preserve"> the </w:t>
      </w:r>
      <w:r w:rsidR="00B73271" w:rsidRPr="00FE3C59">
        <w:t xml:space="preserve">basis </w:t>
      </w:r>
      <w:r w:rsidR="72C9AB4F" w:rsidRPr="00FE3C59">
        <w:t xml:space="preserve">of the </w:t>
      </w:r>
      <w:r w:rsidRPr="00FE3C59">
        <w:t>sensitivities-based method.</w:t>
      </w:r>
    </w:p>
    <w:p w14:paraId="7A8A8010" w14:textId="2AB9E680" w:rsidR="7C3D88C5" w:rsidRPr="00FE3C59" w:rsidRDefault="00704E0F" w:rsidP="006E2ED1">
      <w:pPr>
        <w:pStyle w:val="InstructionsText2"/>
        <w:numPr>
          <w:ilvl w:val="0"/>
          <w:numId w:val="57"/>
        </w:numPr>
        <w:rPr>
          <w:rFonts w:eastAsiaTheme="minorEastAsia"/>
          <w:color w:val="333333"/>
        </w:rPr>
      </w:pPr>
      <w:r w:rsidRPr="00FE3C59">
        <w:t xml:space="preserve">In accordance with </w:t>
      </w:r>
      <w:r w:rsidR="01B65F16" w:rsidRPr="00FE3C59">
        <w:t>Art</w:t>
      </w:r>
      <w:r w:rsidRPr="00FE3C59">
        <w:t xml:space="preserve">icle </w:t>
      </w:r>
      <w:r w:rsidR="01B65F16" w:rsidRPr="00FE3C59">
        <w:t xml:space="preserve">325q(2) of </w:t>
      </w:r>
      <w:r w:rsidR="256B38D2" w:rsidRPr="00FE3C59">
        <w:t xml:space="preserve">Regulation (EU) No 575/2013, </w:t>
      </w:r>
      <w:r w:rsidRPr="00FE3C59">
        <w:t>e</w:t>
      </w:r>
      <w:r w:rsidR="01B65F16" w:rsidRPr="00FE3C59">
        <w:t xml:space="preserve">ach row reported in this template </w:t>
      </w:r>
      <w:r w:rsidRPr="00FE3C59">
        <w:t xml:space="preserve">shall </w:t>
      </w:r>
      <w:r w:rsidR="01B65F16" w:rsidRPr="00FE3C59">
        <w:t xml:space="preserve">correspond to a specific currency pair or bucket respectively. </w:t>
      </w:r>
    </w:p>
    <w:p w14:paraId="4CCBAA44" w14:textId="005CC6D0" w:rsidR="00C65F1F" w:rsidRPr="00FE3C59" w:rsidRDefault="00C65F1F"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lastRenderedPageBreak/>
        <w:t>2.</w:t>
      </w:r>
      <w:r w:rsidR="00465B03"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8</w:t>
      </w:r>
      <w:r w:rsidRPr="00FE3C59">
        <w:rPr>
          <w:rFonts w:ascii="Times New Roman" w:hAnsi="Times New Roman" w:cs="Times New Roman"/>
          <w:sz w:val="24"/>
          <w:szCs w:val="24"/>
          <w:u w:val="none"/>
          <w:lang w:val="en-GB"/>
        </w:rPr>
        <w:t>.</w:t>
      </w:r>
      <w:r w:rsidR="004F7DA1"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2</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Instructions concerning specific positions</w:t>
      </w:r>
    </w:p>
    <w:tbl>
      <w:tblPr>
        <w:tblStyle w:val="TableGrid"/>
        <w:tblW w:w="0" w:type="auto"/>
        <w:tblLook w:val="04A0" w:firstRow="1" w:lastRow="0" w:firstColumn="1" w:lastColumn="0" w:noHBand="0" w:noVBand="1"/>
      </w:tblPr>
      <w:tblGrid>
        <w:gridCol w:w="1043"/>
        <w:gridCol w:w="7973"/>
      </w:tblGrid>
      <w:tr w:rsidR="00C65F1F" w:rsidRPr="00FE3C59" w14:paraId="6B4CE0F2" w14:textId="77777777" w:rsidTr="3F965E88">
        <w:tc>
          <w:tcPr>
            <w:tcW w:w="1043" w:type="dxa"/>
            <w:shd w:val="clear" w:color="auto" w:fill="BFBFBF" w:themeFill="background1" w:themeFillShade="BF"/>
          </w:tcPr>
          <w:p w14:paraId="3C4FC9D8"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5BFF46D3"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49411E" w:rsidRPr="00FE3C59" w14:paraId="7642AEF6" w14:textId="77777777" w:rsidTr="3F965E88">
        <w:tc>
          <w:tcPr>
            <w:tcW w:w="1043" w:type="dxa"/>
          </w:tcPr>
          <w:p w14:paraId="06EE37BF" w14:textId="56BF21D3" w:rsidR="0049411E" w:rsidRPr="00FE3C59" w:rsidRDefault="0049411E"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0010-0020</w:t>
            </w:r>
          </w:p>
        </w:tc>
        <w:tc>
          <w:tcPr>
            <w:tcW w:w="7973" w:type="dxa"/>
            <w:vAlign w:val="bottom"/>
          </w:tcPr>
          <w:p w14:paraId="37B0FCCD" w14:textId="77777777" w:rsidR="0049411E" w:rsidRPr="00FE3C59" w:rsidRDefault="0CFE8F9F" w:rsidP="0049411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Currency pair</w:t>
            </w:r>
          </w:p>
          <w:p w14:paraId="62E09C9E" w14:textId="4F86DF68" w:rsidR="0064155F" w:rsidRPr="00FE3C59" w:rsidRDefault="00E914C3"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C3D88C5" w:rsidRPr="00FE3C59">
              <w:rPr>
                <w:rFonts w:ascii="Times New Roman" w:hAnsi="Times New Roman" w:cs="Times New Roman"/>
                <w:lang w:val="en-GB"/>
              </w:rPr>
              <w:t xml:space="preserve"> 325q(2) of Regulation (EU) No 575/2013</w:t>
            </w:r>
          </w:p>
          <w:p w14:paraId="6F6FE388" w14:textId="4BF479CC" w:rsidR="0064155F" w:rsidRPr="00FE3C59" w:rsidRDefault="7C3D88C5"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combination of columns 0010 and 0020 </w:t>
            </w:r>
            <w:r w:rsidR="00131307" w:rsidRPr="00FE3C59">
              <w:rPr>
                <w:rFonts w:ascii="Times New Roman" w:hAnsi="Times New Roman" w:cs="Times New Roman"/>
                <w:lang w:val="en-GB"/>
              </w:rPr>
              <w:t>reflects</w:t>
            </w:r>
            <w:r w:rsidR="00E55A77" w:rsidRPr="00FE3C59">
              <w:rPr>
                <w:rFonts w:ascii="Times New Roman" w:hAnsi="Times New Roman" w:cs="Times New Roman"/>
                <w:lang w:val="en-GB"/>
              </w:rPr>
              <w:t xml:space="preserve"> the bucket or risk factor</w:t>
            </w:r>
            <w:r w:rsidRPr="00FE3C59">
              <w:rPr>
                <w:rFonts w:ascii="Times New Roman" w:hAnsi="Times New Roman" w:cs="Times New Roman"/>
                <w:lang w:val="en-GB"/>
              </w:rPr>
              <w:t>.</w:t>
            </w:r>
          </w:p>
          <w:p w14:paraId="48A39D69" w14:textId="6FCDBC97" w:rsidR="0064155F" w:rsidRPr="00FE3C59" w:rsidRDefault="7C3D88C5"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Institutions shall, as a convention, </w:t>
            </w:r>
          </w:p>
          <w:p w14:paraId="212833F6" w14:textId="07B82504" w:rsidR="0064155F" w:rsidRPr="00FE3C59" w:rsidRDefault="7C3D88C5" w:rsidP="7C3D88C5">
            <w:pPr>
              <w:pStyle w:val="BodyText"/>
              <w:numPr>
                <w:ilvl w:val="0"/>
                <w:numId w:val="49"/>
              </w:numPr>
              <w:spacing w:before="120" w:after="120"/>
              <w:rPr>
                <w:rFonts w:ascii="Times New Roman" w:eastAsiaTheme="minorEastAsia" w:hAnsi="Times New Roman" w:cs="Times New Roman"/>
                <w:lang w:val="en-GB"/>
              </w:rPr>
            </w:pPr>
            <w:r w:rsidRPr="00FE3C59">
              <w:rPr>
                <w:rFonts w:ascii="Times New Roman" w:hAnsi="Times New Roman" w:cs="Times New Roman"/>
                <w:lang w:val="en-GB"/>
              </w:rPr>
              <w:t xml:space="preserve">for any currency pair </w:t>
            </w:r>
            <w:r w:rsidR="000534C8" w:rsidRPr="00FE3C59">
              <w:rPr>
                <w:rFonts w:ascii="Times New Roman" w:hAnsi="Times New Roman" w:cs="Times New Roman"/>
                <w:lang w:val="en-GB"/>
              </w:rPr>
              <w:t>including the</w:t>
            </w:r>
            <w:r w:rsidRPr="00FE3C59">
              <w:rPr>
                <w:rFonts w:ascii="Times New Roman" w:hAnsi="Times New Roman" w:cs="Times New Roman"/>
                <w:lang w:val="en-GB"/>
              </w:rPr>
              <w:t xml:space="preserve"> EUR, report </w:t>
            </w:r>
            <w:r w:rsidR="00814B8A" w:rsidRPr="00FE3C59">
              <w:rPr>
                <w:rFonts w:ascii="Times New Roman" w:hAnsi="Times New Roman" w:cs="Times New Roman"/>
                <w:lang w:val="en-GB"/>
              </w:rPr>
              <w:t>EUR</w:t>
            </w:r>
            <w:r w:rsidRPr="00FE3C59">
              <w:rPr>
                <w:rFonts w:ascii="Times New Roman" w:hAnsi="Times New Roman" w:cs="Times New Roman"/>
                <w:lang w:val="en-GB"/>
              </w:rPr>
              <w:t xml:space="preserve"> as the first currency in column 0010;</w:t>
            </w:r>
          </w:p>
          <w:p w14:paraId="4A0C21AD" w14:textId="2A7E5465" w:rsidR="0064155F" w:rsidRPr="00FE3C59" w:rsidRDefault="7C3D88C5" w:rsidP="7C3D88C5">
            <w:pPr>
              <w:pStyle w:val="BodyText"/>
              <w:numPr>
                <w:ilvl w:val="0"/>
                <w:numId w:val="49"/>
              </w:numPr>
              <w:spacing w:before="120" w:after="120"/>
              <w:rPr>
                <w:rFonts w:ascii="Times New Roman" w:hAnsi="Times New Roman" w:cs="Times New Roman"/>
                <w:lang w:val="en-GB"/>
              </w:rPr>
            </w:pPr>
            <w:r w:rsidRPr="00FE3C59">
              <w:rPr>
                <w:rFonts w:ascii="Times New Roman" w:hAnsi="Times New Roman" w:cs="Times New Roman"/>
                <w:lang w:val="en-GB"/>
              </w:rPr>
              <w:t xml:space="preserve">for any currency pair </w:t>
            </w:r>
            <w:r w:rsidR="00814B8A" w:rsidRPr="00FE3C59">
              <w:rPr>
                <w:rFonts w:ascii="Times New Roman" w:hAnsi="Times New Roman" w:cs="Times New Roman"/>
                <w:lang w:val="en-GB"/>
              </w:rPr>
              <w:t xml:space="preserve">including </w:t>
            </w:r>
            <w:r w:rsidRPr="00FE3C59">
              <w:rPr>
                <w:rFonts w:ascii="Times New Roman" w:hAnsi="Times New Roman" w:cs="Times New Roman"/>
                <w:lang w:val="en-GB"/>
              </w:rPr>
              <w:t>USD</w:t>
            </w:r>
            <w:r w:rsidR="00814B8A" w:rsidRPr="00FE3C59">
              <w:rPr>
                <w:rFonts w:ascii="Times New Roman" w:hAnsi="Times New Roman" w:cs="Times New Roman"/>
                <w:lang w:val="en-GB"/>
              </w:rPr>
              <w:t xml:space="preserve">, </w:t>
            </w:r>
            <w:r w:rsidR="00272E8A" w:rsidRPr="00FE3C59">
              <w:rPr>
                <w:rFonts w:ascii="Times New Roman" w:hAnsi="Times New Roman" w:cs="Times New Roman"/>
                <w:lang w:val="en-GB"/>
              </w:rPr>
              <w:t xml:space="preserve">with the </w:t>
            </w:r>
            <w:r w:rsidR="00814B8A" w:rsidRPr="00FE3C59">
              <w:rPr>
                <w:rFonts w:ascii="Times New Roman" w:hAnsi="Times New Roman" w:cs="Times New Roman"/>
                <w:lang w:val="en-GB"/>
              </w:rPr>
              <w:t>except</w:t>
            </w:r>
            <w:r w:rsidR="00272E8A" w:rsidRPr="00FE3C59">
              <w:rPr>
                <w:rFonts w:ascii="Times New Roman" w:hAnsi="Times New Roman" w:cs="Times New Roman"/>
                <w:lang w:val="en-GB"/>
              </w:rPr>
              <w:t>ion of</w:t>
            </w:r>
            <w:r w:rsidR="00814B8A" w:rsidRPr="00FE3C59">
              <w:rPr>
                <w:rFonts w:ascii="Times New Roman" w:hAnsi="Times New Roman" w:cs="Times New Roman"/>
                <w:lang w:val="en-GB"/>
              </w:rPr>
              <w:t xml:space="preserve"> the </w:t>
            </w:r>
            <w:r w:rsidR="00272E8A" w:rsidRPr="00FE3C59">
              <w:rPr>
                <w:rFonts w:ascii="Times New Roman" w:hAnsi="Times New Roman" w:cs="Times New Roman"/>
                <w:lang w:val="en-GB"/>
              </w:rPr>
              <w:t>currency pair</w:t>
            </w:r>
            <w:r w:rsidR="00814B8A" w:rsidRPr="00FE3C59">
              <w:rPr>
                <w:rFonts w:ascii="Times New Roman" w:hAnsi="Times New Roman" w:cs="Times New Roman"/>
                <w:lang w:val="en-GB"/>
              </w:rPr>
              <w:t xml:space="preserve"> EUR/USD, </w:t>
            </w:r>
            <w:r w:rsidRPr="00FE3C59">
              <w:rPr>
                <w:rFonts w:ascii="Times New Roman" w:hAnsi="Times New Roman" w:cs="Times New Roman"/>
                <w:lang w:val="en-GB"/>
              </w:rPr>
              <w:t xml:space="preserve">report </w:t>
            </w:r>
            <w:r w:rsidR="00650F3C" w:rsidRPr="00FE3C59">
              <w:rPr>
                <w:rFonts w:ascii="Times New Roman" w:hAnsi="Times New Roman" w:cs="Times New Roman"/>
                <w:lang w:val="en-GB"/>
              </w:rPr>
              <w:t>USD</w:t>
            </w:r>
            <w:r w:rsidRPr="00FE3C59">
              <w:rPr>
                <w:rFonts w:ascii="Times New Roman" w:hAnsi="Times New Roman" w:cs="Times New Roman"/>
                <w:lang w:val="en-GB"/>
              </w:rPr>
              <w:t xml:space="preserve"> as the first currency in column 0010;</w:t>
            </w:r>
          </w:p>
          <w:p w14:paraId="5934FA8C" w14:textId="3BFC8998" w:rsidR="0064155F" w:rsidRPr="00FE3C59" w:rsidRDefault="7C3D88C5" w:rsidP="7C3D88C5">
            <w:pPr>
              <w:pStyle w:val="BodyText"/>
              <w:numPr>
                <w:ilvl w:val="0"/>
                <w:numId w:val="49"/>
              </w:numPr>
              <w:spacing w:before="120" w:after="120"/>
              <w:rPr>
                <w:rFonts w:ascii="Times New Roman" w:hAnsi="Times New Roman" w:cs="Times New Roman"/>
                <w:lang w:val="en-GB"/>
              </w:rPr>
            </w:pPr>
            <w:r w:rsidRPr="00FE3C59">
              <w:rPr>
                <w:rFonts w:ascii="Times New Roman" w:hAnsi="Times New Roman" w:cs="Times New Roman"/>
                <w:lang w:val="en-GB"/>
              </w:rPr>
              <w:t xml:space="preserve">for any currency pair </w:t>
            </w:r>
            <w:r w:rsidR="00650F3C" w:rsidRPr="00FE3C59">
              <w:rPr>
                <w:rFonts w:ascii="Times New Roman" w:hAnsi="Times New Roman" w:cs="Times New Roman"/>
                <w:lang w:val="en-GB"/>
              </w:rPr>
              <w:t>including</w:t>
            </w:r>
            <w:r w:rsidRPr="00FE3C59">
              <w:rPr>
                <w:rFonts w:ascii="Times New Roman" w:hAnsi="Times New Roman" w:cs="Times New Roman"/>
                <w:lang w:val="en-GB"/>
              </w:rPr>
              <w:t xml:space="preserve"> JPY</w:t>
            </w:r>
            <w:r w:rsidR="00650F3C" w:rsidRPr="00FE3C59">
              <w:rPr>
                <w:rFonts w:ascii="Times New Roman" w:hAnsi="Times New Roman" w:cs="Times New Roman"/>
                <w:lang w:val="en-GB"/>
              </w:rPr>
              <w:t>, with the exception of</w:t>
            </w:r>
            <w:r w:rsidR="00B15C06" w:rsidRPr="00FE3C59">
              <w:rPr>
                <w:rFonts w:ascii="Times New Roman" w:hAnsi="Times New Roman" w:cs="Times New Roman"/>
                <w:lang w:val="en-GB"/>
              </w:rPr>
              <w:t xml:space="preserve"> the currency pairs</w:t>
            </w:r>
            <w:r w:rsidR="00650F3C" w:rsidRPr="00FE3C59">
              <w:rPr>
                <w:rFonts w:ascii="Times New Roman" w:hAnsi="Times New Roman" w:cs="Times New Roman"/>
                <w:lang w:val="en-GB"/>
              </w:rPr>
              <w:t xml:space="preserve"> </w:t>
            </w:r>
            <w:r w:rsidR="00272E8A" w:rsidRPr="00FE3C59">
              <w:rPr>
                <w:rFonts w:ascii="Times New Roman" w:hAnsi="Times New Roman" w:cs="Times New Roman"/>
                <w:lang w:val="en-GB"/>
              </w:rPr>
              <w:t>EUR/JPY and USD/JPY,</w:t>
            </w:r>
            <w:r w:rsidRPr="00FE3C59">
              <w:rPr>
                <w:rFonts w:ascii="Times New Roman" w:hAnsi="Times New Roman" w:cs="Times New Roman"/>
                <w:lang w:val="en-GB"/>
              </w:rPr>
              <w:t xml:space="preserve"> report </w:t>
            </w:r>
            <w:r w:rsidR="00B15C06" w:rsidRPr="00FE3C59">
              <w:rPr>
                <w:rFonts w:ascii="Times New Roman" w:hAnsi="Times New Roman" w:cs="Times New Roman"/>
                <w:lang w:val="en-GB"/>
              </w:rPr>
              <w:t>JPY</w:t>
            </w:r>
            <w:r w:rsidRPr="00FE3C59">
              <w:rPr>
                <w:rFonts w:ascii="Times New Roman" w:hAnsi="Times New Roman" w:cs="Times New Roman"/>
                <w:lang w:val="en-GB"/>
              </w:rPr>
              <w:t xml:space="preserve"> as </w:t>
            </w:r>
            <w:r w:rsidR="7D9A333B" w:rsidRPr="00FE3C59">
              <w:rPr>
                <w:rFonts w:ascii="Times New Roman" w:hAnsi="Times New Roman" w:cs="Times New Roman"/>
                <w:lang w:val="en-GB"/>
              </w:rPr>
              <w:t>the first currency</w:t>
            </w:r>
            <w:r w:rsidR="12C5067E" w:rsidRPr="00FE3C59">
              <w:rPr>
                <w:rFonts w:ascii="Times New Roman" w:hAnsi="Times New Roman" w:cs="Times New Roman"/>
                <w:lang w:val="en-GB"/>
              </w:rPr>
              <w:t xml:space="preserve"> </w:t>
            </w:r>
            <w:r w:rsidRPr="00FE3C59">
              <w:rPr>
                <w:rFonts w:ascii="Times New Roman" w:hAnsi="Times New Roman" w:cs="Times New Roman"/>
                <w:lang w:val="en-GB"/>
              </w:rPr>
              <w:t>in column 0010</w:t>
            </w:r>
            <w:r w:rsidR="00520857" w:rsidRPr="00FE3C59">
              <w:rPr>
                <w:rFonts w:ascii="Times New Roman" w:hAnsi="Times New Roman" w:cs="Times New Roman"/>
                <w:lang w:val="en-GB"/>
              </w:rPr>
              <w:t>;</w:t>
            </w:r>
          </w:p>
          <w:p w14:paraId="0A071DDD" w14:textId="3F15BFA4" w:rsidR="0064155F" w:rsidRPr="00FE3C59" w:rsidRDefault="7C3D88C5" w:rsidP="7C3D88C5">
            <w:pPr>
              <w:pStyle w:val="BodyText"/>
              <w:numPr>
                <w:ilvl w:val="0"/>
                <w:numId w:val="49"/>
              </w:numPr>
              <w:spacing w:before="120" w:after="120"/>
              <w:rPr>
                <w:rFonts w:ascii="Times New Roman" w:eastAsiaTheme="minorEastAsia" w:hAnsi="Times New Roman" w:cs="Times New Roman"/>
                <w:lang w:val="en-GB"/>
              </w:rPr>
            </w:pPr>
            <w:r w:rsidRPr="00FE3C59">
              <w:rPr>
                <w:rFonts w:ascii="Times New Roman" w:hAnsi="Times New Roman" w:cs="Times New Roman"/>
                <w:lang w:val="en-GB"/>
              </w:rPr>
              <w:t xml:space="preserve">for any currency pair </w:t>
            </w:r>
            <w:r w:rsidR="00520857" w:rsidRPr="00FE3C59">
              <w:rPr>
                <w:rFonts w:ascii="Times New Roman" w:hAnsi="Times New Roman" w:cs="Times New Roman"/>
                <w:lang w:val="en-GB"/>
              </w:rPr>
              <w:t xml:space="preserve">including </w:t>
            </w:r>
            <w:r w:rsidRPr="00FE3C59">
              <w:rPr>
                <w:rFonts w:ascii="Times New Roman" w:hAnsi="Times New Roman" w:cs="Times New Roman"/>
                <w:lang w:val="en-GB"/>
              </w:rPr>
              <w:t>GBP</w:t>
            </w:r>
            <w:r w:rsidR="00520857" w:rsidRPr="00FE3C59">
              <w:rPr>
                <w:rFonts w:ascii="Times New Roman" w:hAnsi="Times New Roman" w:cs="Times New Roman"/>
                <w:lang w:val="en-GB"/>
              </w:rPr>
              <w:t xml:space="preserve">, with the exception of the currency pairs EUR/GBP, USD/GBP and JPY/GBP, </w:t>
            </w:r>
            <w:r w:rsidRPr="00FE3C59">
              <w:rPr>
                <w:rFonts w:ascii="Times New Roman" w:hAnsi="Times New Roman" w:cs="Times New Roman"/>
                <w:lang w:val="en-GB"/>
              </w:rPr>
              <w:t xml:space="preserve">report </w:t>
            </w:r>
            <w:r w:rsidR="000F6D45" w:rsidRPr="00FE3C59">
              <w:rPr>
                <w:rFonts w:ascii="Times New Roman" w:hAnsi="Times New Roman" w:cs="Times New Roman"/>
                <w:lang w:val="en-GB"/>
              </w:rPr>
              <w:t xml:space="preserve">GBP </w:t>
            </w:r>
            <w:r w:rsidRPr="00FE3C59">
              <w:rPr>
                <w:rFonts w:ascii="Times New Roman" w:hAnsi="Times New Roman" w:cs="Times New Roman"/>
                <w:lang w:val="en-GB"/>
              </w:rPr>
              <w:t xml:space="preserve">as the first currency </w:t>
            </w:r>
            <w:r w:rsidR="00520857" w:rsidRPr="00FE3C59">
              <w:rPr>
                <w:rFonts w:ascii="Times New Roman" w:hAnsi="Times New Roman" w:cs="Times New Roman"/>
                <w:lang w:val="en-GB"/>
              </w:rPr>
              <w:t>in column</w:t>
            </w:r>
            <w:r w:rsidRPr="00FE3C59">
              <w:rPr>
                <w:rFonts w:ascii="Times New Roman" w:hAnsi="Times New Roman" w:cs="Times New Roman"/>
                <w:lang w:val="en-GB"/>
              </w:rPr>
              <w:t xml:space="preserve"> 0010</w:t>
            </w:r>
            <w:r w:rsidR="00C97906" w:rsidRPr="00FE3C59">
              <w:rPr>
                <w:rFonts w:ascii="Times New Roman" w:hAnsi="Times New Roman" w:cs="Times New Roman"/>
                <w:lang w:val="en-GB"/>
              </w:rPr>
              <w:t>;</w:t>
            </w:r>
          </w:p>
          <w:p w14:paraId="7BDD5CEB" w14:textId="1803D52A" w:rsidR="0064155F" w:rsidRPr="00FE3C59" w:rsidRDefault="3FBDAFD9" w:rsidP="3F965E88">
            <w:pPr>
              <w:pStyle w:val="BodyText"/>
              <w:numPr>
                <w:ilvl w:val="0"/>
                <w:numId w:val="49"/>
              </w:numPr>
              <w:spacing w:before="120" w:after="120"/>
              <w:rPr>
                <w:rFonts w:ascii="Times New Roman" w:eastAsiaTheme="minorEastAsia" w:hAnsi="Times New Roman" w:cs="Times New Roman"/>
                <w:sz w:val="22"/>
                <w:szCs w:val="22"/>
                <w:lang w:val="en-GB"/>
              </w:rPr>
            </w:pPr>
            <w:r w:rsidRPr="00FE3C59">
              <w:rPr>
                <w:rFonts w:ascii="Times New Roman" w:hAnsi="Times New Roman" w:cs="Times New Roman"/>
                <w:lang w:val="en-GB"/>
              </w:rPr>
              <w:t xml:space="preserve">for any other pair of two currencies not including </w:t>
            </w:r>
            <w:r w:rsidR="24218D1D" w:rsidRPr="00FE3C59">
              <w:rPr>
                <w:rFonts w:ascii="Times New Roman" w:hAnsi="Times New Roman" w:cs="Times New Roman"/>
                <w:lang w:val="en-GB"/>
              </w:rPr>
              <w:t>EUR, USD, JPY and GBP</w:t>
            </w:r>
            <w:r w:rsidRPr="00FE3C59">
              <w:rPr>
                <w:rFonts w:ascii="Times New Roman" w:hAnsi="Times New Roman" w:cs="Times New Roman"/>
                <w:lang w:val="en-GB"/>
              </w:rPr>
              <w:t xml:space="preserve">, institutions </w:t>
            </w:r>
            <w:r w:rsidR="02C8F344" w:rsidRPr="00FE3C59">
              <w:rPr>
                <w:rFonts w:ascii="Times New Roman" w:hAnsi="Times New Roman" w:cs="Times New Roman"/>
                <w:lang w:val="en-GB"/>
              </w:rPr>
              <w:t xml:space="preserve">shall </w:t>
            </w:r>
            <w:r w:rsidRPr="00FE3C59">
              <w:rPr>
                <w:rFonts w:ascii="Times New Roman" w:hAnsi="Times New Roman" w:cs="Times New Roman"/>
                <w:lang w:val="en-GB"/>
              </w:rPr>
              <w:t xml:space="preserve">include in column 0010 the currency </w:t>
            </w:r>
            <w:r w:rsidR="2CE193A6" w:rsidRPr="00FE3C59">
              <w:rPr>
                <w:rFonts w:ascii="Times New Roman" w:hAnsi="Times New Roman" w:cs="Times New Roman"/>
                <w:lang w:val="en-GB"/>
              </w:rPr>
              <w:t>code</w:t>
            </w:r>
            <w:r w:rsidRPr="00FE3C59">
              <w:rPr>
                <w:rFonts w:ascii="Times New Roman" w:hAnsi="Times New Roman" w:cs="Times New Roman"/>
                <w:lang w:val="en-GB"/>
              </w:rPr>
              <w:t xml:space="preserve"> of the </w:t>
            </w:r>
            <w:r w:rsidR="2CE193A6" w:rsidRPr="00FE3C59">
              <w:rPr>
                <w:rFonts w:ascii="Times New Roman" w:hAnsi="Times New Roman" w:cs="Times New Roman"/>
                <w:lang w:val="en-GB"/>
              </w:rPr>
              <w:t>currency</w:t>
            </w:r>
            <w:r w:rsidRPr="00FE3C59">
              <w:rPr>
                <w:rFonts w:ascii="Times New Roman" w:hAnsi="Times New Roman" w:cs="Times New Roman"/>
                <w:lang w:val="en-GB"/>
              </w:rPr>
              <w:t xml:space="preserve"> that comes first in alphabetical order, and the </w:t>
            </w:r>
            <w:r w:rsidR="2CE193A6" w:rsidRPr="00FE3C59">
              <w:rPr>
                <w:rFonts w:ascii="Times New Roman" w:hAnsi="Times New Roman" w:cs="Times New Roman"/>
                <w:lang w:val="en-GB"/>
              </w:rPr>
              <w:t xml:space="preserve">code of the </w:t>
            </w:r>
            <w:r w:rsidRPr="00FE3C59">
              <w:rPr>
                <w:rFonts w:ascii="Times New Roman" w:hAnsi="Times New Roman" w:cs="Times New Roman"/>
                <w:lang w:val="en-GB"/>
              </w:rPr>
              <w:t>other currency of the pair in column 0020</w:t>
            </w:r>
            <w:r w:rsidR="00C97906" w:rsidRPr="00FE3C59">
              <w:rPr>
                <w:rFonts w:ascii="Times New Roman" w:hAnsi="Times New Roman" w:cs="Times New Roman"/>
                <w:lang w:val="en-GB"/>
              </w:rPr>
              <w:t>.</w:t>
            </w:r>
          </w:p>
        </w:tc>
      </w:tr>
      <w:tr w:rsidR="0049411E" w:rsidRPr="00FE3C59" w14:paraId="1B9170DA" w14:textId="77777777" w:rsidTr="3F965E88">
        <w:tc>
          <w:tcPr>
            <w:tcW w:w="1043" w:type="dxa"/>
          </w:tcPr>
          <w:p w14:paraId="2D8F5BD5" w14:textId="7D817689" w:rsidR="0049411E" w:rsidRPr="00FE3C59" w:rsidRDefault="0049411E"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vAlign w:val="bottom"/>
          </w:tcPr>
          <w:p w14:paraId="5CE2B6AB" w14:textId="77777777" w:rsidR="0049411E" w:rsidRPr="00FE3C59" w:rsidRDefault="0CFE8F9F" w:rsidP="0049411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First currency</w:t>
            </w:r>
          </w:p>
          <w:p w14:paraId="6FC2B472" w14:textId="70367FF2" w:rsidR="0064155F" w:rsidRPr="00FE3C59" w:rsidRDefault="11CFFB27"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17933FC" w:rsidRPr="00FE3C59">
              <w:rPr>
                <w:rFonts w:ascii="Times New Roman" w:hAnsi="Times New Roman" w:cs="Times New Roman"/>
                <w:lang w:val="en-GB"/>
              </w:rPr>
              <w:t xml:space="preserve"> 325q(2) of Regulation (EU) No 575/2013</w:t>
            </w:r>
          </w:p>
        </w:tc>
      </w:tr>
      <w:tr w:rsidR="0049411E" w:rsidRPr="00FE3C59" w14:paraId="69D968C3" w14:textId="77777777" w:rsidTr="3F965E88">
        <w:tc>
          <w:tcPr>
            <w:tcW w:w="1043" w:type="dxa"/>
          </w:tcPr>
          <w:p w14:paraId="768EB5CB" w14:textId="6AAD72A2" w:rsidR="0049411E" w:rsidRPr="00FE3C59" w:rsidRDefault="0049411E"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vAlign w:val="bottom"/>
          </w:tcPr>
          <w:p w14:paraId="142F6EC6" w14:textId="77777777" w:rsidR="0049411E" w:rsidRPr="00FE3C59" w:rsidRDefault="0CFE8F9F" w:rsidP="0049411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Second currency</w:t>
            </w:r>
          </w:p>
          <w:p w14:paraId="5BE135CA" w14:textId="67B2CDBA" w:rsidR="0064155F" w:rsidRPr="00FE3C59" w:rsidRDefault="11CFFB27"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717933FC" w:rsidRPr="00FE3C59">
              <w:rPr>
                <w:rFonts w:ascii="Times New Roman" w:hAnsi="Times New Roman" w:cs="Times New Roman"/>
                <w:lang w:val="en-GB"/>
              </w:rPr>
              <w:t xml:space="preserve"> 325q(2) of Regulation (EU) No 575/2013</w:t>
            </w:r>
          </w:p>
        </w:tc>
      </w:tr>
      <w:tr w:rsidR="0049411E" w:rsidRPr="00FE3C59" w14:paraId="71C87FB9" w14:textId="77777777" w:rsidTr="3F965E88">
        <w:tc>
          <w:tcPr>
            <w:tcW w:w="1043" w:type="dxa"/>
          </w:tcPr>
          <w:p w14:paraId="38D350BF" w14:textId="1B139D46" w:rsidR="0049411E" w:rsidRPr="00FE3C59" w:rsidRDefault="0049411E"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0030-0070</w:t>
            </w:r>
          </w:p>
        </w:tc>
        <w:tc>
          <w:tcPr>
            <w:tcW w:w="7973" w:type="dxa"/>
            <w:vAlign w:val="bottom"/>
          </w:tcPr>
          <w:p w14:paraId="21FE9049" w14:textId="7E870B52" w:rsidR="0049411E" w:rsidRPr="00FE3C59" w:rsidRDefault="0CFE8F9F" w:rsidP="0049411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Unweighted sensitivities</w:t>
            </w:r>
            <w:r w:rsidR="730E5454" w:rsidRPr="00FE3C59">
              <w:rPr>
                <w:rFonts w:ascii="Times New Roman" w:hAnsi="Times New Roman" w:cs="Times New Roman"/>
                <w:b/>
                <w:bCs/>
                <w:u w:val="single"/>
                <w:lang w:val="en-GB"/>
              </w:rPr>
              <w:t xml:space="preserve"> </w:t>
            </w:r>
            <w:r w:rsidR="00C97906" w:rsidRPr="00FE3C59">
              <w:rPr>
                <w:rFonts w:ascii="Times New Roman" w:hAnsi="Times New Roman" w:cs="Times New Roman"/>
                <w:b/>
                <w:bCs/>
                <w:u w:val="single"/>
                <w:lang w:val="en-GB"/>
              </w:rPr>
              <w:t>–</w:t>
            </w:r>
            <w:r w:rsidR="730E5454" w:rsidRPr="00FE3C59">
              <w:rPr>
                <w:rFonts w:ascii="Times New Roman" w:hAnsi="Times New Roman" w:cs="Times New Roman"/>
                <w:b/>
                <w:bCs/>
                <w:u w:val="single"/>
                <w:lang w:val="en-GB"/>
              </w:rPr>
              <w:t xml:space="preserve"> </w:t>
            </w:r>
            <w:r w:rsidR="72C4B7D5" w:rsidRPr="00FE3C59">
              <w:rPr>
                <w:rFonts w:ascii="Times New Roman" w:hAnsi="Times New Roman" w:cs="Times New Roman"/>
                <w:b/>
                <w:bCs/>
                <w:u w:val="single"/>
                <w:lang w:val="en-GB"/>
              </w:rPr>
              <w:t>V</w:t>
            </w:r>
            <w:r w:rsidR="3AD7E385" w:rsidRPr="00FE3C59">
              <w:rPr>
                <w:rFonts w:ascii="Times New Roman" w:hAnsi="Times New Roman" w:cs="Times New Roman"/>
                <w:b/>
                <w:bCs/>
                <w:u w:val="single"/>
                <w:lang w:val="en-GB"/>
              </w:rPr>
              <w:t>ega</w:t>
            </w:r>
            <w:r w:rsidRPr="00FE3C59">
              <w:rPr>
                <w:rFonts w:ascii="Times New Roman" w:hAnsi="Times New Roman" w:cs="Times New Roman"/>
                <w:b/>
                <w:u w:val="single"/>
                <w:lang w:val="en-GB"/>
              </w:rPr>
              <w:t xml:space="preserve"> risk: Maturities (maturity of the option)</w:t>
            </w:r>
          </w:p>
          <w:p w14:paraId="4C6FA1CD" w14:textId="2A2B57D9" w:rsidR="0064155F" w:rsidRPr="00FE3C59" w:rsidRDefault="2829EA09" w:rsidP="06265CE2">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00DD0B0B" w:rsidRPr="00FE3C59">
              <w:rPr>
                <w:rFonts w:ascii="Times New Roman" w:hAnsi="Times New Roman" w:cs="Times New Roman"/>
                <w:lang w:val="en-GB"/>
              </w:rPr>
              <w:t>s 325q and</w:t>
            </w:r>
            <w:r w:rsidRPr="00FE3C59">
              <w:rPr>
                <w:rFonts w:ascii="Times New Roman" w:hAnsi="Times New Roman" w:cs="Times New Roman"/>
                <w:lang w:val="en-GB"/>
              </w:rPr>
              <w:t xml:space="preserve"> 325s of Regulation (EU) No 575/2013</w:t>
            </w:r>
          </w:p>
          <w:p w14:paraId="1DCD8DE0" w14:textId="61A4B6DC" w:rsidR="0064155F" w:rsidRPr="00FE3C59" w:rsidRDefault="00F851AC"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The net </w:t>
            </w:r>
            <w:r w:rsidR="7C3D88C5" w:rsidRPr="00FE3C59">
              <w:rPr>
                <w:rFonts w:ascii="Times New Roman" w:hAnsi="Times New Roman" w:cs="Times New Roman"/>
                <w:lang w:val="en-GB"/>
              </w:rPr>
              <w:t xml:space="preserve">sensitivities </w:t>
            </w:r>
            <w:r w:rsidR="00CE47F6" w:rsidRPr="00FE3C59">
              <w:rPr>
                <w:rFonts w:ascii="Times New Roman" w:hAnsi="Times New Roman" w:cs="Times New Roman"/>
                <w:lang w:val="en-GB"/>
              </w:rPr>
              <w:t>per risk factor, calculated in accordance with Articles 325</w:t>
            </w:r>
            <w:r w:rsidR="008C0E37" w:rsidRPr="00FE3C59">
              <w:rPr>
                <w:rFonts w:ascii="Times New Roman" w:hAnsi="Times New Roman" w:cs="Times New Roman"/>
                <w:lang w:val="en-GB"/>
              </w:rPr>
              <w:t>q</w:t>
            </w:r>
            <w:r w:rsidR="00CE47F6" w:rsidRPr="00FE3C59">
              <w:rPr>
                <w:rFonts w:ascii="Times New Roman" w:hAnsi="Times New Roman" w:cs="Times New Roman"/>
                <w:lang w:val="en-GB"/>
              </w:rPr>
              <w:t xml:space="preserve"> and 325</w:t>
            </w:r>
            <w:r w:rsidR="008C0E37" w:rsidRPr="00FE3C59">
              <w:rPr>
                <w:rFonts w:ascii="Times New Roman" w:hAnsi="Times New Roman" w:cs="Times New Roman"/>
                <w:lang w:val="en-GB"/>
              </w:rPr>
              <w:t>s</w:t>
            </w:r>
            <w:r w:rsidR="00CE47F6" w:rsidRPr="00FE3C59">
              <w:rPr>
                <w:rFonts w:ascii="Times New Roman" w:hAnsi="Times New Roman" w:cs="Times New Roman"/>
                <w:lang w:val="en-GB"/>
              </w:rPr>
              <w:t xml:space="preserve"> of Regulation (EU) No 575/2013</w:t>
            </w:r>
            <w:r w:rsidR="00DB74EA" w:rsidRPr="00FE3C59">
              <w:rPr>
                <w:rFonts w:ascii="Times New Roman" w:hAnsi="Times New Roman" w:cs="Times New Roman"/>
                <w:lang w:val="en-GB"/>
              </w:rPr>
              <w:t>, before the application of the corresponding risk weights set out in Part Three, Title IV, Chapter 1a, Section 6 of that Regulation</w:t>
            </w:r>
            <w:r w:rsidR="0051707F" w:rsidRPr="00FE3C59">
              <w:rPr>
                <w:rFonts w:ascii="Times New Roman" w:hAnsi="Times New Roman" w:cs="Times New Roman"/>
                <w:lang w:val="en-GB"/>
              </w:rPr>
              <w:t>, shall be aggregated by bucket</w:t>
            </w:r>
            <w:r w:rsidR="00F129CE" w:rsidRPr="00FE3C59">
              <w:rPr>
                <w:rFonts w:ascii="Times New Roman" w:hAnsi="Times New Roman" w:cs="Times New Roman"/>
                <w:lang w:val="en-GB"/>
              </w:rPr>
              <w:t xml:space="preserve"> and reported in the applicable </w:t>
            </w:r>
            <w:r w:rsidR="38F22E2A" w:rsidRPr="00FE3C59">
              <w:rPr>
                <w:rFonts w:ascii="Times New Roman" w:hAnsi="Times New Roman" w:cs="Times New Roman"/>
                <w:lang w:val="en-GB"/>
              </w:rPr>
              <w:t>column</w:t>
            </w:r>
            <w:r w:rsidR="0F3BDD18" w:rsidRPr="00FE3C59">
              <w:rPr>
                <w:rFonts w:ascii="Times New Roman" w:hAnsi="Times New Roman" w:cs="Times New Roman"/>
                <w:lang w:val="en-GB"/>
              </w:rPr>
              <w:t>s</w:t>
            </w:r>
            <w:r w:rsidR="0051707F" w:rsidRPr="00FE3C59">
              <w:rPr>
                <w:rFonts w:ascii="Times New Roman" w:hAnsi="Times New Roman" w:cs="Times New Roman"/>
                <w:lang w:val="en-GB"/>
              </w:rPr>
              <w:t>.</w:t>
            </w:r>
          </w:p>
        </w:tc>
      </w:tr>
      <w:tr w:rsidR="00C92676" w:rsidRPr="00FE3C59" w14:paraId="2D978E58" w14:textId="77777777" w:rsidTr="3F965E88">
        <w:tc>
          <w:tcPr>
            <w:tcW w:w="1043" w:type="dxa"/>
          </w:tcPr>
          <w:p w14:paraId="27FDAA3C" w14:textId="3ABAA02E" w:rsidR="00C92676" w:rsidRPr="00FE3C59" w:rsidRDefault="00C92676"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vAlign w:val="bottom"/>
          </w:tcPr>
          <w:p w14:paraId="497877C5" w14:textId="265E1169" w:rsidR="00C92676" w:rsidRPr="00FE3C59" w:rsidRDefault="005E537F" w:rsidP="0049411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w:t>
            </w:r>
          </w:p>
        </w:tc>
      </w:tr>
      <w:tr w:rsidR="00C92676" w:rsidRPr="00FE3C59" w14:paraId="0C3E955F" w14:textId="77777777" w:rsidTr="3F965E88">
        <w:tc>
          <w:tcPr>
            <w:tcW w:w="1043" w:type="dxa"/>
          </w:tcPr>
          <w:p w14:paraId="03A1BFDD" w14:textId="07D8CCA8" w:rsidR="00C92676" w:rsidRPr="00FE3C59" w:rsidRDefault="00C92676"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vAlign w:val="bottom"/>
          </w:tcPr>
          <w:p w14:paraId="6F4A30CA" w14:textId="0A4AFDCE" w:rsidR="00C92676" w:rsidRPr="00FE3C59" w:rsidRDefault="005E537F" w:rsidP="0049411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w:t>
            </w:r>
          </w:p>
        </w:tc>
      </w:tr>
      <w:tr w:rsidR="00C92676" w:rsidRPr="00FE3C59" w14:paraId="722E58E9" w14:textId="77777777" w:rsidTr="3F965E88">
        <w:tc>
          <w:tcPr>
            <w:tcW w:w="1043" w:type="dxa"/>
          </w:tcPr>
          <w:p w14:paraId="33724AB8" w14:textId="19625F73" w:rsidR="00C92676" w:rsidRPr="00FE3C59" w:rsidRDefault="00C92676"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vAlign w:val="bottom"/>
          </w:tcPr>
          <w:p w14:paraId="42A940F9" w14:textId="3F946C2E" w:rsidR="00C92676" w:rsidRPr="00FE3C59" w:rsidRDefault="005E537F" w:rsidP="0049411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w:t>
            </w:r>
          </w:p>
        </w:tc>
      </w:tr>
      <w:tr w:rsidR="00C92676" w:rsidRPr="00FE3C59" w14:paraId="2424B772" w14:textId="77777777" w:rsidTr="3F965E88">
        <w:tc>
          <w:tcPr>
            <w:tcW w:w="1043" w:type="dxa"/>
          </w:tcPr>
          <w:p w14:paraId="363DAFB7" w14:textId="12160BAA" w:rsidR="00C92676" w:rsidRPr="00FE3C59" w:rsidRDefault="00C92676"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vAlign w:val="bottom"/>
          </w:tcPr>
          <w:p w14:paraId="778AD545" w14:textId="02F549FB" w:rsidR="00C92676" w:rsidRPr="00FE3C59" w:rsidRDefault="005E537F" w:rsidP="0049411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w:t>
            </w:r>
          </w:p>
        </w:tc>
      </w:tr>
      <w:tr w:rsidR="00C92676" w:rsidRPr="00FE3C59" w14:paraId="0CD512F1" w14:textId="77777777" w:rsidTr="3F965E88">
        <w:tc>
          <w:tcPr>
            <w:tcW w:w="1043" w:type="dxa"/>
          </w:tcPr>
          <w:p w14:paraId="6D5AEA06" w14:textId="7A0ED980" w:rsidR="00C92676" w:rsidRPr="00FE3C59" w:rsidRDefault="00C92676"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0070</w:t>
            </w:r>
          </w:p>
        </w:tc>
        <w:tc>
          <w:tcPr>
            <w:tcW w:w="7973" w:type="dxa"/>
            <w:vAlign w:val="bottom"/>
          </w:tcPr>
          <w:p w14:paraId="53D0D054" w14:textId="00A8CEEF" w:rsidR="00C92676" w:rsidRPr="00FE3C59" w:rsidRDefault="005E537F" w:rsidP="0049411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w:t>
            </w:r>
          </w:p>
        </w:tc>
      </w:tr>
      <w:tr w:rsidR="0049411E" w:rsidRPr="00FE3C59" w14:paraId="68F57198" w14:textId="77777777" w:rsidTr="3F965E88">
        <w:tc>
          <w:tcPr>
            <w:tcW w:w="1043" w:type="dxa"/>
          </w:tcPr>
          <w:p w14:paraId="4EA27F47" w14:textId="077D69B6" w:rsidR="0049411E" w:rsidRPr="00FE3C59" w:rsidRDefault="0049411E"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0080-0120</w:t>
            </w:r>
          </w:p>
        </w:tc>
        <w:tc>
          <w:tcPr>
            <w:tcW w:w="7973" w:type="dxa"/>
            <w:vAlign w:val="bottom"/>
          </w:tcPr>
          <w:p w14:paraId="0D2F32B1" w14:textId="3B04D81B" w:rsidR="0049411E" w:rsidRPr="00FE3C59" w:rsidRDefault="0CFE8F9F" w:rsidP="0049411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Weighted sensitivities </w:t>
            </w:r>
            <w:r w:rsidR="009C69AB"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Vega risk: Maturities (maturity of the option)</w:t>
            </w:r>
          </w:p>
          <w:p w14:paraId="3EECAD16" w14:textId="204A276E" w:rsidR="0064155F" w:rsidRPr="00FE3C59" w:rsidRDefault="7C3D88C5" w:rsidP="06265CE2">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w:t>
            </w:r>
            <w:r w:rsidR="00480ECB" w:rsidRPr="00FE3C59">
              <w:rPr>
                <w:rFonts w:ascii="Times New Roman" w:hAnsi="Times New Roman" w:cs="Times New Roman"/>
                <w:lang w:val="en-GB"/>
              </w:rPr>
              <w:t>cles</w:t>
            </w:r>
            <w:r w:rsidRPr="00FE3C59">
              <w:rPr>
                <w:rFonts w:ascii="Times New Roman" w:hAnsi="Times New Roman" w:cs="Times New Roman"/>
                <w:lang w:val="en-GB"/>
              </w:rPr>
              <w:t xml:space="preserve"> 325q(2), 325s and 325ax(2) of Regulation (EU) No 575/2013</w:t>
            </w:r>
          </w:p>
          <w:p w14:paraId="4AF9B72F" w14:textId="40081073" w:rsidR="0064155F" w:rsidRPr="00FE3C59" w:rsidRDefault="00480ECB" w:rsidP="06265CE2">
            <w:pPr>
              <w:pStyle w:val="BodyText"/>
              <w:spacing w:before="120" w:after="120"/>
              <w:rPr>
                <w:rFonts w:ascii="Times New Roman" w:hAnsi="Times New Roman" w:cs="Times New Roman"/>
                <w:lang w:val="en-GB"/>
              </w:rPr>
            </w:pPr>
            <w:r w:rsidRPr="00FE3C59">
              <w:rPr>
                <w:rFonts w:ascii="Times New Roman" w:hAnsi="Times New Roman" w:cs="Times New Roman"/>
                <w:lang w:val="en-GB"/>
              </w:rPr>
              <w:t>The net sensitivities per risk factor, calculated in accordance with Articles 325q, and 325s of Regulation (EU) No 575/2013 and weighted by the corresponding risk weights set out in Article 325ax(2) of that R</w:t>
            </w:r>
            <w:r w:rsidR="00A40FA1" w:rsidRPr="00FE3C59">
              <w:rPr>
                <w:rFonts w:ascii="Times New Roman" w:hAnsi="Times New Roman" w:cs="Times New Roman"/>
                <w:lang w:val="en-GB"/>
              </w:rPr>
              <w:t>e</w:t>
            </w:r>
            <w:r w:rsidRPr="00FE3C59">
              <w:rPr>
                <w:rFonts w:ascii="Times New Roman" w:hAnsi="Times New Roman" w:cs="Times New Roman"/>
                <w:lang w:val="en-GB"/>
              </w:rPr>
              <w:t xml:space="preserve">gulation, shall be aggregated by bucket </w:t>
            </w:r>
            <w:r w:rsidR="004F4230" w:rsidRPr="00FE3C59">
              <w:rPr>
                <w:rFonts w:ascii="Times New Roman" w:hAnsi="Times New Roman" w:cs="Times New Roman"/>
                <w:lang w:val="en-GB"/>
              </w:rPr>
              <w:t xml:space="preserve">and be </w:t>
            </w:r>
            <w:r w:rsidRPr="00FE3C59">
              <w:rPr>
                <w:rFonts w:ascii="Times New Roman" w:hAnsi="Times New Roman" w:cs="Times New Roman"/>
                <w:lang w:val="en-GB"/>
              </w:rPr>
              <w:t>reported in the applicable columns.</w:t>
            </w:r>
          </w:p>
        </w:tc>
      </w:tr>
      <w:tr w:rsidR="00AF09B6" w:rsidRPr="00FE3C59" w14:paraId="22EB9D23" w14:textId="77777777" w:rsidTr="3F965E88">
        <w:tc>
          <w:tcPr>
            <w:tcW w:w="1043" w:type="dxa"/>
          </w:tcPr>
          <w:p w14:paraId="73EBAADC" w14:textId="6A47CDA3" w:rsidR="00AF09B6" w:rsidRPr="00FE3C59" w:rsidRDefault="00AF09B6" w:rsidP="00AF09B6">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vAlign w:val="bottom"/>
          </w:tcPr>
          <w:p w14:paraId="3306B21C" w14:textId="56B0444E" w:rsidR="00AF09B6" w:rsidRPr="00FE3C59" w:rsidRDefault="00AF09B6" w:rsidP="00AF09B6">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0.5 years</w:t>
            </w:r>
          </w:p>
        </w:tc>
      </w:tr>
      <w:tr w:rsidR="00AF09B6" w:rsidRPr="00FE3C59" w14:paraId="005FB39D" w14:textId="77777777" w:rsidTr="3F965E88">
        <w:tc>
          <w:tcPr>
            <w:tcW w:w="1043" w:type="dxa"/>
          </w:tcPr>
          <w:p w14:paraId="1BBD1080" w14:textId="516BBF6E" w:rsidR="00AF09B6" w:rsidRPr="00FE3C59" w:rsidRDefault="00AF09B6" w:rsidP="00AF09B6">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vAlign w:val="bottom"/>
          </w:tcPr>
          <w:p w14:paraId="3F2EC59B" w14:textId="43395913" w:rsidR="00AF09B6" w:rsidRPr="00FE3C59" w:rsidRDefault="00AF09B6" w:rsidP="00AF09B6">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year</w:t>
            </w:r>
          </w:p>
        </w:tc>
      </w:tr>
      <w:tr w:rsidR="00AF09B6" w:rsidRPr="00FE3C59" w14:paraId="09E79D5A" w14:textId="77777777" w:rsidTr="3F965E88">
        <w:tc>
          <w:tcPr>
            <w:tcW w:w="1043" w:type="dxa"/>
          </w:tcPr>
          <w:p w14:paraId="605F7C01" w14:textId="021CE9CD" w:rsidR="00AF09B6" w:rsidRPr="00FE3C59" w:rsidRDefault="00AF09B6" w:rsidP="00AF09B6">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vAlign w:val="bottom"/>
          </w:tcPr>
          <w:p w14:paraId="4A25096E" w14:textId="0A1B0798" w:rsidR="00AF09B6" w:rsidRPr="00FE3C59" w:rsidRDefault="00AF09B6" w:rsidP="00AF09B6">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 years</w:t>
            </w:r>
          </w:p>
        </w:tc>
      </w:tr>
      <w:tr w:rsidR="00AF09B6" w:rsidRPr="00FE3C59" w14:paraId="1861B919" w14:textId="77777777" w:rsidTr="3F965E88">
        <w:tc>
          <w:tcPr>
            <w:tcW w:w="1043" w:type="dxa"/>
          </w:tcPr>
          <w:p w14:paraId="1D72FFF5" w14:textId="0B42EE74" w:rsidR="00AF09B6" w:rsidRPr="00FE3C59" w:rsidRDefault="00AF09B6" w:rsidP="00AF09B6">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vAlign w:val="bottom"/>
          </w:tcPr>
          <w:p w14:paraId="5FD20DA1" w14:textId="49FF15F4" w:rsidR="00AF09B6" w:rsidRPr="00FE3C59" w:rsidRDefault="00AF09B6" w:rsidP="00AF09B6">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5 years</w:t>
            </w:r>
          </w:p>
        </w:tc>
      </w:tr>
      <w:tr w:rsidR="00AF09B6" w:rsidRPr="00FE3C59" w14:paraId="26C98C1A" w14:textId="77777777" w:rsidTr="3F965E88">
        <w:tc>
          <w:tcPr>
            <w:tcW w:w="1043" w:type="dxa"/>
          </w:tcPr>
          <w:p w14:paraId="7E7A9446" w14:textId="24F19492" w:rsidR="00AF09B6" w:rsidRPr="00FE3C59" w:rsidRDefault="00AF09B6" w:rsidP="00AF09B6">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73" w:type="dxa"/>
            <w:vAlign w:val="bottom"/>
          </w:tcPr>
          <w:p w14:paraId="3F973498" w14:textId="59FA1345" w:rsidR="00AF09B6" w:rsidRPr="00FE3C59" w:rsidRDefault="00AF09B6" w:rsidP="00AF09B6">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years</w:t>
            </w:r>
          </w:p>
        </w:tc>
      </w:tr>
      <w:tr w:rsidR="0049411E" w:rsidRPr="00FE3C59" w14:paraId="4E387EF7" w14:textId="77777777" w:rsidTr="3F965E88">
        <w:tc>
          <w:tcPr>
            <w:tcW w:w="1043" w:type="dxa"/>
          </w:tcPr>
          <w:p w14:paraId="026B0BAC" w14:textId="085AF948" w:rsidR="0049411E" w:rsidRPr="00FE3C59" w:rsidRDefault="0049411E" w:rsidP="000D1DC8">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73" w:type="dxa"/>
            <w:vAlign w:val="bottom"/>
          </w:tcPr>
          <w:p w14:paraId="285DB8CA" w14:textId="77777777" w:rsidR="0049411E" w:rsidRPr="00FE3C59" w:rsidRDefault="0CFE8F9F" w:rsidP="0049411E">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Sum of weighted sensitivities: Vega risk</w:t>
            </w:r>
          </w:p>
          <w:p w14:paraId="6C5988D6" w14:textId="5860AC38" w:rsidR="0064155F" w:rsidRPr="00FE3C59" w:rsidRDefault="00E914C3" w:rsidP="7C3D88C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w:t>
            </w:r>
            <w:r w:rsidR="14B83324" w:rsidRPr="00FE3C59">
              <w:rPr>
                <w:rFonts w:ascii="Times New Roman" w:hAnsi="Times New Roman" w:cs="Times New Roman"/>
                <w:lang w:val="en-GB"/>
              </w:rPr>
              <w:t xml:space="preserve"> 325f(8) </w:t>
            </w:r>
            <w:r w:rsidR="7C3D88C5" w:rsidRPr="00FE3C59">
              <w:rPr>
                <w:rFonts w:ascii="Times New Roman" w:hAnsi="Times New Roman" w:cs="Times New Roman"/>
                <w:lang w:val="en-GB"/>
              </w:rPr>
              <w:t>of Regulation (EU) No 575/2013</w:t>
            </w:r>
          </w:p>
          <w:p w14:paraId="5FAB6B19" w14:textId="1F6A20E1" w:rsidR="0064155F" w:rsidRPr="00FE3C59" w:rsidRDefault="00AA1DB4" w:rsidP="49C404E0">
            <w:pPr>
              <w:pStyle w:val="BodyText"/>
              <w:spacing w:before="120" w:after="120"/>
              <w:rPr>
                <w:rFonts w:ascii="Times New Roman" w:hAnsi="Times New Roman" w:cs="Times New Roman"/>
                <w:lang w:val="en-GB"/>
              </w:rPr>
            </w:pPr>
            <w:r w:rsidRPr="00FE3C59">
              <w:rPr>
                <w:rFonts w:ascii="Times New Roman" w:hAnsi="Times New Roman" w:cs="Times New Roman"/>
                <w:lang w:val="en-GB"/>
              </w:rPr>
              <w:t>The sum of weighted sensitivities (</w:t>
            </w:r>
            <m:oMath>
              <m:sSub>
                <m:sSubPr>
                  <m:ctrlPr>
                    <w:rPr>
                      <w:rFonts w:ascii="Cambria Math" w:hAnsi="Cambria Math" w:cs="Times New Roman"/>
                      <w:i/>
                      <w:lang w:val="en-GB"/>
                    </w:rPr>
                  </m:ctrlPr>
                </m:sSubPr>
                <m:e>
                  <m:r>
                    <w:rPr>
                      <w:rFonts w:ascii="Cambria Math" w:hAnsi="Cambria Math" w:cs="Times New Roman"/>
                      <w:lang w:val="en-GB"/>
                    </w:rPr>
                    <m:t>S</m:t>
                  </m:r>
                </m:e>
                <m:sub>
                  <m:r>
                    <w:rPr>
                      <w:rFonts w:ascii="Cambria Math" w:hAnsi="Cambria Math" w:cs="Times New Roman"/>
                      <w:lang w:val="en-GB"/>
                    </w:rPr>
                    <m:t>b</m:t>
                  </m:r>
                </m:sub>
              </m:sSub>
              <m:r>
                <w:rPr>
                  <w:rFonts w:ascii="Cambria Math" w:hAnsi="Cambria Math" w:cs="Times New Roman"/>
                  <w:lang w:val="en-GB"/>
                </w:rPr>
                <m:t>=</m:t>
              </m:r>
              <m:sSub>
                <m:sSubPr>
                  <m:ctrlPr>
                    <w:rPr>
                      <w:rFonts w:ascii="Cambria Math" w:hAnsi="Cambria Math" w:cs="Times New Roman"/>
                      <w:lang w:val="en-GB"/>
                    </w:rPr>
                  </m:ctrlPr>
                </m:sSubPr>
                <m:e>
                  <m:r>
                    <m:rPr>
                      <m:sty m:val="p"/>
                    </m:rPr>
                    <w:rPr>
                      <w:rFonts w:ascii="Cambria Math" w:hAnsi="Cambria Math" w:cs="Times New Roman"/>
                      <w:lang w:val="en-GB"/>
                    </w:rPr>
                    <m:t>Σ</m:t>
                  </m:r>
                </m:e>
                <m:sub>
                  <m:r>
                    <w:rPr>
                      <w:rFonts w:ascii="Cambria Math" w:hAnsi="Cambria Math" w:cs="Times New Roman"/>
                      <w:lang w:val="en-GB"/>
                    </w:rPr>
                    <m:t>k</m:t>
                  </m:r>
                </m:sub>
              </m:sSub>
              <m:r>
                <w:rPr>
                  <w:rFonts w:ascii="Cambria Math" w:hAnsi="Cambria Math" w:cs="Times New Roman"/>
                  <w:lang w:val="en-GB"/>
                </w:rPr>
                <m:t>W</m:t>
              </m:r>
              <m:sSub>
                <m:sSubPr>
                  <m:ctrlPr>
                    <w:rPr>
                      <w:rFonts w:ascii="Cambria Math" w:hAnsi="Cambria Math" w:cs="Times New Roman"/>
                      <w:lang w:val="en-GB"/>
                    </w:rPr>
                  </m:ctrlPr>
                </m:sSubPr>
                <m:e>
                  <m:r>
                    <w:rPr>
                      <w:rFonts w:ascii="Cambria Math" w:hAnsi="Cambria Math" w:cs="Times New Roman"/>
                      <w:lang w:val="en-GB"/>
                    </w:rPr>
                    <m:t>S</m:t>
                  </m:r>
                </m:e>
                <m:sub>
                  <m:r>
                    <w:rPr>
                      <w:rFonts w:ascii="Cambria Math" w:hAnsi="Cambria Math" w:cs="Times New Roman"/>
                      <w:lang w:val="en-GB"/>
                    </w:rPr>
                    <m:t>k</m:t>
                  </m:r>
                </m:sub>
              </m:sSub>
            </m:oMath>
            <w:r w:rsidR="00F53F25" w:rsidRPr="00FE3C59">
              <w:rPr>
                <w:rFonts w:ascii="Times New Roman" w:hAnsi="Times New Roman" w:cs="Times New Roman"/>
                <w:lang w:val="en-GB"/>
              </w:rPr>
              <w:t xml:space="preserve">) </w:t>
            </w:r>
            <w:r w:rsidRPr="00FE3C59">
              <w:rPr>
                <w:rFonts w:ascii="Times New Roman" w:hAnsi="Times New Roman" w:cs="Times New Roman"/>
                <w:lang w:val="en-GB"/>
              </w:rPr>
              <w:t xml:space="preserve">as defined for the purposes of the aggregation within each bucket in </w:t>
            </w:r>
            <w:r w:rsidR="00E914C3" w:rsidRPr="00FE3C59">
              <w:rPr>
                <w:rFonts w:ascii="Times New Roman" w:hAnsi="Times New Roman" w:cs="Times New Roman"/>
                <w:lang w:val="en-GB"/>
              </w:rPr>
              <w:t>Article</w:t>
            </w:r>
            <w:r w:rsidRPr="00FE3C59">
              <w:rPr>
                <w:rFonts w:ascii="Times New Roman" w:hAnsi="Times New Roman" w:cs="Times New Roman"/>
                <w:lang w:val="en-GB"/>
              </w:rPr>
              <w:t xml:space="preserve"> 325f(8) of Regulation (EU) No 575/2013 shall be reported. </w:t>
            </w:r>
          </w:p>
        </w:tc>
      </w:tr>
      <w:tr w:rsidR="0049411E" w:rsidRPr="00FE3C59" w14:paraId="2AE80444" w14:textId="77777777" w:rsidTr="3F965E88">
        <w:tc>
          <w:tcPr>
            <w:tcW w:w="1043" w:type="dxa"/>
          </w:tcPr>
          <w:p w14:paraId="365CF415" w14:textId="16415C62" w:rsidR="0049411E" w:rsidRPr="00FE3C59" w:rsidRDefault="3393B741" w:rsidP="24A481DC">
            <w:pPr>
              <w:pStyle w:val="BodyText"/>
              <w:spacing w:before="120" w:after="120"/>
              <w:rPr>
                <w:rFonts w:ascii="Times New Roman" w:hAnsi="Times New Roman" w:cs="Times New Roman"/>
                <w:lang w:val="en-GB"/>
              </w:rPr>
            </w:pPr>
            <w:r w:rsidRPr="00FE3C59">
              <w:rPr>
                <w:rFonts w:ascii="Times New Roman" w:hAnsi="Times New Roman" w:cs="Times New Roman"/>
                <w:lang w:val="en-GB"/>
              </w:rPr>
              <w:t>10</w:t>
            </w:r>
            <w:r w:rsidR="00E8635A" w:rsidRPr="00FE3C59">
              <w:rPr>
                <w:rFonts w:ascii="Times New Roman" w:hAnsi="Times New Roman" w:cs="Times New Roman"/>
                <w:lang w:val="en-GB"/>
              </w:rPr>
              <w:t>1</w:t>
            </w:r>
            <w:r w:rsidRPr="00FE3C59">
              <w:rPr>
                <w:rFonts w:ascii="Times New Roman" w:hAnsi="Times New Roman" w:cs="Times New Roman"/>
                <w:lang w:val="en-GB"/>
              </w:rPr>
              <w:t>0</w:t>
            </w:r>
            <w:r w:rsidR="00E8635A" w:rsidRPr="00FE3C59">
              <w:rPr>
                <w:rFonts w:ascii="Times New Roman" w:hAnsi="Times New Roman" w:cs="Times New Roman"/>
                <w:lang w:val="en-GB"/>
              </w:rPr>
              <w:t xml:space="preserve">, 1040, </w:t>
            </w:r>
            <w:r w:rsidRPr="00FE3C59">
              <w:rPr>
                <w:rFonts w:ascii="Times New Roman" w:hAnsi="Times New Roman" w:cs="Times New Roman"/>
                <w:lang w:val="en-GB"/>
              </w:rPr>
              <w:t>10</w:t>
            </w:r>
            <w:r w:rsidR="00E8635A" w:rsidRPr="00FE3C59">
              <w:rPr>
                <w:rFonts w:ascii="Times New Roman" w:hAnsi="Times New Roman" w:cs="Times New Roman"/>
                <w:lang w:val="en-GB"/>
              </w:rPr>
              <w:t>7</w:t>
            </w:r>
            <w:r w:rsidRPr="00FE3C59">
              <w:rPr>
                <w:rFonts w:ascii="Times New Roman" w:hAnsi="Times New Roman" w:cs="Times New Roman"/>
                <w:lang w:val="en-GB"/>
              </w:rPr>
              <w:t>0</w:t>
            </w:r>
          </w:p>
        </w:tc>
        <w:tc>
          <w:tcPr>
            <w:tcW w:w="7973" w:type="dxa"/>
            <w:vAlign w:val="bottom"/>
          </w:tcPr>
          <w:p w14:paraId="7ADA55D8" w14:textId="6481EA20" w:rsidR="0064155F" w:rsidRPr="00FE3C59" w:rsidRDefault="17F29AE3" w:rsidP="7C3D88C5">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Own funds requirements </w:t>
            </w:r>
            <w:r w:rsidR="00B30779" w:rsidRPr="00FE3C59">
              <w:rPr>
                <w:rFonts w:ascii="Times New Roman" w:hAnsi="Times New Roman" w:cs="Times New Roman"/>
                <w:b/>
                <w:u w:val="single"/>
                <w:lang w:val="en-GB"/>
              </w:rPr>
              <w:t xml:space="preserve">in </w:t>
            </w:r>
            <w:r w:rsidRPr="00FE3C59">
              <w:rPr>
                <w:rFonts w:ascii="Times New Roman" w:hAnsi="Times New Roman" w:cs="Times New Roman"/>
                <w:b/>
                <w:u w:val="single"/>
                <w:lang w:val="en-GB"/>
              </w:rPr>
              <w:t>the different scenarios</w:t>
            </w:r>
          </w:p>
          <w:p w14:paraId="270CA378" w14:textId="40A616ED" w:rsidR="00A74D9D" w:rsidRPr="00FE3C59" w:rsidRDefault="00A74D9D" w:rsidP="3F965E88">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The own funds requirements calculated on the basis of the sensitivities–based method for vega risk in each of the three scenarios referred to in Article 325h of Regulation (EU) No 575/2013 shall be reported.</w:t>
            </w:r>
          </w:p>
        </w:tc>
      </w:tr>
    </w:tbl>
    <w:p w14:paraId="552CF29E" w14:textId="30B3A387" w:rsidR="00C65F1F" w:rsidRPr="00FE3C59" w:rsidRDefault="00C65F1F" w:rsidP="00C65F1F">
      <w:pPr>
        <w:rPr>
          <w:rFonts w:ascii="Times New Roman" w:hAnsi="Times New Roman" w:cs="Times New Roman"/>
        </w:rPr>
      </w:pPr>
    </w:p>
    <w:p w14:paraId="685DABFB" w14:textId="4C09AE87" w:rsidR="00AA04B5" w:rsidRPr="00FE3C59" w:rsidRDefault="00AA04B5" w:rsidP="00AA04B5">
      <w:pPr>
        <w:pStyle w:val="Instructionsberschrift2"/>
        <w:numPr>
          <w:ilvl w:val="0"/>
          <w:numId w:val="0"/>
        </w:numPr>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5E7393" w:rsidRPr="00FE3C59">
        <w:rPr>
          <w:rFonts w:ascii="Times New Roman" w:hAnsi="Times New Roman" w:cs="Times New Roman"/>
          <w:sz w:val="24"/>
          <w:szCs w:val="24"/>
          <w:u w:val="none"/>
          <w:lang w:val="en-GB"/>
        </w:rPr>
        <w:t>4</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 xml:space="preserve">C </w:t>
      </w:r>
      <w:r w:rsidR="00DB1D68" w:rsidRPr="00FE3C59">
        <w:rPr>
          <w:rFonts w:ascii="Times New Roman" w:hAnsi="Times New Roman" w:cs="Times New Roman"/>
          <w:sz w:val="24"/>
          <w:szCs w:val="24"/>
          <w:u w:val="none"/>
          <w:lang w:val="en-GB"/>
        </w:rPr>
        <w:t>93.00</w:t>
      </w:r>
      <w:r w:rsidRPr="00FE3C59">
        <w:rPr>
          <w:rFonts w:ascii="Times New Roman" w:hAnsi="Times New Roman" w:cs="Times New Roman"/>
          <w:sz w:val="24"/>
          <w:szCs w:val="24"/>
          <w:u w:val="none"/>
          <w:lang w:val="en-GB"/>
        </w:rPr>
        <w:t xml:space="preserve">: residual risk add–on (MKR </w:t>
      </w:r>
      <w:r w:rsidR="00EA53DC">
        <w:rPr>
          <w:rFonts w:ascii="Times New Roman" w:hAnsi="Times New Roman" w:cs="Times New Roman"/>
          <w:sz w:val="24"/>
          <w:szCs w:val="24"/>
          <w:u w:val="none"/>
          <w:lang w:val="en-GB"/>
        </w:rPr>
        <w:t>A</w:t>
      </w:r>
      <w:r w:rsidRPr="00FE3C59">
        <w:rPr>
          <w:rFonts w:ascii="Times New Roman" w:hAnsi="Times New Roman" w:cs="Times New Roman"/>
          <w:sz w:val="24"/>
          <w:szCs w:val="24"/>
          <w:u w:val="none"/>
          <w:lang w:val="en-GB"/>
        </w:rPr>
        <w:t>SA RRAO)</w:t>
      </w:r>
    </w:p>
    <w:p w14:paraId="6C9BB6D7" w14:textId="017E63E4" w:rsidR="00AA04B5" w:rsidRPr="00FE3C59" w:rsidRDefault="00AA04B5" w:rsidP="00AA04B5">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5E7393" w:rsidRPr="00FE3C59">
        <w:rPr>
          <w:rFonts w:ascii="Times New Roman" w:hAnsi="Times New Roman" w:cs="Times New Roman"/>
          <w:sz w:val="24"/>
          <w:szCs w:val="24"/>
          <w:u w:val="none"/>
          <w:lang w:val="en-GB"/>
        </w:rPr>
        <w:t>4</w:t>
      </w:r>
      <w:r w:rsidRPr="00FE3C59">
        <w:rPr>
          <w:rFonts w:ascii="Times New Roman" w:hAnsi="Times New Roman" w:cs="Times New Roman"/>
          <w:sz w:val="24"/>
          <w:szCs w:val="24"/>
          <w:u w:val="none"/>
          <w:lang w:val="en-GB"/>
        </w:rPr>
        <w:t>.1</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General remarks</w:t>
      </w:r>
    </w:p>
    <w:p w14:paraId="1BCA8B28" w14:textId="23147045" w:rsidR="00451A72" w:rsidRPr="00FE3C59" w:rsidRDefault="00451A72" w:rsidP="006E2ED1">
      <w:pPr>
        <w:pStyle w:val="InstructionsText2"/>
        <w:numPr>
          <w:ilvl w:val="0"/>
          <w:numId w:val="57"/>
        </w:numPr>
      </w:pPr>
      <w:r w:rsidRPr="00FE3C59">
        <w:t>This template provides information on the calculation of the own funds</w:t>
      </w:r>
      <w:r w:rsidR="004976A0" w:rsidRPr="00FE3C59">
        <w:t xml:space="preserve"> requirements </w:t>
      </w:r>
      <w:r w:rsidR="006F67A8" w:rsidRPr="00FE3C59">
        <w:t>for instruments exposed to resi</w:t>
      </w:r>
      <w:r w:rsidR="00DE2AFD" w:rsidRPr="00FE3C59">
        <w:t>d</w:t>
      </w:r>
      <w:r w:rsidR="006F67A8" w:rsidRPr="00FE3C59">
        <w:t xml:space="preserve">ual risks </w:t>
      </w:r>
      <w:r w:rsidR="00DE2AFD" w:rsidRPr="00FE3C59">
        <w:t xml:space="preserve">(residual risk-add on, RRAO) </w:t>
      </w:r>
      <w:r w:rsidR="00DA7CED" w:rsidRPr="00FE3C59">
        <w:t xml:space="preserve">in accordance with Part Three, Title IV, </w:t>
      </w:r>
      <w:r w:rsidR="005477BF" w:rsidRPr="00FE3C59">
        <w:t xml:space="preserve">Chapter 1a, </w:t>
      </w:r>
      <w:r w:rsidR="00DA7CED" w:rsidRPr="00FE3C59">
        <w:t>Section 4</w:t>
      </w:r>
      <w:r w:rsidR="004976A0" w:rsidRPr="00FE3C59">
        <w:t xml:space="preserve"> </w:t>
      </w:r>
      <w:r w:rsidR="00736E98" w:rsidRPr="00FE3C59">
        <w:t>of Regulation (EU) No 575/2013.</w:t>
      </w:r>
    </w:p>
    <w:p w14:paraId="2CC23D35" w14:textId="2C7B9331" w:rsidR="00AA04B5" w:rsidRPr="00FE3C59" w:rsidRDefault="00AA04B5" w:rsidP="006E2ED1">
      <w:pPr>
        <w:pStyle w:val="InstructionsText2"/>
        <w:numPr>
          <w:ilvl w:val="0"/>
          <w:numId w:val="57"/>
        </w:numPr>
      </w:pPr>
      <w:r w:rsidRPr="00FE3C59">
        <w:t xml:space="preserve">This template shall be filled in for each offsetting group in accordance with the instructions provided in Part I, section 1.4 of this Annex. </w:t>
      </w:r>
    </w:p>
    <w:p w14:paraId="32B2F1B2" w14:textId="77777777" w:rsidR="00AA04B5" w:rsidRPr="00FE3C59" w:rsidRDefault="00AA04B5" w:rsidP="006E2ED1">
      <w:pPr>
        <w:pStyle w:val="InstructionsText2"/>
        <w:numPr>
          <w:ilvl w:val="0"/>
          <w:numId w:val="57"/>
        </w:numPr>
      </w:pPr>
      <w:r w:rsidRPr="00FE3C59">
        <w:t>Information shall be provided for the different scopes of positions specified in Part II, section 2.1 of this Annex.</w:t>
      </w:r>
    </w:p>
    <w:p w14:paraId="15EF1288" w14:textId="554FA639" w:rsidR="00AA04B5" w:rsidRPr="00FE3C59" w:rsidRDefault="00AA04B5" w:rsidP="00AA04B5">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lastRenderedPageBreak/>
        <w:t>2.</w:t>
      </w:r>
      <w:r w:rsidR="005E7393" w:rsidRPr="00FE3C59">
        <w:rPr>
          <w:rFonts w:ascii="Times New Roman" w:hAnsi="Times New Roman" w:cs="Times New Roman"/>
          <w:sz w:val="24"/>
          <w:szCs w:val="24"/>
          <w:u w:val="none"/>
          <w:lang w:val="en-GB"/>
        </w:rPr>
        <w:t>4</w:t>
      </w:r>
      <w:r w:rsidRPr="00FE3C59">
        <w:rPr>
          <w:rFonts w:ascii="Times New Roman" w:hAnsi="Times New Roman" w:cs="Times New Roman"/>
          <w:sz w:val="24"/>
          <w:szCs w:val="24"/>
          <w:u w:val="none"/>
          <w:lang w:val="en-GB"/>
        </w:rPr>
        <w:t>.2</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Instructions concerning specific positions</w:t>
      </w:r>
    </w:p>
    <w:tbl>
      <w:tblPr>
        <w:tblStyle w:val="TableGrid"/>
        <w:tblW w:w="0" w:type="auto"/>
        <w:tblLook w:val="04A0" w:firstRow="1" w:lastRow="0" w:firstColumn="1" w:lastColumn="0" w:noHBand="0" w:noVBand="1"/>
      </w:tblPr>
      <w:tblGrid>
        <w:gridCol w:w="1043"/>
        <w:gridCol w:w="7973"/>
      </w:tblGrid>
      <w:tr w:rsidR="00AA04B5" w:rsidRPr="00FE3C59" w14:paraId="7F88527B" w14:textId="77777777" w:rsidTr="00453A6D">
        <w:tc>
          <w:tcPr>
            <w:tcW w:w="1043" w:type="dxa"/>
            <w:shd w:val="clear" w:color="auto" w:fill="BFBFBF" w:themeFill="background1" w:themeFillShade="BF"/>
          </w:tcPr>
          <w:p w14:paraId="0FA6AF38" w14:textId="77777777" w:rsidR="00AA04B5" w:rsidRPr="00FE3C59" w:rsidRDefault="00AA04B5" w:rsidP="00453A6D">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089CB996" w14:textId="77777777" w:rsidR="00AA04B5" w:rsidRPr="00FE3C59" w:rsidRDefault="00AA04B5" w:rsidP="00453A6D">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AA04B5" w:rsidRPr="00FE3C59" w14:paraId="63D2A1C4" w14:textId="77777777" w:rsidTr="00453A6D">
        <w:tc>
          <w:tcPr>
            <w:tcW w:w="1043" w:type="dxa"/>
          </w:tcPr>
          <w:p w14:paraId="2BD13238"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138059CD"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amounts before application of Article 325u(4) of Regulation (EU) No 575/2013</w:t>
            </w:r>
          </w:p>
          <w:p w14:paraId="3E01BD94" w14:textId="3818F6B1" w:rsidR="00AA04B5" w:rsidRPr="00FE3C59" w:rsidRDefault="00AA04B5" w:rsidP="00453A6D">
            <w:pPr>
              <w:pStyle w:val="Tabelleninhal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Any instrument or position meeting the criteria for being exposed to residual risk (Article 325u(2) of Regulation (EU) No 575/2013) shall be reported, including those that are specifically exempted from the own funds requirements for residual risk in accordance with Article 325u(4) of Regulation (EU) No 575/201</w:t>
            </w:r>
            <w:r w:rsidR="00BD0546">
              <w:rPr>
                <w:rFonts w:ascii="Times New Roman" w:hAnsi="Times New Roman" w:cs="Times New Roman"/>
                <w:lang w:val="en-GB"/>
              </w:rPr>
              <w:t>3</w:t>
            </w:r>
            <w:r w:rsidRPr="00FE3C59">
              <w:rPr>
                <w:rFonts w:ascii="Times New Roman" w:hAnsi="Times New Roman" w:cs="Times New Roman"/>
                <w:lang w:val="en-GB"/>
              </w:rPr>
              <w:t>.</w:t>
            </w:r>
          </w:p>
        </w:tc>
      </w:tr>
      <w:tr w:rsidR="00AA04B5" w:rsidRPr="00FE3C59" w14:paraId="2CDE472E" w14:textId="77777777" w:rsidTr="00453A6D">
        <w:tc>
          <w:tcPr>
            <w:tcW w:w="1043" w:type="dxa"/>
          </w:tcPr>
          <w:p w14:paraId="2294D597"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0020–0040</w:t>
            </w:r>
          </w:p>
        </w:tc>
        <w:tc>
          <w:tcPr>
            <w:tcW w:w="7973" w:type="dxa"/>
          </w:tcPr>
          <w:p w14:paraId="42D2BF39"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amounts of instruments exempted in accordance with Article 325u(4) of Regulation (EU) No 575/2013</w:t>
            </w:r>
          </w:p>
          <w:p w14:paraId="29FEBE7B" w14:textId="77777777" w:rsidR="00AA04B5" w:rsidRPr="00FE3C59" w:rsidRDefault="00AA04B5" w:rsidP="00453A6D">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 325u(4) of Regulation (EU) No 575/2013</w:t>
            </w:r>
            <w:r w:rsidRPr="00FE3C59">
              <w:rPr>
                <w:rFonts w:ascii="Times New Roman" w:hAnsi="Times New Roman" w:cs="Times New Roman"/>
                <w:u w:val="single"/>
                <w:lang w:val="en-GB"/>
              </w:rPr>
              <w:t xml:space="preserve"> </w:t>
            </w:r>
          </w:p>
        </w:tc>
      </w:tr>
      <w:tr w:rsidR="00AA04B5" w:rsidRPr="00FE3C59" w14:paraId="4D97E1EF" w14:textId="77777777" w:rsidTr="00453A6D">
        <w:tc>
          <w:tcPr>
            <w:tcW w:w="1043" w:type="dxa"/>
          </w:tcPr>
          <w:p w14:paraId="665D8906"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2D5E98CD"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amounts of instruments exempted in accordance with Article 325u(4) of Regulation (EU) No 575/2013 – Listed on a recognised exchange</w:t>
            </w:r>
          </w:p>
          <w:p w14:paraId="2118C059" w14:textId="77777777" w:rsidR="00AA04B5" w:rsidRPr="00FE3C59" w:rsidRDefault="00AA04B5" w:rsidP="00453A6D">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 325u(4), point (a) of Regulation (EU) No 575/2013</w:t>
            </w:r>
          </w:p>
        </w:tc>
      </w:tr>
      <w:tr w:rsidR="00AA04B5" w:rsidRPr="00FE3C59" w14:paraId="6B213E82" w14:textId="77777777" w:rsidTr="00453A6D">
        <w:tc>
          <w:tcPr>
            <w:tcW w:w="1043" w:type="dxa"/>
          </w:tcPr>
          <w:p w14:paraId="56C3723A"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23020432"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 xml:space="preserve">Gross notional amounts of instruments exempted in accordance with Article 325u(4) of Regulation (EU) No 575/2013 – Eligible for central clearing </w:t>
            </w:r>
          </w:p>
          <w:p w14:paraId="1F67C5F0" w14:textId="77777777" w:rsidR="00AA04B5" w:rsidRPr="00FE3C59" w:rsidRDefault="00AA04B5" w:rsidP="00453A6D">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 325u(4), point (b) of Regulation (EU) No 575/2013</w:t>
            </w:r>
          </w:p>
        </w:tc>
      </w:tr>
      <w:tr w:rsidR="00AA04B5" w:rsidRPr="00FE3C59" w14:paraId="2B9A4262" w14:textId="77777777" w:rsidTr="00453A6D">
        <w:tc>
          <w:tcPr>
            <w:tcW w:w="1043" w:type="dxa"/>
          </w:tcPr>
          <w:p w14:paraId="7567F583"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30429F32"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amounts of instruments exempted in accordance with Article 325u(4) of Regulation (EU) No 575/2013 – Perfectly offsets  market risk of another trading book position</w:t>
            </w:r>
          </w:p>
          <w:p w14:paraId="06E21DB4" w14:textId="77777777" w:rsidR="00AA04B5" w:rsidRPr="00FE3C59" w:rsidRDefault="00AA04B5" w:rsidP="00453A6D">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Article 325u(4), point (c) of Regulation (EU) No 575/2013</w:t>
            </w:r>
          </w:p>
        </w:tc>
      </w:tr>
      <w:tr w:rsidR="00AA04B5" w:rsidRPr="00FE3C59" w14:paraId="12931991" w14:textId="77777777" w:rsidTr="00453A6D">
        <w:tc>
          <w:tcPr>
            <w:tcW w:w="1043" w:type="dxa"/>
          </w:tcPr>
          <w:p w14:paraId="57F161B9"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tcPr>
          <w:p w14:paraId="623ED1EB"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amounts after application of Article 325u(4) of Regulation (EU) No 575/2013</w:t>
            </w:r>
          </w:p>
          <w:p w14:paraId="1F080ACD" w14:textId="3E4757D8" w:rsidR="00AA04B5" w:rsidRPr="00FE3C59" w:rsidRDefault="00AA04B5" w:rsidP="00453A6D">
            <w:pPr>
              <w:pStyle w:val="BodyText"/>
              <w:spacing w:before="120" w:after="120"/>
              <w:rPr>
                <w:rFonts w:ascii="Times New Roman" w:hAnsi="Times New Roman" w:cs="Times New Roman"/>
                <w:u w:val="single"/>
                <w:lang w:val="en-GB" w:eastAsia="nl-BE"/>
              </w:rPr>
            </w:pPr>
            <w:r w:rsidRPr="00FE3C59">
              <w:rPr>
                <w:rFonts w:ascii="Times New Roman" w:hAnsi="Times New Roman" w:cs="Times New Roman"/>
                <w:lang w:val="en-GB"/>
              </w:rPr>
              <w:t>Gross notional amount for instruments or positions within the scope of the RRAO which is the basis for calculating the own funds requirements in accordance with Article 325u(3) of Regulation (EU) No 575/201</w:t>
            </w:r>
            <w:r w:rsidR="00B83548">
              <w:rPr>
                <w:rFonts w:ascii="Times New Roman" w:hAnsi="Times New Roman" w:cs="Times New Roman"/>
                <w:lang w:val="en-GB"/>
              </w:rPr>
              <w:t>3</w:t>
            </w:r>
          </w:p>
        </w:tc>
      </w:tr>
      <w:tr w:rsidR="00AA04B5" w:rsidRPr="00FE3C59" w14:paraId="11D2D59F" w14:textId="77777777" w:rsidTr="00453A6D">
        <w:tc>
          <w:tcPr>
            <w:tcW w:w="1043" w:type="dxa"/>
          </w:tcPr>
          <w:p w14:paraId="304880E8"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0060–0100</w:t>
            </w:r>
          </w:p>
        </w:tc>
        <w:tc>
          <w:tcPr>
            <w:tcW w:w="7973" w:type="dxa"/>
          </w:tcPr>
          <w:p w14:paraId="688604B8"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 by asset class</w:t>
            </w:r>
          </w:p>
          <w:p w14:paraId="786FE8C6" w14:textId="6D9B12F6" w:rsidR="00AA04B5" w:rsidRPr="00FE3C59" w:rsidRDefault="00AA04B5" w:rsidP="00453A6D">
            <w:pPr>
              <w:pStyle w:val="BodyText"/>
              <w:rPr>
                <w:rFonts w:ascii="Times New Roman" w:hAnsi="Times New Roman" w:cs="Times New Roman"/>
                <w:lang w:val="en-GB"/>
              </w:rPr>
            </w:pPr>
            <w:r w:rsidRPr="00FE3C59">
              <w:rPr>
                <w:rFonts w:ascii="Times New Roman" w:hAnsi="Times New Roman" w:cs="Times New Roman"/>
                <w:lang w:val="en-GB"/>
              </w:rPr>
              <w:t>Institutions shall allocate the gross notional amount in accordance with Article 325u(3) of Regulation (EU) No 575/201</w:t>
            </w:r>
            <w:r w:rsidR="0050150F">
              <w:rPr>
                <w:rFonts w:ascii="Times New Roman" w:hAnsi="Times New Roman" w:cs="Times New Roman"/>
                <w:lang w:val="en-GB"/>
              </w:rPr>
              <w:t>3</w:t>
            </w:r>
            <w:r w:rsidRPr="00FE3C59">
              <w:rPr>
                <w:rFonts w:ascii="Times New Roman" w:hAnsi="Times New Roman" w:cs="Times New Roman"/>
                <w:lang w:val="en-GB"/>
              </w:rPr>
              <w:t xml:space="preserve"> to the following risk categories: interest rates, foreign exchange, credit, equities, commodities. </w:t>
            </w:r>
          </w:p>
          <w:p w14:paraId="7841DD47" w14:textId="7939116B" w:rsidR="00AA04B5" w:rsidRPr="00FE3C59" w:rsidRDefault="00AA04B5" w:rsidP="00453A6D">
            <w:pPr>
              <w:pStyle w:val="BodyText"/>
              <w:rPr>
                <w:rFonts w:ascii="Times New Roman" w:hAnsi="Times New Roman" w:cs="Times New Roman"/>
                <w:b/>
                <w:u w:val="single"/>
                <w:lang w:val="en-GB" w:eastAsia="nl-BE"/>
              </w:rPr>
            </w:pPr>
            <w:r w:rsidRPr="00FE3C59">
              <w:rPr>
                <w:rFonts w:ascii="Times New Roman" w:hAnsi="Times New Roman" w:cs="Times New Roman"/>
                <w:lang w:val="en-GB"/>
              </w:rPr>
              <w:t xml:space="preserve">To this end, institutions shall rely on their internal risk management classifications and, following a mapping developed based on expert judgement, allocate the gross notional amount of positions within the scope of RRAO to the most appropriate risk category. </w:t>
            </w:r>
          </w:p>
        </w:tc>
      </w:tr>
      <w:tr w:rsidR="00AA04B5" w:rsidRPr="00FE3C59" w14:paraId="2BE4BF36" w14:textId="77777777" w:rsidTr="00453A6D">
        <w:tc>
          <w:tcPr>
            <w:tcW w:w="1043" w:type="dxa"/>
          </w:tcPr>
          <w:p w14:paraId="6059ECBB"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0060</w:t>
            </w:r>
          </w:p>
        </w:tc>
        <w:tc>
          <w:tcPr>
            <w:tcW w:w="7973" w:type="dxa"/>
          </w:tcPr>
          <w:p w14:paraId="74DBB612"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 by asset class – Interest Rates</w:t>
            </w:r>
          </w:p>
        </w:tc>
      </w:tr>
      <w:tr w:rsidR="00AA04B5" w:rsidRPr="00FE3C59" w14:paraId="53D8D9C1" w14:textId="77777777" w:rsidTr="00453A6D">
        <w:tc>
          <w:tcPr>
            <w:tcW w:w="1043" w:type="dxa"/>
          </w:tcPr>
          <w:p w14:paraId="01883909"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Pr>
          <w:p w14:paraId="6200CD82"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 by asset class – Foreign Exchange</w:t>
            </w:r>
          </w:p>
        </w:tc>
      </w:tr>
      <w:tr w:rsidR="00AA04B5" w:rsidRPr="00FE3C59" w14:paraId="68FFB2D5" w14:textId="77777777" w:rsidTr="00453A6D">
        <w:tc>
          <w:tcPr>
            <w:tcW w:w="1043" w:type="dxa"/>
          </w:tcPr>
          <w:p w14:paraId="4126AB23"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tcPr>
          <w:p w14:paraId="03803862"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 by asset class – Credit</w:t>
            </w:r>
          </w:p>
        </w:tc>
      </w:tr>
      <w:tr w:rsidR="00AA04B5" w:rsidRPr="00FE3C59" w14:paraId="64050CAF" w14:textId="77777777" w:rsidTr="00453A6D">
        <w:tc>
          <w:tcPr>
            <w:tcW w:w="1043" w:type="dxa"/>
          </w:tcPr>
          <w:p w14:paraId="347C8E2A"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tcPr>
          <w:p w14:paraId="2966B39B"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 by asset class – Equities</w:t>
            </w:r>
          </w:p>
        </w:tc>
      </w:tr>
      <w:tr w:rsidR="00AA04B5" w:rsidRPr="00FE3C59" w14:paraId="7345FC35" w14:textId="77777777" w:rsidTr="00453A6D">
        <w:tc>
          <w:tcPr>
            <w:tcW w:w="1043" w:type="dxa"/>
          </w:tcPr>
          <w:p w14:paraId="30C48B70"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tcPr>
          <w:p w14:paraId="7F2616CF"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Gross notional amount by asset class – Commodities</w:t>
            </w:r>
          </w:p>
        </w:tc>
      </w:tr>
      <w:tr w:rsidR="00AA04B5" w:rsidRPr="00FE3C59" w14:paraId="257D7D76" w14:textId="77777777" w:rsidTr="00453A6D">
        <w:tc>
          <w:tcPr>
            <w:tcW w:w="1043" w:type="dxa"/>
          </w:tcPr>
          <w:p w14:paraId="5EE96494"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tcPr>
          <w:p w14:paraId="3AC46E30"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Own funds requirements</w:t>
            </w:r>
          </w:p>
          <w:p w14:paraId="1CC3FAE9" w14:textId="41FD1CCC" w:rsidR="00AA04B5" w:rsidRPr="00FE3C59" w:rsidRDefault="00AA04B5" w:rsidP="00453A6D">
            <w:pPr>
              <w:pStyle w:val="BodyText"/>
              <w:rPr>
                <w:rFonts w:ascii="Times New Roman" w:hAnsi="Times New Roman" w:cs="Times New Roman"/>
                <w:u w:val="single"/>
                <w:lang w:val="en-GB" w:eastAsia="nl-BE"/>
              </w:rPr>
            </w:pPr>
            <w:r w:rsidRPr="00FE3C59">
              <w:rPr>
                <w:rFonts w:ascii="Times New Roman" w:hAnsi="Times New Roman" w:cs="Times New Roman"/>
                <w:lang w:val="en-GB"/>
              </w:rPr>
              <w:t>Own funds requirements for RRAO calculated in accordance with Article 325u(3) of Regulation (EU) No 575/2013</w:t>
            </w:r>
          </w:p>
        </w:tc>
      </w:tr>
    </w:tbl>
    <w:p w14:paraId="5A42CFEA" w14:textId="77777777" w:rsidR="00AA04B5" w:rsidRPr="00FE3C59" w:rsidRDefault="00AA04B5" w:rsidP="00AA04B5">
      <w:pPr>
        <w:rPr>
          <w:rFonts w:ascii="Times New Roman" w:hAnsi="Times New Roman" w:cs="Times New Roman"/>
        </w:rPr>
      </w:pPr>
    </w:p>
    <w:tbl>
      <w:tblPr>
        <w:tblStyle w:val="TableGrid"/>
        <w:tblW w:w="0" w:type="auto"/>
        <w:tblLook w:val="04A0" w:firstRow="1" w:lastRow="0" w:firstColumn="1" w:lastColumn="0" w:noHBand="0" w:noVBand="1"/>
      </w:tblPr>
      <w:tblGrid>
        <w:gridCol w:w="1043"/>
        <w:gridCol w:w="7973"/>
      </w:tblGrid>
      <w:tr w:rsidR="00AA04B5" w:rsidRPr="00FE3C59" w14:paraId="4B0F10B0" w14:textId="77777777" w:rsidTr="234DD543">
        <w:tc>
          <w:tcPr>
            <w:tcW w:w="1043" w:type="dxa"/>
            <w:shd w:val="clear" w:color="auto" w:fill="BFBFBF" w:themeFill="background1" w:themeFillShade="BF"/>
          </w:tcPr>
          <w:p w14:paraId="502F18C0" w14:textId="77777777" w:rsidR="00AA04B5" w:rsidRPr="00FE3C59" w:rsidRDefault="00AA04B5" w:rsidP="00453A6D">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39D5684C" w14:textId="77777777" w:rsidR="00AA04B5" w:rsidRPr="00FE3C59" w:rsidRDefault="00AA04B5" w:rsidP="00453A6D">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AA04B5" w:rsidRPr="00FE3C59" w14:paraId="04E737F0" w14:textId="77777777" w:rsidTr="234DD543">
        <w:tc>
          <w:tcPr>
            <w:tcW w:w="1043" w:type="dxa"/>
          </w:tcPr>
          <w:p w14:paraId="1C000B0E"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48B4C6C4" w14:textId="77777777" w:rsidR="00AA04B5" w:rsidRPr="00FE3C59" w:rsidRDefault="1422D110" w:rsidP="234DD543">
            <w:pPr>
              <w:pStyle w:val="BodyText"/>
              <w:spacing w:before="120" w:after="120"/>
              <w:rPr>
                <w:rFonts w:ascii="Times New Roman" w:hAnsi="Times New Roman" w:cs="Times New Roman"/>
                <w:b/>
                <w:bCs/>
                <w:u w:val="single"/>
                <w:lang w:val="en-GB" w:eastAsia="nl-BE"/>
              </w:rPr>
            </w:pPr>
            <w:r w:rsidRPr="00FE3C59">
              <w:rPr>
                <w:rFonts w:ascii="Times New Roman" w:hAnsi="Times New Roman" w:cs="Times New Roman"/>
                <w:b/>
                <w:bCs/>
                <w:u w:val="single"/>
                <w:lang w:val="en-GB"/>
              </w:rPr>
              <w:t>ALL UNDERLYINGS</w:t>
            </w:r>
          </w:p>
          <w:p w14:paraId="5A3A2D43" w14:textId="77777777" w:rsidR="00AA04B5" w:rsidRPr="00FE3C59" w:rsidRDefault="00AA04B5" w:rsidP="00453A6D">
            <w:pPr>
              <w:pStyle w:val="BodyText"/>
              <w:rPr>
                <w:rFonts w:ascii="Times New Roman" w:hAnsi="Times New Roman" w:cs="Times New Roman"/>
                <w:u w:val="single"/>
                <w:lang w:val="en-GB" w:eastAsia="nl-BE"/>
              </w:rPr>
            </w:pPr>
            <w:r w:rsidRPr="00FE3C59">
              <w:rPr>
                <w:rFonts w:ascii="Times New Roman" w:hAnsi="Times New Roman" w:cs="Times New Roman"/>
                <w:lang w:val="en-GB"/>
              </w:rPr>
              <w:t>Article 325u(1) of Regulation (EU) No 575/2013</w:t>
            </w:r>
          </w:p>
        </w:tc>
      </w:tr>
      <w:tr w:rsidR="00AA04B5" w:rsidRPr="00FE3C59" w14:paraId="677FDF6C" w14:textId="77777777" w:rsidTr="234DD543">
        <w:tc>
          <w:tcPr>
            <w:tcW w:w="1043" w:type="dxa"/>
          </w:tcPr>
          <w:p w14:paraId="3559A870"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4B9F97A5" w14:textId="7FAFDAE2" w:rsidR="00AA04B5" w:rsidRPr="00FE3C59" w:rsidRDefault="00E97981"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I</w:t>
            </w:r>
            <w:r w:rsidR="00D25CA9" w:rsidRPr="00FE3C59">
              <w:rPr>
                <w:rFonts w:ascii="Times New Roman" w:hAnsi="Times New Roman" w:cs="Times New Roman"/>
                <w:b/>
                <w:u w:val="single"/>
                <w:lang w:val="en-GB"/>
              </w:rPr>
              <w:t xml:space="preserve">nstruments referencing an </w:t>
            </w:r>
            <w:r w:rsidR="00AA04B5" w:rsidRPr="00FE3C59">
              <w:rPr>
                <w:rFonts w:ascii="Times New Roman" w:hAnsi="Times New Roman" w:cs="Times New Roman"/>
                <w:b/>
                <w:u w:val="single"/>
                <w:lang w:val="en-GB"/>
              </w:rPr>
              <w:t>exotic underlying</w:t>
            </w:r>
          </w:p>
          <w:p w14:paraId="44896F4E" w14:textId="186D03F2" w:rsidR="00AA04B5" w:rsidRPr="00FE3C59" w:rsidRDefault="00AA04B5" w:rsidP="00453A6D">
            <w:pPr>
              <w:pStyle w:val="BodyText"/>
              <w:rPr>
                <w:rFonts w:ascii="Times New Roman" w:hAnsi="Times New Roman" w:cs="Times New Roman"/>
                <w:lang w:val="en-GB"/>
              </w:rPr>
            </w:pPr>
            <w:r w:rsidRPr="00FE3C59">
              <w:rPr>
                <w:rFonts w:ascii="Times New Roman" w:hAnsi="Times New Roman" w:cs="Times New Roman"/>
                <w:lang w:val="en-GB"/>
              </w:rPr>
              <w:t>Article 325u(2), point (a), of Regulation (EU) No 575/201</w:t>
            </w:r>
            <w:r w:rsidR="0064159D" w:rsidRPr="00FE3C59">
              <w:rPr>
                <w:rFonts w:ascii="Times New Roman" w:hAnsi="Times New Roman" w:cs="Times New Roman"/>
                <w:lang w:val="en-GB"/>
              </w:rPr>
              <w:t>3</w:t>
            </w:r>
          </w:p>
        </w:tc>
      </w:tr>
      <w:tr w:rsidR="00AA04B5" w:rsidRPr="00FE3C59" w14:paraId="0B801B91" w14:textId="77777777" w:rsidTr="234DD543">
        <w:tc>
          <w:tcPr>
            <w:tcW w:w="1043" w:type="dxa"/>
          </w:tcPr>
          <w:p w14:paraId="2FAB1524"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5156D6ED"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Future realised volatility</w:t>
            </w:r>
          </w:p>
        </w:tc>
      </w:tr>
      <w:tr w:rsidR="00AA04B5" w:rsidRPr="00FE3C59" w14:paraId="5BD3B646" w14:textId="77777777" w:rsidTr="234DD543">
        <w:tc>
          <w:tcPr>
            <w:tcW w:w="1043" w:type="dxa"/>
          </w:tcPr>
          <w:p w14:paraId="4CAE3881"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52BA9ADB"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Natural disasters</w:t>
            </w:r>
          </w:p>
        </w:tc>
      </w:tr>
      <w:tr w:rsidR="00AA04B5" w:rsidRPr="00FE3C59" w14:paraId="3E5101E9" w14:textId="77777777" w:rsidTr="234DD543">
        <w:tc>
          <w:tcPr>
            <w:tcW w:w="1043" w:type="dxa"/>
          </w:tcPr>
          <w:p w14:paraId="640478CA"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tcPr>
          <w:p w14:paraId="1A9AC3AA"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Weather</w:t>
            </w:r>
          </w:p>
        </w:tc>
      </w:tr>
      <w:tr w:rsidR="00AA04B5" w:rsidRPr="00FE3C59" w14:paraId="40477A7D" w14:textId="77777777" w:rsidTr="234DD543">
        <w:tc>
          <w:tcPr>
            <w:tcW w:w="1043" w:type="dxa"/>
          </w:tcPr>
          <w:p w14:paraId="44C3277A"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0DCE5960"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Longevity risk</w:t>
            </w:r>
          </w:p>
        </w:tc>
      </w:tr>
      <w:tr w:rsidR="00AA04B5" w:rsidRPr="00FE3C59" w14:paraId="19FE19B7" w14:textId="77777777" w:rsidTr="234DD543">
        <w:tc>
          <w:tcPr>
            <w:tcW w:w="1043" w:type="dxa"/>
          </w:tcPr>
          <w:p w14:paraId="1132D33F"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Pr>
          <w:p w14:paraId="65DED673"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Other exotic underlyings which are not in the scope of the delta, vega or curvature risk</w:t>
            </w:r>
          </w:p>
          <w:p w14:paraId="30D5ED51" w14:textId="1BED1F66" w:rsidR="00AA04B5" w:rsidRPr="00FE3C59" w:rsidRDefault="00AA04B5" w:rsidP="00453A6D">
            <w:pPr>
              <w:pStyle w:val="BodyText"/>
              <w:rPr>
                <w:rFonts w:ascii="Times New Roman" w:hAnsi="Times New Roman" w:cs="Times New Roman"/>
                <w:lang w:val="en-GB"/>
              </w:rPr>
            </w:pPr>
            <w:r w:rsidRPr="00FE3C59">
              <w:rPr>
                <w:rFonts w:ascii="Times New Roman" w:hAnsi="Times New Roman" w:cs="Times New Roman"/>
                <w:lang w:val="en-GB"/>
              </w:rPr>
              <w:t>Article 325u(2), point (a), of Regulation (EU) No 575/2013</w:t>
            </w:r>
          </w:p>
        </w:tc>
      </w:tr>
      <w:tr w:rsidR="00AA04B5" w:rsidRPr="00FE3C59" w14:paraId="7B4B3441" w14:textId="77777777" w:rsidTr="234DD543">
        <w:tc>
          <w:tcPr>
            <w:tcW w:w="1043" w:type="dxa"/>
          </w:tcPr>
          <w:p w14:paraId="442D3A6D"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tcPr>
          <w:p w14:paraId="32894CE4" w14:textId="468B0A61" w:rsidR="00AA04B5" w:rsidRPr="00FE3C59" w:rsidRDefault="00E97981"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w:t>
            </w:r>
            <w:r w:rsidR="00AA04B5" w:rsidRPr="00FE3C59">
              <w:rPr>
                <w:rFonts w:ascii="Times New Roman" w:hAnsi="Times New Roman" w:cs="Times New Roman"/>
                <w:b/>
                <w:u w:val="single"/>
                <w:lang w:val="en-GB"/>
              </w:rPr>
              <w:t xml:space="preserve">nstruments bearing </w:t>
            </w:r>
            <w:r w:rsidRPr="00FE3C59">
              <w:rPr>
                <w:rFonts w:ascii="Times New Roman" w:hAnsi="Times New Roman" w:cs="Times New Roman"/>
                <w:b/>
                <w:u w:val="single"/>
                <w:lang w:val="en-GB"/>
              </w:rPr>
              <w:t xml:space="preserve">other </w:t>
            </w:r>
            <w:r w:rsidR="00AA04B5" w:rsidRPr="00FE3C59">
              <w:rPr>
                <w:rFonts w:ascii="Times New Roman" w:hAnsi="Times New Roman" w:cs="Times New Roman"/>
                <w:b/>
                <w:u w:val="single"/>
                <w:lang w:val="en-GB"/>
              </w:rPr>
              <w:t>residual risk</w:t>
            </w:r>
            <w:r w:rsidRPr="00FE3C59">
              <w:rPr>
                <w:rFonts w:ascii="Times New Roman" w:hAnsi="Times New Roman" w:cs="Times New Roman"/>
                <w:b/>
                <w:u w:val="single"/>
                <w:lang w:val="en-GB"/>
              </w:rPr>
              <w:t>s</w:t>
            </w:r>
            <w:r w:rsidR="00AA04B5" w:rsidRPr="00FE3C59">
              <w:rPr>
                <w:rFonts w:ascii="Times New Roman" w:hAnsi="Times New Roman" w:cs="Times New Roman"/>
                <w:b/>
                <w:u w:val="single"/>
                <w:lang w:val="en-GB"/>
              </w:rPr>
              <w:t xml:space="preserve"> </w:t>
            </w:r>
          </w:p>
          <w:p w14:paraId="1627433D" w14:textId="3AA41CAD" w:rsidR="0064159D" w:rsidRPr="00FE3C59" w:rsidRDefault="0064159D" w:rsidP="00453A6D">
            <w:pPr>
              <w:pStyle w:val="BodyText"/>
              <w:spacing w:before="120" w:after="120"/>
              <w:rPr>
                <w:rFonts w:ascii="Times New Roman" w:hAnsi="Times New Roman" w:cs="Times New Roman"/>
                <w:b/>
                <w:bCs/>
                <w:lang w:val="en-GB"/>
              </w:rPr>
            </w:pPr>
            <w:r w:rsidRPr="00FE3C59">
              <w:rPr>
                <w:rFonts w:ascii="Times New Roman" w:hAnsi="Times New Roman" w:cs="Times New Roman"/>
                <w:lang w:val="en-GB"/>
              </w:rPr>
              <w:t>Article 325u(2), point (</w:t>
            </w:r>
            <w:r w:rsidR="005112EF" w:rsidRPr="00FE3C59">
              <w:rPr>
                <w:rFonts w:ascii="Times New Roman" w:hAnsi="Times New Roman" w:cs="Times New Roman"/>
                <w:lang w:val="en-GB"/>
              </w:rPr>
              <w:t>b</w:t>
            </w:r>
            <w:r w:rsidRPr="00FE3C59">
              <w:rPr>
                <w:rFonts w:ascii="Times New Roman" w:hAnsi="Times New Roman" w:cs="Times New Roman"/>
                <w:lang w:val="en-GB"/>
              </w:rPr>
              <w:t>), of Regulation (EU) No 575/2013</w:t>
            </w:r>
          </w:p>
        </w:tc>
      </w:tr>
      <w:tr w:rsidR="00AA04B5" w:rsidRPr="00FE3C59" w14:paraId="55BE7956" w14:textId="77777777" w:rsidTr="234DD543">
        <w:tc>
          <w:tcPr>
            <w:tcW w:w="1043" w:type="dxa"/>
          </w:tcPr>
          <w:p w14:paraId="0F208B31"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tcPr>
          <w:p w14:paraId="6E8887BA"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Options where the pay–offs depend on the path followed by the price of the underlying asset and not just its final price on the exercise date.</w:t>
            </w:r>
          </w:p>
          <w:p w14:paraId="06CBDBDE" w14:textId="699A3970"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Such options are commonly referred to as ‘path-dependent’ options and are exposed to gap risk. Path-dependent options include, but are not limited to, Asian options, barrier options, options with auto-callable features and look-back options.</w:t>
            </w:r>
          </w:p>
        </w:tc>
      </w:tr>
      <w:tr w:rsidR="00AA04B5" w:rsidRPr="00FE3C59" w14:paraId="79A3B3ED" w14:textId="77777777" w:rsidTr="234DD543">
        <w:tc>
          <w:tcPr>
            <w:tcW w:w="1043" w:type="dxa"/>
          </w:tcPr>
          <w:p w14:paraId="0741C019"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0100</w:t>
            </w:r>
          </w:p>
        </w:tc>
        <w:tc>
          <w:tcPr>
            <w:tcW w:w="7973" w:type="dxa"/>
          </w:tcPr>
          <w:p w14:paraId="0073291F"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Options that start at a predefined date in the future and whose strike price is not yet determined at the time at which the option is in the trading book of the institution.</w:t>
            </w:r>
          </w:p>
          <w:p w14:paraId="5CFD39EA" w14:textId="6A4C5060"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This type of options includes, but is not limited to, forward start options and options belonging to the cliquet family.</w:t>
            </w:r>
          </w:p>
        </w:tc>
      </w:tr>
      <w:tr w:rsidR="00AA04B5" w:rsidRPr="00FE3C59" w14:paraId="5B1DEDA9" w14:textId="77777777" w:rsidTr="234DD543">
        <w:tc>
          <w:tcPr>
            <w:tcW w:w="1043" w:type="dxa"/>
          </w:tcPr>
          <w:p w14:paraId="183A8250"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tcPr>
          <w:p w14:paraId="17A5EA3E"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Options whose underlying is another option</w:t>
            </w:r>
          </w:p>
          <w:p w14:paraId="53180252" w14:textId="00F7A038"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Such options are commonly referred to as compound options. This comprises options of the following types: Call-on-Call, Call-on-Put, Put-on-Put and Put-on-Call.</w:t>
            </w:r>
          </w:p>
        </w:tc>
      </w:tr>
      <w:tr w:rsidR="00AA04B5" w:rsidRPr="00FE3C59" w14:paraId="2EF60F1B" w14:textId="77777777" w:rsidTr="234DD543">
        <w:tc>
          <w:tcPr>
            <w:tcW w:w="1043" w:type="dxa"/>
          </w:tcPr>
          <w:p w14:paraId="26335F7C"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73" w:type="dxa"/>
          </w:tcPr>
          <w:p w14:paraId="1BE2F1E3"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Options with discontinuous pay–offs</w:t>
            </w:r>
          </w:p>
          <w:p w14:paraId="6C666322" w14:textId="36CA3293"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This type of options includes, but is not limited to, digital options, which give fixed pay-offs if the underlying is below or above a certain point, and do not give any pay-offs in all other cases. Depending on the pay-offs, digital options can be of the following types: Cash-or-Nothing or Asset-or-Nothing. These options are exposed to gap risk.</w:t>
            </w:r>
          </w:p>
        </w:tc>
      </w:tr>
      <w:tr w:rsidR="00AA04B5" w:rsidRPr="00FE3C59" w14:paraId="60A2F8AB" w14:textId="77777777" w:rsidTr="234DD543">
        <w:tc>
          <w:tcPr>
            <w:tcW w:w="1043" w:type="dxa"/>
          </w:tcPr>
          <w:p w14:paraId="30AE4D1C"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73" w:type="dxa"/>
          </w:tcPr>
          <w:p w14:paraId="5F5B42EB" w14:textId="233D4E9E" w:rsidR="34AC176B" w:rsidRPr="00FE3C59" w:rsidRDefault="00AA04B5" w:rsidP="34AC176B">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Options allowing the holder to modify the strike price or other terms of the contract before the maturity of the option</w:t>
            </w:r>
          </w:p>
          <w:p w14:paraId="0254FBCB" w14:textId="77777777" w:rsidR="003F7522"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This type of options includes, but is not limited to</w:t>
            </w:r>
            <w:r w:rsidR="6F22E7FD" w:rsidRPr="00FE3C59">
              <w:rPr>
                <w:rFonts w:ascii="Times New Roman" w:hAnsi="Times New Roman" w:cs="Times New Roman"/>
                <w:lang w:val="en-GB"/>
              </w:rPr>
              <w:t>,</w:t>
            </w:r>
            <w:r w:rsidRPr="00FE3C59">
              <w:rPr>
                <w:rFonts w:ascii="Times New Roman" w:hAnsi="Times New Roman" w:cs="Times New Roman"/>
                <w:lang w:val="en-GB"/>
              </w:rPr>
              <w:t xml:space="preserve"> shout options.</w:t>
            </w:r>
          </w:p>
          <w:p w14:paraId="5BC0679D" w14:textId="41798E42"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Shout options include, but are not limited to, </w:t>
            </w:r>
          </w:p>
          <w:p w14:paraId="7F53E964" w14:textId="633BC495" w:rsidR="00AA04B5" w:rsidRPr="00FE3C59" w:rsidRDefault="00AA04B5" w:rsidP="00453A6D">
            <w:pPr>
              <w:pStyle w:val="BodyText"/>
              <w:numPr>
                <w:ilvl w:val="0"/>
                <w:numId w:val="49"/>
              </w:numPr>
              <w:spacing w:before="120" w:after="120"/>
              <w:rPr>
                <w:rFonts w:ascii="Times New Roman" w:hAnsi="Times New Roman" w:cs="Times New Roman"/>
                <w:lang w:val="en-GB"/>
              </w:rPr>
            </w:pPr>
            <w:r w:rsidRPr="00FE3C59">
              <w:rPr>
                <w:rFonts w:ascii="Times New Roman" w:hAnsi="Times New Roman" w:cs="Times New Roman"/>
                <w:lang w:val="en-GB"/>
              </w:rPr>
              <w:t xml:space="preserve">options where the holder of the option has the flexibility to reset the strike price when it is deemed optimal to do so. </w:t>
            </w:r>
          </w:p>
          <w:p w14:paraId="512DAF17" w14:textId="13CD960B" w:rsidR="00AA04B5" w:rsidRPr="00FE3C59" w:rsidRDefault="00AA04B5" w:rsidP="00453A6D">
            <w:pPr>
              <w:pStyle w:val="BodyText"/>
              <w:numPr>
                <w:ilvl w:val="0"/>
                <w:numId w:val="49"/>
              </w:numPr>
              <w:spacing w:before="120" w:after="120"/>
              <w:rPr>
                <w:rFonts w:ascii="Times New Roman" w:hAnsi="Times New Roman" w:cs="Times New Roman"/>
                <w:lang w:val="en-GB"/>
              </w:rPr>
            </w:pPr>
            <w:r w:rsidRPr="00FE3C59">
              <w:rPr>
                <w:rFonts w:ascii="Times New Roman" w:hAnsi="Times New Roman" w:cs="Times New Roman"/>
                <w:lang w:val="en-GB"/>
              </w:rPr>
              <w:t>European options, where the holder has the possibility to mark the underlying’s price at one specific point in time during the life of the option. At the end of the life of the option, the holder receives either the pay-offs from the European option or the intrinsic value at the time of the shout, whichever is greater.</w:t>
            </w:r>
          </w:p>
        </w:tc>
      </w:tr>
      <w:tr w:rsidR="00AA04B5" w:rsidRPr="00FE3C59" w14:paraId="55FE9470" w14:textId="77777777" w:rsidTr="234DD543">
        <w:tc>
          <w:tcPr>
            <w:tcW w:w="1043" w:type="dxa"/>
          </w:tcPr>
          <w:p w14:paraId="672AA6DD"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973" w:type="dxa"/>
          </w:tcPr>
          <w:p w14:paraId="6A5057F4" w14:textId="5F1A13E9"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Options that can be exercised on a finite set of predetermined dates</w:t>
            </w:r>
          </w:p>
          <w:p w14:paraId="274B2C85" w14:textId="319092BD"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This type of options is commonly referred to as Bermudan options. </w:t>
            </w:r>
          </w:p>
          <w:p w14:paraId="09F7ADFB" w14:textId="1B9BC3A5"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Bermudan options include, but are not limited to, Bermudan swaptions, where the holder has the right to enter into an Interest Rate Swap (IRS) on multiple dates. </w:t>
            </w:r>
          </w:p>
          <w:p w14:paraId="7DDA2A7B" w14:textId="39754BF2"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Cancellable swaps, where an IRS can be cancelled at predetermined dates, can be represented as an IRS with an embedded Bermudan swaption and shall also be assigned to the scope of the RRAO. Such swaption</w:t>
            </w:r>
            <w:r w:rsidR="0054622F" w:rsidRPr="00FE3C59">
              <w:rPr>
                <w:rFonts w:ascii="Times New Roman" w:hAnsi="Times New Roman" w:cs="Times New Roman"/>
                <w:lang w:val="en-GB"/>
              </w:rPr>
              <w:t>s</w:t>
            </w:r>
            <w:r w:rsidRPr="00FE3C59">
              <w:rPr>
                <w:rFonts w:ascii="Times New Roman" w:hAnsi="Times New Roman" w:cs="Times New Roman"/>
                <w:lang w:val="en-GB"/>
              </w:rPr>
              <w:t xml:space="preserve"> shall be reported in th</w:t>
            </w:r>
            <w:r w:rsidR="0054622F" w:rsidRPr="00FE3C59">
              <w:rPr>
                <w:rFonts w:ascii="Times New Roman" w:hAnsi="Times New Roman" w:cs="Times New Roman"/>
                <w:lang w:val="en-GB"/>
              </w:rPr>
              <w:t>i</w:t>
            </w:r>
            <w:r w:rsidRPr="00FE3C59">
              <w:rPr>
                <w:rFonts w:ascii="Times New Roman" w:hAnsi="Times New Roman" w:cs="Times New Roman"/>
                <w:lang w:val="en-GB"/>
              </w:rPr>
              <w:t>s row.</w:t>
            </w:r>
          </w:p>
          <w:p w14:paraId="359CA8A5" w14:textId="0DBF2802"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Bonds with multiple call dates, i.e. bonds with optionality features, where the embedded option can be exercised on more than one predetermined date, </w:t>
            </w:r>
            <w:r w:rsidR="00972D1C" w:rsidRPr="00FE3C59">
              <w:rPr>
                <w:rFonts w:ascii="Times New Roman" w:hAnsi="Times New Roman" w:cs="Times New Roman"/>
                <w:lang w:val="en-GB"/>
              </w:rPr>
              <w:t>are</w:t>
            </w:r>
            <w:r w:rsidRPr="00FE3C59">
              <w:rPr>
                <w:rFonts w:ascii="Times New Roman" w:hAnsi="Times New Roman" w:cs="Times New Roman"/>
                <w:lang w:val="en-GB"/>
              </w:rPr>
              <w:t xml:space="preserve"> considered instruments bearing other residual risks and </w:t>
            </w:r>
            <w:r w:rsidR="00972D1C" w:rsidRPr="00FE3C59">
              <w:rPr>
                <w:rFonts w:ascii="Times New Roman" w:hAnsi="Times New Roman" w:cs="Times New Roman"/>
                <w:lang w:val="en-GB"/>
              </w:rPr>
              <w:t xml:space="preserve">shall </w:t>
            </w:r>
            <w:r w:rsidRPr="00FE3C59">
              <w:rPr>
                <w:rFonts w:ascii="Times New Roman" w:hAnsi="Times New Roman" w:cs="Times New Roman"/>
                <w:lang w:val="en-GB"/>
              </w:rPr>
              <w:t>be reported in this row.</w:t>
            </w:r>
          </w:p>
        </w:tc>
      </w:tr>
      <w:tr w:rsidR="00AA04B5" w:rsidRPr="00FE3C59" w14:paraId="594C82D1" w14:textId="77777777" w:rsidTr="234DD543">
        <w:tc>
          <w:tcPr>
            <w:tcW w:w="1043" w:type="dxa"/>
          </w:tcPr>
          <w:p w14:paraId="22916601"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0150</w:t>
            </w:r>
          </w:p>
        </w:tc>
        <w:tc>
          <w:tcPr>
            <w:tcW w:w="7973" w:type="dxa"/>
          </w:tcPr>
          <w:p w14:paraId="3F02FB9F" w14:textId="70510139" w:rsidR="00AA04B5" w:rsidRPr="00FE3C59" w:rsidRDefault="00AA04B5" w:rsidP="00453A6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Options whose underlying is denominated in one currency</w:t>
            </w:r>
            <w:r w:rsidR="00DF274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but whose pay–offs are settled in a different currency</w:t>
            </w:r>
            <w:r w:rsidR="7C25AEC0" w:rsidRPr="00FE3C59">
              <w:rPr>
                <w:rFonts w:ascii="Times New Roman" w:hAnsi="Times New Roman" w:cs="Times New Roman"/>
                <w:b/>
                <w:bCs/>
                <w:u w:val="single"/>
                <w:lang w:val="en-GB"/>
              </w:rPr>
              <w:t>, with a predetermined exchange rate between the two currencies</w:t>
            </w:r>
          </w:p>
          <w:p w14:paraId="707BD2A2" w14:textId="5328BE8A"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These options are commonly referred to as quanto options.</w:t>
            </w:r>
          </w:p>
        </w:tc>
      </w:tr>
      <w:tr w:rsidR="00AA04B5" w:rsidRPr="00FE3C59" w14:paraId="0790ED92" w14:textId="77777777" w:rsidTr="234DD543">
        <w:tc>
          <w:tcPr>
            <w:tcW w:w="1043" w:type="dxa"/>
          </w:tcPr>
          <w:p w14:paraId="67437067"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73" w:type="dxa"/>
          </w:tcPr>
          <w:p w14:paraId="213C0F83" w14:textId="2F6433EE"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eastAsia="nl-BE"/>
              </w:rPr>
              <w:t>Multi–underlying options</w:t>
            </w:r>
          </w:p>
          <w:p w14:paraId="182BE43E" w14:textId="02F377D2"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The different types of multi-underlying options reported in this row include, but are not limited to:</w:t>
            </w:r>
          </w:p>
          <w:p w14:paraId="66DFD538" w14:textId="7E660EF0" w:rsidR="00AA04B5" w:rsidRPr="00FE3C59" w:rsidRDefault="00AA04B5" w:rsidP="00453A6D">
            <w:pPr>
              <w:pStyle w:val="BodyText"/>
              <w:numPr>
                <w:ilvl w:val="0"/>
                <w:numId w:val="49"/>
              </w:numPr>
              <w:spacing w:before="120" w:after="120"/>
              <w:rPr>
                <w:rFonts w:ascii="Times New Roman" w:hAnsi="Times New Roman" w:cs="Times New Roman"/>
                <w:lang w:val="en-GB"/>
              </w:rPr>
            </w:pPr>
            <w:r w:rsidRPr="00FE3C59">
              <w:rPr>
                <w:rFonts w:ascii="Times New Roman" w:hAnsi="Times New Roman" w:cs="Times New Roman"/>
                <w:lang w:val="en-GB"/>
              </w:rPr>
              <w:t>basket options: options whose pay-offs are dependent on the value of a portfolio of underlyings;</w:t>
            </w:r>
          </w:p>
          <w:p w14:paraId="3403B61D" w14:textId="4B39EDBA" w:rsidR="00AA04B5" w:rsidRPr="00FE3C59" w:rsidRDefault="00AA04B5" w:rsidP="00453A6D">
            <w:pPr>
              <w:pStyle w:val="BodyText"/>
              <w:numPr>
                <w:ilvl w:val="0"/>
                <w:numId w:val="49"/>
              </w:numPr>
              <w:spacing w:before="120" w:after="120"/>
              <w:rPr>
                <w:rFonts w:ascii="Times New Roman" w:hAnsi="Times New Roman" w:cs="Times New Roman"/>
                <w:lang w:val="en-GB"/>
              </w:rPr>
            </w:pPr>
            <w:r w:rsidRPr="00FE3C59">
              <w:rPr>
                <w:rFonts w:ascii="Times New Roman" w:hAnsi="Times New Roman" w:cs="Times New Roman"/>
                <w:lang w:val="en-GB"/>
              </w:rPr>
              <w:t>best-of and worst-of options: options where the pay-offs depend on the value of the best or the worst performing underlying among a number of predefined underlyings;</w:t>
            </w:r>
          </w:p>
          <w:p w14:paraId="586DCE51" w14:textId="07F8C1FC" w:rsidR="00AA04B5" w:rsidRPr="00FE3C59" w:rsidRDefault="00AA04B5" w:rsidP="00497CE4">
            <w:pPr>
              <w:pStyle w:val="BodyText"/>
              <w:numPr>
                <w:ilvl w:val="0"/>
                <w:numId w:val="49"/>
              </w:numPr>
              <w:spacing w:before="120" w:after="120"/>
              <w:rPr>
                <w:rFonts w:ascii="Times New Roman" w:hAnsi="Times New Roman" w:cs="Times New Roman"/>
                <w:lang w:val="en-GB"/>
              </w:rPr>
            </w:pPr>
            <w:r w:rsidRPr="00FE3C59">
              <w:rPr>
                <w:rFonts w:ascii="Times New Roman" w:hAnsi="Times New Roman" w:cs="Times New Roman"/>
                <w:lang w:val="en-GB"/>
              </w:rPr>
              <w:t>spread options: options where the pay-offs depend on the difference in price between two or more underlyings.</w:t>
            </w:r>
          </w:p>
        </w:tc>
      </w:tr>
      <w:tr w:rsidR="00AA04B5" w:rsidRPr="00FE3C59" w14:paraId="770E69C6" w14:textId="77777777" w:rsidTr="234DD543">
        <w:tc>
          <w:tcPr>
            <w:tcW w:w="1043" w:type="dxa"/>
          </w:tcPr>
          <w:p w14:paraId="5DF69BFB"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973" w:type="dxa"/>
          </w:tcPr>
          <w:p w14:paraId="58CAD0E3"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eastAsia="nl-BE"/>
              </w:rPr>
              <w:t>Options subject to behavioural risk</w:t>
            </w:r>
          </w:p>
          <w:p w14:paraId="5F2283DB" w14:textId="402CC231" w:rsidR="00785D93" w:rsidRPr="00FE3C59" w:rsidRDefault="00AA04B5" w:rsidP="005E5A52">
            <w:pPr>
              <w:pStyle w:val="BodyText"/>
              <w:spacing w:before="120" w:after="120"/>
              <w:rPr>
                <w:rFonts w:ascii="Times New Roman" w:hAnsi="Times New Roman" w:cs="Times New Roman"/>
                <w:lang w:val="en-GB"/>
              </w:rPr>
            </w:pPr>
            <w:r w:rsidRPr="00FE3C59">
              <w:rPr>
                <w:rFonts w:ascii="Times New Roman" w:hAnsi="Times New Roman" w:cs="Times New Roman"/>
                <w:lang w:val="en-GB"/>
              </w:rPr>
              <w:t>Options subject to behavioural risk shall mean any option whose value depends on the behaviour of agents and therefore may be affected by factors other than pure financial gain, including, but not limited to the remaining maturity and size of the loan, demographical features and/or other social factors.</w:t>
            </w:r>
          </w:p>
          <w:p w14:paraId="486C1FD7" w14:textId="36A1F747" w:rsidR="00AA04B5" w:rsidRPr="00FE3C59" w:rsidRDefault="00907479" w:rsidP="005E5A52">
            <w:pPr>
              <w:pStyle w:val="BodyText"/>
              <w:spacing w:before="120" w:after="120"/>
              <w:rPr>
                <w:rFonts w:ascii="Times New Roman" w:hAnsi="Times New Roman" w:cs="Times New Roman"/>
                <w:lang w:val="en-GB"/>
              </w:rPr>
            </w:pPr>
            <w:r w:rsidRPr="00FE3C59">
              <w:rPr>
                <w:rFonts w:ascii="Times New Roman" w:hAnsi="Times New Roman" w:cs="Times New Roman"/>
                <w:lang w:val="en-GB"/>
              </w:rPr>
              <w:t>Options subject to behavioural risk shall be included in this row if they meet the conditions stipulated in the Annex to Regulation (EU) 2022/2328</w:t>
            </w:r>
            <w:r w:rsidR="00375C38">
              <w:rPr>
                <w:rStyle w:val="FootnoteReference"/>
                <w:rFonts w:ascii="Times New Roman" w:hAnsi="Times New Roman" w:cs="Times New Roman"/>
                <w:lang w:val="en-GB"/>
              </w:rPr>
              <w:footnoteReference w:id="4"/>
            </w:r>
            <w:r w:rsidRPr="00FE3C59">
              <w:rPr>
                <w:rFonts w:ascii="Times New Roman" w:hAnsi="Times New Roman" w:cs="Times New Roman"/>
                <w:lang w:val="en-GB"/>
              </w:rPr>
              <w:t>.</w:t>
            </w:r>
          </w:p>
        </w:tc>
      </w:tr>
      <w:tr w:rsidR="00AA04B5" w:rsidRPr="00FE3C59" w14:paraId="1121C6B9" w14:textId="77777777" w:rsidTr="234DD543">
        <w:tc>
          <w:tcPr>
            <w:tcW w:w="1043" w:type="dxa"/>
          </w:tcPr>
          <w:p w14:paraId="7EFCB5A1"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973" w:type="dxa"/>
          </w:tcPr>
          <w:p w14:paraId="3FD0E67D" w14:textId="5614FAFA"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eastAsia="nl-BE"/>
              </w:rPr>
              <w:t xml:space="preserve">Options that do not have a maturity </w:t>
            </w:r>
          </w:p>
          <w:p w14:paraId="4C270CC5" w14:textId="0ED5CDDF"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325s(2) of Regulation (EU) No 575/2013</w:t>
            </w:r>
          </w:p>
        </w:tc>
      </w:tr>
      <w:tr w:rsidR="00AA04B5" w:rsidRPr="00FE3C59" w14:paraId="79242F52" w14:textId="77777777" w:rsidTr="234DD543">
        <w:tc>
          <w:tcPr>
            <w:tcW w:w="1043" w:type="dxa"/>
          </w:tcPr>
          <w:p w14:paraId="57D162EC"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73" w:type="dxa"/>
          </w:tcPr>
          <w:p w14:paraId="16CCEF06" w14:textId="24F1F2F5"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eastAsia="nl-BE"/>
              </w:rPr>
              <w:t xml:space="preserve">Options that do not have a strike or barrier and options that have multiple strikes or barriers </w:t>
            </w:r>
          </w:p>
          <w:p w14:paraId="4EFA7340" w14:textId="42D67BBD"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325s(3) of Regulation (EU) No 575/2013</w:t>
            </w:r>
          </w:p>
        </w:tc>
      </w:tr>
      <w:tr w:rsidR="00AA04B5" w:rsidRPr="00FE3C59" w14:paraId="369E3611" w14:textId="77777777" w:rsidTr="234DD543">
        <w:tc>
          <w:tcPr>
            <w:tcW w:w="1043" w:type="dxa"/>
          </w:tcPr>
          <w:p w14:paraId="7C384B28" w14:textId="77777777"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73" w:type="dxa"/>
          </w:tcPr>
          <w:p w14:paraId="16A82CCD" w14:textId="77777777" w:rsidR="00AA04B5" w:rsidRPr="00FE3C59" w:rsidRDefault="00AA04B5" w:rsidP="00453A6D">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eastAsia="nl-BE"/>
              </w:rPr>
              <w:t>Other instruments exposed to residual risk</w:t>
            </w:r>
          </w:p>
          <w:p w14:paraId="4CCB8445" w14:textId="33E84000" w:rsidR="00AA04B5" w:rsidRPr="00FE3C59" w:rsidRDefault="00AA04B5" w:rsidP="00453A6D">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Instruments which meet the criteria for inclusion in the scope of the RRAO in </w:t>
            </w:r>
            <w:r w:rsidR="00EE260F" w:rsidRPr="00FE3C59">
              <w:rPr>
                <w:rFonts w:ascii="Times New Roman" w:hAnsi="Times New Roman" w:cs="Times New Roman"/>
                <w:lang w:val="en-GB"/>
              </w:rPr>
              <w:t xml:space="preserve">accordance with </w:t>
            </w:r>
            <w:r w:rsidRPr="00FE3C59">
              <w:rPr>
                <w:rFonts w:ascii="Times New Roman" w:hAnsi="Times New Roman" w:cs="Times New Roman"/>
                <w:lang w:val="en-GB"/>
              </w:rPr>
              <w:t>Article 325u</w:t>
            </w:r>
            <w:r w:rsidR="000855AA" w:rsidRPr="00FE3C59">
              <w:rPr>
                <w:rFonts w:ascii="Times New Roman" w:hAnsi="Times New Roman" w:cs="Times New Roman"/>
                <w:lang w:val="en-GB"/>
              </w:rPr>
              <w:t>(2), point (b),</w:t>
            </w:r>
            <w:r w:rsidRPr="00FE3C59">
              <w:rPr>
                <w:rFonts w:ascii="Times New Roman" w:hAnsi="Times New Roman" w:cs="Times New Roman"/>
                <w:lang w:val="en-GB"/>
              </w:rPr>
              <w:t xml:space="preserve"> of Regulation (EU) No 575/2013, but cannot be allocated to any of the categories specified in rows 0090 to 0190. </w:t>
            </w:r>
          </w:p>
        </w:tc>
      </w:tr>
    </w:tbl>
    <w:p w14:paraId="4403FF15" w14:textId="77777777" w:rsidR="00AA04B5" w:rsidRPr="00FE3C59" w:rsidRDefault="00AA04B5" w:rsidP="00C65F1F">
      <w:pPr>
        <w:rPr>
          <w:rFonts w:ascii="Times New Roman" w:hAnsi="Times New Roman" w:cs="Times New Roman"/>
        </w:rPr>
      </w:pPr>
    </w:p>
    <w:p w14:paraId="2AE76491" w14:textId="2A795EF7" w:rsidR="00D43916" w:rsidRPr="00FE3C59" w:rsidRDefault="00D34F1B" w:rsidP="00CA1AF4">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lastRenderedPageBreak/>
        <w:t>2.</w:t>
      </w:r>
      <w:r w:rsidR="002112EE" w:rsidRPr="00FE3C59">
        <w:rPr>
          <w:rFonts w:ascii="Times New Roman" w:hAnsi="Times New Roman" w:cs="Times New Roman"/>
          <w:sz w:val="24"/>
          <w:szCs w:val="24"/>
          <w:u w:val="none"/>
          <w:lang w:val="en-GB"/>
        </w:rPr>
        <w:t>5</w:t>
      </w:r>
      <w:r w:rsidR="00045806" w:rsidRPr="00FE3C59">
        <w:rPr>
          <w:rFonts w:ascii="Times New Roman" w:hAnsi="Times New Roman" w:cs="Times New Roman"/>
          <w:sz w:val="24"/>
          <w:szCs w:val="24"/>
          <w:u w:val="none"/>
          <w:lang w:val="en-GB"/>
        </w:rPr>
        <w:tab/>
        <w:t>D</w:t>
      </w:r>
      <w:r w:rsidR="00D43916" w:rsidRPr="00FE3C59">
        <w:rPr>
          <w:rFonts w:ascii="Times New Roman" w:hAnsi="Times New Roman" w:cs="Times New Roman"/>
          <w:sz w:val="24"/>
          <w:szCs w:val="24"/>
          <w:u w:val="none"/>
          <w:lang w:val="en-GB"/>
        </w:rPr>
        <w:t>efault risk charge (</w:t>
      </w:r>
      <w:r w:rsidR="00900186" w:rsidRPr="00FE3C59">
        <w:rPr>
          <w:rFonts w:ascii="Times New Roman" w:hAnsi="Times New Roman" w:cs="Times New Roman"/>
          <w:sz w:val="24"/>
          <w:szCs w:val="24"/>
          <w:u w:val="none"/>
          <w:lang w:val="en-GB"/>
        </w:rPr>
        <w:t xml:space="preserve">MKR </w:t>
      </w:r>
      <w:r w:rsidR="00EA53DC">
        <w:rPr>
          <w:rFonts w:ascii="Times New Roman" w:hAnsi="Times New Roman" w:cs="Times New Roman"/>
          <w:sz w:val="24"/>
          <w:szCs w:val="24"/>
          <w:u w:val="none"/>
          <w:lang w:val="en-GB"/>
        </w:rPr>
        <w:t>A</w:t>
      </w:r>
      <w:r w:rsidR="00900186" w:rsidRPr="00FE3C59">
        <w:rPr>
          <w:rFonts w:ascii="Times New Roman" w:hAnsi="Times New Roman" w:cs="Times New Roman"/>
          <w:sz w:val="24"/>
          <w:szCs w:val="24"/>
          <w:u w:val="none"/>
          <w:lang w:val="en-GB"/>
        </w:rPr>
        <w:t xml:space="preserve">SA </w:t>
      </w:r>
      <w:r w:rsidR="00045806" w:rsidRPr="00FE3C59">
        <w:rPr>
          <w:rFonts w:ascii="Times New Roman" w:hAnsi="Times New Roman" w:cs="Times New Roman"/>
          <w:sz w:val="24"/>
          <w:szCs w:val="24"/>
          <w:u w:val="none"/>
          <w:lang w:val="en-GB"/>
        </w:rPr>
        <w:t>DRC)</w:t>
      </w:r>
    </w:p>
    <w:p w14:paraId="77497617" w14:textId="7ECC47A9" w:rsidR="00B7130D" w:rsidRPr="00FE3C59" w:rsidRDefault="00D34F1B" w:rsidP="00CA1AF4">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2112EE" w:rsidRPr="00FE3C59">
        <w:rPr>
          <w:rFonts w:ascii="Times New Roman" w:hAnsi="Times New Roman" w:cs="Times New Roman"/>
          <w:sz w:val="24"/>
          <w:szCs w:val="24"/>
          <w:u w:val="none"/>
          <w:lang w:val="en-GB"/>
        </w:rPr>
        <w:t>.5</w:t>
      </w:r>
      <w:r w:rsidRPr="00FE3C59">
        <w:rPr>
          <w:rFonts w:ascii="Times New Roman" w:hAnsi="Times New Roman" w:cs="Times New Roman"/>
          <w:sz w:val="24"/>
          <w:szCs w:val="24"/>
          <w:u w:val="none"/>
          <w:lang w:val="en-GB"/>
        </w:rPr>
        <w:t>.</w:t>
      </w:r>
      <w:r w:rsidR="00045806" w:rsidRPr="00FE3C59">
        <w:rPr>
          <w:rFonts w:ascii="Times New Roman" w:hAnsi="Times New Roman" w:cs="Times New Roman"/>
          <w:sz w:val="24"/>
          <w:szCs w:val="24"/>
          <w:u w:val="none"/>
          <w:lang w:val="en-GB"/>
        </w:rPr>
        <w:t>1</w:t>
      </w:r>
      <w:r w:rsidR="00045806" w:rsidRPr="00FE3C59">
        <w:rPr>
          <w:rFonts w:ascii="Times New Roman" w:hAnsi="Times New Roman" w:cs="Times New Roman"/>
          <w:sz w:val="24"/>
          <w:szCs w:val="24"/>
          <w:u w:val="none"/>
          <w:lang w:val="en-GB"/>
        </w:rPr>
        <w:tab/>
      </w:r>
      <w:r w:rsidR="00B7130D" w:rsidRPr="00FE3C59">
        <w:rPr>
          <w:rFonts w:ascii="Times New Roman" w:hAnsi="Times New Roman" w:cs="Times New Roman"/>
          <w:sz w:val="24"/>
          <w:szCs w:val="24"/>
          <w:u w:val="none"/>
          <w:lang w:val="en-GB"/>
        </w:rPr>
        <w:t>General remarks</w:t>
      </w:r>
    </w:p>
    <w:p w14:paraId="4EEAD79B" w14:textId="56C097E6" w:rsidR="00E934E8" w:rsidRPr="00FE3C59" w:rsidRDefault="00E934E8" w:rsidP="006E2ED1">
      <w:pPr>
        <w:pStyle w:val="InstructionsText2"/>
        <w:numPr>
          <w:ilvl w:val="0"/>
          <w:numId w:val="57"/>
        </w:numPr>
      </w:pPr>
      <w:r w:rsidRPr="00FE3C59">
        <w:t xml:space="preserve">This group of templates shall be filled in for each offsetting group in accordance with the instructions provided in Part I, section 1.4 of this Annex. </w:t>
      </w:r>
    </w:p>
    <w:p w14:paraId="225E3A3D" w14:textId="77777777" w:rsidR="00E934E8" w:rsidRPr="00FE3C59" w:rsidRDefault="00E934E8" w:rsidP="006E2ED1">
      <w:pPr>
        <w:pStyle w:val="InstructionsText2"/>
        <w:numPr>
          <w:ilvl w:val="0"/>
          <w:numId w:val="57"/>
        </w:numPr>
      </w:pPr>
      <w:r w:rsidRPr="00FE3C59">
        <w:t>Information shall be provided for the different scopes of positions specified in Part II, section 2.1 of this Annex.</w:t>
      </w:r>
    </w:p>
    <w:p w14:paraId="0A09DF27" w14:textId="0D3CEF1E" w:rsidR="00D43916" w:rsidRPr="00FE3C59" w:rsidRDefault="00E934E8" w:rsidP="00CA1AF4">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2112EE" w:rsidRPr="00FE3C59">
        <w:rPr>
          <w:rFonts w:ascii="Times New Roman" w:hAnsi="Times New Roman" w:cs="Times New Roman"/>
          <w:sz w:val="24"/>
          <w:szCs w:val="24"/>
          <w:u w:val="none"/>
          <w:lang w:val="en-GB"/>
        </w:rPr>
        <w:t>5</w:t>
      </w:r>
      <w:r w:rsidRPr="00FE3C59">
        <w:rPr>
          <w:rFonts w:ascii="Times New Roman" w:hAnsi="Times New Roman" w:cs="Times New Roman"/>
          <w:sz w:val="24"/>
          <w:szCs w:val="24"/>
          <w:u w:val="none"/>
          <w:lang w:val="en-GB"/>
        </w:rPr>
        <w:t>.2</w:t>
      </w:r>
      <w:r w:rsidR="00045806" w:rsidRPr="00FE3C59">
        <w:rPr>
          <w:rFonts w:ascii="Times New Roman" w:hAnsi="Times New Roman" w:cs="Times New Roman"/>
          <w:sz w:val="24"/>
          <w:szCs w:val="24"/>
          <w:u w:val="none"/>
          <w:lang w:val="en-GB"/>
        </w:rPr>
        <w:tab/>
      </w:r>
      <w:r w:rsidR="00D43916" w:rsidRPr="00FE3C59">
        <w:rPr>
          <w:rFonts w:ascii="Times New Roman" w:hAnsi="Times New Roman" w:cs="Times New Roman"/>
          <w:sz w:val="24"/>
          <w:szCs w:val="24"/>
          <w:u w:val="none"/>
          <w:lang w:val="en-GB"/>
        </w:rPr>
        <w:t xml:space="preserve">C </w:t>
      </w:r>
      <w:r w:rsidR="00DB1D68" w:rsidRPr="00FE3C59">
        <w:rPr>
          <w:rFonts w:ascii="Times New Roman" w:hAnsi="Times New Roman" w:cs="Times New Roman"/>
          <w:sz w:val="24"/>
          <w:szCs w:val="24"/>
          <w:u w:val="none"/>
          <w:lang w:val="en-GB"/>
        </w:rPr>
        <w:t>94</w:t>
      </w:r>
      <w:r w:rsidR="00D43916" w:rsidRPr="00FE3C59">
        <w:rPr>
          <w:rFonts w:ascii="Times New Roman" w:hAnsi="Times New Roman" w:cs="Times New Roman"/>
          <w:sz w:val="24"/>
          <w:szCs w:val="24"/>
          <w:u w:val="none"/>
          <w:lang w:val="en-GB"/>
        </w:rPr>
        <w:t>.</w:t>
      </w:r>
      <w:r w:rsidR="00DB1D68" w:rsidRPr="00FE3C59">
        <w:rPr>
          <w:rFonts w:ascii="Times New Roman" w:hAnsi="Times New Roman" w:cs="Times New Roman"/>
          <w:sz w:val="24"/>
          <w:szCs w:val="24"/>
          <w:u w:val="none"/>
          <w:lang w:val="en-GB"/>
        </w:rPr>
        <w:t>0</w:t>
      </w:r>
      <w:r w:rsidR="00D43916" w:rsidRPr="00FE3C59">
        <w:rPr>
          <w:rFonts w:ascii="Times New Roman" w:hAnsi="Times New Roman" w:cs="Times New Roman"/>
          <w:sz w:val="24"/>
          <w:szCs w:val="24"/>
          <w:u w:val="none"/>
          <w:lang w:val="en-GB"/>
        </w:rPr>
        <w:t xml:space="preserve">1: </w:t>
      </w:r>
      <w:r w:rsidR="00226FCE" w:rsidRPr="00FE3C59">
        <w:rPr>
          <w:rFonts w:ascii="Times New Roman" w:hAnsi="Times New Roman" w:cs="Times New Roman"/>
          <w:sz w:val="24"/>
          <w:szCs w:val="24"/>
          <w:u w:val="none"/>
          <w:lang w:val="en-GB"/>
        </w:rPr>
        <w:t>D</w:t>
      </w:r>
      <w:r w:rsidR="00D43916" w:rsidRPr="00FE3C59">
        <w:rPr>
          <w:rFonts w:ascii="Times New Roman" w:hAnsi="Times New Roman" w:cs="Times New Roman"/>
          <w:sz w:val="24"/>
          <w:szCs w:val="24"/>
          <w:u w:val="none"/>
          <w:lang w:val="en-GB"/>
        </w:rPr>
        <w:t xml:space="preserve">efault risk charge </w:t>
      </w:r>
      <w:r w:rsidR="00485C29" w:rsidRPr="00FE3C59">
        <w:rPr>
          <w:rFonts w:ascii="Times New Roman" w:hAnsi="Times New Roman" w:cs="Times New Roman"/>
          <w:sz w:val="24"/>
          <w:szCs w:val="24"/>
          <w:u w:val="none"/>
          <w:lang w:val="en-GB"/>
        </w:rPr>
        <w:t>–</w:t>
      </w:r>
      <w:r w:rsidR="00D43916" w:rsidRPr="00FE3C59">
        <w:rPr>
          <w:rFonts w:ascii="Times New Roman" w:hAnsi="Times New Roman" w:cs="Times New Roman"/>
          <w:sz w:val="24"/>
          <w:szCs w:val="24"/>
          <w:u w:val="none"/>
          <w:lang w:val="en-GB"/>
        </w:rPr>
        <w:t xml:space="preserve"> instruments other than securitisations, not included in the </w:t>
      </w:r>
      <w:r w:rsidR="005172A4" w:rsidRPr="00FE3C59">
        <w:rPr>
          <w:rFonts w:ascii="Times New Roman" w:hAnsi="Times New Roman" w:cs="Times New Roman"/>
          <w:sz w:val="24"/>
          <w:szCs w:val="24"/>
          <w:u w:val="none"/>
          <w:lang w:val="en-GB"/>
        </w:rPr>
        <w:t xml:space="preserve">alternative </w:t>
      </w:r>
      <w:r w:rsidR="00D43916" w:rsidRPr="00FE3C59">
        <w:rPr>
          <w:rFonts w:ascii="Times New Roman" w:hAnsi="Times New Roman" w:cs="Times New Roman"/>
          <w:sz w:val="24"/>
          <w:szCs w:val="24"/>
          <w:u w:val="none"/>
          <w:lang w:val="en-GB"/>
        </w:rPr>
        <w:t xml:space="preserve">correlation trading portfolio (MKR </w:t>
      </w:r>
      <w:r w:rsidR="00EA53DC">
        <w:rPr>
          <w:rFonts w:ascii="Times New Roman" w:hAnsi="Times New Roman" w:cs="Times New Roman"/>
          <w:sz w:val="24"/>
          <w:szCs w:val="24"/>
          <w:u w:val="none"/>
          <w:lang w:val="en-GB"/>
        </w:rPr>
        <w:t>A</w:t>
      </w:r>
      <w:r w:rsidR="00D43916" w:rsidRPr="00FE3C59">
        <w:rPr>
          <w:rFonts w:ascii="Times New Roman" w:hAnsi="Times New Roman" w:cs="Times New Roman"/>
          <w:sz w:val="24"/>
          <w:szCs w:val="24"/>
          <w:u w:val="none"/>
          <w:lang w:val="en-GB"/>
        </w:rPr>
        <w:t>SA DRC1</w:t>
      </w:r>
      <w:r w:rsidR="005172A4" w:rsidRPr="00FE3C59">
        <w:rPr>
          <w:rFonts w:ascii="Times New Roman" w:hAnsi="Times New Roman" w:cs="Times New Roman"/>
          <w:sz w:val="24"/>
          <w:szCs w:val="24"/>
          <w:u w:val="none"/>
          <w:lang w:val="en-GB"/>
        </w:rPr>
        <w:t>)</w:t>
      </w:r>
    </w:p>
    <w:p w14:paraId="16FD288F" w14:textId="0C7A9C6E" w:rsidR="00C65F1F" w:rsidRPr="00FE3C59" w:rsidRDefault="004F7DA1"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2112EE" w:rsidRPr="00FE3C59">
        <w:rPr>
          <w:rFonts w:ascii="Times New Roman" w:hAnsi="Times New Roman" w:cs="Times New Roman"/>
          <w:sz w:val="24"/>
          <w:szCs w:val="24"/>
          <w:u w:val="none"/>
          <w:lang w:val="en-GB"/>
        </w:rPr>
        <w:t>5</w:t>
      </w:r>
      <w:r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2</w:t>
      </w:r>
      <w:r w:rsidRPr="00FE3C59">
        <w:rPr>
          <w:rFonts w:ascii="Times New Roman" w:hAnsi="Times New Roman" w:cs="Times New Roman"/>
          <w:sz w:val="24"/>
          <w:szCs w:val="24"/>
          <w:u w:val="none"/>
          <w:lang w:val="en-GB"/>
        </w:rPr>
        <w:t>.</w:t>
      </w:r>
      <w:r w:rsidR="00C65F1F" w:rsidRPr="00FE3C59">
        <w:rPr>
          <w:rFonts w:ascii="Times New Roman" w:hAnsi="Times New Roman" w:cs="Times New Roman"/>
          <w:sz w:val="24"/>
          <w:szCs w:val="24"/>
          <w:u w:val="none"/>
          <w:lang w:val="en-GB"/>
        </w:rPr>
        <w:t>1</w:t>
      </w:r>
      <w:r w:rsidR="00C65F1F"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General remarks</w:t>
      </w:r>
    </w:p>
    <w:p w14:paraId="2A53675F" w14:textId="1F8BA920" w:rsidR="00D572C7" w:rsidRPr="00FE3C59" w:rsidRDefault="00D37417" w:rsidP="006E2ED1">
      <w:pPr>
        <w:pStyle w:val="InstructionsText2"/>
        <w:numPr>
          <w:ilvl w:val="0"/>
          <w:numId w:val="57"/>
        </w:numPr>
      </w:pPr>
      <w:r w:rsidRPr="00FE3C59">
        <w:t>T</w:t>
      </w:r>
      <w:r w:rsidR="001C5743" w:rsidRPr="00FE3C59">
        <w:t>his template shall be</w:t>
      </w:r>
      <w:r w:rsidRPr="00FE3C59">
        <w:t xml:space="preserve"> used to</w:t>
      </w:r>
      <w:r w:rsidR="001C5743" w:rsidRPr="00FE3C59">
        <w:t xml:space="preserve"> report </w:t>
      </w:r>
      <w:r w:rsidR="00F83B88" w:rsidRPr="00FE3C59">
        <w:t>information on</w:t>
      </w:r>
      <w:r w:rsidR="001C5743" w:rsidRPr="00FE3C59">
        <w:t xml:space="preserve"> exposures</w:t>
      </w:r>
      <w:r w:rsidR="00EF5117" w:rsidRPr="00FE3C59">
        <w:t xml:space="preserve"> </w:t>
      </w:r>
      <w:r w:rsidR="00F83B88" w:rsidRPr="00FE3C59">
        <w:t>subject to the</w:t>
      </w:r>
      <w:r w:rsidR="00EF5117" w:rsidRPr="00FE3C59">
        <w:t xml:space="preserve"> own funds requirements for the default risk for non</w:t>
      </w:r>
      <w:r w:rsidR="00E572AF" w:rsidRPr="00FE3C59">
        <w:t>-</w:t>
      </w:r>
      <w:r w:rsidR="00EF5117" w:rsidRPr="00FE3C59">
        <w:t>securitisations</w:t>
      </w:r>
      <w:r w:rsidR="00E572AF" w:rsidRPr="00FE3C59">
        <w:t xml:space="preserve"> (</w:t>
      </w:r>
      <w:r w:rsidR="002A12B0" w:rsidRPr="00FE3C59">
        <w:t>Article</w:t>
      </w:r>
      <w:r w:rsidR="00F83B88" w:rsidRPr="00FE3C59">
        <w:t>s</w:t>
      </w:r>
      <w:r w:rsidR="002A12B0" w:rsidRPr="00FE3C59">
        <w:t xml:space="preserve"> 325w to 325y of Regulation (EU) No 575/2013).</w:t>
      </w:r>
    </w:p>
    <w:p w14:paraId="269D129D" w14:textId="7EFCCB09" w:rsidR="00B64F28" w:rsidRPr="00FE3C59" w:rsidRDefault="00B64F28" w:rsidP="00A62D55">
      <w:pPr>
        <w:pStyle w:val="Instructionsberschrift2"/>
        <w:numPr>
          <w:ilvl w:val="0"/>
          <w:numId w:val="0"/>
        </w:numPr>
        <w:rPr>
          <w:rFonts w:ascii="Times New Roman" w:hAnsi="Times New Roman" w:cs="Times New Roman"/>
          <w:lang w:val="en-GB"/>
        </w:rPr>
      </w:pPr>
      <w:r w:rsidRPr="00FE3C59">
        <w:rPr>
          <w:rFonts w:ascii="Times New Roman" w:hAnsi="Times New Roman" w:cs="Times New Roman"/>
          <w:sz w:val="24"/>
          <w:szCs w:val="24"/>
          <w:u w:val="none"/>
          <w:lang w:val="en-GB"/>
        </w:rPr>
        <w:t>2.</w:t>
      </w:r>
      <w:r w:rsidR="002112EE" w:rsidRPr="00FE3C59">
        <w:rPr>
          <w:rFonts w:ascii="Times New Roman" w:hAnsi="Times New Roman" w:cs="Times New Roman"/>
          <w:sz w:val="24"/>
          <w:szCs w:val="24"/>
          <w:u w:val="none"/>
          <w:lang w:val="en-GB"/>
        </w:rPr>
        <w:t>5</w:t>
      </w:r>
      <w:r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2</w:t>
      </w:r>
      <w:r w:rsidRPr="00FE3C59">
        <w:rPr>
          <w:rFonts w:ascii="Times New Roman" w:hAnsi="Times New Roman" w:cs="Times New Roman"/>
          <w:sz w:val="24"/>
          <w:szCs w:val="24"/>
          <w:u w:val="none"/>
          <w:lang w:val="en-GB"/>
        </w:rPr>
        <w:t>.2</w:t>
      </w:r>
      <w:r w:rsidRPr="00FE3C59">
        <w:rPr>
          <w:rFonts w:ascii="Times New Roman" w:hAnsi="Times New Roman" w:cs="Times New Roman"/>
          <w:lang w:val="en-GB"/>
        </w:rPr>
        <w:tab/>
      </w:r>
      <w:r w:rsidRPr="00FE3C59">
        <w:rPr>
          <w:rFonts w:ascii="Times New Roman" w:hAnsi="Times New Roman" w:cs="Times New Roman"/>
          <w:sz w:val="24"/>
          <w:szCs w:val="24"/>
          <w:u w:val="none"/>
          <w:lang w:val="en-GB"/>
        </w:rPr>
        <w:t>Instructions concerning specific positions</w:t>
      </w:r>
    </w:p>
    <w:tbl>
      <w:tblPr>
        <w:tblStyle w:val="TableGrid"/>
        <w:tblW w:w="0" w:type="auto"/>
        <w:tblLook w:val="04A0" w:firstRow="1" w:lastRow="0" w:firstColumn="1" w:lastColumn="0" w:noHBand="0" w:noVBand="1"/>
      </w:tblPr>
      <w:tblGrid>
        <w:gridCol w:w="1043"/>
        <w:gridCol w:w="7973"/>
      </w:tblGrid>
      <w:tr w:rsidR="00C65F1F" w:rsidRPr="00FE3C59" w14:paraId="4FBFBDBB" w14:textId="77777777" w:rsidTr="005F1AA1">
        <w:tc>
          <w:tcPr>
            <w:tcW w:w="1043" w:type="dxa"/>
            <w:shd w:val="clear" w:color="auto" w:fill="BFBFBF" w:themeFill="background1" w:themeFillShade="BF"/>
          </w:tcPr>
          <w:p w14:paraId="6429D5B3"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33F8180F"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C65F1F" w:rsidRPr="00FE3C59" w14:paraId="65675ECD" w14:textId="77777777" w:rsidTr="005F1AA1">
        <w:tc>
          <w:tcPr>
            <w:tcW w:w="1043" w:type="dxa"/>
          </w:tcPr>
          <w:p w14:paraId="09DE9750" w14:textId="5E522B70" w:rsidR="00C65F1F" w:rsidRPr="00FE3C59" w:rsidRDefault="00C65F1F"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r w:rsidR="001B6895" w:rsidRPr="00FE3C59">
              <w:rPr>
                <w:rFonts w:ascii="Times New Roman" w:hAnsi="Times New Roman" w:cs="Times New Roman"/>
                <w:lang w:val="en-GB"/>
              </w:rPr>
              <w:t>-</w:t>
            </w:r>
            <w:r w:rsidR="00150E18" w:rsidRPr="00FE3C59">
              <w:rPr>
                <w:rFonts w:ascii="Times New Roman" w:hAnsi="Times New Roman" w:cs="Times New Roman"/>
                <w:lang w:val="en-GB"/>
              </w:rPr>
              <w:t xml:space="preserve"> 0020</w:t>
            </w:r>
          </w:p>
        </w:tc>
        <w:tc>
          <w:tcPr>
            <w:tcW w:w="7973" w:type="dxa"/>
          </w:tcPr>
          <w:p w14:paraId="5CDC07C3" w14:textId="77777777" w:rsidR="00025F83" w:rsidRPr="00FE3C59" w:rsidRDefault="00885165" w:rsidP="00025F83">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Gross JTD amount</w:t>
            </w:r>
            <w:r w:rsidR="00025F83" w:rsidRPr="00FE3C59">
              <w:rPr>
                <w:rFonts w:ascii="Times New Roman" w:hAnsi="Times New Roman" w:cs="Times New Roman"/>
                <w:b/>
                <w:u w:val="single"/>
                <w:lang w:val="en-GB"/>
              </w:rPr>
              <w:t>s</w:t>
            </w:r>
          </w:p>
          <w:p w14:paraId="5B9E5D1F" w14:textId="346A96B2" w:rsidR="00C65F1F" w:rsidRPr="00FE3C59" w:rsidRDefault="00136F19" w:rsidP="002555E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325w of Regulation (EU) No 575/2013</w:t>
            </w:r>
            <w:r w:rsidR="00BB2A24" w:rsidRPr="00FE3C59">
              <w:rPr>
                <w:rFonts w:ascii="Times New Roman" w:hAnsi="Times New Roman" w:cs="Times New Roman"/>
                <w:lang w:val="en-GB"/>
              </w:rPr>
              <w:t>.</w:t>
            </w:r>
            <w:r w:rsidR="00F64ED0" w:rsidRPr="00FE3C59">
              <w:rPr>
                <w:rFonts w:ascii="Times New Roman" w:hAnsi="Times New Roman" w:cs="Times New Roman"/>
                <w:lang w:val="en-GB"/>
              </w:rPr>
              <w:t xml:space="preserve"> </w:t>
            </w:r>
          </w:p>
        </w:tc>
      </w:tr>
      <w:tr w:rsidR="00885165" w:rsidRPr="00FE3C59" w14:paraId="3BB797E6" w14:textId="77777777" w:rsidTr="005F1AA1">
        <w:tc>
          <w:tcPr>
            <w:tcW w:w="1043" w:type="dxa"/>
          </w:tcPr>
          <w:p w14:paraId="01B25970" w14:textId="6D41A8DD" w:rsidR="00885165" w:rsidRPr="00FE3C59" w:rsidRDefault="00885165"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00</w:t>
            </w:r>
            <w:r w:rsidR="00146C4C" w:rsidRPr="00FE3C59">
              <w:rPr>
                <w:rFonts w:ascii="Times New Roman" w:hAnsi="Times New Roman" w:cs="Times New Roman"/>
                <w:lang w:val="en-GB"/>
              </w:rPr>
              <w:t>1</w:t>
            </w:r>
            <w:r w:rsidRPr="00FE3C59">
              <w:rPr>
                <w:rFonts w:ascii="Times New Roman" w:hAnsi="Times New Roman" w:cs="Times New Roman"/>
                <w:lang w:val="en-GB"/>
              </w:rPr>
              <w:t>0</w:t>
            </w:r>
          </w:p>
        </w:tc>
        <w:tc>
          <w:tcPr>
            <w:tcW w:w="7973" w:type="dxa"/>
          </w:tcPr>
          <w:p w14:paraId="321DC912" w14:textId="554C02DD" w:rsidR="00885165" w:rsidRPr="00FE3C59" w:rsidRDefault="00146C4C"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Long</w:t>
            </w:r>
          </w:p>
        </w:tc>
      </w:tr>
      <w:tr w:rsidR="00885165" w:rsidRPr="00FE3C59" w14:paraId="1BACD01A" w14:textId="77777777" w:rsidTr="005F1AA1">
        <w:tc>
          <w:tcPr>
            <w:tcW w:w="1043" w:type="dxa"/>
          </w:tcPr>
          <w:p w14:paraId="0B5D643A" w14:textId="0409AF79" w:rsidR="00885165" w:rsidRPr="00FE3C59" w:rsidRDefault="00146C4C"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18DAC463" w14:textId="401B02CA" w:rsidR="00885165" w:rsidRPr="00FE3C59" w:rsidRDefault="00146C4C"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Short</w:t>
            </w:r>
          </w:p>
        </w:tc>
      </w:tr>
      <w:tr w:rsidR="00885165" w:rsidRPr="00FE3C59" w14:paraId="17BEDFAF" w14:textId="77777777" w:rsidTr="005F1AA1">
        <w:tc>
          <w:tcPr>
            <w:tcW w:w="1043" w:type="dxa"/>
          </w:tcPr>
          <w:p w14:paraId="0456CF3C" w14:textId="74C1C634" w:rsidR="00885165" w:rsidRPr="00FE3C59" w:rsidRDefault="00BB5D78"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0030-02</w:t>
            </w:r>
            <w:r w:rsidR="0060262F" w:rsidRPr="00FE3C59">
              <w:rPr>
                <w:rFonts w:ascii="Times New Roman" w:hAnsi="Times New Roman" w:cs="Times New Roman"/>
                <w:lang w:val="en-GB"/>
              </w:rPr>
              <w:t>2</w:t>
            </w:r>
            <w:r w:rsidRPr="00FE3C59">
              <w:rPr>
                <w:rFonts w:ascii="Times New Roman" w:hAnsi="Times New Roman" w:cs="Times New Roman"/>
                <w:lang w:val="en-GB"/>
              </w:rPr>
              <w:t>0</w:t>
            </w:r>
          </w:p>
        </w:tc>
        <w:tc>
          <w:tcPr>
            <w:tcW w:w="7973" w:type="dxa"/>
          </w:tcPr>
          <w:p w14:paraId="76BC5A05" w14:textId="2B84FDB9" w:rsidR="00885165" w:rsidRPr="00FE3C59" w:rsidRDefault="00BB5D78"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Net JTD amounts </w:t>
            </w:r>
            <w:r w:rsidR="000F6BE5" w:rsidRPr="00FE3C59">
              <w:rPr>
                <w:rFonts w:ascii="Times New Roman" w:hAnsi="Times New Roman" w:cs="Times New Roman"/>
                <w:b/>
                <w:u w:val="single"/>
                <w:lang w:val="en-GB"/>
              </w:rPr>
              <w:t>(not risk</w:t>
            </w:r>
            <w:r w:rsidR="001F501A" w:rsidRPr="00FE3C59">
              <w:rPr>
                <w:rFonts w:ascii="Times New Roman" w:hAnsi="Times New Roman" w:cs="Times New Roman"/>
                <w:b/>
                <w:u w:val="single"/>
                <w:lang w:val="en-GB"/>
              </w:rPr>
              <w:t>-</w:t>
            </w:r>
            <w:r w:rsidR="000F6BE5" w:rsidRPr="00FE3C59">
              <w:rPr>
                <w:rFonts w:ascii="Times New Roman" w:hAnsi="Times New Roman" w:cs="Times New Roman"/>
                <w:b/>
                <w:u w:val="single"/>
                <w:lang w:val="en-GB"/>
              </w:rPr>
              <w:t>weighted)</w:t>
            </w:r>
          </w:p>
          <w:p w14:paraId="43E5B794" w14:textId="6EEC3572" w:rsidR="00CB2030" w:rsidRPr="00FE3C59" w:rsidRDefault="00CB2030" w:rsidP="00CB2030">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325x of Regulation (EU) No 575/2013</w:t>
            </w:r>
          </w:p>
          <w:p w14:paraId="1158D3B7" w14:textId="78B2D06C" w:rsidR="00885165" w:rsidRPr="00FE3C59" w:rsidRDefault="000F6BE5"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Net JTD amounts</w:t>
            </w:r>
            <w:r w:rsidR="001F501A" w:rsidRPr="00FE3C59">
              <w:rPr>
                <w:rFonts w:ascii="Times New Roman" w:hAnsi="Times New Roman" w:cs="Times New Roman"/>
                <w:lang w:val="en-GB"/>
              </w:rPr>
              <w:t xml:space="preserve"> calculated in accordance with </w:t>
            </w:r>
            <w:r w:rsidR="005F089F" w:rsidRPr="00FE3C59">
              <w:rPr>
                <w:rFonts w:ascii="Times New Roman" w:hAnsi="Times New Roman" w:cs="Times New Roman"/>
                <w:lang w:val="en-GB"/>
              </w:rPr>
              <w:t>Article 325x of Regulation (EU) No 575/2013</w:t>
            </w:r>
            <w:r w:rsidR="00045E01" w:rsidRPr="00FE3C59">
              <w:rPr>
                <w:rFonts w:ascii="Times New Roman" w:hAnsi="Times New Roman" w:cs="Times New Roman"/>
                <w:lang w:val="en-GB"/>
              </w:rPr>
              <w:t xml:space="preserve"> shall be reported</w:t>
            </w:r>
            <w:r w:rsidR="005F089F" w:rsidRPr="00FE3C59">
              <w:rPr>
                <w:rFonts w:ascii="Times New Roman" w:hAnsi="Times New Roman" w:cs="Times New Roman"/>
                <w:lang w:val="en-GB"/>
              </w:rPr>
              <w:t xml:space="preserve">. </w:t>
            </w:r>
            <w:r w:rsidR="005A700C" w:rsidRPr="00FE3C59">
              <w:rPr>
                <w:rFonts w:ascii="Times New Roman" w:hAnsi="Times New Roman" w:cs="Times New Roman"/>
                <w:lang w:val="en-GB"/>
              </w:rPr>
              <w:t>They shall be broken down betwee</w:t>
            </w:r>
            <w:r w:rsidR="00752004" w:rsidRPr="00FE3C59">
              <w:rPr>
                <w:rFonts w:ascii="Times New Roman" w:hAnsi="Times New Roman" w:cs="Times New Roman"/>
                <w:lang w:val="en-GB"/>
              </w:rPr>
              <w:t xml:space="preserve">n net </w:t>
            </w:r>
            <w:r w:rsidR="009F217A" w:rsidRPr="00FE3C59">
              <w:rPr>
                <w:rFonts w:ascii="Times New Roman" w:hAnsi="Times New Roman" w:cs="Times New Roman"/>
                <w:lang w:val="en-GB"/>
              </w:rPr>
              <w:t xml:space="preserve">long </w:t>
            </w:r>
            <w:r w:rsidR="00752004" w:rsidRPr="00FE3C59">
              <w:rPr>
                <w:rFonts w:ascii="Times New Roman" w:hAnsi="Times New Roman" w:cs="Times New Roman"/>
                <w:lang w:val="en-GB"/>
              </w:rPr>
              <w:t xml:space="preserve">JTD amounts and net </w:t>
            </w:r>
            <w:r w:rsidR="009F217A" w:rsidRPr="00FE3C59">
              <w:rPr>
                <w:rFonts w:ascii="Times New Roman" w:hAnsi="Times New Roman" w:cs="Times New Roman"/>
                <w:lang w:val="en-GB"/>
              </w:rPr>
              <w:t xml:space="preserve">short </w:t>
            </w:r>
            <w:r w:rsidR="00752004" w:rsidRPr="00FE3C59">
              <w:rPr>
                <w:rFonts w:ascii="Times New Roman" w:hAnsi="Times New Roman" w:cs="Times New Roman"/>
                <w:lang w:val="en-GB"/>
              </w:rPr>
              <w:t>JTD amounts</w:t>
            </w:r>
            <w:r w:rsidR="00D57412" w:rsidRPr="00FE3C59">
              <w:rPr>
                <w:rFonts w:ascii="Times New Roman" w:hAnsi="Times New Roman" w:cs="Times New Roman"/>
                <w:lang w:val="en-GB"/>
              </w:rPr>
              <w:t xml:space="preserve">, </w:t>
            </w:r>
            <w:r w:rsidR="005728A5" w:rsidRPr="00FE3C59">
              <w:rPr>
                <w:rFonts w:ascii="Times New Roman" w:hAnsi="Times New Roman" w:cs="Times New Roman"/>
                <w:lang w:val="en-GB"/>
              </w:rPr>
              <w:t>and</w:t>
            </w:r>
            <w:r w:rsidR="00D57412" w:rsidRPr="00FE3C59">
              <w:rPr>
                <w:rFonts w:ascii="Times New Roman" w:hAnsi="Times New Roman" w:cs="Times New Roman"/>
                <w:lang w:val="en-GB"/>
              </w:rPr>
              <w:t xml:space="preserve"> they shall</w:t>
            </w:r>
            <w:r w:rsidR="005728A5" w:rsidRPr="00FE3C59">
              <w:rPr>
                <w:rFonts w:ascii="Times New Roman" w:hAnsi="Times New Roman" w:cs="Times New Roman"/>
                <w:lang w:val="en-GB"/>
              </w:rPr>
              <w:t xml:space="preserve"> </w:t>
            </w:r>
            <w:r w:rsidR="006F020C" w:rsidRPr="00FE3C59">
              <w:rPr>
                <w:rFonts w:ascii="Times New Roman" w:hAnsi="Times New Roman" w:cs="Times New Roman"/>
                <w:lang w:val="en-GB"/>
              </w:rPr>
              <w:t xml:space="preserve">be </w:t>
            </w:r>
            <w:r w:rsidR="00EE52BD" w:rsidRPr="00FE3C59">
              <w:rPr>
                <w:rFonts w:ascii="Times New Roman" w:hAnsi="Times New Roman" w:cs="Times New Roman"/>
                <w:lang w:val="en-GB"/>
              </w:rPr>
              <w:t xml:space="preserve">allocated </w:t>
            </w:r>
            <w:r w:rsidR="0071675F" w:rsidRPr="00FE3C59">
              <w:rPr>
                <w:rFonts w:ascii="Times New Roman" w:hAnsi="Times New Roman" w:cs="Times New Roman"/>
                <w:lang w:val="en-GB"/>
              </w:rPr>
              <w:t xml:space="preserve">to </w:t>
            </w:r>
            <w:r w:rsidR="006F020C" w:rsidRPr="00FE3C59">
              <w:rPr>
                <w:rFonts w:ascii="Times New Roman" w:hAnsi="Times New Roman" w:cs="Times New Roman"/>
                <w:lang w:val="en-GB"/>
              </w:rPr>
              <w:t xml:space="preserve">the </w:t>
            </w:r>
            <w:r w:rsidR="00045E01" w:rsidRPr="00FE3C59">
              <w:rPr>
                <w:rFonts w:ascii="Times New Roman" w:hAnsi="Times New Roman" w:cs="Times New Roman"/>
                <w:lang w:val="en-GB"/>
              </w:rPr>
              <w:t xml:space="preserve">column corresponding to </w:t>
            </w:r>
            <w:r w:rsidR="0071675F" w:rsidRPr="00FE3C59">
              <w:rPr>
                <w:rFonts w:ascii="Times New Roman" w:hAnsi="Times New Roman" w:cs="Times New Roman"/>
                <w:lang w:val="en-GB"/>
              </w:rPr>
              <w:t xml:space="preserve">the credit quality </w:t>
            </w:r>
            <w:r w:rsidR="00045E01" w:rsidRPr="00FE3C59">
              <w:rPr>
                <w:rFonts w:ascii="Times New Roman" w:hAnsi="Times New Roman" w:cs="Times New Roman"/>
                <w:lang w:val="en-GB"/>
              </w:rPr>
              <w:t>step</w:t>
            </w:r>
            <w:r w:rsidR="00CC5542" w:rsidRPr="00FE3C59">
              <w:rPr>
                <w:rFonts w:ascii="Times New Roman" w:hAnsi="Times New Roman" w:cs="Times New Roman"/>
                <w:lang w:val="en-GB"/>
              </w:rPr>
              <w:t xml:space="preserve"> </w:t>
            </w:r>
            <w:r w:rsidR="0071675F" w:rsidRPr="00FE3C59">
              <w:rPr>
                <w:rFonts w:ascii="Times New Roman" w:hAnsi="Times New Roman" w:cs="Times New Roman"/>
                <w:lang w:val="en-GB"/>
              </w:rPr>
              <w:t>which they</w:t>
            </w:r>
            <w:r w:rsidR="0095186D" w:rsidRPr="00FE3C59">
              <w:rPr>
                <w:rFonts w:ascii="Times New Roman" w:hAnsi="Times New Roman" w:cs="Times New Roman"/>
                <w:lang w:val="en-GB"/>
              </w:rPr>
              <w:t xml:space="preserve"> are mapped </w:t>
            </w:r>
            <w:r w:rsidR="001E083E" w:rsidRPr="00FE3C59">
              <w:rPr>
                <w:rFonts w:ascii="Times New Roman" w:hAnsi="Times New Roman" w:cs="Times New Roman"/>
                <w:lang w:val="en-GB"/>
              </w:rPr>
              <w:t>to</w:t>
            </w:r>
            <w:r w:rsidR="0095186D" w:rsidRPr="00FE3C59">
              <w:rPr>
                <w:rFonts w:ascii="Times New Roman" w:hAnsi="Times New Roman" w:cs="Times New Roman"/>
                <w:lang w:val="en-GB"/>
              </w:rPr>
              <w:t xml:space="preserve"> in accordance with Article 325</w:t>
            </w:r>
            <w:r w:rsidR="00291320" w:rsidRPr="00FE3C59">
              <w:rPr>
                <w:rFonts w:ascii="Times New Roman" w:hAnsi="Times New Roman" w:cs="Times New Roman"/>
                <w:lang w:val="en-GB"/>
              </w:rPr>
              <w:t>y of Regulation (EU) No 575/2013</w:t>
            </w:r>
            <w:r w:rsidR="00BC54D6" w:rsidRPr="00FE3C59">
              <w:rPr>
                <w:rFonts w:ascii="Times New Roman" w:hAnsi="Times New Roman" w:cs="Times New Roman"/>
                <w:lang w:val="en-GB"/>
              </w:rPr>
              <w:t>.</w:t>
            </w:r>
            <w:r w:rsidR="00BE3CE8" w:rsidRPr="00FE3C59">
              <w:rPr>
                <w:rFonts w:ascii="Times New Roman" w:hAnsi="Times New Roman" w:cs="Times New Roman"/>
                <w:lang w:val="en-GB"/>
              </w:rPr>
              <w:t xml:space="preserve"> The amounts reported shall be the net JTD amounts before the application of any risk weights.</w:t>
            </w:r>
          </w:p>
        </w:tc>
      </w:tr>
      <w:tr w:rsidR="00885165" w:rsidRPr="00FE3C59" w14:paraId="5459C675" w14:textId="77777777" w:rsidTr="005F1AA1">
        <w:tc>
          <w:tcPr>
            <w:tcW w:w="1043" w:type="dxa"/>
          </w:tcPr>
          <w:p w14:paraId="17038731" w14:textId="68E0C0C1" w:rsidR="00885165" w:rsidRPr="00FE3C59" w:rsidRDefault="002C62E4"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0030-0</w:t>
            </w:r>
            <w:r w:rsidR="0014065C" w:rsidRPr="00FE3C59">
              <w:rPr>
                <w:rFonts w:ascii="Times New Roman" w:hAnsi="Times New Roman" w:cs="Times New Roman"/>
                <w:lang w:val="en-GB"/>
              </w:rPr>
              <w:t>1</w:t>
            </w:r>
            <w:r w:rsidR="0060262F" w:rsidRPr="00FE3C59">
              <w:rPr>
                <w:rFonts w:ascii="Times New Roman" w:hAnsi="Times New Roman" w:cs="Times New Roman"/>
                <w:lang w:val="en-GB"/>
              </w:rPr>
              <w:t>2</w:t>
            </w:r>
            <w:r w:rsidRPr="00FE3C59">
              <w:rPr>
                <w:rFonts w:ascii="Times New Roman" w:hAnsi="Times New Roman" w:cs="Times New Roman"/>
                <w:lang w:val="en-GB"/>
              </w:rPr>
              <w:t>0</w:t>
            </w:r>
          </w:p>
        </w:tc>
        <w:tc>
          <w:tcPr>
            <w:tcW w:w="7973" w:type="dxa"/>
          </w:tcPr>
          <w:p w14:paraId="7D663059" w14:textId="4202F94C" w:rsidR="00885165" w:rsidRPr="00FE3C59" w:rsidRDefault="00924F9F" w:rsidP="00885165">
            <w:pPr>
              <w:pStyle w:val="BodyText"/>
              <w:spacing w:before="120" w:after="120"/>
              <w:rPr>
                <w:rFonts w:ascii="Times New Roman" w:hAnsi="Times New Roman" w:cs="Times New Roman"/>
                <w:u w:val="single"/>
                <w:lang w:val="en-GB"/>
              </w:rPr>
            </w:pPr>
            <w:r w:rsidRPr="00FE3C59">
              <w:rPr>
                <w:rFonts w:ascii="Times New Roman" w:hAnsi="Times New Roman" w:cs="Times New Roman"/>
                <w:b/>
                <w:u w:val="single"/>
                <w:lang w:val="en-GB"/>
              </w:rPr>
              <w:t>Net JTD</w:t>
            </w:r>
            <w:r w:rsidR="00173E72" w:rsidRPr="00FE3C59">
              <w:rPr>
                <w:rFonts w:ascii="Times New Roman" w:hAnsi="Times New Roman" w:cs="Times New Roman"/>
                <w:b/>
                <w:u w:val="single"/>
                <w:vertAlign w:val="subscript"/>
                <w:lang w:val="en-GB"/>
              </w:rPr>
              <w:t>long</w:t>
            </w:r>
            <w:r w:rsidR="00173E72"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amounts (not risk-weighted)</w:t>
            </w:r>
          </w:p>
        </w:tc>
      </w:tr>
      <w:tr w:rsidR="00885165" w:rsidRPr="00FE3C59" w14:paraId="509340D9" w14:textId="77777777" w:rsidTr="005F1AA1">
        <w:tc>
          <w:tcPr>
            <w:tcW w:w="1043" w:type="dxa"/>
          </w:tcPr>
          <w:p w14:paraId="28569CB1" w14:textId="33B8A8F8" w:rsidR="00885165" w:rsidRPr="00FE3C59" w:rsidRDefault="008C3C1A"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6278BE" w:rsidRPr="00FE3C59">
              <w:rPr>
                <w:rFonts w:ascii="Times New Roman" w:hAnsi="Times New Roman" w:cs="Times New Roman"/>
                <w:lang w:val="en-GB"/>
              </w:rPr>
              <w:t>1</w:t>
            </w:r>
            <w:r w:rsidR="0060262F" w:rsidRPr="00FE3C59">
              <w:rPr>
                <w:rFonts w:ascii="Times New Roman" w:hAnsi="Times New Roman" w:cs="Times New Roman"/>
                <w:lang w:val="en-GB"/>
              </w:rPr>
              <w:t>3</w:t>
            </w:r>
            <w:r w:rsidRPr="00FE3C59">
              <w:rPr>
                <w:rFonts w:ascii="Times New Roman" w:hAnsi="Times New Roman" w:cs="Times New Roman"/>
                <w:lang w:val="en-GB"/>
              </w:rPr>
              <w:t>0-0</w:t>
            </w:r>
            <w:r w:rsidR="006278BE" w:rsidRPr="00FE3C59">
              <w:rPr>
                <w:rFonts w:ascii="Times New Roman" w:hAnsi="Times New Roman" w:cs="Times New Roman"/>
                <w:lang w:val="en-GB"/>
              </w:rPr>
              <w:t>2</w:t>
            </w:r>
            <w:r w:rsidR="0060262F" w:rsidRPr="00FE3C59">
              <w:rPr>
                <w:rFonts w:ascii="Times New Roman" w:hAnsi="Times New Roman" w:cs="Times New Roman"/>
                <w:lang w:val="en-GB"/>
              </w:rPr>
              <w:t>2</w:t>
            </w:r>
            <w:r w:rsidRPr="00FE3C59">
              <w:rPr>
                <w:rFonts w:ascii="Times New Roman" w:hAnsi="Times New Roman" w:cs="Times New Roman"/>
                <w:lang w:val="en-GB"/>
              </w:rPr>
              <w:t>0</w:t>
            </w:r>
          </w:p>
        </w:tc>
        <w:tc>
          <w:tcPr>
            <w:tcW w:w="7973" w:type="dxa"/>
          </w:tcPr>
          <w:p w14:paraId="1DC603FA" w14:textId="2ED225F6" w:rsidR="00885165" w:rsidRPr="00FE3C59" w:rsidRDefault="006278BE"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 JTD</w:t>
            </w:r>
            <w:r w:rsidR="00173E72" w:rsidRPr="00FE3C59">
              <w:rPr>
                <w:rFonts w:ascii="Times New Roman" w:hAnsi="Times New Roman" w:cs="Times New Roman"/>
                <w:b/>
                <w:u w:val="single"/>
                <w:vertAlign w:val="subscript"/>
                <w:lang w:val="en-GB"/>
              </w:rPr>
              <w:t>short</w:t>
            </w:r>
            <w:r w:rsidR="00173E72"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amounts (not risk-weighted)</w:t>
            </w:r>
          </w:p>
        </w:tc>
      </w:tr>
      <w:tr w:rsidR="00885165" w:rsidRPr="00FE3C59" w14:paraId="756008FA" w14:textId="77777777" w:rsidTr="005F1AA1">
        <w:tc>
          <w:tcPr>
            <w:tcW w:w="1043" w:type="dxa"/>
          </w:tcPr>
          <w:p w14:paraId="684CB239" w14:textId="6ED30F7C" w:rsidR="00885165" w:rsidRPr="00FE3C59" w:rsidRDefault="00281B35"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552C76" w:rsidRPr="00FE3C59">
              <w:rPr>
                <w:rFonts w:ascii="Times New Roman" w:hAnsi="Times New Roman" w:cs="Times New Roman"/>
                <w:lang w:val="en-GB"/>
              </w:rPr>
              <w:t>2</w:t>
            </w:r>
            <w:r w:rsidR="000B0196" w:rsidRPr="00FE3C59">
              <w:rPr>
                <w:rFonts w:ascii="Times New Roman" w:hAnsi="Times New Roman" w:cs="Times New Roman"/>
                <w:lang w:val="en-GB"/>
              </w:rPr>
              <w:t>3</w:t>
            </w:r>
            <w:r w:rsidR="00552C76" w:rsidRPr="00FE3C59">
              <w:rPr>
                <w:rFonts w:ascii="Times New Roman" w:hAnsi="Times New Roman" w:cs="Times New Roman"/>
                <w:lang w:val="en-GB"/>
              </w:rPr>
              <w:t>0</w:t>
            </w:r>
          </w:p>
        </w:tc>
        <w:tc>
          <w:tcPr>
            <w:tcW w:w="7973" w:type="dxa"/>
          </w:tcPr>
          <w:p w14:paraId="0B758A6D" w14:textId="4DEC8DCA" w:rsidR="00885165" w:rsidRPr="00FE3C59" w:rsidRDefault="007D5A15"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Weighted to Short ratio</w:t>
            </w:r>
            <w:r w:rsidR="000A32E3" w:rsidRPr="00FE3C59">
              <w:rPr>
                <w:rFonts w:ascii="Times New Roman" w:hAnsi="Times New Roman" w:cs="Times New Roman"/>
                <w:b/>
                <w:u w:val="single"/>
                <w:lang w:val="en-GB"/>
              </w:rPr>
              <w:t xml:space="preserve"> (WtS)</w:t>
            </w:r>
          </w:p>
          <w:p w14:paraId="615E2FE3" w14:textId="1B156453" w:rsidR="00885165" w:rsidRPr="00FE3C59" w:rsidRDefault="00B6741A"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325y(4) of Regulation (EU) No 575/2013.</w:t>
            </w:r>
          </w:p>
        </w:tc>
      </w:tr>
      <w:tr w:rsidR="00885165" w:rsidRPr="00FE3C59" w14:paraId="168E4359" w14:textId="77777777" w:rsidTr="005F1AA1">
        <w:tc>
          <w:tcPr>
            <w:tcW w:w="1043" w:type="dxa"/>
          </w:tcPr>
          <w:p w14:paraId="1DAD4F03" w14:textId="32060328" w:rsidR="00885165" w:rsidRPr="00FE3C59" w:rsidRDefault="00EB4183"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02</w:t>
            </w:r>
            <w:r w:rsidR="000B0196" w:rsidRPr="00FE3C59">
              <w:rPr>
                <w:rFonts w:ascii="Times New Roman" w:hAnsi="Times New Roman" w:cs="Times New Roman"/>
                <w:lang w:val="en-GB"/>
              </w:rPr>
              <w:t>4</w:t>
            </w:r>
            <w:r w:rsidRPr="00FE3C59">
              <w:rPr>
                <w:rFonts w:ascii="Times New Roman" w:hAnsi="Times New Roman" w:cs="Times New Roman"/>
                <w:lang w:val="en-GB"/>
              </w:rPr>
              <w:t>0</w:t>
            </w:r>
          </w:p>
        </w:tc>
        <w:tc>
          <w:tcPr>
            <w:tcW w:w="7973" w:type="dxa"/>
          </w:tcPr>
          <w:p w14:paraId="666459B4" w14:textId="2988CE03" w:rsidR="00885165" w:rsidRPr="00FE3C59" w:rsidRDefault="00E90642" w:rsidP="0088516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Own funds requirement</w:t>
            </w:r>
            <w:r w:rsidR="000B0196" w:rsidRPr="00FE3C59">
              <w:rPr>
                <w:rFonts w:ascii="Times New Roman" w:hAnsi="Times New Roman" w:cs="Times New Roman"/>
                <w:b/>
                <w:u w:val="single"/>
                <w:lang w:val="en-GB"/>
              </w:rPr>
              <w:t>s</w:t>
            </w:r>
          </w:p>
          <w:p w14:paraId="1CBCEAF4" w14:textId="3130BEE9" w:rsidR="00885165" w:rsidRPr="00FE3C59" w:rsidRDefault="00E24344" w:rsidP="00885165">
            <w:pPr>
              <w:pStyle w:val="BodyText"/>
              <w:spacing w:before="120" w:after="120"/>
              <w:rPr>
                <w:rFonts w:ascii="Times New Roman" w:hAnsi="Times New Roman" w:cs="Times New Roman"/>
                <w:lang w:val="en-GB"/>
              </w:rPr>
            </w:pPr>
            <w:r w:rsidRPr="00FE3C59">
              <w:rPr>
                <w:rFonts w:ascii="Times New Roman" w:hAnsi="Times New Roman" w:cs="Times New Roman"/>
                <w:lang w:val="en-GB"/>
              </w:rPr>
              <w:t>Bucket</w:t>
            </w:r>
            <w:r w:rsidR="00EA6164" w:rsidRPr="00FE3C59">
              <w:rPr>
                <w:rFonts w:ascii="Times New Roman" w:hAnsi="Times New Roman" w:cs="Times New Roman"/>
                <w:lang w:val="en-GB"/>
              </w:rPr>
              <w:t>-</w:t>
            </w:r>
            <w:r w:rsidRPr="00FE3C59">
              <w:rPr>
                <w:rFonts w:ascii="Times New Roman" w:hAnsi="Times New Roman" w:cs="Times New Roman"/>
                <w:lang w:val="en-GB"/>
              </w:rPr>
              <w:t xml:space="preserve">level own funds requirements calculated in accordance with </w:t>
            </w:r>
            <w:r w:rsidR="00372F89" w:rsidRPr="00FE3C59">
              <w:rPr>
                <w:rFonts w:ascii="Times New Roman" w:hAnsi="Times New Roman" w:cs="Times New Roman"/>
                <w:lang w:val="en-GB"/>
              </w:rPr>
              <w:t>Article 325y(</w:t>
            </w:r>
            <w:r w:rsidR="001277A8" w:rsidRPr="00FE3C59">
              <w:rPr>
                <w:rFonts w:ascii="Times New Roman" w:hAnsi="Times New Roman" w:cs="Times New Roman"/>
                <w:lang w:val="en-GB"/>
              </w:rPr>
              <w:t>4</w:t>
            </w:r>
            <w:r w:rsidR="00372F89" w:rsidRPr="00FE3C59">
              <w:rPr>
                <w:rFonts w:ascii="Times New Roman" w:hAnsi="Times New Roman" w:cs="Times New Roman"/>
                <w:lang w:val="en-GB"/>
              </w:rPr>
              <w:t>) of Regulation (EU) No 575/2013</w:t>
            </w:r>
          </w:p>
        </w:tc>
      </w:tr>
    </w:tbl>
    <w:p w14:paraId="49ACD7EE" w14:textId="77777777" w:rsidR="00C65F1F" w:rsidRPr="00FE3C59" w:rsidRDefault="00C65F1F" w:rsidP="00C65F1F">
      <w:pPr>
        <w:rPr>
          <w:rFonts w:ascii="Times New Roman" w:hAnsi="Times New Roman" w:cs="Times New Roman"/>
        </w:rPr>
      </w:pPr>
    </w:p>
    <w:tbl>
      <w:tblPr>
        <w:tblStyle w:val="TableGrid"/>
        <w:tblW w:w="0" w:type="auto"/>
        <w:tblLook w:val="04A0" w:firstRow="1" w:lastRow="0" w:firstColumn="1" w:lastColumn="0" w:noHBand="0" w:noVBand="1"/>
      </w:tblPr>
      <w:tblGrid>
        <w:gridCol w:w="1043"/>
        <w:gridCol w:w="7973"/>
      </w:tblGrid>
      <w:tr w:rsidR="00C65F1F" w:rsidRPr="00FE3C59" w14:paraId="50478ABB" w14:textId="77777777" w:rsidTr="005F1AA1">
        <w:tc>
          <w:tcPr>
            <w:tcW w:w="1043" w:type="dxa"/>
            <w:shd w:val="clear" w:color="auto" w:fill="BFBFBF" w:themeFill="background1" w:themeFillShade="BF"/>
          </w:tcPr>
          <w:p w14:paraId="06E4B02A"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0E46E18D"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C65F1F" w:rsidRPr="00FE3C59" w14:paraId="65D30984" w14:textId="77777777" w:rsidTr="005F1AA1">
        <w:tc>
          <w:tcPr>
            <w:tcW w:w="1043" w:type="dxa"/>
          </w:tcPr>
          <w:p w14:paraId="63A1FDBA" w14:textId="1CBAD731" w:rsidR="00C65F1F" w:rsidRPr="00FE3C59" w:rsidRDefault="00C65F1F" w:rsidP="005F1AA1">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0010</w:t>
            </w:r>
            <w:r w:rsidR="00F62F22" w:rsidRPr="00FE3C59">
              <w:rPr>
                <w:rFonts w:ascii="Times New Roman" w:hAnsi="Times New Roman" w:cs="Times New Roman"/>
                <w:lang w:val="en-GB"/>
              </w:rPr>
              <w:t>-0100</w:t>
            </w:r>
          </w:p>
        </w:tc>
        <w:tc>
          <w:tcPr>
            <w:tcW w:w="7973" w:type="dxa"/>
          </w:tcPr>
          <w:p w14:paraId="18EAF2D1" w14:textId="77777777" w:rsidR="00C65F1F" w:rsidRPr="00FE3C59" w:rsidRDefault="00F62F22"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Corporates</w:t>
            </w:r>
          </w:p>
          <w:p w14:paraId="1936C93E" w14:textId="0AB939F8" w:rsidR="00C65F1F" w:rsidRPr="00FE3C59" w:rsidRDefault="00B067B6"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Exposures allocated to the corporates </w:t>
            </w:r>
            <w:r w:rsidR="00780396" w:rsidRPr="00FE3C59">
              <w:rPr>
                <w:rFonts w:ascii="Times New Roman" w:hAnsi="Times New Roman" w:cs="Times New Roman"/>
                <w:lang w:val="en-GB"/>
              </w:rPr>
              <w:t xml:space="preserve">bucket in accordance with </w:t>
            </w:r>
            <w:r w:rsidR="005C0A56" w:rsidRPr="00FE3C59">
              <w:rPr>
                <w:rFonts w:ascii="Times New Roman" w:hAnsi="Times New Roman" w:cs="Times New Roman"/>
                <w:lang w:val="en-GB"/>
              </w:rPr>
              <w:t>A</w:t>
            </w:r>
            <w:r w:rsidR="006448C1" w:rsidRPr="00FE3C59">
              <w:rPr>
                <w:rFonts w:ascii="Times New Roman" w:hAnsi="Times New Roman" w:cs="Times New Roman"/>
                <w:lang w:val="en-GB"/>
              </w:rPr>
              <w:t xml:space="preserve">rticle </w:t>
            </w:r>
            <w:r w:rsidR="00111440" w:rsidRPr="00FE3C59">
              <w:rPr>
                <w:rFonts w:ascii="Times New Roman" w:hAnsi="Times New Roman" w:cs="Times New Roman"/>
                <w:lang w:val="en-GB"/>
              </w:rPr>
              <w:t xml:space="preserve">325y(3) </w:t>
            </w:r>
            <w:r w:rsidR="00E850A2" w:rsidRPr="00FE3C59">
              <w:rPr>
                <w:rFonts w:ascii="Times New Roman" w:hAnsi="Times New Roman" w:cs="Times New Roman"/>
                <w:lang w:val="en-GB"/>
              </w:rPr>
              <w:t>of Regulation (EU) No 575/2013</w:t>
            </w:r>
            <w:r w:rsidR="00433A71" w:rsidRPr="00FE3C59">
              <w:rPr>
                <w:rFonts w:ascii="Times New Roman" w:hAnsi="Times New Roman" w:cs="Times New Roman"/>
                <w:lang w:val="en-GB"/>
              </w:rPr>
              <w:t xml:space="preserve"> shall be reported.</w:t>
            </w:r>
          </w:p>
        </w:tc>
      </w:tr>
      <w:tr w:rsidR="00F0696B" w:rsidRPr="00FE3C59" w14:paraId="7843E68F" w14:textId="77777777" w:rsidTr="005F1AA1">
        <w:tc>
          <w:tcPr>
            <w:tcW w:w="1043" w:type="dxa"/>
          </w:tcPr>
          <w:p w14:paraId="733E7CF4" w14:textId="22F73E2D" w:rsidR="00F0696B" w:rsidRPr="00FE3C59" w:rsidRDefault="00F0696B"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0020-00</w:t>
            </w:r>
            <w:r w:rsidR="006A1B0D" w:rsidRPr="00FE3C59">
              <w:rPr>
                <w:rFonts w:ascii="Times New Roman" w:hAnsi="Times New Roman" w:cs="Times New Roman"/>
                <w:lang w:val="en-GB"/>
              </w:rPr>
              <w:t>40</w:t>
            </w:r>
          </w:p>
        </w:tc>
        <w:tc>
          <w:tcPr>
            <w:tcW w:w="7973" w:type="dxa"/>
          </w:tcPr>
          <w:p w14:paraId="2C33DF44" w14:textId="0D300118" w:rsidR="00F0696B" w:rsidRPr="00FE3C59" w:rsidRDefault="00F0696B" w:rsidP="00F0696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Debt instruments</w:t>
            </w:r>
          </w:p>
          <w:p w14:paraId="49DAC61B" w14:textId="5694EFA5" w:rsidR="006D310E" w:rsidRPr="00FE3C59" w:rsidRDefault="006D310E" w:rsidP="006D310E">
            <w:pPr>
              <w:pStyle w:val="Tabelleninhalt"/>
              <w:spacing w:before="120" w:after="120"/>
              <w:rPr>
                <w:rFonts w:ascii="Times New Roman" w:hAnsi="Times New Roman" w:cs="Times New Roman"/>
                <w:bCs/>
                <w:lang w:val="en-GB"/>
              </w:rPr>
            </w:pPr>
            <w:r w:rsidRPr="00FE3C59">
              <w:rPr>
                <w:rFonts w:ascii="Times New Roman" w:hAnsi="Times New Roman" w:cs="Times New Roman"/>
                <w:bCs/>
                <w:lang w:val="en-GB"/>
              </w:rPr>
              <w:t>Articles 325v(2), 325w(3) of Regulation (EU) No 575/2013</w:t>
            </w:r>
            <w:r w:rsidR="00600F6F" w:rsidRPr="00FE3C59">
              <w:rPr>
                <w:rFonts w:ascii="Times New Roman" w:hAnsi="Times New Roman" w:cs="Times New Roman"/>
                <w:bCs/>
                <w:lang w:val="en-GB"/>
              </w:rPr>
              <w:t>.</w:t>
            </w:r>
          </w:p>
          <w:p w14:paraId="3F4C96D9" w14:textId="1949F4A7" w:rsidR="00F0696B" w:rsidRPr="00FE3C59" w:rsidRDefault="00A5060B" w:rsidP="00370A71">
            <w:pPr>
              <w:pStyle w:val="Tabelleninhalt"/>
              <w:spacing w:before="120" w:after="120"/>
              <w:rPr>
                <w:rFonts w:ascii="Times New Roman" w:hAnsi="Times New Roman" w:cs="Times New Roman"/>
                <w:lang w:val="en-GB"/>
              </w:rPr>
            </w:pPr>
            <w:r w:rsidRPr="00FE3C59">
              <w:rPr>
                <w:rFonts w:ascii="Times New Roman" w:hAnsi="Times New Roman" w:cs="Times New Roman"/>
                <w:bCs/>
                <w:lang w:val="en-GB"/>
              </w:rPr>
              <w:t xml:space="preserve">Exposures </w:t>
            </w:r>
            <w:r w:rsidR="00C929B6" w:rsidRPr="00FE3C59">
              <w:rPr>
                <w:rFonts w:ascii="Times New Roman" w:hAnsi="Times New Roman" w:cs="Times New Roman"/>
                <w:bCs/>
                <w:lang w:val="en-GB"/>
              </w:rPr>
              <w:t xml:space="preserve">in the form of </w:t>
            </w:r>
            <w:r w:rsidRPr="00FE3C59">
              <w:rPr>
                <w:rFonts w:ascii="Times New Roman" w:hAnsi="Times New Roman" w:cs="Times New Roman"/>
                <w:bCs/>
                <w:lang w:val="en-GB"/>
              </w:rPr>
              <w:t>debt instruments</w:t>
            </w:r>
            <w:r w:rsidR="000240F5" w:rsidRPr="00FE3C59">
              <w:rPr>
                <w:rFonts w:ascii="Times New Roman" w:hAnsi="Times New Roman" w:cs="Times New Roman"/>
                <w:bCs/>
                <w:lang w:val="en-GB"/>
              </w:rPr>
              <w:t xml:space="preserve"> identified in accordance with Article 325v(2) of Regulation (EU) No 575/2013</w:t>
            </w:r>
            <w:r w:rsidRPr="00FE3C59">
              <w:rPr>
                <w:rFonts w:ascii="Times New Roman" w:hAnsi="Times New Roman" w:cs="Times New Roman"/>
                <w:bCs/>
                <w:lang w:val="en-GB"/>
              </w:rPr>
              <w:t>,</w:t>
            </w:r>
            <w:r w:rsidR="00BB33BD" w:rsidRPr="00FE3C59">
              <w:rPr>
                <w:rFonts w:ascii="Times New Roman" w:hAnsi="Times New Roman" w:cs="Times New Roman"/>
                <w:bCs/>
                <w:lang w:val="en-GB"/>
              </w:rPr>
              <w:t xml:space="preserve"> </w:t>
            </w:r>
            <w:r w:rsidR="00C929B6" w:rsidRPr="00FE3C59">
              <w:rPr>
                <w:rFonts w:ascii="Times New Roman" w:hAnsi="Times New Roman" w:cs="Times New Roman"/>
                <w:bCs/>
                <w:lang w:val="en-GB"/>
              </w:rPr>
              <w:t>shall be reported</w:t>
            </w:r>
            <w:r w:rsidR="009B6527" w:rsidRPr="00FE3C59">
              <w:rPr>
                <w:rFonts w:ascii="Times New Roman" w:hAnsi="Times New Roman" w:cs="Times New Roman"/>
                <w:bCs/>
                <w:lang w:val="en-GB"/>
              </w:rPr>
              <w:t>. They shall be broken down</w:t>
            </w:r>
            <w:r w:rsidR="00795314" w:rsidRPr="00FE3C59">
              <w:rPr>
                <w:rFonts w:ascii="Times New Roman" w:hAnsi="Times New Roman" w:cs="Times New Roman"/>
                <w:bCs/>
                <w:lang w:val="en-GB"/>
              </w:rPr>
              <w:t xml:space="preserve"> differentiating between </w:t>
            </w:r>
            <w:r w:rsidR="00BB33BD" w:rsidRPr="00FE3C59">
              <w:rPr>
                <w:rFonts w:ascii="Times New Roman" w:hAnsi="Times New Roman" w:cs="Times New Roman"/>
                <w:bCs/>
                <w:lang w:val="en-GB"/>
              </w:rPr>
              <w:t xml:space="preserve">senior </w:t>
            </w:r>
            <w:r w:rsidR="00F76946" w:rsidRPr="00FE3C59">
              <w:rPr>
                <w:rFonts w:ascii="Times New Roman" w:hAnsi="Times New Roman" w:cs="Times New Roman"/>
                <w:bCs/>
                <w:lang w:val="en-GB"/>
              </w:rPr>
              <w:t>debt</w:t>
            </w:r>
            <w:r w:rsidR="00BB33BD" w:rsidRPr="00FE3C59">
              <w:rPr>
                <w:rFonts w:ascii="Times New Roman" w:hAnsi="Times New Roman" w:cs="Times New Roman"/>
                <w:bCs/>
                <w:lang w:val="en-GB"/>
              </w:rPr>
              <w:t xml:space="preserve"> instrument</w:t>
            </w:r>
            <w:r w:rsidR="00E95C02" w:rsidRPr="00FE3C59">
              <w:rPr>
                <w:rFonts w:ascii="Times New Roman" w:hAnsi="Times New Roman" w:cs="Times New Roman"/>
                <w:bCs/>
                <w:lang w:val="en-GB"/>
              </w:rPr>
              <w:t>s</w:t>
            </w:r>
            <w:r w:rsidR="00BB33BD" w:rsidRPr="00FE3C59">
              <w:rPr>
                <w:rFonts w:ascii="Times New Roman" w:hAnsi="Times New Roman" w:cs="Times New Roman"/>
                <w:bCs/>
                <w:lang w:val="en-GB"/>
              </w:rPr>
              <w:t xml:space="preserve">, </w:t>
            </w:r>
            <w:r w:rsidR="00F76946" w:rsidRPr="00FE3C59">
              <w:rPr>
                <w:rFonts w:ascii="Times New Roman" w:hAnsi="Times New Roman" w:cs="Times New Roman"/>
                <w:bCs/>
                <w:lang w:val="en-GB"/>
              </w:rPr>
              <w:t>non-senior debt instrument</w:t>
            </w:r>
            <w:r w:rsidR="00795314" w:rsidRPr="00FE3C59">
              <w:rPr>
                <w:rFonts w:ascii="Times New Roman" w:hAnsi="Times New Roman" w:cs="Times New Roman"/>
                <w:bCs/>
                <w:lang w:val="en-GB"/>
              </w:rPr>
              <w:t>s and</w:t>
            </w:r>
            <w:r w:rsidR="00F76946" w:rsidRPr="00FE3C59">
              <w:rPr>
                <w:rFonts w:ascii="Times New Roman" w:hAnsi="Times New Roman" w:cs="Times New Roman"/>
                <w:bCs/>
                <w:lang w:val="en-GB"/>
              </w:rPr>
              <w:t xml:space="preserve"> covered bond</w:t>
            </w:r>
            <w:r w:rsidR="00570D8B" w:rsidRPr="00FE3C59">
              <w:rPr>
                <w:rFonts w:ascii="Times New Roman" w:hAnsi="Times New Roman" w:cs="Times New Roman"/>
                <w:bCs/>
                <w:lang w:val="en-GB"/>
              </w:rPr>
              <w:t>s</w:t>
            </w:r>
            <w:r w:rsidR="002F7706" w:rsidRPr="00FE3C59">
              <w:rPr>
                <w:rFonts w:ascii="Times New Roman" w:hAnsi="Times New Roman" w:cs="Times New Roman"/>
                <w:bCs/>
                <w:lang w:val="en-GB"/>
              </w:rPr>
              <w:t>, consistent</w:t>
            </w:r>
            <w:r w:rsidR="00391ED0" w:rsidRPr="00FE3C59">
              <w:rPr>
                <w:rFonts w:ascii="Times New Roman" w:hAnsi="Times New Roman" w:cs="Times New Roman"/>
                <w:bCs/>
                <w:lang w:val="en-GB"/>
              </w:rPr>
              <w:t>ly</w:t>
            </w:r>
            <w:r w:rsidR="002F7706" w:rsidRPr="00FE3C59">
              <w:rPr>
                <w:rFonts w:ascii="Times New Roman" w:hAnsi="Times New Roman" w:cs="Times New Roman"/>
                <w:bCs/>
                <w:lang w:val="en-GB"/>
              </w:rPr>
              <w:t xml:space="preserve"> with the classification made </w:t>
            </w:r>
            <w:r w:rsidR="00C929B6" w:rsidRPr="00FE3C59">
              <w:rPr>
                <w:rFonts w:ascii="Times New Roman" w:hAnsi="Times New Roman" w:cs="Times New Roman"/>
                <w:bCs/>
                <w:lang w:val="en-GB"/>
              </w:rPr>
              <w:t xml:space="preserve">for the purposes of </w:t>
            </w:r>
            <w:r w:rsidR="002F7706" w:rsidRPr="00FE3C59">
              <w:rPr>
                <w:rFonts w:ascii="Times New Roman" w:hAnsi="Times New Roman" w:cs="Times New Roman"/>
                <w:bCs/>
                <w:lang w:val="en-GB"/>
              </w:rPr>
              <w:t xml:space="preserve">Article 325w(3) of </w:t>
            </w:r>
            <w:r w:rsidR="002F7706" w:rsidRPr="00FE3C59">
              <w:rPr>
                <w:rFonts w:ascii="Times New Roman" w:hAnsi="Times New Roman" w:cs="Times New Roman"/>
                <w:lang w:val="en-GB"/>
              </w:rPr>
              <w:t xml:space="preserve">Regulation (EU) No </w:t>
            </w:r>
            <w:r w:rsidR="006637AB" w:rsidRPr="00FE3C59">
              <w:rPr>
                <w:rFonts w:ascii="Times New Roman" w:hAnsi="Times New Roman" w:cs="Times New Roman"/>
                <w:lang w:val="en-GB"/>
              </w:rPr>
              <w:t>575/2013</w:t>
            </w:r>
            <w:r w:rsidR="002B0E6F" w:rsidRPr="00FE3C59">
              <w:rPr>
                <w:rFonts w:ascii="Times New Roman" w:hAnsi="Times New Roman" w:cs="Times New Roman"/>
                <w:lang w:val="en-GB"/>
              </w:rPr>
              <w:t>.</w:t>
            </w:r>
          </w:p>
        </w:tc>
      </w:tr>
      <w:tr w:rsidR="00C64FC5" w:rsidRPr="00FE3C59" w14:paraId="26084C86" w14:textId="77777777" w:rsidTr="005F1AA1">
        <w:tc>
          <w:tcPr>
            <w:tcW w:w="1043" w:type="dxa"/>
          </w:tcPr>
          <w:p w14:paraId="36F95576" w14:textId="6B0A22BC" w:rsidR="00C64FC5" w:rsidRPr="00FE3C59" w:rsidRDefault="00311E6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16506A3C" w14:textId="3106BFE7" w:rsidR="00C64FC5" w:rsidRPr="00FE3C59" w:rsidRDefault="00311E6C" w:rsidP="00F0696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Non-Senior</w:t>
            </w:r>
          </w:p>
        </w:tc>
      </w:tr>
      <w:tr w:rsidR="00C64FC5" w:rsidRPr="00FE3C59" w14:paraId="64E8AA97" w14:textId="77777777" w:rsidTr="005F1AA1">
        <w:tc>
          <w:tcPr>
            <w:tcW w:w="1043" w:type="dxa"/>
          </w:tcPr>
          <w:p w14:paraId="116DF9F1" w14:textId="6319F45B" w:rsidR="00C64FC5" w:rsidRPr="00FE3C59" w:rsidRDefault="00311E6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431A5982" w14:textId="29512922" w:rsidR="00C64FC5" w:rsidRPr="00FE3C59" w:rsidRDefault="00311E6C" w:rsidP="00F0696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Senior</w:t>
            </w:r>
          </w:p>
        </w:tc>
      </w:tr>
      <w:tr w:rsidR="00C64FC5" w:rsidRPr="00FE3C59" w14:paraId="5EFA9407" w14:textId="77777777" w:rsidTr="005F1AA1">
        <w:tc>
          <w:tcPr>
            <w:tcW w:w="1043" w:type="dxa"/>
          </w:tcPr>
          <w:p w14:paraId="38310E4E" w14:textId="074A2B68" w:rsidR="00C64FC5" w:rsidRPr="00FE3C59" w:rsidRDefault="00311E6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4CFE9DDA" w14:textId="4747A6CA" w:rsidR="00C64FC5" w:rsidRPr="00FE3C59" w:rsidRDefault="00311E6C" w:rsidP="00F0696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w:t>
            </w:r>
          </w:p>
        </w:tc>
      </w:tr>
      <w:tr w:rsidR="00F0696B" w:rsidRPr="00FE3C59" w14:paraId="4E6E430A" w14:textId="77777777" w:rsidTr="005F1AA1">
        <w:tc>
          <w:tcPr>
            <w:tcW w:w="1043" w:type="dxa"/>
          </w:tcPr>
          <w:p w14:paraId="0E1FFD44" w14:textId="717F062B" w:rsidR="00F0696B" w:rsidRPr="00FE3C59" w:rsidRDefault="00C64FC5"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0050-0070</w:t>
            </w:r>
          </w:p>
        </w:tc>
        <w:tc>
          <w:tcPr>
            <w:tcW w:w="7973" w:type="dxa"/>
          </w:tcPr>
          <w:p w14:paraId="357DA1BF" w14:textId="77777777" w:rsidR="00F0696B" w:rsidRPr="00FE3C59" w:rsidRDefault="004555FD"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Derivatives having debt instruments as underlyings</w:t>
            </w:r>
          </w:p>
          <w:p w14:paraId="695C15D0" w14:textId="222B5054" w:rsidR="006D310E" w:rsidRPr="00FE3C59" w:rsidRDefault="006D310E" w:rsidP="005F1AA1">
            <w:pPr>
              <w:pStyle w:val="Tabelleninhalt"/>
              <w:spacing w:before="120" w:after="120"/>
              <w:rPr>
                <w:rFonts w:ascii="Times New Roman" w:hAnsi="Times New Roman" w:cs="Times New Roman"/>
                <w:bCs/>
                <w:lang w:val="en-GB"/>
              </w:rPr>
            </w:pPr>
            <w:r w:rsidRPr="00FE3C59">
              <w:rPr>
                <w:rFonts w:ascii="Times New Roman" w:hAnsi="Times New Roman" w:cs="Times New Roman"/>
                <w:bCs/>
                <w:lang w:val="en-GB"/>
              </w:rPr>
              <w:t>Articles 325v(2), 325w(3) of Regulation (EU) No 575/2013</w:t>
            </w:r>
            <w:r w:rsidR="00A421B4" w:rsidRPr="00FE3C59">
              <w:rPr>
                <w:rFonts w:ascii="Times New Roman" w:hAnsi="Times New Roman" w:cs="Times New Roman"/>
                <w:bCs/>
                <w:lang w:val="en-GB"/>
              </w:rPr>
              <w:t>.</w:t>
            </w:r>
          </w:p>
          <w:p w14:paraId="7C43C1C9" w14:textId="4AA1E7DB" w:rsidR="00F0696B" w:rsidRPr="00FE3C59" w:rsidRDefault="00A50EC0" w:rsidP="00E36E19">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 xml:space="preserve">Exposures </w:t>
            </w:r>
            <w:r w:rsidR="001453DC" w:rsidRPr="00FE3C59">
              <w:rPr>
                <w:rFonts w:ascii="Times New Roman" w:hAnsi="Times New Roman" w:cs="Times New Roman"/>
                <w:bCs/>
                <w:lang w:val="en-GB"/>
              </w:rPr>
              <w:t>stemming from</w:t>
            </w:r>
            <w:r w:rsidRPr="00FE3C59">
              <w:rPr>
                <w:rFonts w:ascii="Times New Roman" w:hAnsi="Times New Roman" w:cs="Times New Roman"/>
                <w:bCs/>
                <w:lang w:val="en-GB"/>
              </w:rPr>
              <w:t xml:space="preserve"> derivatives having debt instruments as underlying,</w:t>
            </w:r>
            <w:r w:rsidR="00C4466A" w:rsidRPr="00FE3C59">
              <w:rPr>
                <w:rFonts w:ascii="Times New Roman" w:hAnsi="Times New Roman" w:cs="Times New Roman"/>
                <w:bCs/>
                <w:lang w:val="en-GB"/>
              </w:rPr>
              <w:t xml:space="preserve"> identified in accordance with Article </w:t>
            </w:r>
            <w:r w:rsidR="00497A60" w:rsidRPr="00FE3C59">
              <w:rPr>
                <w:rFonts w:ascii="Times New Roman" w:hAnsi="Times New Roman" w:cs="Times New Roman"/>
                <w:bCs/>
                <w:lang w:val="en-GB"/>
              </w:rPr>
              <w:t>3</w:t>
            </w:r>
            <w:r w:rsidR="00C4466A" w:rsidRPr="00FE3C59">
              <w:rPr>
                <w:rFonts w:ascii="Times New Roman" w:hAnsi="Times New Roman" w:cs="Times New Roman"/>
                <w:bCs/>
                <w:lang w:val="en-GB"/>
              </w:rPr>
              <w:t>25v(2) of Regulation (EU) No 575/2013, shall be reported</w:t>
            </w:r>
            <w:r w:rsidR="00037AD2" w:rsidRPr="00FE3C59">
              <w:rPr>
                <w:rFonts w:ascii="Times New Roman" w:hAnsi="Times New Roman" w:cs="Times New Roman"/>
                <w:bCs/>
                <w:lang w:val="en-GB"/>
              </w:rPr>
              <w:t>. They shall be broken down</w:t>
            </w:r>
            <w:r w:rsidR="00F06B2B" w:rsidRPr="00FE3C59">
              <w:rPr>
                <w:rFonts w:ascii="Times New Roman" w:hAnsi="Times New Roman" w:cs="Times New Roman"/>
                <w:bCs/>
                <w:lang w:val="en-GB"/>
              </w:rPr>
              <w:t xml:space="preserve"> </w:t>
            </w:r>
            <w:r w:rsidR="003B25A1" w:rsidRPr="00FE3C59">
              <w:rPr>
                <w:rFonts w:ascii="Times New Roman" w:hAnsi="Times New Roman" w:cs="Times New Roman"/>
                <w:bCs/>
                <w:lang w:val="en-GB"/>
              </w:rPr>
              <w:t>based on the</w:t>
            </w:r>
            <w:r w:rsidR="00543785" w:rsidRPr="00FE3C59">
              <w:rPr>
                <w:rFonts w:ascii="Times New Roman" w:hAnsi="Times New Roman" w:cs="Times New Roman"/>
                <w:bCs/>
                <w:lang w:val="en-GB"/>
              </w:rPr>
              <w:t xml:space="preserve"> underlying</w:t>
            </w:r>
            <w:r w:rsidRPr="00FE3C59">
              <w:rPr>
                <w:rFonts w:ascii="Times New Roman" w:hAnsi="Times New Roman" w:cs="Times New Roman"/>
                <w:bCs/>
                <w:lang w:val="en-GB"/>
              </w:rPr>
              <w:t xml:space="preserve"> debt instrument</w:t>
            </w:r>
            <w:r w:rsidR="002B0E6F" w:rsidRPr="00FE3C59">
              <w:rPr>
                <w:rFonts w:ascii="Times New Roman" w:hAnsi="Times New Roman" w:cs="Times New Roman"/>
                <w:bCs/>
                <w:lang w:val="en-GB"/>
              </w:rPr>
              <w:t>, differentiating between underlyings that are</w:t>
            </w:r>
            <w:r w:rsidRPr="00FE3C59">
              <w:rPr>
                <w:rFonts w:ascii="Times New Roman" w:hAnsi="Times New Roman" w:cs="Times New Roman"/>
                <w:bCs/>
                <w:lang w:val="en-GB"/>
              </w:rPr>
              <w:t xml:space="preserve"> senior debt instrument</w:t>
            </w:r>
            <w:r w:rsidR="004F4173" w:rsidRPr="00FE3C59">
              <w:rPr>
                <w:rFonts w:ascii="Times New Roman" w:hAnsi="Times New Roman" w:cs="Times New Roman"/>
                <w:bCs/>
                <w:lang w:val="en-GB"/>
              </w:rPr>
              <w:t>s</w:t>
            </w:r>
            <w:r w:rsidRPr="00FE3C59">
              <w:rPr>
                <w:rFonts w:ascii="Times New Roman" w:hAnsi="Times New Roman" w:cs="Times New Roman"/>
                <w:bCs/>
                <w:lang w:val="en-GB"/>
              </w:rPr>
              <w:t>, non-senior debt instrument</w:t>
            </w:r>
            <w:r w:rsidR="004F4173" w:rsidRPr="00FE3C59">
              <w:rPr>
                <w:rFonts w:ascii="Times New Roman" w:hAnsi="Times New Roman" w:cs="Times New Roman"/>
                <w:bCs/>
                <w:lang w:val="en-GB"/>
              </w:rPr>
              <w:t>s</w:t>
            </w:r>
            <w:r w:rsidRPr="00FE3C59">
              <w:rPr>
                <w:rFonts w:ascii="Times New Roman" w:hAnsi="Times New Roman" w:cs="Times New Roman"/>
                <w:bCs/>
                <w:lang w:val="en-GB"/>
              </w:rPr>
              <w:t xml:space="preserve">, </w:t>
            </w:r>
            <w:r w:rsidR="00F33BA6" w:rsidRPr="00FE3C59">
              <w:rPr>
                <w:rFonts w:ascii="Times New Roman" w:hAnsi="Times New Roman" w:cs="Times New Roman"/>
                <w:bCs/>
                <w:lang w:val="en-GB"/>
              </w:rPr>
              <w:t>and</w:t>
            </w:r>
            <w:r w:rsidR="004F4173" w:rsidRPr="00FE3C59">
              <w:rPr>
                <w:rFonts w:ascii="Times New Roman" w:hAnsi="Times New Roman" w:cs="Times New Roman"/>
                <w:bCs/>
                <w:lang w:val="en-GB"/>
              </w:rPr>
              <w:t xml:space="preserve"> </w:t>
            </w:r>
            <w:r w:rsidRPr="00FE3C59">
              <w:rPr>
                <w:rFonts w:ascii="Times New Roman" w:hAnsi="Times New Roman" w:cs="Times New Roman"/>
                <w:bCs/>
                <w:lang w:val="en-GB"/>
              </w:rPr>
              <w:t>covered bond</w:t>
            </w:r>
            <w:r w:rsidR="00982C8A" w:rsidRPr="00FE3C59">
              <w:rPr>
                <w:rFonts w:ascii="Times New Roman" w:hAnsi="Times New Roman" w:cs="Times New Roman"/>
                <w:bCs/>
                <w:lang w:val="en-GB"/>
              </w:rPr>
              <w:t>s</w:t>
            </w:r>
            <w:r w:rsidRPr="00FE3C59">
              <w:rPr>
                <w:rFonts w:ascii="Times New Roman" w:hAnsi="Times New Roman" w:cs="Times New Roman"/>
                <w:bCs/>
                <w:lang w:val="en-GB"/>
              </w:rPr>
              <w:t>, consistent</w:t>
            </w:r>
            <w:r w:rsidR="00F33BA6" w:rsidRPr="00FE3C59">
              <w:rPr>
                <w:rFonts w:ascii="Times New Roman" w:hAnsi="Times New Roman" w:cs="Times New Roman"/>
                <w:bCs/>
                <w:lang w:val="en-GB"/>
              </w:rPr>
              <w:t>ly</w:t>
            </w:r>
            <w:r w:rsidRPr="00FE3C59">
              <w:rPr>
                <w:rFonts w:ascii="Times New Roman" w:hAnsi="Times New Roman" w:cs="Times New Roman"/>
                <w:bCs/>
                <w:lang w:val="en-GB"/>
              </w:rPr>
              <w:t xml:space="preserve"> with the classification made </w:t>
            </w:r>
            <w:r w:rsidR="00A73B1A" w:rsidRPr="00FE3C59">
              <w:rPr>
                <w:rFonts w:ascii="Times New Roman" w:hAnsi="Times New Roman" w:cs="Times New Roman"/>
                <w:bCs/>
                <w:lang w:val="en-GB"/>
              </w:rPr>
              <w:t>for the purposes of</w:t>
            </w:r>
            <w:r w:rsidRPr="00FE3C59">
              <w:rPr>
                <w:rFonts w:ascii="Times New Roman" w:hAnsi="Times New Roman" w:cs="Times New Roman"/>
                <w:bCs/>
                <w:lang w:val="en-GB"/>
              </w:rPr>
              <w:t xml:space="preserve"> Article 325w(3) of </w:t>
            </w:r>
            <w:r w:rsidRPr="00FE3C59">
              <w:rPr>
                <w:rFonts w:ascii="Times New Roman" w:hAnsi="Times New Roman" w:cs="Times New Roman"/>
                <w:lang w:val="en-GB"/>
              </w:rPr>
              <w:t xml:space="preserve">Regulation (EU) No </w:t>
            </w:r>
            <w:r w:rsidR="006637AB" w:rsidRPr="00FE3C59">
              <w:rPr>
                <w:rFonts w:ascii="Times New Roman" w:hAnsi="Times New Roman" w:cs="Times New Roman"/>
                <w:lang w:val="en-GB"/>
              </w:rPr>
              <w:t>575/2013</w:t>
            </w:r>
            <w:r w:rsidR="006B4DE3" w:rsidRPr="00FE3C59">
              <w:rPr>
                <w:rFonts w:ascii="Times New Roman" w:hAnsi="Times New Roman" w:cs="Times New Roman"/>
                <w:lang w:val="en-GB"/>
              </w:rPr>
              <w:t>.</w:t>
            </w:r>
          </w:p>
        </w:tc>
      </w:tr>
      <w:tr w:rsidR="00F0696B" w:rsidRPr="00FE3C59" w14:paraId="3AF56803" w14:textId="77777777" w:rsidTr="005F1AA1">
        <w:tc>
          <w:tcPr>
            <w:tcW w:w="1043" w:type="dxa"/>
          </w:tcPr>
          <w:p w14:paraId="45EE6F8C" w14:textId="5BEFD935" w:rsidR="00F0696B" w:rsidRPr="00FE3C59" w:rsidRDefault="00311E6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tcPr>
          <w:p w14:paraId="673A199C" w14:textId="6598372E" w:rsidR="00F0696B" w:rsidRPr="00FE3C59" w:rsidRDefault="00311E6C"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Non-Senior</w:t>
            </w:r>
          </w:p>
        </w:tc>
      </w:tr>
      <w:tr w:rsidR="00F0696B" w:rsidRPr="00FE3C59" w14:paraId="4A082607" w14:textId="77777777" w:rsidTr="005F1AA1">
        <w:tc>
          <w:tcPr>
            <w:tcW w:w="1043" w:type="dxa"/>
          </w:tcPr>
          <w:p w14:paraId="6D256201" w14:textId="7E7ACAA3" w:rsidR="00F0696B" w:rsidRPr="00FE3C59" w:rsidRDefault="00311E6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4E2DB1BB" w14:textId="1B89BBA7" w:rsidR="00F0696B" w:rsidRPr="00FE3C59" w:rsidRDefault="00311E6C"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Senior</w:t>
            </w:r>
          </w:p>
        </w:tc>
      </w:tr>
      <w:tr w:rsidR="00F0696B" w:rsidRPr="00FE3C59" w14:paraId="7A86A511" w14:textId="77777777" w:rsidTr="005F1AA1">
        <w:tc>
          <w:tcPr>
            <w:tcW w:w="1043" w:type="dxa"/>
          </w:tcPr>
          <w:p w14:paraId="230F656B" w14:textId="73DA866B" w:rsidR="00F0696B" w:rsidRPr="00FE3C59" w:rsidRDefault="00311E6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Pr>
          <w:p w14:paraId="20B27D89" w14:textId="0DF0A447" w:rsidR="00F0696B" w:rsidRPr="00FE3C59" w:rsidRDefault="00311E6C"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w:t>
            </w:r>
          </w:p>
        </w:tc>
      </w:tr>
      <w:tr w:rsidR="00F0696B" w:rsidRPr="00FE3C59" w14:paraId="3EAD2FF1" w14:textId="77777777" w:rsidTr="005F1AA1">
        <w:tc>
          <w:tcPr>
            <w:tcW w:w="1043" w:type="dxa"/>
          </w:tcPr>
          <w:p w14:paraId="7C1ECF7A" w14:textId="0B5D7B8E" w:rsidR="00F0696B" w:rsidRPr="00FE3C59" w:rsidRDefault="001F77B5"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tcPr>
          <w:p w14:paraId="6BC52899" w14:textId="77777777" w:rsidR="00F0696B" w:rsidRPr="00FE3C59" w:rsidRDefault="00D33052"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instruments</w:t>
            </w:r>
          </w:p>
          <w:p w14:paraId="450A7EBF" w14:textId="47B43843" w:rsidR="00F0696B" w:rsidRPr="00FE3C59" w:rsidRDefault="004E5856" w:rsidP="004826E8">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 xml:space="preserve">Exposures to equity instruments identified in accordance with Article 325v(2) of Regulation (EU) No </w:t>
            </w:r>
            <w:r w:rsidR="006637AB" w:rsidRPr="00FE3C59">
              <w:rPr>
                <w:rFonts w:ascii="Times New Roman" w:hAnsi="Times New Roman" w:cs="Times New Roman"/>
                <w:bCs/>
                <w:lang w:val="en-GB"/>
              </w:rPr>
              <w:t>575/2013</w:t>
            </w:r>
            <w:r w:rsidR="006B4DE3" w:rsidRPr="00FE3C59">
              <w:rPr>
                <w:rFonts w:ascii="Times New Roman" w:hAnsi="Times New Roman" w:cs="Times New Roman"/>
                <w:bCs/>
                <w:lang w:val="en-GB"/>
              </w:rPr>
              <w:t xml:space="preserve"> shall be reported.</w:t>
            </w:r>
          </w:p>
        </w:tc>
      </w:tr>
      <w:tr w:rsidR="00F0696B" w:rsidRPr="00FE3C59" w14:paraId="2806D803" w14:textId="77777777" w:rsidTr="005F1AA1">
        <w:tc>
          <w:tcPr>
            <w:tcW w:w="1043" w:type="dxa"/>
          </w:tcPr>
          <w:p w14:paraId="2017B304" w14:textId="0AADCEF4" w:rsidR="00F0696B" w:rsidRPr="00FE3C59" w:rsidRDefault="001E1248"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tcPr>
          <w:p w14:paraId="4F715A31" w14:textId="77777777" w:rsidR="00F0696B" w:rsidRPr="00FE3C59" w:rsidRDefault="000963F0"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Derivatives having equity instruments as underlyings</w:t>
            </w:r>
          </w:p>
          <w:p w14:paraId="483B5A5F" w14:textId="1008C733" w:rsidR="00F0696B" w:rsidRPr="00FE3C59" w:rsidRDefault="00517189"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lang w:val="en-GB"/>
              </w:rPr>
              <w:lastRenderedPageBreak/>
              <w:t xml:space="preserve">Exposures </w:t>
            </w:r>
            <w:r w:rsidR="00B764B9" w:rsidRPr="00FE3C59">
              <w:rPr>
                <w:rFonts w:ascii="Times New Roman" w:hAnsi="Times New Roman" w:cs="Times New Roman"/>
                <w:lang w:val="en-GB"/>
              </w:rPr>
              <w:t>stemming</w:t>
            </w:r>
            <w:r w:rsidRPr="00FE3C59">
              <w:rPr>
                <w:rFonts w:ascii="Times New Roman" w:hAnsi="Times New Roman" w:cs="Times New Roman"/>
                <w:lang w:val="en-GB"/>
              </w:rPr>
              <w:t xml:space="preserve"> from derivatives having equity instruments as underlying</w:t>
            </w:r>
            <w:r w:rsidR="00AE2B38" w:rsidRPr="00FE3C59">
              <w:rPr>
                <w:rFonts w:ascii="Times New Roman" w:hAnsi="Times New Roman" w:cs="Times New Roman"/>
                <w:lang w:val="en-GB"/>
              </w:rPr>
              <w:t xml:space="preserve"> identified in accordance with Article 325v(2) of Regulation (EU) No 575/2013</w:t>
            </w:r>
            <w:r w:rsidR="00206CB9" w:rsidRPr="00FE3C59">
              <w:rPr>
                <w:rFonts w:ascii="Times New Roman" w:hAnsi="Times New Roman" w:cs="Times New Roman"/>
                <w:lang w:val="en-GB"/>
              </w:rPr>
              <w:t xml:space="preserve"> shall be reported.</w:t>
            </w:r>
          </w:p>
        </w:tc>
      </w:tr>
      <w:tr w:rsidR="00F0696B" w:rsidRPr="00FE3C59" w14:paraId="584679D1" w14:textId="77777777" w:rsidTr="005F1AA1">
        <w:tc>
          <w:tcPr>
            <w:tcW w:w="1043" w:type="dxa"/>
          </w:tcPr>
          <w:p w14:paraId="703387FB" w14:textId="7C9BDA5C" w:rsidR="00F0696B" w:rsidRPr="00FE3C59" w:rsidRDefault="004861C1"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0100</w:t>
            </w:r>
          </w:p>
        </w:tc>
        <w:tc>
          <w:tcPr>
            <w:tcW w:w="7973" w:type="dxa"/>
          </w:tcPr>
          <w:p w14:paraId="13A1BE42" w14:textId="2170FBC1" w:rsidR="00F0696B" w:rsidRPr="00FE3C59" w:rsidRDefault="00BE534F"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Derivative instruments </w:t>
            </w:r>
            <w:r w:rsidR="00B0014A" w:rsidRPr="00FE3C59">
              <w:rPr>
                <w:rFonts w:ascii="Times New Roman" w:hAnsi="Times New Roman" w:cs="Times New Roman"/>
                <w:b/>
                <w:u w:val="single"/>
                <w:lang w:val="en-GB"/>
              </w:rPr>
              <w:t xml:space="preserve">treated </w:t>
            </w:r>
            <w:r w:rsidRPr="00FE3C59">
              <w:rPr>
                <w:rFonts w:ascii="Times New Roman" w:hAnsi="Times New Roman" w:cs="Times New Roman"/>
                <w:b/>
                <w:u w:val="single"/>
                <w:lang w:val="en-GB"/>
              </w:rPr>
              <w:t>in accordance with Article 325w(7) of Regulation (EU) No 575/2013</w:t>
            </w:r>
          </w:p>
          <w:p w14:paraId="03F4900A" w14:textId="1028F521" w:rsidR="00F0696B" w:rsidRPr="00FE3C59" w:rsidRDefault="00027F8B" w:rsidP="005F1AA1">
            <w:pPr>
              <w:pStyle w:val="Tabelleninhalt"/>
              <w:spacing w:before="120" w:after="120"/>
              <w:rPr>
                <w:rFonts w:ascii="Times New Roman" w:hAnsi="Times New Roman" w:cs="Times New Roman"/>
                <w:lang w:val="en-GB"/>
              </w:rPr>
            </w:pPr>
            <w:r w:rsidRPr="00FE3C59">
              <w:rPr>
                <w:rFonts w:ascii="Times New Roman" w:hAnsi="Times New Roman" w:cs="Times New Roman"/>
                <w:lang w:val="en-GB"/>
              </w:rPr>
              <w:t>Article 325w</w:t>
            </w:r>
            <w:r w:rsidR="004861C1" w:rsidRPr="00FE3C59">
              <w:rPr>
                <w:rFonts w:ascii="Times New Roman" w:hAnsi="Times New Roman" w:cs="Times New Roman"/>
                <w:lang w:val="en-GB"/>
              </w:rPr>
              <w:t>(7) of Regulation (EU) No 575/2013</w:t>
            </w:r>
            <w:r w:rsidR="0037726A" w:rsidRPr="00FE3C59">
              <w:rPr>
                <w:rFonts w:ascii="Times New Roman" w:hAnsi="Times New Roman" w:cs="Times New Roman"/>
                <w:lang w:val="en-GB"/>
              </w:rPr>
              <w:t>.</w:t>
            </w:r>
          </w:p>
        </w:tc>
      </w:tr>
      <w:tr w:rsidR="00F0696B" w:rsidRPr="00FE3C59" w14:paraId="1D1C2403" w14:textId="77777777" w:rsidTr="005F1AA1">
        <w:tc>
          <w:tcPr>
            <w:tcW w:w="1043" w:type="dxa"/>
          </w:tcPr>
          <w:p w14:paraId="050F160C" w14:textId="7008C7EB" w:rsidR="00F0696B" w:rsidRPr="00FE3C59" w:rsidRDefault="00200EEB"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0110-0200</w:t>
            </w:r>
          </w:p>
        </w:tc>
        <w:tc>
          <w:tcPr>
            <w:tcW w:w="7973" w:type="dxa"/>
          </w:tcPr>
          <w:p w14:paraId="7206BD48" w14:textId="6CA38D9E"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Sovereigns</w:t>
            </w:r>
          </w:p>
          <w:p w14:paraId="2ECD82B5" w14:textId="09AB0450" w:rsidR="00F0696B" w:rsidRPr="00FE3C59" w:rsidRDefault="00200EEB" w:rsidP="005F1AA1">
            <w:pPr>
              <w:pStyle w:val="Tabelleninhal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Exposures allocated to the </w:t>
            </w:r>
            <w:r w:rsidR="002C19DC" w:rsidRPr="00FE3C59">
              <w:rPr>
                <w:rFonts w:ascii="Times New Roman" w:hAnsi="Times New Roman" w:cs="Times New Roman"/>
                <w:lang w:val="en-GB"/>
              </w:rPr>
              <w:t>sovereigns</w:t>
            </w:r>
            <w:r w:rsidRPr="00FE3C59">
              <w:rPr>
                <w:rFonts w:ascii="Times New Roman" w:hAnsi="Times New Roman" w:cs="Times New Roman"/>
                <w:lang w:val="en-GB"/>
              </w:rPr>
              <w:t xml:space="preserve"> bucket in accordance with </w:t>
            </w:r>
            <w:r w:rsidR="00433A71" w:rsidRPr="00FE3C59">
              <w:rPr>
                <w:rFonts w:ascii="Times New Roman" w:hAnsi="Times New Roman" w:cs="Times New Roman"/>
                <w:lang w:val="en-GB"/>
              </w:rPr>
              <w:t>A</w:t>
            </w:r>
            <w:r w:rsidRPr="00FE3C59">
              <w:rPr>
                <w:rFonts w:ascii="Times New Roman" w:hAnsi="Times New Roman" w:cs="Times New Roman"/>
                <w:lang w:val="en-GB"/>
              </w:rPr>
              <w:t>rticle 325y(3) of Regulation (EU) No 575/2013</w:t>
            </w:r>
            <w:r w:rsidR="00433A71" w:rsidRPr="00FE3C59">
              <w:rPr>
                <w:rFonts w:ascii="Times New Roman" w:hAnsi="Times New Roman" w:cs="Times New Roman"/>
                <w:lang w:val="en-GB"/>
              </w:rPr>
              <w:t xml:space="preserve"> shall be reported.</w:t>
            </w:r>
          </w:p>
        </w:tc>
      </w:tr>
      <w:tr w:rsidR="00F0696B" w:rsidRPr="00FE3C59" w14:paraId="04D2FE55" w14:textId="77777777" w:rsidTr="005F1AA1">
        <w:tc>
          <w:tcPr>
            <w:tcW w:w="1043" w:type="dxa"/>
          </w:tcPr>
          <w:p w14:paraId="4277A302" w14:textId="2B706A48" w:rsidR="00F0696B" w:rsidRPr="00FE3C59" w:rsidRDefault="00200EEB"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D41B28" w:rsidRPr="00FE3C59">
              <w:rPr>
                <w:rFonts w:ascii="Times New Roman" w:hAnsi="Times New Roman" w:cs="Times New Roman"/>
                <w:lang w:val="en-GB"/>
              </w:rPr>
              <w:t>1</w:t>
            </w:r>
            <w:r w:rsidRPr="00FE3C59">
              <w:rPr>
                <w:rFonts w:ascii="Times New Roman" w:hAnsi="Times New Roman" w:cs="Times New Roman"/>
                <w:lang w:val="en-GB"/>
              </w:rPr>
              <w:t>20-0</w:t>
            </w:r>
            <w:r w:rsidR="00D41B28" w:rsidRPr="00FE3C59">
              <w:rPr>
                <w:rFonts w:ascii="Times New Roman" w:hAnsi="Times New Roman" w:cs="Times New Roman"/>
                <w:lang w:val="en-GB"/>
              </w:rPr>
              <w:t>1</w:t>
            </w:r>
            <w:r w:rsidRPr="00FE3C59">
              <w:rPr>
                <w:rFonts w:ascii="Times New Roman" w:hAnsi="Times New Roman" w:cs="Times New Roman"/>
                <w:lang w:val="en-GB"/>
              </w:rPr>
              <w:t>40</w:t>
            </w:r>
          </w:p>
        </w:tc>
        <w:tc>
          <w:tcPr>
            <w:tcW w:w="7973" w:type="dxa"/>
          </w:tcPr>
          <w:p w14:paraId="06354C20" w14:textId="77777777"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Debt instruments</w:t>
            </w:r>
          </w:p>
          <w:p w14:paraId="02B56AE8" w14:textId="7792FBF9" w:rsidR="00F0696B" w:rsidRPr="00FE3C59" w:rsidRDefault="00270058" w:rsidP="006F6A68">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 xml:space="preserve">See instructions on rows 0020 to </w:t>
            </w:r>
            <w:r w:rsidR="00761B71" w:rsidRPr="00FE3C59">
              <w:rPr>
                <w:rFonts w:ascii="Times New Roman" w:hAnsi="Times New Roman" w:cs="Times New Roman"/>
                <w:bCs/>
                <w:lang w:val="en-GB"/>
              </w:rPr>
              <w:t>0040</w:t>
            </w:r>
          </w:p>
        </w:tc>
      </w:tr>
      <w:tr w:rsidR="00200EEB" w:rsidRPr="00FE3C59" w14:paraId="638682F9" w14:textId="77777777" w:rsidTr="005F1AA1">
        <w:tc>
          <w:tcPr>
            <w:tcW w:w="1043" w:type="dxa"/>
          </w:tcPr>
          <w:p w14:paraId="0222A74C" w14:textId="4EFE8785"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A41DFE" w:rsidRPr="00FE3C59">
              <w:rPr>
                <w:rFonts w:ascii="Times New Roman" w:hAnsi="Times New Roman" w:cs="Times New Roman"/>
                <w:lang w:val="en-GB"/>
              </w:rPr>
              <w:t>1</w:t>
            </w:r>
            <w:r w:rsidRPr="00FE3C59">
              <w:rPr>
                <w:rFonts w:ascii="Times New Roman" w:hAnsi="Times New Roman" w:cs="Times New Roman"/>
                <w:lang w:val="en-GB"/>
              </w:rPr>
              <w:t>20</w:t>
            </w:r>
          </w:p>
        </w:tc>
        <w:tc>
          <w:tcPr>
            <w:tcW w:w="7973" w:type="dxa"/>
          </w:tcPr>
          <w:p w14:paraId="0678CE14" w14:textId="1B606438"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Non-Senior</w:t>
            </w:r>
          </w:p>
        </w:tc>
      </w:tr>
      <w:tr w:rsidR="00200EEB" w:rsidRPr="00FE3C59" w14:paraId="3DF3DB83" w14:textId="77777777" w:rsidTr="005F1AA1">
        <w:tc>
          <w:tcPr>
            <w:tcW w:w="1043" w:type="dxa"/>
          </w:tcPr>
          <w:p w14:paraId="5D669734" w14:textId="4101C526"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A41DFE" w:rsidRPr="00FE3C59">
              <w:rPr>
                <w:rFonts w:ascii="Times New Roman" w:hAnsi="Times New Roman" w:cs="Times New Roman"/>
                <w:lang w:val="en-GB"/>
              </w:rPr>
              <w:t>1</w:t>
            </w:r>
            <w:r w:rsidRPr="00FE3C59">
              <w:rPr>
                <w:rFonts w:ascii="Times New Roman" w:hAnsi="Times New Roman" w:cs="Times New Roman"/>
                <w:lang w:val="en-GB"/>
              </w:rPr>
              <w:t>30</w:t>
            </w:r>
          </w:p>
        </w:tc>
        <w:tc>
          <w:tcPr>
            <w:tcW w:w="7973" w:type="dxa"/>
          </w:tcPr>
          <w:p w14:paraId="43C37F35" w14:textId="585D61FA"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Senior</w:t>
            </w:r>
          </w:p>
        </w:tc>
      </w:tr>
      <w:tr w:rsidR="00200EEB" w:rsidRPr="00FE3C59" w14:paraId="6E738D38" w14:textId="77777777" w:rsidTr="005F1AA1">
        <w:tc>
          <w:tcPr>
            <w:tcW w:w="1043" w:type="dxa"/>
          </w:tcPr>
          <w:p w14:paraId="324A6C5D" w14:textId="4604EB5C"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A41DFE" w:rsidRPr="00FE3C59">
              <w:rPr>
                <w:rFonts w:ascii="Times New Roman" w:hAnsi="Times New Roman" w:cs="Times New Roman"/>
                <w:lang w:val="en-GB"/>
              </w:rPr>
              <w:t>1</w:t>
            </w:r>
            <w:r w:rsidRPr="00FE3C59">
              <w:rPr>
                <w:rFonts w:ascii="Times New Roman" w:hAnsi="Times New Roman" w:cs="Times New Roman"/>
                <w:lang w:val="en-GB"/>
              </w:rPr>
              <w:t>40</w:t>
            </w:r>
          </w:p>
        </w:tc>
        <w:tc>
          <w:tcPr>
            <w:tcW w:w="7973" w:type="dxa"/>
          </w:tcPr>
          <w:p w14:paraId="6C2BFC1B" w14:textId="264F51A7"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w:t>
            </w:r>
          </w:p>
        </w:tc>
      </w:tr>
      <w:tr w:rsidR="00200EEB" w:rsidRPr="00FE3C59" w14:paraId="437B3C94" w14:textId="77777777" w:rsidTr="005F1AA1">
        <w:tc>
          <w:tcPr>
            <w:tcW w:w="1043" w:type="dxa"/>
          </w:tcPr>
          <w:p w14:paraId="2BFBE467" w14:textId="2592353C"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A41DFE" w:rsidRPr="00FE3C59">
              <w:rPr>
                <w:rFonts w:ascii="Times New Roman" w:hAnsi="Times New Roman" w:cs="Times New Roman"/>
                <w:lang w:val="en-GB"/>
              </w:rPr>
              <w:t>1</w:t>
            </w:r>
            <w:r w:rsidRPr="00FE3C59">
              <w:rPr>
                <w:rFonts w:ascii="Times New Roman" w:hAnsi="Times New Roman" w:cs="Times New Roman"/>
                <w:lang w:val="en-GB"/>
              </w:rPr>
              <w:t>50-0</w:t>
            </w:r>
            <w:r w:rsidR="00A41DFE" w:rsidRPr="00FE3C59">
              <w:rPr>
                <w:rFonts w:ascii="Times New Roman" w:hAnsi="Times New Roman" w:cs="Times New Roman"/>
                <w:lang w:val="en-GB"/>
              </w:rPr>
              <w:t>1</w:t>
            </w:r>
            <w:r w:rsidRPr="00FE3C59">
              <w:rPr>
                <w:rFonts w:ascii="Times New Roman" w:hAnsi="Times New Roman" w:cs="Times New Roman"/>
                <w:lang w:val="en-GB"/>
              </w:rPr>
              <w:t>70</w:t>
            </w:r>
          </w:p>
        </w:tc>
        <w:tc>
          <w:tcPr>
            <w:tcW w:w="7973" w:type="dxa"/>
          </w:tcPr>
          <w:p w14:paraId="27591B5E" w14:textId="77777777"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Derivatives having debt instruments as underlyings</w:t>
            </w:r>
          </w:p>
          <w:p w14:paraId="79761E74" w14:textId="5CD986B3" w:rsidR="00200EEB" w:rsidRPr="00FE3C59" w:rsidRDefault="00761B71" w:rsidP="00D0624A">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See instructions on rows 0050 to 0070</w:t>
            </w:r>
          </w:p>
        </w:tc>
      </w:tr>
      <w:tr w:rsidR="00200EEB" w:rsidRPr="00FE3C59" w14:paraId="09F934E7" w14:textId="77777777" w:rsidTr="005F1AA1">
        <w:tc>
          <w:tcPr>
            <w:tcW w:w="1043" w:type="dxa"/>
          </w:tcPr>
          <w:p w14:paraId="0F620945" w14:textId="15DCA0FC"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0B50C2" w:rsidRPr="00FE3C59">
              <w:rPr>
                <w:rFonts w:ascii="Times New Roman" w:hAnsi="Times New Roman" w:cs="Times New Roman"/>
                <w:lang w:val="en-GB"/>
              </w:rPr>
              <w:t>1</w:t>
            </w:r>
            <w:r w:rsidRPr="00FE3C59">
              <w:rPr>
                <w:rFonts w:ascii="Times New Roman" w:hAnsi="Times New Roman" w:cs="Times New Roman"/>
                <w:lang w:val="en-GB"/>
              </w:rPr>
              <w:t>50</w:t>
            </w:r>
          </w:p>
        </w:tc>
        <w:tc>
          <w:tcPr>
            <w:tcW w:w="7973" w:type="dxa"/>
          </w:tcPr>
          <w:p w14:paraId="3F0A5204" w14:textId="3CE7CBE3"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Non-Senior</w:t>
            </w:r>
          </w:p>
        </w:tc>
      </w:tr>
      <w:tr w:rsidR="00200EEB" w:rsidRPr="00FE3C59" w14:paraId="4C3B8278" w14:textId="77777777" w:rsidTr="005F1AA1">
        <w:tc>
          <w:tcPr>
            <w:tcW w:w="1043" w:type="dxa"/>
          </w:tcPr>
          <w:p w14:paraId="2D1DF575" w14:textId="4FA6C132"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0B50C2" w:rsidRPr="00FE3C59">
              <w:rPr>
                <w:rFonts w:ascii="Times New Roman" w:hAnsi="Times New Roman" w:cs="Times New Roman"/>
                <w:lang w:val="en-GB"/>
              </w:rPr>
              <w:t>1</w:t>
            </w:r>
            <w:r w:rsidRPr="00FE3C59">
              <w:rPr>
                <w:rFonts w:ascii="Times New Roman" w:hAnsi="Times New Roman" w:cs="Times New Roman"/>
                <w:lang w:val="en-GB"/>
              </w:rPr>
              <w:t>60</w:t>
            </w:r>
          </w:p>
        </w:tc>
        <w:tc>
          <w:tcPr>
            <w:tcW w:w="7973" w:type="dxa"/>
          </w:tcPr>
          <w:p w14:paraId="715E5DA5" w14:textId="5863914C"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Senior</w:t>
            </w:r>
          </w:p>
        </w:tc>
      </w:tr>
      <w:tr w:rsidR="00200EEB" w:rsidRPr="00FE3C59" w14:paraId="4A66C671" w14:textId="77777777" w:rsidTr="005F1AA1">
        <w:tc>
          <w:tcPr>
            <w:tcW w:w="1043" w:type="dxa"/>
          </w:tcPr>
          <w:p w14:paraId="2E92DED7" w14:textId="1FFAD51D"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0B50C2" w:rsidRPr="00FE3C59">
              <w:rPr>
                <w:rFonts w:ascii="Times New Roman" w:hAnsi="Times New Roman" w:cs="Times New Roman"/>
                <w:lang w:val="en-GB"/>
              </w:rPr>
              <w:t>1</w:t>
            </w:r>
            <w:r w:rsidRPr="00FE3C59">
              <w:rPr>
                <w:rFonts w:ascii="Times New Roman" w:hAnsi="Times New Roman" w:cs="Times New Roman"/>
                <w:lang w:val="en-GB"/>
              </w:rPr>
              <w:t>70</w:t>
            </w:r>
          </w:p>
        </w:tc>
        <w:tc>
          <w:tcPr>
            <w:tcW w:w="7973" w:type="dxa"/>
          </w:tcPr>
          <w:p w14:paraId="537BAB48" w14:textId="25FA0F82"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w:t>
            </w:r>
          </w:p>
        </w:tc>
      </w:tr>
      <w:tr w:rsidR="00200EEB" w:rsidRPr="00FE3C59" w14:paraId="47B9A906" w14:textId="77777777" w:rsidTr="005F1AA1">
        <w:tc>
          <w:tcPr>
            <w:tcW w:w="1043" w:type="dxa"/>
          </w:tcPr>
          <w:p w14:paraId="60EDE046" w14:textId="764FA41A" w:rsidR="00200EEB" w:rsidRPr="00FE3C59" w:rsidRDefault="00200EEB"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0B50C2" w:rsidRPr="00FE3C59">
              <w:rPr>
                <w:rFonts w:ascii="Times New Roman" w:hAnsi="Times New Roman" w:cs="Times New Roman"/>
                <w:lang w:val="en-GB"/>
              </w:rPr>
              <w:t>1</w:t>
            </w:r>
            <w:r w:rsidRPr="00FE3C59">
              <w:rPr>
                <w:rFonts w:ascii="Times New Roman" w:hAnsi="Times New Roman" w:cs="Times New Roman"/>
                <w:lang w:val="en-GB"/>
              </w:rPr>
              <w:t>80</w:t>
            </w:r>
          </w:p>
        </w:tc>
        <w:tc>
          <w:tcPr>
            <w:tcW w:w="7973" w:type="dxa"/>
          </w:tcPr>
          <w:p w14:paraId="5EB5E9CC" w14:textId="77777777" w:rsidR="00200EEB" w:rsidRPr="00FE3C59" w:rsidRDefault="00200EEB"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instruments</w:t>
            </w:r>
          </w:p>
          <w:p w14:paraId="20C1D94A" w14:textId="20117BFD" w:rsidR="00200EEB" w:rsidRPr="00FE3C59" w:rsidRDefault="00761B71"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See instructions on row 0080</w:t>
            </w:r>
          </w:p>
        </w:tc>
      </w:tr>
      <w:tr w:rsidR="00200EEB" w:rsidRPr="00FE3C59" w14:paraId="16DAE201" w14:textId="77777777" w:rsidTr="005F1AA1">
        <w:tc>
          <w:tcPr>
            <w:tcW w:w="1043" w:type="dxa"/>
          </w:tcPr>
          <w:p w14:paraId="1E7C10D6" w14:textId="2E47FE17" w:rsidR="00200EEB" w:rsidRPr="00FE3C59" w:rsidRDefault="00DA682C"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73" w:type="dxa"/>
          </w:tcPr>
          <w:p w14:paraId="5EE5DB94" w14:textId="77777777" w:rsidR="00DA682C" w:rsidRPr="00FE3C59" w:rsidRDefault="00DA682C" w:rsidP="00DA682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Derivatives having equity instruments as underlyings</w:t>
            </w:r>
          </w:p>
          <w:p w14:paraId="189E9586" w14:textId="59CE4F28" w:rsidR="00200EEB" w:rsidRPr="00FE3C59" w:rsidRDefault="004574E7"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lang w:val="en-GB"/>
              </w:rPr>
              <w:t>See instructions on row 0090</w:t>
            </w:r>
          </w:p>
        </w:tc>
      </w:tr>
      <w:tr w:rsidR="00200EEB" w:rsidRPr="00FE3C59" w14:paraId="10F32F49" w14:textId="77777777" w:rsidTr="005F1AA1">
        <w:tc>
          <w:tcPr>
            <w:tcW w:w="1043" w:type="dxa"/>
          </w:tcPr>
          <w:p w14:paraId="4EED4B8A" w14:textId="261ACDD5" w:rsidR="00200EEB" w:rsidRPr="00FE3C59" w:rsidRDefault="00DA682C"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73" w:type="dxa"/>
          </w:tcPr>
          <w:p w14:paraId="46A067CB" w14:textId="134CABB6" w:rsidR="00DA682C" w:rsidRPr="00FE3C59" w:rsidRDefault="00DA682C" w:rsidP="00DA682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Derivative instruments </w:t>
            </w:r>
            <w:r w:rsidR="00D418C7" w:rsidRPr="00FE3C59">
              <w:rPr>
                <w:rFonts w:ascii="Times New Roman" w:hAnsi="Times New Roman" w:cs="Times New Roman"/>
                <w:b/>
                <w:u w:val="single"/>
                <w:lang w:val="en-GB"/>
              </w:rPr>
              <w:t xml:space="preserve">treated </w:t>
            </w:r>
            <w:r w:rsidRPr="00FE3C59">
              <w:rPr>
                <w:rFonts w:ascii="Times New Roman" w:hAnsi="Times New Roman" w:cs="Times New Roman"/>
                <w:b/>
                <w:u w:val="single"/>
                <w:lang w:val="en-GB"/>
              </w:rPr>
              <w:t>in accordance with Article 325w(7) of Regulation (EU) No 575/2013</w:t>
            </w:r>
          </w:p>
          <w:p w14:paraId="0077DA02" w14:textId="5ABF9EDA" w:rsidR="00200EEB" w:rsidRPr="00FE3C59" w:rsidRDefault="004574E7"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lang w:val="en-GB"/>
              </w:rPr>
              <w:t>See instructions on row 0100</w:t>
            </w:r>
          </w:p>
        </w:tc>
      </w:tr>
      <w:tr w:rsidR="00200EEB" w:rsidRPr="00FE3C59" w14:paraId="03148456" w14:textId="77777777" w:rsidTr="005F1AA1">
        <w:tc>
          <w:tcPr>
            <w:tcW w:w="1043" w:type="dxa"/>
          </w:tcPr>
          <w:p w14:paraId="2EF60C4C" w14:textId="3DD85A05" w:rsidR="00200EEB" w:rsidRPr="00FE3C59" w:rsidRDefault="006C14EC"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0210-0300</w:t>
            </w:r>
          </w:p>
        </w:tc>
        <w:tc>
          <w:tcPr>
            <w:tcW w:w="7973" w:type="dxa"/>
          </w:tcPr>
          <w:p w14:paraId="6AB0D468" w14:textId="5682A909" w:rsidR="006C14EC" w:rsidRPr="00FE3C59" w:rsidRDefault="004A70E1"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Local governments / </w:t>
            </w:r>
            <w:r w:rsidR="005870B1" w:rsidRPr="00FE3C59">
              <w:rPr>
                <w:rFonts w:ascii="Times New Roman" w:hAnsi="Times New Roman" w:cs="Times New Roman"/>
                <w:b/>
                <w:u w:val="single"/>
                <w:lang w:val="en-GB"/>
              </w:rPr>
              <w:t>municipalities</w:t>
            </w:r>
          </w:p>
          <w:p w14:paraId="304285D2" w14:textId="785AF73E" w:rsidR="00200EEB" w:rsidRPr="00FE3C59" w:rsidRDefault="006C14EC"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Exposures allocated to the </w:t>
            </w:r>
            <w:r w:rsidR="00320D4E" w:rsidRPr="00FE3C59">
              <w:rPr>
                <w:rFonts w:ascii="Times New Roman" w:hAnsi="Times New Roman" w:cs="Times New Roman"/>
                <w:lang w:val="en-GB"/>
              </w:rPr>
              <w:t>local governments/</w:t>
            </w:r>
            <w:r w:rsidR="005870B1" w:rsidRPr="00FE3C59">
              <w:rPr>
                <w:rFonts w:ascii="Times New Roman" w:hAnsi="Times New Roman" w:cs="Times New Roman"/>
                <w:lang w:val="en-GB"/>
              </w:rPr>
              <w:t>municipalities</w:t>
            </w:r>
            <w:r w:rsidRPr="00FE3C59">
              <w:rPr>
                <w:rFonts w:ascii="Times New Roman" w:hAnsi="Times New Roman" w:cs="Times New Roman"/>
                <w:lang w:val="en-GB"/>
              </w:rPr>
              <w:t xml:space="preserve"> bucket in accordance with </w:t>
            </w:r>
            <w:r w:rsidR="005870B1" w:rsidRPr="00FE3C59">
              <w:rPr>
                <w:rFonts w:ascii="Times New Roman" w:hAnsi="Times New Roman" w:cs="Times New Roman"/>
                <w:lang w:val="en-GB"/>
              </w:rPr>
              <w:t>A</w:t>
            </w:r>
            <w:r w:rsidRPr="00FE3C59">
              <w:rPr>
                <w:rFonts w:ascii="Times New Roman" w:hAnsi="Times New Roman" w:cs="Times New Roman"/>
                <w:lang w:val="en-GB"/>
              </w:rPr>
              <w:t>rticle 325y(3) of Regulation (EU) No 575/2013</w:t>
            </w:r>
          </w:p>
        </w:tc>
      </w:tr>
      <w:tr w:rsidR="006C14EC" w:rsidRPr="00FE3C59" w14:paraId="27F87E32" w14:textId="77777777" w:rsidTr="005F1AA1">
        <w:tc>
          <w:tcPr>
            <w:tcW w:w="1043" w:type="dxa"/>
          </w:tcPr>
          <w:p w14:paraId="72D81713" w14:textId="763A2FFC"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7E37E9" w:rsidRPr="00FE3C59">
              <w:rPr>
                <w:rFonts w:ascii="Times New Roman" w:hAnsi="Times New Roman" w:cs="Times New Roman"/>
                <w:lang w:val="en-GB"/>
              </w:rPr>
              <w:t>2</w:t>
            </w:r>
            <w:r w:rsidRPr="00FE3C59">
              <w:rPr>
                <w:rFonts w:ascii="Times New Roman" w:hAnsi="Times New Roman" w:cs="Times New Roman"/>
                <w:lang w:val="en-GB"/>
              </w:rPr>
              <w:t>20-0</w:t>
            </w:r>
            <w:r w:rsidR="005D4DA1" w:rsidRPr="00FE3C59">
              <w:rPr>
                <w:rFonts w:ascii="Times New Roman" w:hAnsi="Times New Roman" w:cs="Times New Roman"/>
                <w:lang w:val="en-GB"/>
              </w:rPr>
              <w:t>2</w:t>
            </w:r>
            <w:r w:rsidRPr="00FE3C59">
              <w:rPr>
                <w:rFonts w:ascii="Times New Roman" w:hAnsi="Times New Roman" w:cs="Times New Roman"/>
                <w:lang w:val="en-GB"/>
              </w:rPr>
              <w:t>40</w:t>
            </w:r>
          </w:p>
        </w:tc>
        <w:tc>
          <w:tcPr>
            <w:tcW w:w="7973" w:type="dxa"/>
          </w:tcPr>
          <w:p w14:paraId="764CCEDB" w14:textId="77777777"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Debt instruments</w:t>
            </w:r>
          </w:p>
          <w:p w14:paraId="66FA360D" w14:textId="54CC068D" w:rsidR="006C14EC" w:rsidRPr="00FE3C59" w:rsidRDefault="00800E36" w:rsidP="000618BD">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See instructions on rows 0020 to 0040</w:t>
            </w:r>
          </w:p>
        </w:tc>
      </w:tr>
      <w:tr w:rsidR="006C14EC" w:rsidRPr="00FE3C59" w14:paraId="7C9D36EC" w14:textId="77777777" w:rsidTr="005F1AA1">
        <w:tc>
          <w:tcPr>
            <w:tcW w:w="1043" w:type="dxa"/>
          </w:tcPr>
          <w:p w14:paraId="0934BE4E" w14:textId="1CA0516D"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w:t>
            </w:r>
            <w:r w:rsidR="00C31D37" w:rsidRPr="00FE3C59">
              <w:rPr>
                <w:rFonts w:ascii="Times New Roman" w:hAnsi="Times New Roman" w:cs="Times New Roman"/>
                <w:lang w:val="en-GB"/>
              </w:rPr>
              <w:t>2</w:t>
            </w:r>
            <w:r w:rsidRPr="00FE3C59">
              <w:rPr>
                <w:rFonts w:ascii="Times New Roman" w:hAnsi="Times New Roman" w:cs="Times New Roman"/>
                <w:lang w:val="en-GB"/>
              </w:rPr>
              <w:t>20</w:t>
            </w:r>
          </w:p>
        </w:tc>
        <w:tc>
          <w:tcPr>
            <w:tcW w:w="7973" w:type="dxa"/>
          </w:tcPr>
          <w:p w14:paraId="47755DD3" w14:textId="71FCB2F5"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Non-Senior</w:t>
            </w:r>
          </w:p>
        </w:tc>
      </w:tr>
      <w:tr w:rsidR="006C14EC" w:rsidRPr="00FE3C59" w14:paraId="03AEF159" w14:textId="77777777" w:rsidTr="005F1AA1">
        <w:tc>
          <w:tcPr>
            <w:tcW w:w="1043" w:type="dxa"/>
          </w:tcPr>
          <w:p w14:paraId="6DB42D29" w14:textId="0D652C97"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C31D37" w:rsidRPr="00FE3C59">
              <w:rPr>
                <w:rFonts w:ascii="Times New Roman" w:hAnsi="Times New Roman" w:cs="Times New Roman"/>
                <w:lang w:val="en-GB"/>
              </w:rPr>
              <w:t>2</w:t>
            </w:r>
            <w:r w:rsidRPr="00FE3C59">
              <w:rPr>
                <w:rFonts w:ascii="Times New Roman" w:hAnsi="Times New Roman" w:cs="Times New Roman"/>
                <w:lang w:val="en-GB"/>
              </w:rPr>
              <w:t>30</w:t>
            </w:r>
          </w:p>
        </w:tc>
        <w:tc>
          <w:tcPr>
            <w:tcW w:w="7973" w:type="dxa"/>
          </w:tcPr>
          <w:p w14:paraId="34358152" w14:textId="3A98BA92"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Senior</w:t>
            </w:r>
          </w:p>
        </w:tc>
      </w:tr>
      <w:tr w:rsidR="006C14EC" w:rsidRPr="00FE3C59" w14:paraId="67C67524" w14:textId="77777777" w:rsidTr="005F1AA1">
        <w:tc>
          <w:tcPr>
            <w:tcW w:w="1043" w:type="dxa"/>
          </w:tcPr>
          <w:p w14:paraId="10F91D62" w14:textId="1E287E93"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C31D37" w:rsidRPr="00FE3C59">
              <w:rPr>
                <w:rFonts w:ascii="Times New Roman" w:hAnsi="Times New Roman" w:cs="Times New Roman"/>
                <w:lang w:val="en-GB"/>
              </w:rPr>
              <w:t>2</w:t>
            </w:r>
            <w:r w:rsidRPr="00FE3C59">
              <w:rPr>
                <w:rFonts w:ascii="Times New Roman" w:hAnsi="Times New Roman" w:cs="Times New Roman"/>
                <w:lang w:val="en-GB"/>
              </w:rPr>
              <w:t>40</w:t>
            </w:r>
          </w:p>
        </w:tc>
        <w:tc>
          <w:tcPr>
            <w:tcW w:w="7973" w:type="dxa"/>
          </w:tcPr>
          <w:p w14:paraId="3FE8F9DD" w14:textId="25AD1C0B"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w:t>
            </w:r>
          </w:p>
        </w:tc>
      </w:tr>
      <w:tr w:rsidR="006C14EC" w:rsidRPr="00FE3C59" w14:paraId="2BBD9802" w14:textId="77777777" w:rsidTr="005F1AA1">
        <w:tc>
          <w:tcPr>
            <w:tcW w:w="1043" w:type="dxa"/>
          </w:tcPr>
          <w:p w14:paraId="36B3527E" w14:textId="6ADB9F0A"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2C3B96" w:rsidRPr="00FE3C59">
              <w:rPr>
                <w:rFonts w:ascii="Times New Roman" w:hAnsi="Times New Roman" w:cs="Times New Roman"/>
                <w:lang w:val="en-GB"/>
              </w:rPr>
              <w:t>2</w:t>
            </w:r>
            <w:r w:rsidRPr="00FE3C59">
              <w:rPr>
                <w:rFonts w:ascii="Times New Roman" w:hAnsi="Times New Roman" w:cs="Times New Roman"/>
                <w:lang w:val="en-GB"/>
              </w:rPr>
              <w:t>50-0</w:t>
            </w:r>
            <w:r w:rsidR="002C3B96" w:rsidRPr="00FE3C59">
              <w:rPr>
                <w:rFonts w:ascii="Times New Roman" w:hAnsi="Times New Roman" w:cs="Times New Roman"/>
                <w:lang w:val="en-GB"/>
              </w:rPr>
              <w:t>2</w:t>
            </w:r>
            <w:r w:rsidRPr="00FE3C59">
              <w:rPr>
                <w:rFonts w:ascii="Times New Roman" w:hAnsi="Times New Roman" w:cs="Times New Roman"/>
                <w:lang w:val="en-GB"/>
              </w:rPr>
              <w:t>70</w:t>
            </w:r>
          </w:p>
        </w:tc>
        <w:tc>
          <w:tcPr>
            <w:tcW w:w="7973" w:type="dxa"/>
          </w:tcPr>
          <w:p w14:paraId="5BA8B082" w14:textId="77777777"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Derivatives having debt instruments as underlyings</w:t>
            </w:r>
          </w:p>
          <w:p w14:paraId="18706ACA" w14:textId="322420F8" w:rsidR="006C14EC" w:rsidRPr="00FE3C59" w:rsidRDefault="00800E36" w:rsidP="009F0B7F">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See instructions on rows 0050 to 00</w:t>
            </w:r>
            <w:r w:rsidR="00A40D47" w:rsidRPr="00FE3C59">
              <w:rPr>
                <w:rFonts w:ascii="Times New Roman" w:hAnsi="Times New Roman" w:cs="Times New Roman"/>
                <w:bCs/>
                <w:lang w:val="en-GB"/>
              </w:rPr>
              <w:t>7</w:t>
            </w:r>
            <w:r w:rsidRPr="00FE3C59">
              <w:rPr>
                <w:rFonts w:ascii="Times New Roman" w:hAnsi="Times New Roman" w:cs="Times New Roman"/>
                <w:bCs/>
                <w:lang w:val="en-GB"/>
              </w:rPr>
              <w:t>0</w:t>
            </w:r>
          </w:p>
        </w:tc>
      </w:tr>
      <w:tr w:rsidR="006C14EC" w:rsidRPr="00FE3C59" w14:paraId="62EBED48" w14:textId="77777777" w:rsidTr="005F1AA1">
        <w:tc>
          <w:tcPr>
            <w:tcW w:w="1043" w:type="dxa"/>
          </w:tcPr>
          <w:p w14:paraId="4F2660C6" w14:textId="2598083B"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7A73B0" w:rsidRPr="00FE3C59">
              <w:rPr>
                <w:rFonts w:ascii="Times New Roman" w:hAnsi="Times New Roman" w:cs="Times New Roman"/>
                <w:lang w:val="en-GB"/>
              </w:rPr>
              <w:t>2</w:t>
            </w:r>
            <w:r w:rsidRPr="00FE3C59">
              <w:rPr>
                <w:rFonts w:ascii="Times New Roman" w:hAnsi="Times New Roman" w:cs="Times New Roman"/>
                <w:lang w:val="en-GB"/>
              </w:rPr>
              <w:t>50</w:t>
            </w:r>
          </w:p>
        </w:tc>
        <w:tc>
          <w:tcPr>
            <w:tcW w:w="7973" w:type="dxa"/>
          </w:tcPr>
          <w:p w14:paraId="0E5B62DA" w14:textId="59870585"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Non-Senior</w:t>
            </w:r>
          </w:p>
        </w:tc>
      </w:tr>
      <w:tr w:rsidR="00200EEB" w:rsidRPr="00FE3C59" w14:paraId="620110A8" w14:textId="77777777" w:rsidTr="005F1AA1">
        <w:tc>
          <w:tcPr>
            <w:tcW w:w="1043" w:type="dxa"/>
          </w:tcPr>
          <w:p w14:paraId="2C39BBD1" w14:textId="151B919F" w:rsidR="00200EEB" w:rsidRPr="00FE3C59" w:rsidRDefault="006C14EC"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7A73B0" w:rsidRPr="00FE3C59">
              <w:rPr>
                <w:rFonts w:ascii="Times New Roman" w:hAnsi="Times New Roman" w:cs="Times New Roman"/>
                <w:lang w:val="en-GB"/>
              </w:rPr>
              <w:t>2</w:t>
            </w:r>
            <w:r w:rsidRPr="00FE3C59">
              <w:rPr>
                <w:rFonts w:ascii="Times New Roman" w:hAnsi="Times New Roman" w:cs="Times New Roman"/>
                <w:lang w:val="en-GB"/>
              </w:rPr>
              <w:t>60</w:t>
            </w:r>
          </w:p>
        </w:tc>
        <w:tc>
          <w:tcPr>
            <w:tcW w:w="7973" w:type="dxa"/>
          </w:tcPr>
          <w:p w14:paraId="3DE7003E" w14:textId="0CCBF241" w:rsidR="00200EEB" w:rsidRPr="00FE3C59" w:rsidRDefault="006C14EC"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Senior</w:t>
            </w:r>
          </w:p>
        </w:tc>
      </w:tr>
      <w:tr w:rsidR="00200EEB" w:rsidRPr="00FE3C59" w14:paraId="1C1BE15A" w14:textId="77777777" w:rsidTr="005F1AA1">
        <w:tc>
          <w:tcPr>
            <w:tcW w:w="1043" w:type="dxa"/>
          </w:tcPr>
          <w:p w14:paraId="6A343D0D" w14:textId="0BE6C027" w:rsidR="00200EEB" w:rsidRPr="00FE3C59" w:rsidRDefault="006C14EC" w:rsidP="00200EEB">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7A73B0" w:rsidRPr="00FE3C59">
              <w:rPr>
                <w:rFonts w:ascii="Times New Roman" w:hAnsi="Times New Roman" w:cs="Times New Roman"/>
                <w:lang w:val="en-GB"/>
              </w:rPr>
              <w:t>2</w:t>
            </w:r>
            <w:r w:rsidRPr="00FE3C59">
              <w:rPr>
                <w:rFonts w:ascii="Times New Roman" w:hAnsi="Times New Roman" w:cs="Times New Roman"/>
                <w:lang w:val="en-GB"/>
              </w:rPr>
              <w:t>70</w:t>
            </w:r>
          </w:p>
        </w:tc>
        <w:tc>
          <w:tcPr>
            <w:tcW w:w="7973" w:type="dxa"/>
          </w:tcPr>
          <w:p w14:paraId="71170B5D" w14:textId="70D9E945" w:rsidR="00200EEB" w:rsidRPr="00FE3C59" w:rsidRDefault="006C14EC" w:rsidP="00200EEB">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w:t>
            </w:r>
          </w:p>
        </w:tc>
      </w:tr>
      <w:tr w:rsidR="00F0696B" w:rsidRPr="00FE3C59" w14:paraId="3A36784C" w14:textId="77777777" w:rsidTr="005F1AA1">
        <w:tc>
          <w:tcPr>
            <w:tcW w:w="1043" w:type="dxa"/>
          </w:tcPr>
          <w:p w14:paraId="00F2E516" w14:textId="1B2C33B6" w:rsidR="00F0696B" w:rsidRPr="00FE3C59" w:rsidRDefault="006C14EC"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7A73B0" w:rsidRPr="00FE3C59">
              <w:rPr>
                <w:rFonts w:ascii="Times New Roman" w:hAnsi="Times New Roman" w:cs="Times New Roman"/>
                <w:lang w:val="en-GB"/>
              </w:rPr>
              <w:t>2</w:t>
            </w:r>
            <w:r w:rsidRPr="00FE3C59">
              <w:rPr>
                <w:rFonts w:ascii="Times New Roman" w:hAnsi="Times New Roman" w:cs="Times New Roman"/>
                <w:lang w:val="en-GB"/>
              </w:rPr>
              <w:t>80</w:t>
            </w:r>
          </w:p>
        </w:tc>
        <w:tc>
          <w:tcPr>
            <w:tcW w:w="7973" w:type="dxa"/>
          </w:tcPr>
          <w:p w14:paraId="39851840" w14:textId="77777777"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instruments</w:t>
            </w:r>
          </w:p>
          <w:p w14:paraId="014B20D0" w14:textId="2F11AA74" w:rsidR="00F0696B" w:rsidRPr="00FE3C59" w:rsidRDefault="002C1FEE" w:rsidP="00C67A30">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 xml:space="preserve">See instructions on </w:t>
            </w:r>
            <w:r w:rsidR="00F76839" w:rsidRPr="00FE3C59">
              <w:rPr>
                <w:rFonts w:ascii="Times New Roman" w:hAnsi="Times New Roman" w:cs="Times New Roman"/>
                <w:bCs/>
                <w:lang w:val="en-GB"/>
              </w:rPr>
              <w:t>row 0080</w:t>
            </w:r>
          </w:p>
        </w:tc>
      </w:tr>
      <w:tr w:rsidR="006C14EC" w:rsidRPr="00FE3C59" w14:paraId="4DCD1C4A" w14:textId="77777777" w:rsidTr="005F1AA1">
        <w:tc>
          <w:tcPr>
            <w:tcW w:w="1043" w:type="dxa"/>
          </w:tcPr>
          <w:p w14:paraId="2E742AF0" w14:textId="73BE4DA9"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7A73B0" w:rsidRPr="00FE3C59">
              <w:rPr>
                <w:rFonts w:ascii="Times New Roman" w:hAnsi="Times New Roman" w:cs="Times New Roman"/>
                <w:lang w:val="en-GB"/>
              </w:rPr>
              <w:t>2</w:t>
            </w:r>
            <w:r w:rsidRPr="00FE3C59">
              <w:rPr>
                <w:rFonts w:ascii="Times New Roman" w:hAnsi="Times New Roman" w:cs="Times New Roman"/>
                <w:lang w:val="en-GB"/>
              </w:rPr>
              <w:t>90</w:t>
            </w:r>
          </w:p>
        </w:tc>
        <w:tc>
          <w:tcPr>
            <w:tcW w:w="7973" w:type="dxa"/>
          </w:tcPr>
          <w:p w14:paraId="6B81B0BA" w14:textId="77777777"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Derivatives having equity instruments as underlyings</w:t>
            </w:r>
          </w:p>
          <w:p w14:paraId="39A01833" w14:textId="53C4EE3E" w:rsidR="006C14EC" w:rsidRPr="00FE3C59" w:rsidRDefault="00F76839" w:rsidP="007E6859">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See instructions on row 0090</w:t>
            </w:r>
          </w:p>
        </w:tc>
      </w:tr>
      <w:tr w:rsidR="006C14EC" w:rsidRPr="00FE3C59" w14:paraId="08EE978E" w14:textId="77777777" w:rsidTr="005F1AA1">
        <w:tc>
          <w:tcPr>
            <w:tcW w:w="1043" w:type="dxa"/>
          </w:tcPr>
          <w:p w14:paraId="57AA81D3" w14:textId="2BCBEE79" w:rsidR="006C14EC" w:rsidRPr="00FE3C59" w:rsidRDefault="006C14EC" w:rsidP="006C14EC">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693A36" w:rsidRPr="00FE3C59">
              <w:rPr>
                <w:rFonts w:ascii="Times New Roman" w:hAnsi="Times New Roman" w:cs="Times New Roman"/>
                <w:lang w:val="en-GB"/>
              </w:rPr>
              <w:t>3</w:t>
            </w:r>
            <w:r w:rsidRPr="00FE3C59">
              <w:rPr>
                <w:rFonts w:ascii="Times New Roman" w:hAnsi="Times New Roman" w:cs="Times New Roman"/>
                <w:lang w:val="en-GB"/>
              </w:rPr>
              <w:t>00</w:t>
            </w:r>
          </w:p>
        </w:tc>
        <w:tc>
          <w:tcPr>
            <w:tcW w:w="7973" w:type="dxa"/>
          </w:tcPr>
          <w:p w14:paraId="50FAD232" w14:textId="212B8770" w:rsidR="006C14EC" w:rsidRPr="00FE3C59" w:rsidRDefault="006C14EC" w:rsidP="006C14EC">
            <w:pPr>
              <w:pStyle w:val="Tabelleninhal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Derivative instruments</w:t>
            </w:r>
            <w:r w:rsidR="003B69A1" w:rsidRPr="00FE3C59">
              <w:rPr>
                <w:rFonts w:ascii="Times New Roman" w:hAnsi="Times New Roman" w:cs="Times New Roman"/>
                <w:b/>
                <w:u w:val="single"/>
                <w:lang w:val="en-GB"/>
              </w:rPr>
              <w:t xml:space="preserve"> treated</w:t>
            </w:r>
            <w:r w:rsidRPr="00FE3C59">
              <w:rPr>
                <w:rFonts w:ascii="Times New Roman" w:hAnsi="Times New Roman" w:cs="Times New Roman"/>
                <w:b/>
                <w:u w:val="single"/>
                <w:lang w:val="en-GB"/>
              </w:rPr>
              <w:t xml:space="preserve"> in accordance with Article 325w(7) of Regulation (EU) No 575/2013</w:t>
            </w:r>
          </w:p>
          <w:p w14:paraId="434353B1" w14:textId="44F4B304" w:rsidR="006C14EC" w:rsidRPr="00FE3C59" w:rsidRDefault="00F76839" w:rsidP="00C77FE6">
            <w:pPr>
              <w:pStyle w:val="Tabelleninhalt"/>
              <w:spacing w:before="120" w:after="120"/>
              <w:rPr>
                <w:rFonts w:ascii="Times New Roman" w:hAnsi="Times New Roman" w:cs="Times New Roman"/>
                <w:b/>
                <w:u w:val="single"/>
                <w:lang w:val="en-GB"/>
              </w:rPr>
            </w:pPr>
            <w:r w:rsidRPr="00FE3C59">
              <w:rPr>
                <w:rFonts w:ascii="Times New Roman" w:hAnsi="Times New Roman" w:cs="Times New Roman"/>
                <w:bCs/>
                <w:lang w:val="en-GB"/>
              </w:rPr>
              <w:t>See instructions on row 0100</w:t>
            </w:r>
          </w:p>
        </w:tc>
      </w:tr>
    </w:tbl>
    <w:p w14:paraId="37C291CB" w14:textId="62979A4C" w:rsidR="00D43916" w:rsidRPr="00FE3C59" w:rsidRDefault="00D34F1B" w:rsidP="00CA1AF4">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2112EE" w:rsidRPr="00FE3C59">
        <w:rPr>
          <w:rFonts w:ascii="Times New Roman" w:hAnsi="Times New Roman" w:cs="Times New Roman"/>
          <w:sz w:val="24"/>
          <w:szCs w:val="24"/>
          <w:u w:val="none"/>
          <w:lang w:val="en-GB"/>
        </w:rPr>
        <w:t>5</w:t>
      </w:r>
      <w:r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3</w:t>
      </w:r>
      <w:r w:rsidR="00045806" w:rsidRPr="00FE3C59">
        <w:rPr>
          <w:rFonts w:ascii="Times New Roman" w:hAnsi="Times New Roman" w:cs="Times New Roman"/>
          <w:lang w:val="en-GB"/>
        </w:rPr>
        <w:tab/>
      </w:r>
      <w:r w:rsidR="00D43916" w:rsidRPr="00FE3C59">
        <w:rPr>
          <w:rFonts w:ascii="Times New Roman" w:hAnsi="Times New Roman" w:cs="Times New Roman"/>
          <w:sz w:val="24"/>
          <w:szCs w:val="24"/>
          <w:u w:val="none"/>
          <w:lang w:val="en-GB"/>
        </w:rPr>
        <w:t xml:space="preserve"> C </w:t>
      </w:r>
      <w:r w:rsidR="00DB1D68" w:rsidRPr="00FE3C59">
        <w:rPr>
          <w:rFonts w:ascii="Times New Roman" w:hAnsi="Times New Roman" w:cs="Times New Roman"/>
          <w:sz w:val="24"/>
          <w:szCs w:val="24"/>
          <w:u w:val="none"/>
          <w:lang w:val="en-GB"/>
        </w:rPr>
        <w:t>94.02</w:t>
      </w:r>
      <w:r w:rsidR="00D43916" w:rsidRPr="00FE3C59">
        <w:rPr>
          <w:rFonts w:ascii="Times New Roman" w:hAnsi="Times New Roman" w:cs="Times New Roman"/>
          <w:sz w:val="24"/>
          <w:szCs w:val="24"/>
          <w:u w:val="none"/>
          <w:lang w:val="en-GB"/>
        </w:rPr>
        <w:t xml:space="preserve">: </w:t>
      </w:r>
      <w:r w:rsidR="00226FCE" w:rsidRPr="00FE3C59">
        <w:rPr>
          <w:rFonts w:ascii="Times New Roman" w:hAnsi="Times New Roman" w:cs="Times New Roman"/>
          <w:sz w:val="24"/>
          <w:szCs w:val="24"/>
          <w:u w:val="none"/>
          <w:lang w:val="en-GB"/>
        </w:rPr>
        <w:t>D</w:t>
      </w:r>
      <w:r w:rsidR="00D43916" w:rsidRPr="00FE3C59">
        <w:rPr>
          <w:rFonts w:ascii="Times New Roman" w:hAnsi="Times New Roman" w:cs="Times New Roman"/>
          <w:sz w:val="24"/>
          <w:szCs w:val="24"/>
          <w:u w:val="none"/>
          <w:lang w:val="en-GB"/>
        </w:rPr>
        <w:t xml:space="preserve">efault risk charge </w:t>
      </w:r>
      <w:r w:rsidR="00485C29" w:rsidRPr="00FE3C59">
        <w:rPr>
          <w:rFonts w:ascii="Times New Roman" w:hAnsi="Times New Roman" w:cs="Times New Roman"/>
          <w:sz w:val="24"/>
          <w:szCs w:val="24"/>
          <w:u w:val="none"/>
          <w:lang w:val="en-GB"/>
        </w:rPr>
        <w:t>–</w:t>
      </w:r>
      <w:r w:rsidR="00D43916" w:rsidRPr="00FE3C59">
        <w:rPr>
          <w:rFonts w:ascii="Times New Roman" w:hAnsi="Times New Roman" w:cs="Times New Roman"/>
          <w:sz w:val="24"/>
          <w:szCs w:val="24"/>
          <w:u w:val="none"/>
          <w:lang w:val="en-GB"/>
        </w:rPr>
        <w:t xml:space="preserve"> securitisations, not included in the </w:t>
      </w:r>
      <w:r w:rsidR="00304194" w:rsidRPr="00FE3C59">
        <w:rPr>
          <w:rFonts w:ascii="Times New Roman" w:hAnsi="Times New Roman" w:cs="Times New Roman"/>
          <w:sz w:val="24"/>
          <w:szCs w:val="24"/>
          <w:u w:val="none"/>
          <w:lang w:val="en-GB"/>
        </w:rPr>
        <w:t xml:space="preserve">alternative </w:t>
      </w:r>
      <w:r w:rsidR="00D43916" w:rsidRPr="00FE3C59">
        <w:rPr>
          <w:rFonts w:ascii="Times New Roman" w:hAnsi="Times New Roman" w:cs="Times New Roman"/>
          <w:sz w:val="24"/>
          <w:szCs w:val="24"/>
          <w:u w:val="none"/>
          <w:lang w:val="en-GB"/>
        </w:rPr>
        <w:t>correlation trading portfolio (non</w:t>
      </w:r>
      <w:r w:rsidR="00485C29" w:rsidRPr="00FE3C59">
        <w:rPr>
          <w:rFonts w:ascii="Times New Roman" w:hAnsi="Times New Roman" w:cs="Times New Roman"/>
          <w:sz w:val="24"/>
          <w:szCs w:val="24"/>
          <w:u w:val="none"/>
          <w:lang w:val="en-GB"/>
        </w:rPr>
        <w:t>–</w:t>
      </w:r>
      <w:r w:rsidR="00CF79F7" w:rsidRPr="00FE3C59">
        <w:rPr>
          <w:rFonts w:ascii="Times New Roman" w:hAnsi="Times New Roman" w:cs="Times New Roman"/>
          <w:sz w:val="24"/>
          <w:szCs w:val="24"/>
          <w:u w:val="none"/>
          <w:lang w:val="en-GB"/>
        </w:rPr>
        <w:t>ACTP</w:t>
      </w:r>
      <w:r w:rsidR="00D43916" w:rsidRPr="00FE3C59">
        <w:rPr>
          <w:rFonts w:ascii="Times New Roman" w:hAnsi="Times New Roman" w:cs="Times New Roman"/>
          <w:sz w:val="24"/>
          <w:szCs w:val="24"/>
          <w:u w:val="none"/>
          <w:lang w:val="en-GB"/>
        </w:rPr>
        <w:t xml:space="preserve">) (MKR </w:t>
      </w:r>
      <w:r w:rsidR="00EA53DC">
        <w:rPr>
          <w:rFonts w:ascii="Times New Roman" w:hAnsi="Times New Roman" w:cs="Times New Roman"/>
          <w:sz w:val="24"/>
          <w:szCs w:val="24"/>
          <w:u w:val="none"/>
          <w:lang w:val="en-GB"/>
        </w:rPr>
        <w:t>A</w:t>
      </w:r>
      <w:r w:rsidR="00D43916" w:rsidRPr="00FE3C59">
        <w:rPr>
          <w:rFonts w:ascii="Times New Roman" w:hAnsi="Times New Roman" w:cs="Times New Roman"/>
          <w:sz w:val="24"/>
          <w:szCs w:val="24"/>
          <w:u w:val="none"/>
          <w:lang w:val="en-GB"/>
        </w:rPr>
        <w:t>SA DRC2</w:t>
      </w:r>
      <w:r w:rsidR="00CF79F7" w:rsidRPr="00FE3C59">
        <w:rPr>
          <w:rFonts w:ascii="Times New Roman" w:hAnsi="Times New Roman" w:cs="Times New Roman"/>
          <w:sz w:val="24"/>
          <w:szCs w:val="24"/>
          <w:u w:val="none"/>
          <w:lang w:val="en-GB"/>
        </w:rPr>
        <w:t>)</w:t>
      </w:r>
    </w:p>
    <w:p w14:paraId="3CAA78DE" w14:textId="49DEF5E8" w:rsidR="00C65F1F" w:rsidRPr="00FE3C59" w:rsidRDefault="004F7DA1"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2112EE" w:rsidRPr="00FE3C59">
        <w:rPr>
          <w:rFonts w:ascii="Times New Roman" w:hAnsi="Times New Roman" w:cs="Times New Roman"/>
          <w:sz w:val="24"/>
          <w:szCs w:val="24"/>
          <w:u w:val="none"/>
          <w:lang w:val="en-GB"/>
        </w:rPr>
        <w:t>5</w:t>
      </w:r>
      <w:r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w:t>
      </w:r>
      <w:r w:rsidR="00C65F1F" w:rsidRPr="00FE3C59">
        <w:rPr>
          <w:rFonts w:ascii="Times New Roman" w:hAnsi="Times New Roman" w:cs="Times New Roman"/>
          <w:sz w:val="24"/>
          <w:szCs w:val="24"/>
          <w:u w:val="none"/>
          <w:lang w:val="en-GB"/>
        </w:rPr>
        <w:t>1</w:t>
      </w:r>
      <w:r w:rsidR="00C65F1F"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General remarks</w:t>
      </w:r>
    </w:p>
    <w:p w14:paraId="304369CD" w14:textId="58FBA5F0" w:rsidR="002A12B0" w:rsidRPr="00FE3C59" w:rsidRDefault="005F6EC5" w:rsidP="006E2ED1">
      <w:pPr>
        <w:pStyle w:val="InstructionsText2"/>
        <w:numPr>
          <w:ilvl w:val="0"/>
          <w:numId w:val="57"/>
        </w:numPr>
      </w:pPr>
      <w:r w:rsidRPr="00FE3C59">
        <w:t>T</w:t>
      </w:r>
      <w:r w:rsidR="002A12B0" w:rsidRPr="00FE3C59">
        <w:t>his template shall be</w:t>
      </w:r>
      <w:r w:rsidRPr="00FE3C59">
        <w:t xml:space="preserve"> used to</w:t>
      </w:r>
      <w:r w:rsidR="002A12B0" w:rsidRPr="00FE3C59">
        <w:t xml:space="preserve"> report </w:t>
      </w:r>
      <w:r w:rsidR="0085188F" w:rsidRPr="00FE3C59">
        <w:t xml:space="preserve">information on </w:t>
      </w:r>
      <w:r w:rsidR="002A12B0" w:rsidRPr="00FE3C59">
        <w:t xml:space="preserve">exposures in scope of the own funds requirements for the default risk for securitisations </w:t>
      </w:r>
      <w:r w:rsidR="008F5C53" w:rsidRPr="00FE3C59">
        <w:t>not included in the ACTP</w:t>
      </w:r>
      <w:r w:rsidR="002A12B0" w:rsidRPr="00FE3C59">
        <w:t xml:space="preserve"> (Article 325</w:t>
      </w:r>
      <w:r w:rsidR="008F5C53" w:rsidRPr="00FE3C59">
        <w:t>z</w:t>
      </w:r>
      <w:r w:rsidR="002A12B0" w:rsidRPr="00FE3C59">
        <w:t xml:space="preserve"> to Article 325</w:t>
      </w:r>
      <w:r w:rsidR="00473507" w:rsidRPr="00FE3C59">
        <w:t>aa</w:t>
      </w:r>
      <w:r w:rsidR="002A12B0" w:rsidRPr="00FE3C59">
        <w:t xml:space="preserve"> of Regulation (EU) No 575/2013).</w:t>
      </w:r>
    </w:p>
    <w:p w14:paraId="548030B7" w14:textId="75EBD576" w:rsidR="00C65F1F" w:rsidRPr="00FE3C59" w:rsidRDefault="004F7DA1"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2112EE" w:rsidRPr="00FE3C59">
        <w:rPr>
          <w:rFonts w:ascii="Times New Roman" w:hAnsi="Times New Roman" w:cs="Times New Roman"/>
          <w:sz w:val="24"/>
          <w:szCs w:val="24"/>
          <w:u w:val="none"/>
          <w:lang w:val="en-GB"/>
        </w:rPr>
        <w:t>5</w:t>
      </w:r>
      <w:r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w:t>
      </w:r>
      <w:r w:rsidR="00C65F1F" w:rsidRPr="00FE3C59">
        <w:rPr>
          <w:rFonts w:ascii="Times New Roman" w:hAnsi="Times New Roman" w:cs="Times New Roman"/>
          <w:sz w:val="24"/>
          <w:szCs w:val="24"/>
          <w:u w:val="none"/>
          <w:lang w:val="en-GB"/>
        </w:rPr>
        <w:t>2</w:t>
      </w:r>
      <w:r w:rsidR="00C65F1F"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Instructions concerning specific positions</w:t>
      </w:r>
    </w:p>
    <w:tbl>
      <w:tblPr>
        <w:tblStyle w:val="TableGrid"/>
        <w:tblW w:w="0" w:type="auto"/>
        <w:tblLook w:val="04A0" w:firstRow="1" w:lastRow="0" w:firstColumn="1" w:lastColumn="0" w:noHBand="0" w:noVBand="1"/>
      </w:tblPr>
      <w:tblGrid>
        <w:gridCol w:w="1043"/>
        <w:gridCol w:w="7973"/>
      </w:tblGrid>
      <w:tr w:rsidR="00C65F1F" w:rsidRPr="00FE3C59" w14:paraId="74C22F42" w14:textId="77777777" w:rsidTr="005F1AA1">
        <w:tc>
          <w:tcPr>
            <w:tcW w:w="1043" w:type="dxa"/>
            <w:shd w:val="clear" w:color="auto" w:fill="BFBFBF" w:themeFill="background1" w:themeFillShade="BF"/>
          </w:tcPr>
          <w:p w14:paraId="54D9BFE9"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40A428E8"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C65F1F" w:rsidRPr="00FE3C59" w14:paraId="74328A2C" w14:textId="77777777" w:rsidTr="005F1AA1">
        <w:tc>
          <w:tcPr>
            <w:tcW w:w="1043" w:type="dxa"/>
          </w:tcPr>
          <w:p w14:paraId="589BF528" w14:textId="2B819A5C" w:rsidR="00C65F1F" w:rsidRPr="00FE3C59" w:rsidRDefault="00C65F1F"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r w:rsidR="00D01A7B" w:rsidRPr="00FE3C59">
              <w:rPr>
                <w:rFonts w:ascii="Times New Roman" w:hAnsi="Times New Roman" w:cs="Times New Roman"/>
                <w:lang w:val="en-GB"/>
              </w:rPr>
              <w:t>-0020</w:t>
            </w:r>
          </w:p>
        </w:tc>
        <w:tc>
          <w:tcPr>
            <w:tcW w:w="7973" w:type="dxa"/>
          </w:tcPr>
          <w:p w14:paraId="5F964536" w14:textId="780AB5A4" w:rsidR="00D01A7B" w:rsidRPr="00FE3C59" w:rsidRDefault="00D01A7B" w:rsidP="00D01A7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Gross JTD amounts</w:t>
            </w:r>
          </w:p>
          <w:p w14:paraId="3DAB6AF2" w14:textId="57F641F8" w:rsidR="00C65F1F" w:rsidRPr="00FE3C59" w:rsidRDefault="00982BC5" w:rsidP="005F1AA1">
            <w:pPr>
              <w:pStyle w:val="Tabelleninhalt"/>
              <w:spacing w:before="120" w:after="120"/>
              <w:rPr>
                <w:rFonts w:ascii="Times New Roman" w:hAnsi="Times New Roman" w:cs="Times New Roman"/>
                <w:lang w:val="en-GB"/>
              </w:rPr>
            </w:pPr>
            <w:r w:rsidRPr="00FE3C59">
              <w:rPr>
                <w:rFonts w:ascii="Times New Roman" w:hAnsi="Times New Roman" w:cs="Times New Roman"/>
                <w:lang w:val="en-GB"/>
              </w:rPr>
              <w:t>Article 325z(1) of Regulation (EU) No 575/2013</w:t>
            </w:r>
            <w:r w:rsidR="005E1DF1" w:rsidRPr="00FE3C59">
              <w:rPr>
                <w:rFonts w:ascii="Times New Roman" w:hAnsi="Times New Roman" w:cs="Times New Roman"/>
                <w:lang w:val="en-GB"/>
              </w:rPr>
              <w:t>.</w:t>
            </w:r>
          </w:p>
        </w:tc>
      </w:tr>
      <w:tr w:rsidR="00982BC5" w:rsidRPr="00FE3C59" w14:paraId="263778E8" w14:textId="77777777" w:rsidTr="005F1AA1">
        <w:tc>
          <w:tcPr>
            <w:tcW w:w="1043" w:type="dxa"/>
          </w:tcPr>
          <w:p w14:paraId="02D4B0BE" w14:textId="6CEADC23" w:rsidR="00982BC5" w:rsidRPr="00FE3C59" w:rsidRDefault="00982BC5"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348D27AA" w14:textId="090C2D2B" w:rsidR="00982BC5" w:rsidRPr="00FE3C59" w:rsidRDefault="00982BC5"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Long</w:t>
            </w:r>
          </w:p>
        </w:tc>
      </w:tr>
      <w:tr w:rsidR="00982BC5" w:rsidRPr="00FE3C59" w14:paraId="5938EE0A" w14:textId="77777777" w:rsidTr="005F1AA1">
        <w:tc>
          <w:tcPr>
            <w:tcW w:w="1043" w:type="dxa"/>
          </w:tcPr>
          <w:p w14:paraId="380E699D" w14:textId="332D873D" w:rsidR="00982BC5" w:rsidRPr="00FE3C59" w:rsidRDefault="00982BC5"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1BF676D1" w14:textId="74AA06F9" w:rsidR="00982BC5" w:rsidRPr="00FE3C59" w:rsidRDefault="00982BC5"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Short</w:t>
            </w:r>
          </w:p>
        </w:tc>
      </w:tr>
      <w:tr w:rsidR="00982BC5" w:rsidRPr="00FE3C59" w14:paraId="249C58A7" w14:textId="77777777" w:rsidTr="005F1AA1">
        <w:tc>
          <w:tcPr>
            <w:tcW w:w="1043" w:type="dxa"/>
          </w:tcPr>
          <w:p w14:paraId="2E3AB506" w14:textId="4DD999F3" w:rsidR="00982BC5" w:rsidRPr="00FE3C59" w:rsidRDefault="00982BC5"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0030-0</w:t>
            </w:r>
            <w:r w:rsidR="00123987" w:rsidRPr="00FE3C59">
              <w:rPr>
                <w:rFonts w:ascii="Times New Roman" w:hAnsi="Times New Roman" w:cs="Times New Roman"/>
                <w:lang w:val="en-GB"/>
              </w:rPr>
              <w:t>40</w:t>
            </w:r>
            <w:r w:rsidRPr="00FE3C59">
              <w:rPr>
                <w:rFonts w:ascii="Times New Roman" w:hAnsi="Times New Roman" w:cs="Times New Roman"/>
                <w:lang w:val="en-GB"/>
              </w:rPr>
              <w:t>0</w:t>
            </w:r>
          </w:p>
        </w:tc>
        <w:tc>
          <w:tcPr>
            <w:tcW w:w="7973" w:type="dxa"/>
          </w:tcPr>
          <w:p w14:paraId="51246764" w14:textId="77777777" w:rsidR="00982BC5" w:rsidRPr="00FE3C59" w:rsidRDefault="00982BC5"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 JTD amounts (not risk-weighted)</w:t>
            </w:r>
          </w:p>
          <w:p w14:paraId="1D3F6898" w14:textId="5CE2B58A" w:rsidR="00982BC5" w:rsidRPr="00FE3C59" w:rsidRDefault="000D3428"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lastRenderedPageBreak/>
              <w:t>N</w:t>
            </w:r>
            <w:r w:rsidR="00982BC5" w:rsidRPr="00FE3C59">
              <w:rPr>
                <w:rFonts w:ascii="Times New Roman" w:hAnsi="Times New Roman" w:cs="Times New Roman"/>
                <w:lang w:val="en-GB"/>
              </w:rPr>
              <w:t>et JTD amounts calculated in accordance with Article 325z of Regulation (EU) No 575/2013</w:t>
            </w:r>
            <w:r w:rsidR="0060076A" w:rsidRPr="00FE3C59">
              <w:rPr>
                <w:rFonts w:ascii="Times New Roman" w:hAnsi="Times New Roman" w:cs="Times New Roman"/>
                <w:lang w:val="en-GB"/>
              </w:rPr>
              <w:t xml:space="preserve"> shall be reported</w:t>
            </w:r>
            <w:r w:rsidR="00982BC5" w:rsidRPr="00FE3C59">
              <w:rPr>
                <w:rFonts w:ascii="Times New Roman" w:hAnsi="Times New Roman" w:cs="Times New Roman"/>
                <w:lang w:val="en-GB"/>
              </w:rPr>
              <w:t xml:space="preserve">. </w:t>
            </w:r>
            <w:r w:rsidR="0060076A" w:rsidRPr="00FE3C59">
              <w:rPr>
                <w:rFonts w:ascii="Times New Roman" w:hAnsi="Times New Roman" w:cs="Times New Roman"/>
                <w:lang w:val="en-GB"/>
              </w:rPr>
              <w:t>They</w:t>
            </w:r>
            <w:r w:rsidR="00982BC5" w:rsidRPr="00FE3C59">
              <w:rPr>
                <w:rFonts w:ascii="Times New Roman" w:hAnsi="Times New Roman" w:cs="Times New Roman"/>
                <w:lang w:val="en-GB"/>
              </w:rPr>
              <w:t xml:space="preserve"> shall be </w:t>
            </w:r>
            <w:r w:rsidR="0060076A" w:rsidRPr="00FE3C59">
              <w:rPr>
                <w:rFonts w:ascii="Times New Roman" w:hAnsi="Times New Roman" w:cs="Times New Roman"/>
                <w:lang w:val="en-GB"/>
              </w:rPr>
              <w:t xml:space="preserve">broken down </w:t>
            </w:r>
            <w:r w:rsidR="00C3209B" w:rsidRPr="00FE3C59">
              <w:rPr>
                <w:rFonts w:ascii="Times New Roman" w:hAnsi="Times New Roman" w:cs="Times New Roman"/>
                <w:lang w:val="en-GB"/>
              </w:rPr>
              <w:t>between</w:t>
            </w:r>
            <w:r w:rsidR="0060076A" w:rsidRPr="00FE3C59">
              <w:rPr>
                <w:rFonts w:ascii="Times New Roman" w:hAnsi="Times New Roman" w:cs="Times New Roman"/>
                <w:lang w:val="en-GB"/>
              </w:rPr>
              <w:t xml:space="preserve"> net</w:t>
            </w:r>
            <w:r w:rsidR="00C3209B" w:rsidRPr="00FE3C59">
              <w:rPr>
                <w:rFonts w:ascii="Times New Roman" w:hAnsi="Times New Roman" w:cs="Times New Roman"/>
                <w:lang w:val="en-GB"/>
              </w:rPr>
              <w:t xml:space="preserve"> long</w:t>
            </w:r>
            <w:r w:rsidR="0060076A" w:rsidRPr="00FE3C59">
              <w:rPr>
                <w:rFonts w:ascii="Times New Roman" w:hAnsi="Times New Roman" w:cs="Times New Roman"/>
                <w:lang w:val="en-GB"/>
              </w:rPr>
              <w:t xml:space="preserve"> JTD amounts and net</w:t>
            </w:r>
            <w:r w:rsidR="00C3209B" w:rsidRPr="00FE3C59">
              <w:rPr>
                <w:rFonts w:ascii="Times New Roman" w:hAnsi="Times New Roman" w:cs="Times New Roman"/>
                <w:lang w:val="en-GB"/>
              </w:rPr>
              <w:t xml:space="preserve"> short</w:t>
            </w:r>
            <w:r w:rsidR="0060076A" w:rsidRPr="00FE3C59">
              <w:rPr>
                <w:rFonts w:ascii="Times New Roman" w:hAnsi="Times New Roman" w:cs="Times New Roman"/>
                <w:lang w:val="en-GB"/>
              </w:rPr>
              <w:t xml:space="preserve"> JTD amounts</w:t>
            </w:r>
            <w:r w:rsidR="00C3209B" w:rsidRPr="00FE3C59">
              <w:rPr>
                <w:rFonts w:ascii="Times New Roman" w:hAnsi="Times New Roman" w:cs="Times New Roman"/>
                <w:lang w:val="en-GB"/>
              </w:rPr>
              <w:t>,</w:t>
            </w:r>
            <w:r w:rsidR="00A65826" w:rsidRPr="00FE3C59">
              <w:rPr>
                <w:rFonts w:ascii="Times New Roman" w:hAnsi="Times New Roman" w:cs="Times New Roman"/>
                <w:lang w:val="en-GB"/>
              </w:rPr>
              <w:t xml:space="preserve"> and</w:t>
            </w:r>
            <w:r w:rsidR="00C3209B" w:rsidRPr="00FE3C59">
              <w:rPr>
                <w:rFonts w:ascii="Times New Roman" w:hAnsi="Times New Roman" w:cs="Times New Roman"/>
                <w:lang w:val="en-GB"/>
              </w:rPr>
              <w:t xml:space="preserve"> they</w:t>
            </w:r>
            <w:r w:rsidR="00A65826" w:rsidRPr="00FE3C59">
              <w:rPr>
                <w:rFonts w:ascii="Times New Roman" w:hAnsi="Times New Roman" w:cs="Times New Roman"/>
                <w:lang w:val="en-GB"/>
              </w:rPr>
              <w:t xml:space="preserve"> </w:t>
            </w:r>
            <w:r w:rsidR="00982BC5" w:rsidRPr="00FE3C59">
              <w:rPr>
                <w:rFonts w:ascii="Times New Roman" w:hAnsi="Times New Roman" w:cs="Times New Roman"/>
                <w:lang w:val="en-GB"/>
              </w:rPr>
              <w:t xml:space="preserve">shall be allocated to </w:t>
            </w:r>
            <w:r w:rsidR="00400482" w:rsidRPr="00FE3C59">
              <w:rPr>
                <w:rFonts w:ascii="Times New Roman" w:hAnsi="Times New Roman" w:cs="Times New Roman"/>
                <w:lang w:val="en-GB"/>
              </w:rPr>
              <w:t>one of the</w:t>
            </w:r>
            <w:r w:rsidR="000F159C" w:rsidRPr="00FE3C59">
              <w:rPr>
                <w:rFonts w:ascii="Times New Roman" w:hAnsi="Times New Roman" w:cs="Times New Roman"/>
                <w:lang w:val="en-GB"/>
              </w:rPr>
              <w:t xml:space="preserve"> risk weight band</w:t>
            </w:r>
            <w:r w:rsidR="00400482" w:rsidRPr="00FE3C59">
              <w:rPr>
                <w:rFonts w:ascii="Times New Roman" w:hAnsi="Times New Roman" w:cs="Times New Roman"/>
                <w:lang w:val="en-GB"/>
              </w:rPr>
              <w:t xml:space="preserve">s indicated in the template on the basis of the </w:t>
            </w:r>
            <w:r w:rsidR="000F159C" w:rsidRPr="00FE3C59">
              <w:rPr>
                <w:rFonts w:ascii="Times New Roman" w:hAnsi="Times New Roman" w:cs="Times New Roman"/>
                <w:lang w:val="en-GB"/>
              </w:rPr>
              <w:t>risk weight assigned</w:t>
            </w:r>
            <w:r w:rsidR="00982BC5" w:rsidRPr="00FE3C59">
              <w:rPr>
                <w:rFonts w:ascii="Times New Roman" w:hAnsi="Times New Roman" w:cs="Times New Roman"/>
                <w:lang w:val="en-GB"/>
              </w:rPr>
              <w:t xml:space="preserve"> to </w:t>
            </w:r>
            <w:r w:rsidR="000F159C" w:rsidRPr="00FE3C59">
              <w:rPr>
                <w:rFonts w:ascii="Times New Roman" w:hAnsi="Times New Roman" w:cs="Times New Roman"/>
                <w:lang w:val="en-GB"/>
              </w:rPr>
              <w:t>the net JTD amount</w:t>
            </w:r>
            <w:r w:rsidR="00982BC5" w:rsidRPr="00FE3C59">
              <w:rPr>
                <w:rFonts w:ascii="Times New Roman" w:hAnsi="Times New Roman" w:cs="Times New Roman"/>
                <w:lang w:val="en-GB"/>
              </w:rPr>
              <w:t xml:space="preserve"> in accordance with Article </w:t>
            </w:r>
            <w:r w:rsidR="005338BD" w:rsidRPr="00FE3C59">
              <w:rPr>
                <w:rFonts w:ascii="Times New Roman" w:hAnsi="Times New Roman" w:cs="Times New Roman"/>
                <w:lang w:val="en-GB"/>
              </w:rPr>
              <w:t>325aa(1) of</w:t>
            </w:r>
            <w:r w:rsidR="00982BC5" w:rsidRPr="00FE3C59">
              <w:rPr>
                <w:rFonts w:ascii="Times New Roman" w:hAnsi="Times New Roman" w:cs="Times New Roman"/>
                <w:lang w:val="en-GB"/>
              </w:rPr>
              <w:t xml:space="preserve"> Regulation (EU) No 575/2013</w:t>
            </w:r>
            <w:r w:rsidR="00400482" w:rsidRPr="00FE3C59">
              <w:rPr>
                <w:rFonts w:ascii="Times New Roman" w:hAnsi="Times New Roman" w:cs="Times New Roman"/>
                <w:lang w:val="en-GB"/>
              </w:rPr>
              <w:t xml:space="preserve">. </w:t>
            </w:r>
            <w:r w:rsidR="0093041A" w:rsidRPr="00FE3C59">
              <w:rPr>
                <w:rFonts w:ascii="Times New Roman" w:hAnsi="Times New Roman" w:cs="Times New Roman"/>
                <w:lang w:val="en-GB"/>
              </w:rPr>
              <w:t>The amounts reported shall be the net JTD amounts before the application of any risk weights.</w:t>
            </w:r>
          </w:p>
        </w:tc>
      </w:tr>
      <w:tr w:rsidR="00982BC5" w:rsidRPr="00FE3C59" w14:paraId="3436BEE9" w14:textId="77777777" w:rsidTr="005F1AA1">
        <w:tc>
          <w:tcPr>
            <w:tcW w:w="1043" w:type="dxa"/>
          </w:tcPr>
          <w:p w14:paraId="65BB9CE2" w14:textId="2FF3EBA0" w:rsidR="00982BC5" w:rsidRPr="00FE3C59" w:rsidRDefault="006B4425"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0030-02</w:t>
            </w:r>
            <w:r w:rsidR="00844090" w:rsidRPr="00FE3C59">
              <w:rPr>
                <w:rFonts w:ascii="Times New Roman" w:hAnsi="Times New Roman" w:cs="Times New Roman"/>
                <w:lang w:val="en-GB"/>
              </w:rPr>
              <w:t>1</w:t>
            </w:r>
            <w:r w:rsidRPr="00FE3C59">
              <w:rPr>
                <w:rFonts w:ascii="Times New Roman" w:hAnsi="Times New Roman" w:cs="Times New Roman"/>
                <w:lang w:val="en-GB"/>
              </w:rPr>
              <w:t>0</w:t>
            </w:r>
          </w:p>
        </w:tc>
        <w:tc>
          <w:tcPr>
            <w:tcW w:w="7973" w:type="dxa"/>
          </w:tcPr>
          <w:p w14:paraId="697E7AB7" w14:textId="3A484159" w:rsidR="00982BC5" w:rsidRPr="00FE3C59" w:rsidRDefault="006B4425"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Net </w:t>
            </w:r>
            <w:r w:rsidR="535CCE02" w:rsidRPr="00FE3C59">
              <w:rPr>
                <w:rFonts w:ascii="Times New Roman" w:hAnsi="Times New Roman" w:cs="Times New Roman"/>
                <w:b/>
                <w:bCs/>
                <w:u w:val="single"/>
                <w:lang w:val="en-GB"/>
              </w:rPr>
              <w:t>long</w:t>
            </w:r>
            <w:r w:rsidR="629EEAE7" w:rsidRPr="00FE3C59">
              <w:rPr>
                <w:rFonts w:ascii="Times New Roman" w:hAnsi="Times New Roman" w:cs="Times New Roman"/>
                <w:b/>
                <w:bCs/>
                <w:u w:val="single"/>
                <w:lang w:val="en-GB"/>
              </w:rPr>
              <w:t xml:space="preserve"> </w:t>
            </w:r>
            <w:r w:rsidRPr="00FE3C59">
              <w:rPr>
                <w:rFonts w:ascii="Times New Roman" w:hAnsi="Times New Roman" w:cs="Times New Roman"/>
                <w:b/>
                <w:u w:val="single"/>
                <w:lang w:val="en-GB"/>
              </w:rPr>
              <w:t>JTD amounts (not risk-weighted)</w:t>
            </w:r>
          </w:p>
        </w:tc>
      </w:tr>
      <w:tr w:rsidR="00982BC5" w:rsidRPr="00FE3C59" w14:paraId="5E4D6680" w14:textId="77777777" w:rsidTr="005F1AA1">
        <w:tc>
          <w:tcPr>
            <w:tcW w:w="1043" w:type="dxa"/>
          </w:tcPr>
          <w:p w14:paraId="48B60DC1" w14:textId="7CE7566B" w:rsidR="00982BC5" w:rsidRPr="00FE3C59" w:rsidRDefault="001860DF"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844090" w:rsidRPr="00FE3C59">
              <w:rPr>
                <w:rFonts w:ascii="Times New Roman" w:hAnsi="Times New Roman" w:cs="Times New Roman"/>
                <w:lang w:val="en-GB"/>
              </w:rPr>
              <w:t>2</w:t>
            </w:r>
            <w:r w:rsidRPr="00FE3C59">
              <w:rPr>
                <w:rFonts w:ascii="Times New Roman" w:hAnsi="Times New Roman" w:cs="Times New Roman"/>
                <w:lang w:val="en-GB"/>
              </w:rPr>
              <w:t>0-0</w:t>
            </w:r>
            <w:r w:rsidR="00AE0213" w:rsidRPr="00FE3C59">
              <w:rPr>
                <w:rFonts w:ascii="Times New Roman" w:hAnsi="Times New Roman" w:cs="Times New Roman"/>
                <w:lang w:val="en-GB"/>
              </w:rPr>
              <w:t>400</w:t>
            </w:r>
          </w:p>
        </w:tc>
        <w:tc>
          <w:tcPr>
            <w:tcW w:w="7973" w:type="dxa"/>
          </w:tcPr>
          <w:p w14:paraId="0B3A8001" w14:textId="2FD1993A" w:rsidR="00982BC5" w:rsidRPr="00FE3C59" w:rsidRDefault="006B4425"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Net </w:t>
            </w:r>
            <w:r w:rsidR="50245E9A" w:rsidRPr="00FE3C59">
              <w:rPr>
                <w:rFonts w:ascii="Times New Roman" w:hAnsi="Times New Roman" w:cs="Times New Roman"/>
                <w:b/>
                <w:bCs/>
                <w:u w:val="single"/>
                <w:lang w:val="en-GB"/>
              </w:rPr>
              <w:t>short</w:t>
            </w:r>
            <w:r w:rsidR="629EEAE7" w:rsidRPr="00FE3C59">
              <w:rPr>
                <w:rFonts w:ascii="Times New Roman" w:hAnsi="Times New Roman" w:cs="Times New Roman"/>
                <w:b/>
                <w:bCs/>
                <w:u w:val="single"/>
                <w:lang w:val="en-GB"/>
              </w:rPr>
              <w:t xml:space="preserve"> </w:t>
            </w:r>
            <w:r w:rsidRPr="00FE3C59">
              <w:rPr>
                <w:rFonts w:ascii="Times New Roman" w:hAnsi="Times New Roman" w:cs="Times New Roman"/>
                <w:b/>
                <w:u w:val="single"/>
                <w:lang w:val="en-GB"/>
              </w:rPr>
              <w:t>JTD amounts (not risk-weighted)</w:t>
            </w:r>
          </w:p>
        </w:tc>
      </w:tr>
      <w:tr w:rsidR="00982BC5" w:rsidRPr="00FE3C59" w14:paraId="2D155FD9" w14:textId="77777777" w:rsidTr="005F1AA1">
        <w:tc>
          <w:tcPr>
            <w:tcW w:w="1043" w:type="dxa"/>
          </w:tcPr>
          <w:p w14:paraId="57960773" w14:textId="51EB4B45" w:rsidR="00982BC5" w:rsidRPr="00FE3C59" w:rsidRDefault="00AE0213"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t>0410</w:t>
            </w:r>
          </w:p>
        </w:tc>
        <w:tc>
          <w:tcPr>
            <w:tcW w:w="7973" w:type="dxa"/>
          </w:tcPr>
          <w:p w14:paraId="7A9FC4C8" w14:textId="50B35872" w:rsidR="00595392" w:rsidRPr="00FE3C59" w:rsidRDefault="00595392" w:rsidP="005953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Weighted</w:t>
            </w:r>
            <w:r w:rsidR="092E1775" w:rsidRPr="00FE3C59">
              <w:rPr>
                <w:rFonts w:ascii="Times New Roman" w:hAnsi="Times New Roman" w:cs="Times New Roman"/>
                <w:b/>
                <w:bCs/>
                <w:u w:val="single"/>
                <w:lang w:val="en-GB"/>
              </w:rPr>
              <w:t>-</w:t>
            </w:r>
            <w:r w:rsidRPr="00FE3C59">
              <w:rPr>
                <w:rFonts w:ascii="Times New Roman" w:hAnsi="Times New Roman" w:cs="Times New Roman"/>
                <w:b/>
                <w:u w:val="single"/>
                <w:lang w:val="en-GB"/>
              </w:rPr>
              <w:t>to</w:t>
            </w:r>
            <w:r w:rsidR="19627C20" w:rsidRPr="00FE3C59">
              <w:rPr>
                <w:rFonts w:ascii="Times New Roman" w:hAnsi="Times New Roman" w:cs="Times New Roman"/>
                <w:b/>
                <w:bCs/>
                <w:u w:val="single"/>
                <w:lang w:val="en-GB"/>
              </w:rPr>
              <w:t>-</w:t>
            </w:r>
            <w:r w:rsidRPr="00FE3C59">
              <w:rPr>
                <w:rFonts w:ascii="Times New Roman" w:hAnsi="Times New Roman" w:cs="Times New Roman"/>
                <w:b/>
                <w:u w:val="single"/>
                <w:lang w:val="en-GB"/>
              </w:rPr>
              <w:t>Short ratio</w:t>
            </w:r>
            <w:r w:rsidR="666F2C29" w:rsidRPr="00FE3C59">
              <w:rPr>
                <w:rFonts w:ascii="Times New Roman" w:hAnsi="Times New Roman" w:cs="Times New Roman"/>
                <w:b/>
                <w:bCs/>
                <w:u w:val="single"/>
                <w:lang w:val="en-GB"/>
              </w:rPr>
              <w:t xml:space="preserve"> (WtS)</w:t>
            </w:r>
          </w:p>
          <w:p w14:paraId="31A8A02B" w14:textId="18FBE4C3" w:rsidR="00982BC5" w:rsidRPr="00FE3C59" w:rsidRDefault="004851DC"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 xml:space="preserve">Article </w:t>
            </w:r>
            <w:r w:rsidR="0038259C" w:rsidRPr="00FE3C59">
              <w:rPr>
                <w:rFonts w:ascii="Times New Roman" w:hAnsi="Times New Roman" w:cs="Times New Roman"/>
                <w:lang w:val="en-GB"/>
              </w:rPr>
              <w:t xml:space="preserve">325aa of Regulation (EU) No 575/2013 in conjunction with </w:t>
            </w:r>
            <w:r w:rsidRPr="00FE3C59">
              <w:rPr>
                <w:rFonts w:ascii="Times New Roman" w:hAnsi="Times New Roman" w:cs="Times New Roman"/>
                <w:lang w:val="en-GB"/>
              </w:rPr>
              <w:t xml:space="preserve">Article 325y(4) </w:t>
            </w:r>
            <w:r w:rsidR="0038259C" w:rsidRPr="00FE3C59">
              <w:rPr>
                <w:rFonts w:ascii="Times New Roman" w:hAnsi="Times New Roman" w:cs="Times New Roman"/>
                <w:lang w:val="en-GB"/>
              </w:rPr>
              <w:t>thereof</w:t>
            </w:r>
            <w:r w:rsidR="00D72BA5" w:rsidRPr="00FE3C59">
              <w:rPr>
                <w:rFonts w:ascii="Times New Roman" w:hAnsi="Times New Roman" w:cs="Times New Roman"/>
                <w:lang w:val="en-GB"/>
              </w:rPr>
              <w:t>.</w:t>
            </w:r>
          </w:p>
        </w:tc>
      </w:tr>
      <w:tr w:rsidR="00982BC5" w:rsidRPr="00FE3C59" w14:paraId="52FC6FF7" w14:textId="77777777" w:rsidTr="005F1AA1">
        <w:tc>
          <w:tcPr>
            <w:tcW w:w="1043" w:type="dxa"/>
          </w:tcPr>
          <w:p w14:paraId="0C6BE364" w14:textId="4AB36E68" w:rsidR="00982BC5" w:rsidRPr="00FE3C59" w:rsidRDefault="007972F3" w:rsidP="00982BC5">
            <w:pPr>
              <w:pStyle w:val="BodyText"/>
              <w:spacing w:before="120" w:after="120"/>
              <w:rPr>
                <w:rFonts w:ascii="Times New Roman" w:hAnsi="Times New Roman" w:cs="Times New Roman"/>
                <w:lang w:val="en-GB"/>
              </w:rPr>
            </w:pPr>
            <w:r w:rsidRPr="00FE3C59">
              <w:rPr>
                <w:rFonts w:ascii="Times New Roman" w:hAnsi="Times New Roman" w:cs="Times New Roman"/>
                <w:lang w:val="en-GB"/>
              </w:rPr>
              <w:t>04</w:t>
            </w:r>
            <w:r w:rsidR="00AE0213" w:rsidRPr="00FE3C59">
              <w:rPr>
                <w:rFonts w:ascii="Times New Roman" w:hAnsi="Times New Roman" w:cs="Times New Roman"/>
                <w:lang w:val="en-GB"/>
              </w:rPr>
              <w:t>2</w:t>
            </w:r>
            <w:r w:rsidRPr="00FE3C59">
              <w:rPr>
                <w:rFonts w:ascii="Times New Roman" w:hAnsi="Times New Roman" w:cs="Times New Roman"/>
                <w:lang w:val="en-GB"/>
              </w:rPr>
              <w:t>0</w:t>
            </w:r>
          </w:p>
        </w:tc>
        <w:tc>
          <w:tcPr>
            <w:tcW w:w="7973" w:type="dxa"/>
          </w:tcPr>
          <w:p w14:paraId="292A0798" w14:textId="77777777" w:rsidR="00982BC5" w:rsidRPr="00FE3C59" w:rsidRDefault="007972F3"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Own funds requirement</w:t>
            </w:r>
          </w:p>
          <w:p w14:paraId="21FF1CB1" w14:textId="4F50A56F" w:rsidR="00982BC5" w:rsidRPr="00FE3C59" w:rsidRDefault="00173CA6" w:rsidP="00982BC5">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Bucket-level o</w:t>
            </w:r>
            <w:r w:rsidR="007972F3" w:rsidRPr="00FE3C59">
              <w:rPr>
                <w:rFonts w:ascii="Times New Roman" w:hAnsi="Times New Roman" w:cs="Times New Roman"/>
                <w:lang w:val="en-GB"/>
              </w:rPr>
              <w:t xml:space="preserve">wn funds requirement calculated in accordance with </w:t>
            </w:r>
            <w:r w:rsidR="006768DE" w:rsidRPr="00FE3C59">
              <w:rPr>
                <w:rFonts w:ascii="Times New Roman" w:hAnsi="Times New Roman" w:cs="Times New Roman"/>
                <w:lang w:val="en-GB"/>
              </w:rPr>
              <w:t xml:space="preserve">Articles 325aa(6) in conjunction with </w:t>
            </w:r>
            <w:r w:rsidR="007972F3" w:rsidRPr="00FE3C59">
              <w:rPr>
                <w:rFonts w:ascii="Times New Roman" w:hAnsi="Times New Roman" w:cs="Times New Roman"/>
                <w:lang w:val="en-GB"/>
              </w:rPr>
              <w:t>Article 325</w:t>
            </w:r>
            <w:r w:rsidR="00725F65" w:rsidRPr="00FE3C59">
              <w:rPr>
                <w:rFonts w:ascii="Times New Roman" w:hAnsi="Times New Roman" w:cs="Times New Roman"/>
                <w:lang w:val="en-GB"/>
              </w:rPr>
              <w:t>y</w:t>
            </w:r>
            <w:r w:rsidR="007972F3" w:rsidRPr="00FE3C59">
              <w:rPr>
                <w:rFonts w:ascii="Times New Roman" w:hAnsi="Times New Roman" w:cs="Times New Roman"/>
                <w:lang w:val="en-GB"/>
              </w:rPr>
              <w:t>(</w:t>
            </w:r>
            <w:r w:rsidR="00725F65" w:rsidRPr="00FE3C59">
              <w:rPr>
                <w:rFonts w:ascii="Times New Roman" w:hAnsi="Times New Roman" w:cs="Times New Roman"/>
                <w:lang w:val="en-GB"/>
              </w:rPr>
              <w:t>4</w:t>
            </w:r>
            <w:r w:rsidR="007972F3" w:rsidRPr="00FE3C59">
              <w:rPr>
                <w:rFonts w:ascii="Times New Roman" w:hAnsi="Times New Roman" w:cs="Times New Roman"/>
                <w:lang w:val="en-GB"/>
              </w:rPr>
              <w:t>) of Regulation (EU) No 575/2013.</w:t>
            </w:r>
          </w:p>
        </w:tc>
      </w:tr>
    </w:tbl>
    <w:p w14:paraId="51EBA608" w14:textId="77777777" w:rsidR="00C65F1F" w:rsidRPr="00FE3C59" w:rsidRDefault="00C65F1F" w:rsidP="00C65F1F">
      <w:pPr>
        <w:rPr>
          <w:rFonts w:ascii="Times New Roman" w:hAnsi="Times New Roman" w:cs="Times New Roman"/>
        </w:rPr>
      </w:pPr>
    </w:p>
    <w:tbl>
      <w:tblPr>
        <w:tblStyle w:val="TableGrid"/>
        <w:tblW w:w="0" w:type="auto"/>
        <w:tblLook w:val="04A0" w:firstRow="1" w:lastRow="0" w:firstColumn="1" w:lastColumn="0" w:noHBand="0" w:noVBand="1"/>
      </w:tblPr>
      <w:tblGrid>
        <w:gridCol w:w="1043"/>
        <w:gridCol w:w="7973"/>
      </w:tblGrid>
      <w:tr w:rsidR="00C65F1F" w:rsidRPr="00FE3C59" w14:paraId="3429EBC7" w14:textId="77777777" w:rsidTr="005F1AA1">
        <w:tc>
          <w:tcPr>
            <w:tcW w:w="1043" w:type="dxa"/>
            <w:shd w:val="clear" w:color="auto" w:fill="BFBFBF" w:themeFill="background1" w:themeFillShade="BF"/>
          </w:tcPr>
          <w:p w14:paraId="584D580C"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73" w:type="dxa"/>
            <w:shd w:val="clear" w:color="auto" w:fill="BFBFBF" w:themeFill="background1" w:themeFillShade="BF"/>
          </w:tcPr>
          <w:p w14:paraId="2A37A7B7"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C65F1F" w:rsidRPr="00FE3C59" w14:paraId="2F6C0F57" w14:textId="77777777" w:rsidTr="005F1AA1">
        <w:tc>
          <w:tcPr>
            <w:tcW w:w="1043" w:type="dxa"/>
          </w:tcPr>
          <w:p w14:paraId="4746F208" w14:textId="43D23DF0" w:rsidR="00C65F1F" w:rsidRPr="00FE3C59" w:rsidRDefault="00C65F1F" w:rsidP="005F1AA1">
            <w:pPr>
              <w:pStyle w:val="BodyText"/>
              <w:spacing w:before="120" w:after="120"/>
              <w:rPr>
                <w:rFonts w:ascii="Times New Roman" w:hAnsi="Times New Roman" w:cs="Times New Roman"/>
                <w:lang w:val="en-GB" w:eastAsia="nl-BE"/>
              </w:rPr>
            </w:pPr>
            <w:r w:rsidRPr="00FE3C59">
              <w:rPr>
                <w:rFonts w:ascii="Times New Roman" w:hAnsi="Times New Roman" w:cs="Times New Roman"/>
                <w:lang w:val="en-GB"/>
              </w:rPr>
              <w:t>0010</w:t>
            </w:r>
            <w:r w:rsidR="00D24E11" w:rsidRPr="00FE3C59">
              <w:rPr>
                <w:rFonts w:ascii="Times New Roman" w:hAnsi="Times New Roman" w:cs="Times New Roman"/>
                <w:lang w:val="en-GB"/>
              </w:rPr>
              <w:t>-</w:t>
            </w:r>
            <w:r w:rsidR="00080D0D" w:rsidRPr="00FE3C59">
              <w:rPr>
                <w:rFonts w:ascii="Times New Roman" w:hAnsi="Times New Roman" w:cs="Times New Roman"/>
                <w:lang w:val="en-GB"/>
              </w:rPr>
              <w:t>0450</w:t>
            </w:r>
          </w:p>
        </w:tc>
        <w:tc>
          <w:tcPr>
            <w:tcW w:w="7973" w:type="dxa"/>
          </w:tcPr>
          <w:p w14:paraId="07BFF45A" w14:textId="7DDF297D" w:rsidR="00C65F1F" w:rsidRPr="00FE3C59" w:rsidRDefault="00080D0D" w:rsidP="005F1AA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w:t>
            </w:r>
            <w:r w:rsidR="00E44BB4" w:rsidRPr="00FE3C59">
              <w:rPr>
                <w:rFonts w:ascii="Times New Roman" w:hAnsi="Times New Roman" w:cs="Times New Roman"/>
                <w:b/>
                <w:u w:val="single"/>
                <w:lang w:val="en-GB"/>
              </w:rPr>
              <w:t>s</w:t>
            </w:r>
          </w:p>
          <w:p w14:paraId="6A0DD332" w14:textId="04ECD459" w:rsidR="00C65F1F" w:rsidRPr="00FE3C59" w:rsidRDefault="00207CE0" w:rsidP="005F1AA1">
            <w:pPr>
              <w:pStyle w:val="Tabelleninhalt"/>
              <w:spacing w:before="120" w:after="120"/>
              <w:rPr>
                <w:rFonts w:ascii="Times New Roman" w:hAnsi="Times New Roman" w:cs="Times New Roman"/>
                <w:lang w:val="en-GB"/>
              </w:rPr>
            </w:pPr>
            <w:r w:rsidRPr="00FE3C59">
              <w:rPr>
                <w:rFonts w:ascii="Times New Roman" w:hAnsi="Times New Roman" w:cs="Times New Roman"/>
                <w:lang w:val="en-GB"/>
              </w:rPr>
              <w:t xml:space="preserve">Article 325aa(4) and (5) </w:t>
            </w:r>
            <w:r w:rsidR="008821BF" w:rsidRPr="00FE3C59">
              <w:rPr>
                <w:rFonts w:ascii="Times New Roman" w:hAnsi="Times New Roman" w:cs="Times New Roman"/>
                <w:lang w:val="en-GB"/>
              </w:rPr>
              <w:t>of Regulation (EU) No 575/2013</w:t>
            </w:r>
          </w:p>
        </w:tc>
      </w:tr>
      <w:tr w:rsidR="00FA1710" w:rsidRPr="00FE3C59" w14:paraId="40938B6D" w14:textId="77777777" w:rsidTr="005F1AA1">
        <w:tc>
          <w:tcPr>
            <w:tcW w:w="1043" w:type="dxa"/>
          </w:tcPr>
          <w:p w14:paraId="6A179692" w14:textId="30A1BD50"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25F8459E" w14:textId="2E8EAB57"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All regions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Corporates</w:t>
            </w:r>
          </w:p>
        </w:tc>
      </w:tr>
      <w:tr w:rsidR="00FA1710" w:rsidRPr="00FE3C59" w14:paraId="6DF6D355" w14:textId="77777777" w:rsidTr="005F1AA1">
        <w:tc>
          <w:tcPr>
            <w:tcW w:w="1043" w:type="dxa"/>
          </w:tcPr>
          <w:p w14:paraId="2A24E312" w14:textId="47E87842"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6428028D" w14:textId="233069CA"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ABCP</w:t>
            </w:r>
          </w:p>
        </w:tc>
      </w:tr>
      <w:tr w:rsidR="00FA1710" w:rsidRPr="00FE3C59" w14:paraId="10A5B7A1" w14:textId="77777777" w:rsidTr="005F1AA1">
        <w:tc>
          <w:tcPr>
            <w:tcW w:w="1043" w:type="dxa"/>
          </w:tcPr>
          <w:p w14:paraId="5F846410" w14:textId="3C5A5FC8"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74FFB3E8" w14:textId="3DB2182E"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Auto Loans/Leases</w:t>
            </w:r>
          </w:p>
        </w:tc>
      </w:tr>
      <w:tr w:rsidR="00FA1710" w:rsidRPr="00FE3C59" w14:paraId="1BAC50E2" w14:textId="77777777" w:rsidTr="005F1AA1">
        <w:tc>
          <w:tcPr>
            <w:tcW w:w="1043" w:type="dxa"/>
          </w:tcPr>
          <w:p w14:paraId="3C0CA082" w14:textId="72195365"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4B767D28" w14:textId="54905A24"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Residential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(RMBS)</w:t>
            </w:r>
          </w:p>
        </w:tc>
      </w:tr>
      <w:tr w:rsidR="00FA1710" w:rsidRPr="00FE3C59" w14:paraId="40D3B090" w14:textId="77777777" w:rsidTr="005F1AA1">
        <w:tc>
          <w:tcPr>
            <w:tcW w:w="1043" w:type="dxa"/>
          </w:tcPr>
          <w:p w14:paraId="574F58A1" w14:textId="50A13E6E"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tcPr>
          <w:p w14:paraId="1A0805D0" w14:textId="44C46DEC"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Credit cards</w:t>
            </w:r>
          </w:p>
        </w:tc>
      </w:tr>
      <w:tr w:rsidR="00FA1710" w:rsidRPr="00FE3C59" w14:paraId="4A0B26CE" w14:textId="77777777" w:rsidTr="005F1AA1">
        <w:tc>
          <w:tcPr>
            <w:tcW w:w="1043" w:type="dxa"/>
          </w:tcPr>
          <w:p w14:paraId="146FAD6B" w14:textId="54E4DBCD"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1B5C96A0" w14:textId="61C20C97"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Commercial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(CMBS)</w:t>
            </w:r>
          </w:p>
        </w:tc>
      </w:tr>
      <w:tr w:rsidR="00FA1710" w:rsidRPr="00FE3C59" w14:paraId="37D8B8DC" w14:textId="77777777" w:rsidTr="005F1AA1">
        <w:tc>
          <w:tcPr>
            <w:tcW w:w="1043" w:type="dxa"/>
          </w:tcPr>
          <w:p w14:paraId="51F22D4A" w14:textId="6AD11924"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Pr>
          <w:p w14:paraId="52C0570F" w14:textId="369CF6F6"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loan obligations (CLOs)</w:t>
            </w:r>
          </w:p>
        </w:tc>
      </w:tr>
      <w:tr w:rsidR="00FA1710" w:rsidRPr="00FE3C59" w14:paraId="0FF52CBD" w14:textId="77777777" w:rsidTr="005F1AA1">
        <w:tc>
          <w:tcPr>
            <w:tcW w:w="1043" w:type="dxa"/>
          </w:tcPr>
          <w:p w14:paraId="236920F2" w14:textId="72BE79D4"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tcPr>
          <w:p w14:paraId="1321BA4F" w14:textId="52BC47F5"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debt obligations squared (CDO</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squared)</w:t>
            </w:r>
          </w:p>
        </w:tc>
      </w:tr>
      <w:tr w:rsidR="00FA1710" w:rsidRPr="00FE3C59" w14:paraId="69FC450C" w14:textId="77777777" w:rsidTr="005F1AA1">
        <w:tc>
          <w:tcPr>
            <w:tcW w:w="1043" w:type="dxa"/>
          </w:tcPr>
          <w:p w14:paraId="293E1057" w14:textId="1054AEAF"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tcPr>
          <w:p w14:paraId="4D059399" w14:textId="04B2A52F"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Small and medium</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sized enterprises (SMEs)</w:t>
            </w:r>
          </w:p>
        </w:tc>
      </w:tr>
      <w:tr w:rsidR="00FA1710" w:rsidRPr="00FE3C59" w14:paraId="0280F8F6" w14:textId="77777777" w:rsidTr="005F1AA1">
        <w:tc>
          <w:tcPr>
            <w:tcW w:w="1043" w:type="dxa"/>
          </w:tcPr>
          <w:p w14:paraId="4E98CC57" w14:textId="1BBE1C02"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tcPr>
          <w:p w14:paraId="56E3F6D4" w14:textId="0C2C81B4"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Student Loans</w:t>
            </w:r>
          </w:p>
        </w:tc>
      </w:tr>
      <w:tr w:rsidR="00FA1710" w:rsidRPr="00FE3C59" w14:paraId="59468C67" w14:textId="77777777" w:rsidTr="005F1AA1">
        <w:tc>
          <w:tcPr>
            <w:tcW w:w="1043" w:type="dxa"/>
          </w:tcPr>
          <w:p w14:paraId="0C7CF508" w14:textId="6745478D"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tcPr>
          <w:p w14:paraId="30D0E74F" w14:textId="05C975C3"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Retail</w:t>
            </w:r>
          </w:p>
        </w:tc>
      </w:tr>
      <w:tr w:rsidR="00FA1710" w:rsidRPr="00FE3C59" w14:paraId="456DF5AA" w14:textId="77777777" w:rsidTr="005F1AA1">
        <w:tc>
          <w:tcPr>
            <w:tcW w:w="1043" w:type="dxa"/>
          </w:tcPr>
          <w:p w14:paraId="073D3FB4" w14:textId="67D6C95B"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0120</w:t>
            </w:r>
          </w:p>
        </w:tc>
        <w:tc>
          <w:tcPr>
            <w:tcW w:w="7973" w:type="dxa"/>
          </w:tcPr>
          <w:p w14:paraId="53C19B41" w14:textId="4608D5A8"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Asia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Wholesale</w:t>
            </w:r>
          </w:p>
        </w:tc>
      </w:tr>
      <w:tr w:rsidR="00FA1710" w:rsidRPr="00FE3C59" w14:paraId="539318B5" w14:textId="77777777" w:rsidTr="005F1AA1">
        <w:tc>
          <w:tcPr>
            <w:tcW w:w="1043" w:type="dxa"/>
          </w:tcPr>
          <w:p w14:paraId="749B9075" w14:textId="35F79FCC"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73" w:type="dxa"/>
          </w:tcPr>
          <w:p w14:paraId="0F01CFF1" w14:textId="0843DC82"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ABCP</w:t>
            </w:r>
          </w:p>
        </w:tc>
      </w:tr>
      <w:tr w:rsidR="00FA1710" w:rsidRPr="00FE3C59" w14:paraId="47D5F580" w14:textId="77777777" w:rsidTr="005F1AA1">
        <w:tc>
          <w:tcPr>
            <w:tcW w:w="1043" w:type="dxa"/>
          </w:tcPr>
          <w:p w14:paraId="675D8621" w14:textId="77BA129F"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973" w:type="dxa"/>
          </w:tcPr>
          <w:p w14:paraId="09EF993A" w14:textId="79010A4F"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Auto Loans/Leases</w:t>
            </w:r>
          </w:p>
        </w:tc>
      </w:tr>
      <w:tr w:rsidR="00FA1710" w:rsidRPr="00FE3C59" w14:paraId="2C3E7576" w14:textId="77777777" w:rsidTr="005F1AA1">
        <w:tc>
          <w:tcPr>
            <w:tcW w:w="1043" w:type="dxa"/>
          </w:tcPr>
          <w:p w14:paraId="5DEE4508" w14:textId="386962D6"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973" w:type="dxa"/>
          </w:tcPr>
          <w:p w14:paraId="18DB32F4" w14:textId="2AA496DD"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Residential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(RMBS)</w:t>
            </w:r>
          </w:p>
        </w:tc>
      </w:tr>
      <w:tr w:rsidR="00FA1710" w:rsidRPr="00FE3C59" w14:paraId="1ED945A1" w14:textId="77777777" w:rsidTr="005F1AA1">
        <w:tc>
          <w:tcPr>
            <w:tcW w:w="1043" w:type="dxa"/>
          </w:tcPr>
          <w:p w14:paraId="26D269A2" w14:textId="3E0175FF"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73" w:type="dxa"/>
          </w:tcPr>
          <w:p w14:paraId="712B228C" w14:textId="316D8AC3"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Credit cards</w:t>
            </w:r>
          </w:p>
        </w:tc>
      </w:tr>
      <w:tr w:rsidR="00FA1710" w:rsidRPr="00FE3C59" w14:paraId="560AE400" w14:textId="77777777" w:rsidTr="005F1AA1">
        <w:tc>
          <w:tcPr>
            <w:tcW w:w="1043" w:type="dxa"/>
          </w:tcPr>
          <w:p w14:paraId="054E4695" w14:textId="591891B3"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973" w:type="dxa"/>
          </w:tcPr>
          <w:p w14:paraId="26F66845" w14:textId="163AE5F8"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Commercial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(CMBS)</w:t>
            </w:r>
          </w:p>
        </w:tc>
      </w:tr>
      <w:tr w:rsidR="00FA1710" w:rsidRPr="00FE3C59" w14:paraId="737A8A1A" w14:textId="77777777" w:rsidTr="005F1AA1">
        <w:tc>
          <w:tcPr>
            <w:tcW w:w="1043" w:type="dxa"/>
          </w:tcPr>
          <w:p w14:paraId="3CD6AF23" w14:textId="1E9A669B"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973" w:type="dxa"/>
          </w:tcPr>
          <w:p w14:paraId="1309A138" w14:textId="2EE0D741"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loan obligations (CLOs)</w:t>
            </w:r>
          </w:p>
        </w:tc>
      </w:tr>
      <w:tr w:rsidR="00FA1710" w:rsidRPr="00FE3C59" w14:paraId="1C71D4ED" w14:textId="77777777" w:rsidTr="005F1AA1">
        <w:tc>
          <w:tcPr>
            <w:tcW w:w="1043" w:type="dxa"/>
          </w:tcPr>
          <w:p w14:paraId="7DB20B12" w14:textId="245F1556"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73" w:type="dxa"/>
          </w:tcPr>
          <w:p w14:paraId="325FB364" w14:textId="048359BE"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debt obligations squared (CDO</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squared)</w:t>
            </w:r>
          </w:p>
        </w:tc>
      </w:tr>
      <w:tr w:rsidR="00FA1710" w:rsidRPr="00FE3C59" w14:paraId="4B42C19D" w14:textId="77777777" w:rsidTr="005F1AA1">
        <w:tc>
          <w:tcPr>
            <w:tcW w:w="1043" w:type="dxa"/>
          </w:tcPr>
          <w:p w14:paraId="02BD2530" w14:textId="6EC25397"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73" w:type="dxa"/>
          </w:tcPr>
          <w:p w14:paraId="2D48571D" w14:textId="6B7B03E9"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Small and medium</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sized enterprises (SMEs)</w:t>
            </w:r>
          </w:p>
        </w:tc>
      </w:tr>
      <w:tr w:rsidR="00FA1710" w:rsidRPr="00FE3C59" w14:paraId="12AB54BB" w14:textId="77777777" w:rsidTr="005F1AA1">
        <w:tc>
          <w:tcPr>
            <w:tcW w:w="1043" w:type="dxa"/>
          </w:tcPr>
          <w:p w14:paraId="0D1D2604" w14:textId="300DAF68"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73" w:type="dxa"/>
          </w:tcPr>
          <w:p w14:paraId="3248171C" w14:textId="079E2065"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Student Loans</w:t>
            </w:r>
          </w:p>
        </w:tc>
      </w:tr>
      <w:tr w:rsidR="00FA1710" w:rsidRPr="00FE3C59" w14:paraId="52AFB33D" w14:textId="77777777" w:rsidTr="005F1AA1">
        <w:tc>
          <w:tcPr>
            <w:tcW w:w="1043" w:type="dxa"/>
          </w:tcPr>
          <w:p w14:paraId="3F38C409" w14:textId="180F03D2"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0220</w:t>
            </w:r>
          </w:p>
        </w:tc>
        <w:tc>
          <w:tcPr>
            <w:tcW w:w="7973" w:type="dxa"/>
          </w:tcPr>
          <w:p w14:paraId="7FC5648F" w14:textId="2FA9B68F"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Retail</w:t>
            </w:r>
          </w:p>
        </w:tc>
      </w:tr>
      <w:tr w:rsidR="00FA1710" w:rsidRPr="00FE3C59" w14:paraId="3C200515" w14:textId="77777777" w:rsidTr="005F1AA1">
        <w:tc>
          <w:tcPr>
            <w:tcW w:w="1043" w:type="dxa"/>
          </w:tcPr>
          <w:p w14:paraId="7FEE00FF" w14:textId="13125D5E"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w:t>
            </w:r>
          </w:p>
        </w:tc>
        <w:tc>
          <w:tcPr>
            <w:tcW w:w="7973" w:type="dxa"/>
          </w:tcPr>
          <w:p w14:paraId="68A925E7" w14:textId="0F312346"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Europe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Wholesale</w:t>
            </w:r>
          </w:p>
        </w:tc>
      </w:tr>
      <w:tr w:rsidR="00FA1710" w:rsidRPr="00FE3C59" w14:paraId="1E1F2831" w14:textId="77777777" w:rsidTr="005F1AA1">
        <w:tc>
          <w:tcPr>
            <w:tcW w:w="1043" w:type="dxa"/>
          </w:tcPr>
          <w:p w14:paraId="0F10700C" w14:textId="42949CF7"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0240</w:t>
            </w:r>
          </w:p>
        </w:tc>
        <w:tc>
          <w:tcPr>
            <w:tcW w:w="7973" w:type="dxa"/>
          </w:tcPr>
          <w:p w14:paraId="04A73815" w14:textId="353BA00C"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ABCP</w:t>
            </w:r>
          </w:p>
        </w:tc>
      </w:tr>
      <w:tr w:rsidR="00FA1710" w:rsidRPr="00FE3C59" w14:paraId="080CA927" w14:textId="77777777" w:rsidTr="005F1AA1">
        <w:tc>
          <w:tcPr>
            <w:tcW w:w="1043" w:type="dxa"/>
          </w:tcPr>
          <w:p w14:paraId="70790002" w14:textId="5A5683F3"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0250</w:t>
            </w:r>
          </w:p>
        </w:tc>
        <w:tc>
          <w:tcPr>
            <w:tcW w:w="7973" w:type="dxa"/>
          </w:tcPr>
          <w:p w14:paraId="6D023087" w14:textId="4E5A146C"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Auto Loans/Leases</w:t>
            </w:r>
          </w:p>
        </w:tc>
      </w:tr>
      <w:tr w:rsidR="00FA1710" w:rsidRPr="00FE3C59" w14:paraId="6C25D1CB" w14:textId="77777777" w:rsidTr="005F1AA1">
        <w:tc>
          <w:tcPr>
            <w:tcW w:w="1043" w:type="dxa"/>
          </w:tcPr>
          <w:p w14:paraId="27FDCDC2" w14:textId="4410E169"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0260</w:t>
            </w:r>
          </w:p>
        </w:tc>
        <w:tc>
          <w:tcPr>
            <w:tcW w:w="7973" w:type="dxa"/>
          </w:tcPr>
          <w:p w14:paraId="4ECB6671" w14:textId="5B37888C"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Residential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(RMBS)</w:t>
            </w:r>
          </w:p>
        </w:tc>
      </w:tr>
      <w:tr w:rsidR="00FA1710" w:rsidRPr="00FE3C59" w14:paraId="0BE7BD90" w14:textId="77777777" w:rsidTr="005F1AA1">
        <w:tc>
          <w:tcPr>
            <w:tcW w:w="1043" w:type="dxa"/>
          </w:tcPr>
          <w:p w14:paraId="3C38C702" w14:textId="56A454B5"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0270</w:t>
            </w:r>
          </w:p>
        </w:tc>
        <w:tc>
          <w:tcPr>
            <w:tcW w:w="7973" w:type="dxa"/>
          </w:tcPr>
          <w:p w14:paraId="69375C95" w14:textId="117E359E"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Credit cards</w:t>
            </w:r>
          </w:p>
        </w:tc>
      </w:tr>
      <w:tr w:rsidR="00FA1710" w:rsidRPr="00FE3C59" w14:paraId="13E05009" w14:textId="77777777" w:rsidTr="005F1AA1">
        <w:tc>
          <w:tcPr>
            <w:tcW w:w="1043" w:type="dxa"/>
          </w:tcPr>
          <w:p w14:paraId="377898BD" w14:textId="79527C3E"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0280</w:t>
            </w:r>
          </w:p>
        </w:tc>
        <w:tc>
          <w:tcPr>
            <w:tcW w:w="7973" w:type="dxa"/>
          </w:tcPr>
          <w:p w14:paraId="288866E6" w14:textId="4849AC46"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Commercial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(CMBS)</w:t>
            </w:r>
          </w:p>
        </w:tc>
      </w:tr>
      <w:tr w:rsidR="00FA1710" w:rsidRPr="00FE3C59" w14:paraId="0F2FA398" w14:textId="77777777" w:rsidTr="005F1AA1">
        <w:tc>
          <w:tcPr>
            <w:tcW w:w="1043" w:type="dxa"/>
          </w:tcPr>
          <w:p w14:paraId="71404A31" w14:textId="6C754437"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0290</w:t>
            </w:r>
          </w:p>
        </w:tc>
        <w:tc>
          <w:tcPr>
            <w:tcW w:w="7973" w:type="dxa"/>
          </w:tcPr>
          <w:p w14:paraId="4A6B3DD3" w14:textId="6532BA02"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loan obligations (CLOs)</w:t>
            </w:r>
          </w:p>
        </w:tc>
      </w:tr>
      <w:tr w:rsidR="00FA1710" w:rsidRPr="00FE3C59" w14:paraId="2B57C316" w14:textId="77777777" w:rsidTr="005F1AA1">
        <w:tc>
          <w:tcPr>
            <w:tcW w:w="1043" w:type="dxa"/>
          </w:tcPr>
          <w:p w14:paraId="30EC83CC" w14:textId="69C6EF2F"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0300</w:t>
            </w:r>
          </w:p>
        </w:tc>
        <w:tc>
          <w:tcPr>
            <w:tcW w:w="7973" w:type="dxa"/>
          </w:tcPr>
          <w:p w14:paraId="7C88E8CC" w14:textId="3602202B"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debt obligations squared (CDO</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squared)</w:t>
            </w:r>
          </w:p>
        </w:tc>
      </w:tr>
      <w:tr w:rsidR="00FA1710" w:rsidRPr="00FE3C59" w14:paraId="079B4EBC" w14:textId="77777777" w:rsidTr="005F1AA1">
        <w:tc>
          <w:tcPr>
            <w:tcW w:w="1043" w:type="dxa"/>
          </w:tcPr>
          <w:p w14:paraId="7A10AD99" w14:textId="0FD2CBFF"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0310</w:t>
            </w:r>
          </w:p>
        </w:tc>
        <w:tc>
          <w:tcPr>
            <w:tcW w:w="7973" w:type="dxa"/>
          </w:tcPr>
          <w:p w14:paraId="6CE0D013" w14:textId="185E45A5"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Small and medium</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sized enterprises (SMEs)</w:t>
            </w:r>
          </w:p>
        </w:tc>
      </w:tr>
      <w:tr w:rsidR="00FA1710" w:rsidRPr="00FE3C59" w14:paraId="4CA25DED" w14:textId="77777777" w:rsidTr="005F1AA1">
        <w:tc>
          <w:tcPr>
            <w:tcW w:w="1043" w:type="dxa"/>
          </w:tcPr>
          <w:p w14:paraId="4CA71BEA" w14:textId="24E8BB06"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0320</w:t>
            </w:r>
          </w:p>
        </w:tc>
        <w:tc>
          <w:tcPr>
            <w:tcW w:w="7973" w:type="dxa"/>
          </w:tcPr>
          <w:p w14:paraId="41E6C1B7" w14:textId="3D6B0E70"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Student Loans</w:t>
            </w:r>
          </w:p>
        </w:tc>
      </w:tr>
      <w:tr w:rsidR="00FA1710" w:rsidRPr="00FE3C59" w14:paraId="05318330" w14:textId="77777777" w:rsidTr="005F1AA1">
        <w:tc>
          <w:tcPr>
            <w:tcW w:w="1043" w:type="dxa"/>
          </w:tcPr>
          <w:p w14:paraId="0ABF8706" w14:textId="0F5B904D"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0330</w:t>
            </w:r>
          </w:p>
        </w:tc>
        <w:tc>
          <w:tcPr>
            <w:tcW w:w="7973" w:type="dxa"/>
          </w:tcPr>
          <w:p w14:paraId="70ABADA5" w14:textId="0F0FE7D2"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Retail</w:t>
            </w:r>
          </w:p>
        </w:tc>
      </w:tr>
      <w:tr w:rsidR="00FA1710" w:rsidRPr="00FE3C59" w14:paraId="3BB29F4D" w14:textId="77777777" w:rsidTr="005F1AA1">
        <w:tc>
          <w:tcPr>
            <w:tcW w:w="1043" w:type="dxa"/>
          </w:tcPr>
          <w:p w14:paraId="3259999F" w14:textId="46BB9983"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0340</w:t>
            </w:r>
          </w:p>
        </w:tc>
        <w:tc>
          <w:tcPr>
            <w:tcW w:w="7973" w:type="dxa"/>
          </w:tcPr>
          <w:p w14:paraId="3267303F" w14:textId="75E0C95E"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North America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Wholesale</w:t>
            </w:r>
          </w:p>
        </w:tc>
      </w:tr>
      <w:tr w:rsidR="00FA1710" w:rsidRPr="00FE3C59" w14:paraId="25712449" w14:textId="77777777" w:rsidTr="005F1AA1">
        <w:tc>
          <w:tcPr>
            <w:tcW w:w="1043" w:type="dxa"/>
          </w:tcPr>
          <w:p w14:paraId="5DD09279" w14:textId="25FD11A1"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0350</w:t>
            </w:r>
          </w:p>
        </w:tc>
        <w:tc>
          <w:tcPr>
            <w:tcW w:w="7973" w:type="dxa"/>
          </w:tcPr>
          <w:p w14:paraId="259021E5" w14:textId="7126A84E"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ABCP</w:t>
            </w:r>
          </w:p>
        </w:tc>
      </w:tr>
      <w:tr w:rsidR="00FA1710" w:rsidRPr="00FE3C59" w14:paraId="72E92F25" w14:textId="77777777" w:rsidTr="005F1AA1">
        <w:tc>
          <w:tcPr>
            <w:tcW w:w="1043" w:type="dxa"/>
          </w:tcPr>
          <w:p w14:paraId="754ACEF8" w14:textId="789A1B8F"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0360</w:t>
            </w:r>
          </w:p>
        </w:tc>
        <w:tc>
          <w:tcPr>
            <w:tcW w:w="7973" w:type="dxa"/>
          </w:tcPr>
          <w:p w14:paraId="51F303E4" w14:textId="51F82D5E"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Auto Loans/Leases</w:t>
            </w:r>
          </w:p>
        </w:tc>
      </w:tr>
      <w:tr w:rsidR="00FA1710" w:rsidRPr="00FE3C59" w14:paraId="36290FCA" w14:textId="77777777" w:rsidTr="005F1AA1">
        <w:tc>
          <w:tcPr>
            <w:tcW w:w="1043" w:type="dxa"/>
          </w:tcPr>
          <w:p w14:paraId="3F2D57C3" w14:textId="4B20477E"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0370</w:t>
            </w:r>
          </w:p>
        </w:tc>
        <w:tc>
          <w:tcPr>
            <w:tcW w:w="7973" w:type="dxa"/>
          </w:tcPr>
          <w:p w14:paraId="498CB5D9" w14:textId="1D833358"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Residential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(RMBS)</w:t>
            </w:r>
          </w:p>
        </w:tc>
      </w:tr>
      <w:tr w:rsidR="00FA1710" w:rsidRPr="00FE3C59" w14:paraId="2653177E" w14:textId="77777777" w:rsidTr="005F1AA1">
        <w:tc>
          <w:tcPr>
            <w:tcW w:w="1043" w:type="dxa"/>
          </w:tcPr>
          <w:p w14:paraId="62CFD510" w14:textId="30638112"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0380</w:t>
            </w:r>
          </w:p>
        </w:tc>
        <w:tc>
          <w:tcPr>
            <w:tcW w:w="7973" w:type="dxa"/>
          </w:tcPr>
          <w:p w14:paraId="5A2DB3AF" w14:textId="65C6B0B3"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Credit cards</w:t>
            </w:r>
          </w:p>
        </w:tc>
      </w:tr>
      <w:tr w:rsidR="00FA1710" w:rsidRPr="00FE3C59" w14:paraId="67CE0262" w14:textId="77777777" w:rsidTr="005F1AA1">
        <w:tc>
          <w:tcPr>
            <w:tcW w:w="1043" w:type="dxa"/>
          </w:tcPr>
          <w:p w14:paraId="47FCFDB2" w14:textId="745B5046"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0390</w:t>
            </w:r>
          </w:p>
        </w:tc>
        <w:tc>
          <w:tcPr>
            <w:tcW w:w="7973" w:type="dxa"/>
          </w:tcPr>
          <w:p w14:paraId="4F9D7CEA" w14:textId="49412BC0"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Commercial mortgage</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backed securities (CMBS)</w:t>
            </w:r>
          </w:p>
        </w:tc>
      </w:tr>
      <w:tr w:rsidR="00FA1710" w:rsidRPr="00FE3C59" w14:paraId="7CB69158" w14:textId="77777777" w:rsidTr="005F1AA1">
        <w:tc>
          <w:tcPr>
            <w:tcW w:w="1043" w:type="dxa"/>
          </w:tcPr>
          <w:p w14:paraId="5312CA0F" w14:textId="6E238B3B"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0400</w:t>
            </w:r>
          </w:p>
        </w:tc>
        <w:tc>
          <w:tcPr>
            <w:tcW w:w="7973" w:type="dxa"/>
          </w:tcPr>
          <w:p w14:paraId="12DE7EE3" w14:textId="5F7D993B"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loan obligations (CLOs)</w:t>
            </w:r>
          </w:p>
        </w:tc>
      </w:tr>
      <w:tr w:rsidR="00FA1710" w:rsidRPr="00FE3C59" w14:paraId="7DCE4A0E" w14:textId="77777777" w:rsidTr="005F1AA1">
        <w:tc>
          <w:tcPr>
            <w:tcW w:w="1043" w:type="dxa"/>
          </w:tcPr>
          <w:p w14:paraId="34544648" w14:textId="64A155BC"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0410</w:t>
            </w:r>
          </w:p>
        </w:tc>
        <w:tc>
          <w:tcPr>
            <w:tcW w:w="7973" w:type="dxa"/>
          </w:tcPr>
          <w:p w14:paraId="20191884" w14:textId="45B7C9E6"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Collateralised debt obligations squared (CDO</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squared)</w:t>
            </w:r>
          </w:p>
        </w:tc>
      </w:tr>
      <w:tr w:rsidR="00FA1710" w:rsidRPr="00FE3C59" w14:paraId="4E6C188A" w14:textId="77777777" w:rsidTr="005F1AA1">
        <w:tc>
          <w:tcPr>
            <w:tcW w:w="1043" w:type="dxa"/>
          </w:tcPr>
          <w:p w14:paraId="1088FD8A" w14:textId="1C62FE84"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0420</w:t>
            </w:r>
          </w:p>
        </w:tc>
        <w:tc>
          <w:tcPr>
            <w:tcW w:w="7973" w:type="dxa"/>
          </w:tcPr>
          <w:p w14:paraId="72735AB7" w14:textId="3A0F5D45"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Small and medium</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sized enterprises (SMEs)</w:t>
            </w:r>
          </w:p>
        </w:tc>
      </w:tr>
      <w:tr w:rsidR="00FA1710" w:rsidRPr="00FE3C59" w14:paraId="5B820CCA" w14:textId="77777777" w:rsidTr="005F1AA1">
        <w:tc>
          <w:tcPr>
            <w:tcW w:w="1043" w:type="dxa"/>
          </w:tcPr>
          <w:p w14:paraId="55BEB85E" w14:textId="1CCAD30A"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0430</w:t>
            </w:r>
          </w:p>
        </w:tc>
        <w:tc>
          <w:tcPr>
            <w:tcW w:w="7973" w:type="dxa"/>
          </w:tcPr>
          <w:p w14:paraId="10B3C465" w14:textId="32E85CCD"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Student Loans</w:t>
            </w:r>
          </w:p>
        </w:tc>
      </w:tr>
      <w:tr w:rsidR="00FA1710" w:rsidRPr="00FE3C59" w14:paraId="0704F4C5" w14:textId="77777777" w:rsidTr="005F1AA1">
        <w:tc>
          <w:tcPr>
            <w:tcW w:w="1043" w:type="dxa"/>
          </w:tcPr>
          <w:p w14:paraId="6F424D13" w14:textId="2C0EEC3E"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0440</w:t>
            </w:r>
          </w:p>
        </w:tc>
        <w:tc>
          <w:tcPr>
            <w:tcW w:w="7973" w:type="dxa"/>
          </w:tcPr>
          <w:p w14:paraId="5D93B7F4" w14:textId="18E12127"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Retail</w:t>
            </w:r>
          </w:p>
        </w:tc>
      </w:tr>
      <w:tr w:rsidR="00FA1710" w:rsidRPr="00FE3C59" w14:paraId="2823EEBE" w14:textId="77777777" w:rsidTr="005F1AA1">
        <w:tc>
          <w:tcPr>
            <w:tcW w:w="1043" w:type="dxa"/>
          </w:tcPr>
          <w:p w14:paraId="74CAC398" w14:textId="5389D68C" w:rsidR="00FA1710" w:rsidRPr="00FE3C59" w:rsidRDefault="00FA1710" w:rsidP="00FA1710">
            <w:pPr>
              <w:pStyle w:val="BodyText"/>
              <w:spacing w:before="120" w:after="120"/>
              <w:rPr>
                <w:rFonts w:ascii="Times New Roman" w:hAnsi="Times New Roman" w:cs="Times New Roman"/>
                <w:lang w:val="en-GB"/>
              </w:rPr>
            </w:pPr>
            <w:r w:rsidRPr="00FE3C59">
              <w:rPr>
                <w:rFonts w:ascii="Times New Roman" w:hAnsi="Times New Roman" w:cs="Times New Roman"/>
                <w:lang w:val="en-GB"/>
              </w:rPr>
              <w:t>0450</w:t>
            </w:r>
          </w:p>
        </w:tc>
        <w:tc>
          <w:tcPr>
            <w:tcW w:w="7973" w:type="dxa"/>
          </w:tcPr>
          <w:p w14:paraId="21BE99ED" w14:textId="105E9FB3" w:rsidR="00FA1710" w:rsidRPr="00FE3C59" w:rsidRDefault="00FA1710" w:rsidP="00FA171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Rest of the World </w:t>
            </w:r>
            <w:r w:rsidR="00E34C8D"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Other Wholesale</w:t>
            </w:r>
          </w:p>
        </w:tc>
      </w:tr>
    </w:tbl>
    <w:p w14:paraId="4877F2CD" w14:textId="77777777" w:rsidR="00C65F1F" w:rsidRPr="00FE3C59" w:rsidRDefault="00C65F1F" w:rsidP="006650A7">
      <w:pPr>
        <w:pStyle w:val="body"/>
        <w:rPr>
          <w:rFonts w:ascii="Times New Roman" w:hAnsi="Times New Roman" w:cs="Times New Roman"/>
          <w:lang w:val="en-GB"/>
        </w:rPr>
      </w:pPr>
    </w:p>
    <w:p w14:paraId="3E5FDC2F" w14:textId="6D074C5E" w:rsidR="00D43916" w:rsidRPr="00FE3C59" w:rsidRDefault="00D34F1B" w:rsidP="00CA1AF4">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2112EE" w:rsidRPr="00FE3C59">
        <w:rPr>
          <w:rFonts w:ascii="Times New Roman" w:hAnsi="Times New Roman" w:cs="Times New Roman"/>
          <w:sz w:val="24"/>
          <w:szCs w:val="24"/>
          <w:u w:val="none"/>
          <w:lang w:val="en-GB"/>
        </w:rPr>
        <w:t>5</w:t>
      </w:r>
      <w:r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4</w:t>
      </w:r>
      <w:r w:rsidR="00045806" w:rsidRPr="00FE3C59">
        <w:rPr>
          <w:rFonts w:ascii="Times New Roman" w:hAnsi="Times New Roman" w:cs="Times New Roman"/>
          <w:lang w:val="en-GB"/>
        </w:rPr>
        <w:tab/>
      </w:r>
      <w:r w:rsidR="00D43916" w:rsidRPr="00FE3C59">
        <w:rPr>
          <w:rFonts w:ascii="Times New Roman" w:hAnsi="Times New Roman" w:cs="Times New Roman"/>
          <w:sz w:val="24"/>
          <w:szCs w:val="24"/>
          <w:u w:val="none"/>
          <w:lang w:val="en-GB"/>
        </w:rPr>
        <w:t xml:space="preserve"> C </w:t>
      </w:r>
      <w:r w:rsidR="00DB1D68" w:rsidRPr="00FE3C59">
        <w:rPr>
          <w:rFonts w:ascii="Times New Roman" w:hAnsi="Times New Roman" w:cs="Times New Roman"/>
          <w:sz w:val="24"/>
          <w:szCs w:val="24"/>
          <w:u w:val="none"/>
          <w:lang w:val="en-GB"/>
        </w:rPr>
        <w:t>94.0</w:t>
      </w:r>
      <w:r w:rsidR="00D43916" w:rsidRPr="00FE3C59">
        <w:rPr>
          <w:rFonts w:ascii="Times New Roman" w:hAnsi="Times New Roman" w:cs="Times New Roman"/>
          <w:sz w:val="24"/>
          <w:szCs w:val="24"/>
          <w:u w:val="none"/>
          <w:lang w:val="en-GB"/>
        </w:rPr>
        <w:t xml:space="preserve">3: </w:t>
      </w:r>
      <w:r w:rsidR="00226FCE" w:rsidRPr="00FE3C59">
        <w:rPr>
          <w:rFonts w:ascii="Times New Roman" w:hAnsi="Times New Roman" w:cs="Times New Roman"/>
          <w:sz w:val="24"/>
          <w:szCs w:val="24"/>
          <w:u w:val="none"/>
          <w:lang w:val="en-GB"/>
        </w:rPr>
        <w:t>D</w:t>
      </w:r>
      <w:r w:rsidR="00D43916" w:rsidRPr="00FE3C59">
        <w:rPr>
          <w:rFonts w:ascii="Times New Roman" w:hAnsi="Times New Roman" w:cs="Times New Roman"/>
          <w:sz w:val="24"/>
          <w:szCs w:val="24"/>
          <w:u w:val="none"/>
          <w:lang w:val="en-GB"/>
        </w:rPr>
        <w:t xml:space="preserve">efault risk charge </w:t>
      </w:r>
      <w:r w:rsidR="00485C29" w:rsidRPr="00FE3C59">
        <w:rPr>
          <w:rFonts w:ascii="Times New Roman" w:hAnsi="Times New Roman" w:cs="Times New Roman"/>
          <w:sz w:val="24"/>
          <w:szCs w:val="24"/>
          <w:u w:val="none"/>
          <w:lang w:val="en-GB"/>
        </w:rPr>
        <w:t>–</w:t>
      </w:r>
      <w:r w:rsidR="00D43916" w:rsidRPr="00FE3C59">
        <w:rPr>
          <w:rFonts w:ascii="Times New Roman" w:hAnsi="Times New Roman" w:cs="Times New Roman"/>
          <w:sz w:val="24"/>
          <w:szCs w:val="24"/>
          <w:u w:val="none"/>
          <w:lang w:val="en-GB"/>
        </w:rPr>
        <w:t xml:space="preserve"> instruments included in the </w:t>
      </w:r>
      <w:r w:rsidR="004904C1" w:rsidRPr="00FE3C59">
        <w:rPr>
          <w:rFonts w:ascii="Times New Roman" w:hAnsi="Times New Roman" w:cs="Times New Roman"/>
          <w:sz w:val="24"/>
          <w:szCs w:val="24"/>
          <w:u w:val="none"/>
          <w:lang w:val="en-GB"/>
        </w:rPr>
        <w:t xml:space="preserve">alternative </w:t>
      </w:r>
      <w:r w:rsidR="00D43916" w:rsidRPr="00FE3C59">
        <w:rPr>
          <w:rFonts w:ascii="Times New Roman" w:hAnsi="Times New Roman" w:cs="Times New Roman"/>
          <w:sz w:val="24"/>
          <w:szCs w:val="24"/>
          <w:u w:val="none"/>
          <w:lang w:val="en-GB"/>
        </w:rPr>
        <w:t xml:space="preserve">correlation trading portfolio (MKR </w:t>
      </w:r>
      <w:r w:rsidR="00EA53DC">
        <w:rPr>
          <w:rFonts w:ascii="Times New Roman" w:hAnsi="Times New Roman" w:cs="Times New Roman"/>
          <w:sz w:val="24"/>
          <w:szCs w:val="24"/>
          <w:u w:val="none"/>
          <w:lang w:val="en-GB"/>
        </w:rPr>
        <w:t>A</w:t>
      </w:r>
      <w:r w:rsidR="00D43916" w:rsidRPr="00FE3C59">
        <w:rPr>
          <w:rFonts w:ascii="Times New Roman" w:hAnsi="Times New Roman" w:cs="Times New Roman"/>
          <w:sz w:val="24"/>
          <w:szCs w:val="24"/>
          <w:u w:val="none"/>
          <w:lang w:val="en-GB"/>
        </w:rPr>
        <w:t>SA DRC3</w:t>
      </w:r>
      <w:r w:rsidR="004904C1" w:rsidRPr="00FE3C59">
        <w:rPr>
          <w:rFonts w:ascii="Times New Roman" w:hAnsi="Times New Roman" w:cs="Times New Roman"/>
          <w:sz w:val="24"/>
          <w:szCs w:val="24"/>
          <w:u w:val="none"/>
          <w:lang w:val="en-GB"/>
        </w:rPr>
        <w:t>)</w:t>
      </w:r>
    </w:p>
    <w:p w14:paraId="4E647E46" w14:textId="2E670615" w:rsidR="00C65F1F" w:rsidRPr="00FE3C59" w:rsidRDefault="004F7DA1"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2112EE" w:rsidRPr="00FE3C59">
        <w:rPr>
          <w:rFonts w:ascii="Times New Roman" w:hAnsi="Times New Roman" w:cs="Times New Roman"/>
          <w:sz w:val="24"/>
          <w:szCs w:val="24"/>
          <w:u w:val="none"/>
          <w:lang w:val="en-GB"/>
        </w:rPr>
        <w:t>5</w:t>
      </w:r>
      <w:r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4</w:t>
      </w:r>
      <w:r w:rsidRPr="00FE3C59">
        <w:rPr>
          <w:rFonts w:ascii="Times New Roman" w:hAnsi="Times New Roman" w:cs="Times New Roman"/>
          <w:sz w:val="24"/>
          <w:szCs w:val="24"/>
          <w:u w:val="none"/>
          <w:lang w:val="en-GB"/>
        </w:rPr>
        <w:t>.</w:t>
      </w:r>
      <w:r w:rsidR="00C65F1F" w:rsidRPr="00FE3C59">
        <w:rPr>
          <w:rFonts w:ascii="Times New Roman" w:hAnsi="Times New Roman" w:cs="Times New Roman"/>
          <w:sz w:val="24"/>
          <w:szCs w:val="24"/>
          <w:u w:val="none"/>
          <w:lang w:val="en-GB"/>
        </w:rPr>
        <w:t>1</w:t>
      </w:r>
      <w:r w:rsidR="00C65F1F"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General remarks</w:t>
      </w:r>
    </w:p>
    <w:p w14:paraId="7CC47AF5" w14:textId="75A90148" w:rsidR="00473507" w:rsidRPr="00FE3C59" w:rsidRDefault="006F332D" w:rsidP="006E2ED1">
      <w:pPr>
        <w:pStyle w:val="InstructionsText2"/>
        <w:numPr>
          <w:ilvl w:val="0"/>
          <w:numId w:val="57"/>
        </w:numPr>
      </w:pPr>
      <w:r w:rsidRPr="00FE3C59">
        <w:t>T</w:t>
      </w:r>
      <w:r w:rsidR="00473507" w:rsidRPr="00FE3C59">
        <w:t xml:space="preserve">his template shall be </w:t>
      </w:r>
      <w:r w:rsidRPr="00FE3C59">
        <w:t xml:space="preserve">used to </w:t>
      </w:r>
      <w:r w:rsidR="00473507" w:rsidRPr="00FE3C59">
        <w:t>report institution’s exposures in scope of the own funds requirements for the default risk for securitisations included in the ACTP (Article 325ab to Article 325ad of Regulation (EU) No 575/2013).</w:t>
      </w:r>
    </w:p>
    <w:p w14:paraId="2CEF4922" w14:textId="47456FD6" w:rsidR="00C65F1F" w:rsidRPr="00FE3C59" w:rsidRDefault="004F7DA1" w:rsidP="00C65F1F">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2.</w:t>
      </w:r>
      <w:r w:rsidR="002112EE" w:rsidRPr="00FE3C59">
        <w:rPr>
          <w:rFonts w:ascii="Times New Roman" w:hAnsi="Times New Roman" w:cs="Times New Roman"/>
          <w:sz w:val="24"/>
          <w:szCs w:val="24"/>
          <w:u w:val="none"/>
          <w:lang w:val="en-GB"/>
        </w:rPr>
        <w:t>5</w:t>
      </w:r>
      <w:r w:rsidRPr="00FE3C59">
        <w:rPr>
          <w:rFonts w:ascii="Times New Roman" w:hAnsi="Times New Roman" w:cs="Times New Roman"/>
          <w:sz w:val="24"/>
          <w:szCs w:val="24"/>
          <w:u w:val="none"/>
          <w:lang w:val="en-GB"/>
        </w:rPr>
        <w:t>.</w:t>
      </w:r>
      <w:r w:rsidR="00E934E8" w:rsidRPr="00FE3C59">
        <w:rPr>
          <w:rFonts w:ascii="Times New Roman" w:hAnsi="Times New Roman" w:cs="Times New Roman"/>
          <w:sz w:val="24"/>
          <w:szCs w:val="24"/>
          <w:u w:val="none"/>
          <w:lang w:val="en-GB"/>
        </w:rPr>
        <w:t>4</w:t>
      </w:r>
      <w:r w:rsidRPr="00FE3C59">
        <w:rPr>
          <w:rFonts w:ascii="Times New Roman" w:hAnsi="Times New Roman" w:cs="Times New Roman"/>
          <w:sz w:val="24"/>
          <w:szCs w:val="24"/>
          <w:u w:val="none"/>
          <w:lang w:val="en-GB"/>
        </w:rPr>
        <w:t>.</w:t>
      </w:r>
      <w:r w:rsidR="00C65F1F" w:rsidRPr="00FE3C59">
        <w:rPr>
          <w:rFonts w:ascii="Times New Roman" w:hAnsi="Times New Roman" w:cs="Times New Roman"/>
          <w:sz w:val="24"/>
          <w:szCs w:val="24"/>
          <w:u w:val="none"/>
          <w:lang w:val="en-GB"/>
        </w:rPr>
        <w:t>2</w:t>
      </w:r>
      <w:r w:rsidR="00C65F1F" w:rsidRPr="00FE3C59">
        <w:rPr>
          <w:rFonts w:ascii="Times New Roman" w:hAnsi="Times New Roman" w:cs="Times New Roman"/>
          <w:lang w:val="en-GB"/>
        </w:rPr>
        <w:tab/>
      </w:r>
      <w:r w:rsidR="00C65F1F" w:rsidRPr="00FE3C59">
        <w:rPr>
          <w:rFonts w:ascii="Times New Roman" w:hAnsi="Times New Roman" w:cs="Times New Roman"/>
          <w:sz w:val="24"/>
          <w:szCs w:val="24"/>
          <w:u w:val="none"/>
          <w:lang w:val="en-GB"/>
        </w:rPr>
        <w:t>Instructions concerning specific positions</w:t>
      </w:r>
    </w:p>
    <w:tbl>
      <w:tblPr>
        <w:tblStyle w:val="TableGrid"/>
        <w:tblW w:w="0" w:type="auto"/>
        <w:tblLook w:val="04A0" w:firstRow="1" w:lastRow="0" w:firstColumn="1" w:lastColumn="0" w:noHBand="0" w:noVBand="1"/>
      </w:tblPr>
      <w:tblGrid>
        <w:gridCol w:w="1043"/>
        <w:gridCol w:w="7973"/>
      </w:tblGrid>
      <w:tr w:rsidR="00C65F1F" w:rsidRPr="00FE3C59" w14:paraId="4CA00837" w14:textId="77777777" w:rsidTr="005F1AA1">
        <w:tc>
          <w:tcPr>
            <w:tcW w:w="1043" w:type="dxa"/>
            <w:shd w:val="clear" w:color="auto" w:fill="BFBFBF" w:themeFill="background1" w:themeFillShade="BF"/>
          </w:tcPr>
          <w:p w14:paraId="72D55AB7"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7E062400" w14:textId="77777777" w:rsidR="00C65F1F" w:rsidRPr="00FE3C59" w:rsidRDefault="00C65F1F" w:rsidP="005F1AA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C65F1F" w:rsidRPr="00FE3C59" w14:paraId="766B6E50" w14:textId="77777777" w:rsidTr="005F1AA1">
        <w:tc>
          <w:tcPr>
            <w:tcW w:w="1043" w:type="dxa"/>
          </w:tcPr>
          <w:p w14:paraId="3267F555" w14:textId="77777777" w:rsidR="00C65F1F" w:rsidRPr="00FE3C59" w:rsidRDefault="00C65F1F" w:rsidP="005F1AA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593B7F11" w14:textId="39E38A2F" w:rsidR="00C65F1F" w:rsidRPr="00FE3C59" w:rsidRDefault="00A075E3" w:rsidP="005F1AA1">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Bucket (Index)</w:t>
            </w:r>
          </w:p>
          <w:p w14:paraId="5A868A10" w14:textId="5CA938D7" w:rsidR="00C65F1F" w:rsidRPr="00FE3C59" w:rsidRDefault="00020BAA" w:rsidP="005F1AA1">
            <w:pPr>
              <w:pStyle w:val="Tabelleninhalt"/>
              <w:spacing w:before="120" w:after="120"/>
              <w:rPr>
                <w:rFonts w:ascii="Times New Roman" w:hAnsi="Times New Roman" w:cs="Times New Roman"/>
                <w:lang w:val="en-GB"/>
              </w:rPr>
            </w:pPr>
            <w:r w:rsidRPr="00FE3C59">
              <w:rPr>
                <w:rFonts w:ascii="Times New Roman" w:hAnsi="Times New Roman" w:cs="Times New Roman"/>
                <w:lang w:val="en-GB"/>
              </w:rPr>
              <w:t>Name of the index (b</w:t>
            </w:r>
            <w:r w:rsidR="00215B88" w:rsidRPr="00FE3C59">
              <w:rPr>
                <w:rFonts w:ascii="Times New Roman" w:hAnsi="Times New Roman" w:cs="Times New Roman"/>
                <w:lang w:val="en-GB"/>
              </w:rPr>
              <w:t>ucket</w:t>
            </w:r>
            <w:r w:rsidRPr="00FE3C59">
              <w:rPr>
                <w:rFonts w:ascii="Times New Roman" w:hAnsi="Times New Roman" w:cs="Times New Roman"/>
                <w:lang w:val="en-GB"/>
              </w:rPr>
              <w:t>)</w:t>
            </w:r>
            <w:r w:rsidR="00215B88" w:rsidRPr="00FE3C59">
              <w:rPr>
                <w:rFonts w:ascii="Times New Roman" w:hAnsi="Times New Roman" w:cs="Times New Roman"/>
                <w:lang w:val="en-GB"/>
              </w:rPr>
              <w:t xml:space="preserve"> to which </w:t>
            </w:r>
            <w:r w:rsidR="00F337C3" w:rsidRPr="00FE3C59">
              <w:rPr>
                <w:rFonts w:ascii="Times New Roman" w:hAnsi="Times New Roman" w:cs="Times New Roman"/>
                <w:lang w:val="en-GB"/>
              </w:rPr>
              <w:t>exposures are assigned in accordance with Article 325ad(2) of Regulation (EU) No 575/2013</w:t>
            </w:r>
            <w:r w:rsidR="004B5C7A" w:rsidRPr="00FE3C59">
              <w:rPr>
                <w:rFonts w:ascii="Times New Roman" w:hAnsi="Times New Roman" w:cs="Times New Roman"/>
                <w:lang w:val="en-GB"/>
              </w:rPr>
              <w:t>.</w:t>
            </w:r>
          </w:p>
        </w:tc>
      </w:tr>
      <w:tr w:rsidR="002D1138" w:rsidRPr="00FE3C59" w14:paraId="4CEDF209" w14:textId="77777777" w:rsidTr="005F1AA1">
        <w:tc>
          <w:tcPr>
            <w:tcW w:w="1043" w:type="dxa"/>
          </w:tcPr>
          <w:p w14:paraId="19A446AB" w14:textId="0C54C365" w:rsidR="002D1138" w:rsidRPr="00FE3C59" w:rsidRDefault="00615279"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1EBF2E67" w14:textId="77777777" w:rsidR="002D1138" w:rsidRPr="00FE3C59" w:rsidRDefault="002D1138" w:rsidP="002D113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Bucket (index) description</w:t>
            </w:r>
          </w:p>
          <w:p w14:paraId="4E37C784" w14:textId="1B5BB4A9" w:rsidR="002D1138" w:rsidRPr="00FE3C59" w:rsidRDefault="002D1138" w:rsidP="002D1138">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 description of the</w:t>
            </w:r>
            <w:r w:rsidR="00987EA6" w:rsidRPr="00FE3C59">
              <w:rPr>
                <w:rFonts w:ascii="Times New Roman" w:hAnsi="Times New Roman" w:cs="Times New Roman"/>
                <w:lang w:val="en-GB"/>
              </w:rPr>
              <w:t xml:space="preserve"> index (</w:t>
            </w:r>
            <w:r w:rsidRPr="00FE3C59">
              <w:rPr>
                <w:rFonts w:ascii="Times New Roman" w:hAnsi="Times New Roman" w:cs="Times New Roman"/>
                <w:lang w:val="en-GB"/>
              </w:rPr>
              <w:t>bucket</w:t>
            </w:r>
            <w:r w:rsidR="00987EA6" w:rsidRPr="00FE3C59">
              <w:rPr>
                <w:rFonts w:ascii="Times New Roman" w:hAnsi="Times New Roman" w:cs="Times New Roman"/>
                <w:lang w:val="en-GB"/>
              </w:rPr>
              <w:t>)</w:t>
            </w:r>
            <w:r w:rsidRPr="00FE3C59">
              <w:rPr>
                <w:rFonts w:ascii="Times New Roman" w:hAnsi="Times New Roman" w:cs="Times New Roman"/>
                <w:lang w:val="en-GB"/>
              </w:rPr>
              <w:t xml:space="preserve">, </w:t>
            </w:r>
            <w:r w:rsidR="007E1F27" w:rsidRPr="00FE3C59">
              <w:rPr>
                <w:rFonts w:ascii="Times New Roman" w:hAnsi="Times New Roman" w:cs="Times New Roman"/>
                <w:lang w:val="en-GB"/>
              </w:rPr>
              <w:t xml:space="preserve">comprising </w:t>
            </w:r>
            <w:r w:rsidR="005573CB" w:rsidRPr="00FE3C59">
              <w:rPr>
                <w:rFonts w:ascii="Times New Roman" w:hAnsi="Times New Roman" w:cs="Times New Roman"/>
                <w:lang w:val="en-GB"/>
              </w:rPr>
              <w:t xml:space="preserve">at least information on the </w:t>
            </w:r>
            <w:r w:rsidR="009E2498" w:rsidRPr="00FE3C59">
              <w:rPr>
                <w:rFonts w:ascii="Times New Roman" w:hAnsi="Times New Roman" w:cs="Times New Roman"/>
                <w:lang w:val="en-GB"/>
              </w:rPr>
              <w:t>constituents of</w:t>
            </w:r>
            <w:r w:rsidR="00C76ABC" w:rsidRPr="00FE3C59">
              <w:rPr>
                <w:rFonts w:ascii="Times New Roman" w:hAnsi="Times New Roman" w:cs="Times New Roman"/>
                <w:lang w:val="en-GB"/>
              </w:rPr>
              <w:t xml:space="preserve"> the in</w:t>
            </w:r>
            <w:r w:rsidR="0053226A" w:rsidRPr="00FE3C59">
              <w:rPr>
                <w:rFonts w:ascii="Times New Roman" w:hAnsi="Times New Roman" w:cs="Times New Roman"/>
                <w:lang w:val="en-GB"/>
              </w:rPr>
              <w:t>dex</w:t>
            </w:r>
            <w:r w:rsidR="009E2498" w:rsidRPr="00FE3C59">
              <w:rPr>
                <w:rFonts w:ascii="Times New Roman" w:hAnsi="Times New Roman" w:cs="Times New Roman"/>
                <w:lang w:val="en-GB"/>
              </w:rPr>
              <w:t xml:space="preserve"> and their main features</w:t>
            </w:r>
            <w:r w:rsidR="0053226A" w:rsidRPr="00FE3C59">
              <w:rPr>
                <w:rFonts w:ascii="Times New Roman" w:hAnsi="Times New Roman" w:cs="Times New Roman"/>
                <w:lang w:val="en-GB"/>
              </w:rPr>
              <w:t xml:space="preserve">, </w:t>
            </w:r>
            <w:r w:rsidR="009E2498" w:rsidRPr="00FE3C59">
              <w:rPr>
                <w:rFonts w:ascii="Times New Roman" w:hAnsi="Times New Roman" w:cs="Times New Roman"/>
                <w:lang w:val="en-GB"/>
              </w:rPr>
              <w:t xml:space="preserve">and </w:t>
            </w:r>
            <w:r w:rsidR="0053226A" w:rsidRPr="00FE3C59">
              <w:rPr>
                <w:rFonts w:ascii="Times New Roman" w:hAnsi="Times New Roman" w:cs="Times New Roman"/>
                <w:lang w:val="en-GB"/>
              </w:rPr>
              <w:t xml:space="preserve">the sectors and geographical areas </w:t>
            </w:r>
            <w:r w:rsidR="001650DF" w:rsidRPr="00FE3C59">
              <w:rPr>
                <w:rFonts w:ascii="Times New Roman" w:hAnsi="Times New Roman" w:cs="Times New Roman"/>
                <w:lang w:val="en-GB"/>
              </w:rPr>
              <w:t>covered by the index</w:t>
            </w:r>
            <w:r w:rsidR="0039714C" w:rsidRPr="00FE3C59">
              <w:rPr>
                <w:rFonts w:ascii="Times New Roman" w:hAnsi="Times New Roman" w:cs="Times New Roman"/>
                <w:lang w:val="en-GB"/>
              </w:rPr>
              <w:t>.</w:t>
            </w:r>
          </w:p>
        </w:tc>
      </w:tr>
      <w:tr w:rsidR="00152DD6" w:rsidRPr="00FE3C59" w14:paraId="5E66802E" w14:textId="77777777" w:rsidTr="005F1AA1">
        <w:tc>
          <w:tcPr>
            <w:tcW w:w="1043" w:type="dxa"/>
          </w:tcPr>
          <w:p w14:paraId="132462B4" w14:textId="31193596" w:rsidR="00152DD6" w:rsidRPr="00FE3C59" w:rsidRDefault="00152DD6"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r w:rsidR="00C945F7" w:rsidRPr="00FE3C59">
              <w:rPr>
                <w:rFonts w:ascii="Times New Roman" w:hAnsi="Times New Roman" w:cs="Times New Roman"/>
                <w:lang w:val="en-GB"/>
              </w:rPr>
              <w:t>02</w:t>
            </w:r>
            <w:r w:rsidR="009C0294">
              <w:rPr>
                <w:rFonts w:ascii="Times New Roman" w:hAnsi="Times New Roman" w:cs="Times New Roman"/>
                <w:lang w:val="en-GB"/>
              </w:rPr>
              <w:t>4</w:t>
            </w:r>
            <w:r w:rsidR="00C945F7" w:rsidRPr="00FE3C59">
              <w:rPr>
                <w:rFonts w:ascii="Times New Roman" w:hAnsi="Times New Roman" w:cs="Times New Roman"/>
                <w:lang w:val="en-GB"/>
              </w:rPr>
              <w:t>0</w:t>
            </w:r>
          </w:p>
        </w:tc>
        <w:tc>
          <w:tcPr>
            <w:tcW w:w="7973" w:type="dxa"/>
          </w:tcPr>
          <w:p w14:paraId="75EB4943" w14:textId="50925FDB" w:rsidR="00C945F7" w:rsidRPr="00FE3C59" w:rsidRDefault="00C945F7" w:rsidP="002D1138">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Non-tranched products</w:t>
            </w:r>
          </w:p>
        </w:tc>
      </w:tr>
      <w:tr w:rsidR="00615279" w:rsidRPr="00FE3C59" w14:paraId="2406437B" w14:textId="77777777" w:rsidTr="005F1AA1">
        <w:tc>
          <w:tcPr>
            <w:tcW w:w="1043" w:type="dxa"/>
          </w:tcPr>
          <w:p w14:paraId="70DCA307" w14:textId="4AB7A3DC" w:rsidR="00615279" w:rsidRPr="00FE3C59" w:rsidRDefault="00615279"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0030-0040</w:t>
            </w:r>
          </w:p>
        </w:tc>
        <w:tc>
          <w:tcPr>
            <w:tcW w:w="7973" w:type="dxa"/>
          </w:tcPr>
          <w:p w14:paraId="0384E35C" w14:textId="77777777" w:rsidR="00615279" w:rsidRPr="00FE3C59" w:rsidRDefault="00615279" w:rsidP="0061527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Gross JTD amounts</w:t>
            </w:r>
          </w:p>
          <w:p w14:paraId="5B674671" w14:textId="3FC3140F" w:rsidR="0086042E" w:rsidRPr="00FE3C59" w:rsidRDefault="00615279" w:rsidP="00061E18">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w:t>
            </w:r>
            <w:r w:rsidR="00035F58" w:rsidRPr="00FE3C59">
              <w:rPr>
                <w:rFonts w:ascii="Times New Roman" w:hAnsi="Times New Roman" w:cs="Times New Roman"/>
                <w:lang w:val="en-GB"/>
              </w:rPr>
              <w:t>ac(2)</w:t>
            </w:r>
            <w:r w:rsidRPr="00FE3C59">
              <w:rPr>
                <w:rFonts w:ascii="Times New Roman" w:hAnsi="Times New Roman" w:cs="Times New Roman"/>
                <w:lang w:val="en-GB"/>
              </w:rPr>
              <w:t xml:space="preserve"> of Regulation (EU) No 575/2013</w:t>
            </w:r>
          </w:p>
        </w:tc>
      </w:tr>
      <w:tr w:rsidR="00615279" w:rsidRPr="00FE3C59" w14:paraId="2BF65D06" w14:textId="77777777" w:rsidTr="005F1AA1">
        <w:tc>
          <w:tcPr>
            <w:tcW w:w="1043" w:type="dxa"/>
          </w:tcPr>
          <w:p w14:paraId="5FF2EF3B" w14:textId="419B5C1D" w:rsidR="00615279" w:rsidRPr="00FE3C59" w:rsidRDefault="00D130D2"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05D087CC" w14:textId="552B39D9" w:rsidR="00615279" w:rsidRPr="00FE3C59" w:rsidRDefault="00D130D2" w:rsidP="002D113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Long</w:t>
            </w:r>
          </w:p>
        </w:tc>
      </w:tr>
      <w:tr w:rsidR="00615279" w:rsidRPr="00FE3C59" w14:paraId="72B554E9" w14:textId="77777777" w:rsidTr="005F1AA1">
        <w:tc>
          <w:tcPr>
            <w:tcW w:w="1043" w:type="dxa"/>
          </w:tcPr>
          <w:p w14:paraId="752D34F1" w14:textId="5828ED73" w:rsidR="00615279" w:rsidRPr="00FE3C59" w:rsidRDefault="00D130D2"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0040</w:t>
            </w:r>
          </w:p>
        </w:tc>
        <w:tc>
          <w:tcPr>
            <w:tcW w:w="7973" w:type="dxa"/>
          </w:tcPr>
          <w:p w14:paraId="62550533" w14:textId="347B164A" w:rsidR="00615279" w:rsidRPr="00FE3C59" w:rsidRDefault="00D130D2" w:rsidP="002D113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Short</w:t>
            </w:r>
          </w:p>
        </w:tc>
      </w:tr>
      <w:tr w:rsidR="00615279" w:rsidRPr="00FE3C59" w14:paraId="06D3AE1D" w14:textId="77777777" w:rsidTr="005F1AA1">
        <w:tc>
          <w:tcPr>
            <w:tcW w:w="1043" w:type="dxa"/>
          </w:tcPr>
          <w:p w14:paraId="27FCDDA6" w14:textId="39E5586B" w:rsidR="00615279" w:rsidRPr="00FE3C59" w:rsidRDefault="00FA419A"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r w:rsidR="00735AD5" w:rsidRPr="00FE3C59">
              <w:rPr>
                <w:rFonts w:ascii="Times New Roman" w:hAnsi="Times New Roman" w:cs="Times New Roman"/>
                <w:lang w:val="en-GB"/>
              </w:rPr>
              <w:t>02</w:t>
            </w:r>
            <w:r w:rsidR="00E756A9" w:rsidRPr="00FE3C59">
              <w:rPr>
                <w:rFonts w:ascii="Times New Roman" w:hAnsi="Times New Roman" w:cs="Times New Roman"/>
                <w:lang w:val="en-GB"/>
              </w:rPr>
              <w:t>4</w:t>
            </w:r>
            <w:r w:rsidR="00735AD5" w:rsidRPr="00FE3C59">
              <w:rPr>
                <w:rFonts w:ascii="Times New Roman" w:hAnsi="Times New Roman" w:cs="Times New Roman"/>
                <w:lang w:val="en-GB"/>
              </w:rPr>
              <w:t>0</w:t>
            </w:r>
          </w:p>
        </w:tc>
        <w:tc>
          <w:tcPr>
            <w:tcW w:w="7973" w:type="dxa"/>
          </w:tcPr>
          <w:p w14:paraId="31434D95" w14:textId="12DCA65E" w:rsidR="00FA419A" w:rsidRPr="00FE3C59" w:rsidRDefault="00FA419A" w:rsidP="00FA419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 JTD amounts (not risk-weighted)</w:t>
            </w:r>
          </w:p>
          <w:p w14:paraId="2ACFF416" w14:textId="08160738" w:rsidR="00832F83" w:rsidRPr="00FE3C59" w:rsidRDefault="00735AD5" w:rsidP="00142D67">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Net JTD amounts of non-tranched products calculated in accordance with Article 325</w:t>
            </w:r>
            <w:r w:rsidR="00FE2684" w:rsidRPr="00FE3C59">
              <w:rPr>
                <w:rFonts w:ascii="Times New Roman" w:hAnsi="Times New Roman" w:cs="Times New Roman"/>
                <w:lang w:val="en-GB"/>
              </w:rPr>
              <w:t>ac</w:t>
            </w:r>
            <w:r w:rsidRPr="00FE3C59">
              <w:rPr>
                <w:rFonts w:ascii="Times New Roman" w:hAnsi="Times New Roman" w:cs="Times New Roman"/>
                <w:lang w:val="en-GB"/>
              </w:rPr>
              <w:t xml:space="preserve"> of Regulation (EU) No 575/2013</w:t>
            </w:r>
            <w:r w:rsidR="00A10DD7" w:rsidRPr="00FE3C59">
              <w:rPr>
                <w:rFonts w:ascii="Times New Roman" w:hAnsi="Times New Roman" w:cs="Times New Roman"/>
                <w:lang w:val="en-GB"/>
              </w:rPr>
              <w:t xml:space="preserve"> shall be reported</w:t>
            </w:r>
            <w:r w:rsidRPr="00FE3C59">
              <w:rPr>
                <w:rFonts w:ascii="Times New Roman" w:hAnsi="Times New Roman" w:cs="Times New Roman"/>
                <w:lang w:val="en-GB"/>
              </w:rPr>
              <w:t xml:space="preserve">. </w:t>
            </w:r>
            <w:r w:rsidR="00A10DD7" w:rsidRPr="00FE3C59">
              <w:rPr>
                <w:rFonts w:ascii="Times New Roman" w:hAnsi="Times New Roman" w:cs="Times New Roman"/>
                <w:lang w:val="en-GB"/>
              </w:rPr>
              <w:t>They shall be broken down between net long JTD amounts and net short JTD amounts</w:t>
            </w:r>
            <w:r w:rsidR="00864B30" w:rsidRPr="00FE3C59">
              <w:rPr>
                <w:rFonts w:ascii="Times New Roman" w:hAnsi="Times New Roman" w:cs="Times New Roman"/>
                <w:lang w:val="en-GB"/>
              </w:rPr>
              <w:t>, and th</w:t>
            </w:r>
            <w:r w:rsidR="007F62BD" w:rsidRPr="00FE3C59">
              <w:rPr>
                <w:rFonts w:ascii="Times New Roman" w:hAnsi="Times New Roman" w:cs="Times New Roman"/>
                <w:lang w:val="en-GB"/>
              </w:rPr>
              <w:t>ey</w:t>
            </w:r>
            <w:r w:rsidRPr="00FE3C59">
              <w:rPr>
                <w:rFonts w:ascii="Times New Roman" w:hAnsi="Times New Roman" w:cs="Times New Roman"/>
                <w:lang w:val="en-GB"/>
              </w:rPr>
              <w:t xml:space="preserve"> shall be allocated to the credit quality category to which they are mapped to in accordance with Article 325</w:t>
            </w:r>
            <w:r w:rsidR="00FE2684" w:rsidRPr="00FE3C59">
              <w:rPr>
                <w:rFonts w:ascii="Times New Roman" w:hAnsi="Times New Roman" w:cs="Times New Roman"/>
                <w:lang w:val="en-GB"/>
              </w:rPr>
              <w:t>ad(1)</w:t>
            </w:r>
            <w:r w:rsidR="006C2307" w:rsidRPr="00FE3C59">
              <w:rPr>
                <w:rFonts w:ascii="Times New Roman" w:hAnsi="Times New Roman" w:cs="Times New Roman"/>
                <w:lang w:val="en-GB"/>
              </w:rPr>
              <w:t>, point (a),</w:t>
            </w:r>
            <w:r w:rsidRPr="00FE3C59">
              <w:rPr>
                <w:rFonts w:ascii="Times New Roman" w:hAnsi="Times New Roman" w:cs="Times New Roman"/>
                <w:lang w:val="en-GB"/>
              </w:rPr>
              <w:t xml:space="preserve"> of Regulation (EU) No 575/2013.</w:t>
            </w:r>
            <w:r w:rsidR="00142D67" w:rsidRPr="00FE3C59">
              <w:rPr>
                <w:rFonts w:ascii="Times New Roman" w:hAnsi="Times New Roman" w:cs="Times New Roman"/>
                <w:lang w:val="en-GB"/>
              </w:rPr>
              <w:t xml:space="preserve"> </w:t>
            </w:r>
            <w:r w:rsidR="00832F83" w:rsidRPr="00FE3C59">
              <w:rPr>
                <w:rFonts w:ascii="Times New Roman" w:hAnsi="Times New Roman" w:cs="Times New Roman"/>
                <w:lang w:val="en-GB"/>
              </w:rPr>
              <w:t>The amounts reported shall be the net JTD amounts before the application of any risk weights.</w:t>
            </w:r>
          </w:p>
        </w:tc>
      </w:tr>
      <w:tr w:rsidR="00CE2829" w:rsidRPr="00FE3C59" w14:paraId="4B008375" w14:textId="77777777" w:rsidTr="005F1AA1">
        <w:tc>
          <w:tcPr>
            <w:tcW w:w="1043" w:type="dxa"/>
          </w:tcPr>
          <w:p w14:paraId="56564263" w14:textId="7B5FE6E7" w:rsidR="00CE2829" w:rsidRPr="00FE3C59" w:rsidRDefault="00085C28"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0050-01</w:t>
            </w:r>
            <w:r w:rsidR="00E756A9" w:rsidRPr="00FE3C59">
              <w:rPr>
                <w:rFonts w:ascii="Times New Roman" w:hAnsi="Times New Roman" w:cs="Times New Roman"/>
                <w:lang w:val="en-GB"/>
              </w:rPr>
              <w:t>4</w:t>
            </w:r>
            <w:r w:rsidRPr="00FE3C59">
              <w:rPr>
                <w:rFonts w:ascii="Times New Roman" w:hAnsi="Times New Roman" w:cs="Times New Roman"/>
                <w:lang w:val="en-GB"/>
              </w:rPr>
              <w:t>0</w:t>
            </w:r>
          </w:p>
        </w:tc>
        <w:tc>
          <w:tcPr>
            <w:tcW w:w="7973" w:type="dxa"/>
          </w:tcPr>
          <w:p w14:paraId="463DC6CD" w14:textId="3DE634D0" w:rsidR="00CE2829" w:rsidRPr="00FE3C59" w:rsidRDefault="00085C28" w:rsidP="00FA419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w:t>
            </w:r>
            <w:r w:rsidR="00607958" w:rsidRPr="00FE3C59">
              <w:rPr>
                <w:rFonts w:ascii="Times New Roman" w:hAnsi="Times New Roman" w:cs="Times New Roman"/>
                <w:b/>
                <w:u w:val="single"/>
                <w:lang w:val="en-GB"/>
              </w:rPr>
              <w:t xml:space="preserve"> long</w:t>
            </w:r>
            <w:r w:rsidRPr="00FE3C59">
              <w:rPr>
                <w:rFonts w:ascii="Times New Roman" w:hAnsi="Times New Roman" w:cs="Times New Roman"/>
                <w:b/>
                <w:u w:val="single"/>
                <w:lang w:val="en-GB"/>
              </w:rPr>
              <w:t xml:space="preserve"> JTD amounts (not risk-weighted)</w:t>
            </w:r>
          </w:p>
        </w:tc>
      </w:tr>
      <w:tr w:rsidR="00AE5D5D" w:rsidRPr="00FE3C59" w14:paraId="0B50D576" w14:textId="77777777" w:rsidTr="00AF7B01">
        <w:tc>
          <w:tcPr>
            <w:tcW w:w="1043" w:type="dxa"/>
            <w:vAlign w:val="bottom"/>
          </w:tcPr>
          <w:p w14:paraId="34732C8D" w14:textId="17754B72"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vAlign w:val="bottom"/>
          </w:tcPr>
          <w:p w14:paraId="4180F557" w14:textId="0A033E37"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 risk weight</w:t>
            </w:r>
          </w:p>
        </w:tc>
      </w:tr>
      <w:tr w:rsidR="00AE5D5D" w:rsidRPr="00FE3C59" w14:paraId="5D3D368A" w14:textId="77777777" w:rsidTr="00AF7B01">
        <w:tc>
          <w:tcPr>
            <w:tcW w:w="1043" w:type="dxa"/>
            <w:vAlign w:val="bottom"/>
          </w:tcPr>
          <w:p w14:paraId="71CF0FB6" w14:textId="5D4C37C7"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vAlign w:val="bottom"/>
          </w:tcPr>
          <w:p w14:paraId="2F9AB5CD" w14:textId="127B020A"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CQS1</w:t>
            </w:r>
          </w:p>
        </w:tc>
      </w:tr>
      <w:tr w:rsidR="00AE5D5D" w:rsidRPr="00FE3C59" w14:paraId="2A822BEC" w14:textId="77777777" w:rsidTr="00AF7B01">
        <w:tc>
          <w:tcPr>
            <w:tcW w:w="1043" w:type="dxa"/>
            <w:vAlign w:val="bottom"/>
          </w:tcPr>
          <w:p w14:paraId="5D4B7C0E" w14:textId="5F8F1DDF"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vAlign w:val="bottom"/>
          </w:tcPr>
          <w:p w14:paraId="33E31AA6" w14:textId="5C5E56E5"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CQS2</w:t>
            </w:r>
          </w:p>
        </w:tc>
      </w:tr>
      <w:tr w:rsidR="00AE5D5D" w:rsidRPr="00FE3C59" w14:paraId="67121A5F" w14:textId="77777777" w:rsidTr="00AF7B01">
        <w:tc>
          <w:tcPr>
            <w:tcW w:w="1043" w:type="dxa"/>
            <w:vAlign w:val="bottom"/>
          </w:tcPr>
          <w:p w14:paraId="0227FC53" w14:textId="30392390"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vAlign w:val="bottom"/>
          </w:tcPr>
          <w:p w14:paraId="5307A357" w14:textId="51672679"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CQS3</w:t>
            </w:r>
          </w:p>
        </w:tc>
      </w:tr>
      <w:tr w:rsidR="00AE5D5D" w:rsidRPr="00FE3C59" w14:paraId="715E15DD" w14:textId="77777777" w:rsidTr="00AF7B01">
        <w:tc>
          <w:tcPr>
            <w:tcW w:w="1043" w:type="dxa"/>
            <w:vAlign w:val="bottom"/>
          </w:tcPr>
          <w:p w14:paraId="4226401E" w14:textId="37046FBC"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vAlign w:val="bottom"/>
          </w:tcPr>
          <w:p w14:paraId="50769C7C" w14:textId="7C150D9F"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CQS4</w:t>
            </w:r>
          </w:p>
        </w:tc>
      </w:tr>
      <w:tr w:rsidR="00AE5D5D" w:rsidRPr="00FE3C59" w14:paraId="48D61F4D" w14:textId="77777777" w:rsidTr="00AF7B01">
        <w:tc>
          <w:tcPr>
            <w:tcW w:w="1043" w:type="dxa"/>
            <w:vAlign w:val="bottom"/>
          </w:tcPr>
          <w:p w14:paraId="0D4CB85E" w14:textId="58DB4A6E"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vAlign w:val="bottom"/>
          </w:tcPr>
          <w:p w14:paraId="53499496" w14:textId="15BD573E"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CQS5</w:t>
            </w:r>
          </w:p>
        </w:tc>
      </w:tr>
      <w:tr w:rsidR="00AE5D5D" w:rsidRPr="00FE3C59" w14:paraId="6656DFA5" w14:textId="77777777" w:rsidTr="00AF7B01">
        <w:tc>
          <w:tcPr>
            <w:tcW w:w="1043" w:type="dxa"/>
            <w:vAlign w:val="bottom"/>
          </w:tcPr>
          <w:p w14:paraId="0E588ADE" w14:textId="30461961"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73" w:type="dxa"/>
            <w:vAlign w:val="bottom"/>
          </w:tcPr>
          <w:p w14:paraId="75D42330" w14:textId="7CB8E31B"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CQS6</w:t>
            </w:r>
          </w:p>
        </w:tc>
      </w:tr>
      <w:tr w:rsidR="00AE5D5D" w:rsidRPr="00FE3C59" w14:paraId="57CE75EC" w14:textId="77777777" w:rsidTr="00AF7B01">
        <w:tc>
          <w:tcPr>
            <w:tcW w:w="1043" w:type="dxa"/>
            <w:vAlign w:val="bottom"/>
          </w:tcPr>
          <w:p w14:paraId="5A908958" w14:textId="4EAFDCED"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73" w:type="dxa"/>
            <w:vAlign w:val="bottom"/>
          </w:tcPr>
          <w:p w14:paraId="75F1C98F" w14:textId="3E9A605C"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Unrated</w:t>
            </w:r>
          </w:p>
        </w:tc>
      </w:tr>
      <w:tr w:rsidR="00AE5D5D" w:rsidRPr="00FE3C59" w14:paraId="1C0BE182" w14:textId="77777777" w:rsidTr="00AF7B01">
        <w:tc>
          <w:tcPr>
            <w:tcW w:w="1043" w:type="dxa"/>
            <w:vAlign w:val="bottom"/>
          </w:tcPr>
          <w:p w14:paraId="54687789" w14:textId="5C4DD709"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973" w:type="dxa"/>
            <w:vAlign w:val="bottom"/>
          </w:tcPr>
          <w:p w14:paraId="46BEAD51" w14:textId="2A477947"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Defaulted</w:t>
            </w:r>
          </w:p>
        </w:tc>
      </w:tr>
      <w:tr w:rsidR="00CE2829" w:rsidRPr="00FE3C59" w14:paraId="1FB3D010" w14:textId="77777777" w:rsidTr="005F1AA1">
        <w:tc>
          <w:tcPr>
            <w:tcW w:w="1043" w:type="dxa"/>
          </w:tcPr>
          <w:p w14:paraId="73AAD0A3" w14:textId="52EB476C" w:rsidR="00CE2829" w:rsidRPr="00FE3C59" w:rsidRDefault="00455ED8"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AE5D5D" w:rsidRPr="00FE3C59">
              <w:rPr>
                <w:rFonts w:ascii="Times New Roman" w:hAnsi="Times New Roman" w:cs="Times New Roman"/>
                <w:lang w:val="en-GB"/>
              </w:rPr>
              <w:t>5</w:t>
            </w:r>
            <w:r w:rsidRPr="00FE3C59">
              <w:rPr>
                <w:rFonts w:ascii="Times New Roman" w:hAnsi="Times New Roman" w:cs="Times New Roman"/>
                <w:lang w:val="en-GB"/>
              </w:rPr>
              <w:t>0-02</w:t>
            </w:r>
            <w:r w:rsidR="00AE5D5D" w:rsidRPr="00FE3C59">
              <w:rPr>
                <w:rFonts w:ascii="Times New Roman" w:hAnsi="Times New Roman" w:cs="Times New Roman"/>
                <w:lang w:val="en-GB"/>
              </w:rPr>
              <w:t>4</w:t>
            </w:r>
            <w:r w:rsidRPr="00FE3C59">
              <w:rPr>
                <w:rFonts w:ascii="Times New Roman" w:hAnsi="Times New Roman" w:cs="Times New Roman"/>
                <w:lang w:val="en-GB"/>
              </w:rPr>
              <w:t>0</w:t>
            </w:r>
          </w:p>
        </w:tc>
        <w:tc>
          <w:tcPr>
            <w:tcW w:w="7973" w:type="dxa"/>
          </w:tcPr>
          <w:p w14:paraId="7B12EA4F" w14:textId="29520D6E" w:rsidR="00CE2829" w:rsidRPr="00FE3C59" w:rsidRDefault="00085C28" w:rsidP="00FA419A">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w:t>
            </w:r>
            <w:r w:rsidR="00607958" w:rsidRPr="00FE3C59">
              <w:rPr>
                <w:rFonts w:ascii="Times New Roman" w:hAnsi="Times New Roman" w:cs="Times New Roman"/>
                <w:b/>
                <w:u w:val="single"/>
                <w:lang w:val="en-GB"/>
              </w:rPr>
              <w:t xml:space="preserve"> short</w:t>
            </w:r>
            <w:r w:rsidRPr="00FE3C59">
              <w:rPr>
                <w:rFonts w:ascii="Times New Roman" w:hAnsi="Times New Roman" w:cs="Times New Roman"/>
                <w:b/>
                <w:u w:val="single"/>
                <w:lang w:val="en-GB"/>
              </w:rPr>
              <w:t xml:space="preserve"> JTD amounts (not risk-weighted)</w:t>
            </w:r>
          </w:p>
        </w:tc>
      </w:tr>
      <w:tr w:rsidR="00AE5D5D" w:rsidRPr="00FE3C59" w14:paraId="7F8A8EFE" w14:textId="77777777" w:rsidTr="006310DA">
        <w:tc>
          <w:tcPr>
            <w:tcW w:w="1043" w:type="dxa"/>
            <w:vAlign w:val="bottom"/>
          </w:tcPr>
          <w:p w14:paraId="2DA12E01" w14:textId="064D547A"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73" w:type="dxa"/>
            <w:vAlign w:val="bottom"/>
          </w:tcPr>
          <w:p w14:paraId="1B6EAA5E" w14:textId="335AF920"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 risk weight</w:t>
            </w:r>
          </w:p>
        </w:tc>
      </w:tr>
      <w:tr w:rsidR="00AE5D5D" w:rsidRPr="00FE3C59" w14:paraId="1F7ED303" w14:textId="77777777" w:rsidTr="006310DA">
        <w:tc>
          <w:tcPr>
            <w:tcW w:w="1043" w:type="dxa"/>
            <w:vAlign w:val="bottom"/>
          </w:tcPr>
          <w:p w14:paraId="6FC0359F" w14:textId="71F26B14"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973" w:type="dxa"/>
            <w:vAlign w:val="bottom"/>
          </w:tcPr>
          <w:p w14:paraId="3BD618B6" w14:textId="5264D79C"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CQS1</w:t>
            </w:r>
          </w:p>
        </w:tc>
      </w:tr>
      <w:tr w:rsidR="00AE5D5D" w:rsidRPr="00FE3C59" w14:paraId="3B194067" w14:textId="77777777" w:rsidTr="006310DA">
        <w:tc>
          <w:tcPr>
            <w:tcW w:w="1043" w:type="dxa"/>
            <w:vAlign w:val="bottom"/>
          </w:tcPr>
          <w:p w14:paraId="042F55A8" w14:textId="71314301"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973" w:type="dxa"/>
            <w:vAlign w:val="bottom"/>
          </w:tcPr>
          <w:p w14:paraId="26F5B479" w14:textId="644ED9F3"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CQS2</w:t>
            </w:r>
          </w:p>
        </w:tc>
      </w:tr>
      <w:tr w:rsidR="00AE5D5D" w:rsidRPr="00FE3C59" w14:paraId="1FF39CCB" w14:textId="77777777" w:rsidTr="006310DA">
        <w:tc>
          <w:tcPr>
            <w:tcW w:w="1043" w:type="dxa"/>
            <w:vAlign w:val="bottom"/>
          </w:tcPr>
          <w:p w14:paraId="198EF607" w14:textId="56DE9DD3"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73" w:type="dxa"/>
            <w:vAlign w:val="bottom"/>
          </w:tcPr>
          <w:p w14:paraId="1C811AF3" w14:textId="2F488D3E"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CQS3</w:t>
            </w:r>
          </w:p>
        </w:tc>
      </w:tr>
      <w:tr w:rsidR="00AE5D5D" w:rsidRPr="00FE3C59" w14:paraId="3914DBA9" w14:textId="77777777" w:rsidTr="006310DA">
        <w:tc>
          <w:tcPr>
            <w:tcW w:w="1043" w:type="dxa"/>
            <w:vAlign w:val="bottom"/>
          </w:tcPr>
          <w:p w14:paraId="601AD86D" w14:textId="60790497"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73" w:type="dxa"/>
            <w:vAlign w:val="bottom"/>
          </w:tcPr>
          <w:p w14:paraId="00EDAD0F" w14:textId="1B4ECFD6"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CQS4</w:t>
            </w:r>
          </w:p>
        </w:tc>
      </w:tr>
      <w:tr w:rsidR="00AE5D5D" w:rsidRPr="00FE3C59" w14:paraId="648EE98E" w14:textId="77777777" w:rsidTr="006310DA">
        <w:tc>
          <w:tcPr>
            <w:tcW w:w="1043" w:type="dxa"/>
            <w:vAlign w:val="bottom"/>
          </w:tcPr>
          <w:p w14:paraId="155C4814" w14:textId="41E3587E"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73" w:type="dxa"/>
            <w:vAlign w:val="bottom"/>
          </w:tcPr>
          <w:p w14:paraId="1045E5D6" w14:textId="307B2BD1"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CQS5</w:t>
            </w:r>
          </w:p>
        </w:tc>
      </w:tr>
      <w:tr w:rsidR="00AE5D5D" w:rsidRPr="00FE3C59" w14:paraId="0D7DCA0C" w14:textId="77777777" w:rsidTr="006310DA">
        <w:tc>
          <w:tcPr>
            <w:tcW w:w="1043" w:type="dxa"/>
            <w:vAlign w:val="bottom"/>
          </w:tcPr>
          <w:p w14:paraId="0306A168" w14:textId="26923663"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0220</w:t>
            </w:r>
          </w:p>
        </w:tc>
        <w:tc>
          <w:tcPr>
            <w:tcW w:w="7973" w:type="dxa"/>
            <w:vAlign w:val="bottom"/>
          </w:tcPr>
          <w:p w14:paraId="306AD518" w14:textId="1DFA2825"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CQS6</w:t>
            </w:r>
          </w:p>
        </w:tc>
      </w:tr>
      <w:tr w:rsidR="00AE5D5D" w:rsidRPr="00FE3C59" w14:paraId="42220E87" w14:textId="77777777" w:rsidTr="00C115BD">
        <w:tc>
          <w:tcPr>
            <w:tcW w:w="1043" w:type="dxa"/>
          </w:tcPr>
          <w:p w14:paraId="5FAB7B6C" w14:textId="57E7C44C"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w:t>
            </w:r>
          </w:p>
        </w:tc>
        <w:tc>
          <w:tcPr>
            <w:tcW w:w="7973" w:type="dxa"/>
            <w:vAlign w:val="bottom"/>
          </w:tcPr>
          <w:p w14:paraId="50AAC3B0" w14:textId="376060A5"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Unrated</w:t>
            </w:r>
          </w:p>
        </w:tc>
      </w:tr>
      <w:tr w:rsidR="00AE5D5D" w:rsidRPr="00FE3C59" w14:paraId="2955F282" w14:textId="77777777" w:rsidTr="00C115BD">
        <w:tc>
          <w:tcPr>
            <w:tcW w:w="1043" w:type="dxa"/>
          </w:tcPr>
          <w:p w14:paraId="67965E52" w14:textId="22BD8D18" w:rsidR="00AE5D5D" w:rsidRPr="00FE3C59" w:rsidRDefault="00AE5D5D" w:rsidP="00AE5D5D">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0240</w:t>
            </w:r>
          </w:p>
        </w:tc>
        <w:tc>
          <w:tcPr>
            <w:tcW w:w="7973" w:type="dxa"/>
            <w:vAlign w:val="bottom"/>
          </w:tcPr>
          <w:p w14:paraId="0EAD4C54" w14:textId="4C8AB8B3" w:rsidR="00AE5D5D" w:rsidRPr="00FE3C59" w:rsidRDefault="00AE5D5D" w:rsidP="00AE5D5D">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Defaulted</w:t>
            </w:r>
          </w:p>
        </w:tc>
      </w:tr>
      <w:tr w:rsidR="00CE2829" w:rsidRPr="00FE3C59" w14:paraId="2488205E" w14:textId="77777777" w:rsidTr="005F1AA1">
        <w:tc>
          <w:tcPr>
            <w:tcW w:w="1043" w:type="dxa"/>
          </w:tcPr>
          <w:p w14:paraId="05A5676C" w14:textId="0D8D3241" w:rsidR="00CE2829" w:rsidRPr="00FE3C59" w:rsidRDefault="00741DED"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A16B5E" w:rsidRPr="00FE3C59">
              <w:rPr>
                <w:rFonts w:ascii="Times New Roman" w:hAnsi="Times New Roman" w:cs="Times New Roman"/>
                <w:lang w:val="en-GB"/>
              </w:rPr>
              <w:t>5</w:t>
            </w:r>
            <w:r w:rsidRPr="00FE3C59">
              <w:rPr>
                <w:rFonts w:ascii="Times New Roman" w:hAnsi="Times New Roman" w:cs="Times New Roman"/>
                <w:lang w:val="en-GB"/>
              </w:rPr>
              <w:t>0-</w:t>
            </w:r>
            <w:r w:rsidR="00FE71BC" w:rsidRPr="00FE3C59">
              <w:rPr>
                <w:rFonts w:ascii="Times New Roman" w:hAnsi="Times New Roman" w:cs="Times New Roman"/>
                <w:lang w:val="en-GB"/>
              </w:rPr>
              <w:t>0</w:t>
            </w:r>
            <w:r w:rsidR="00A16B5E" w:rsidRPr="00FE3C59">
              <w:rPr>
                <w:rFonts w:ascii="Times New Roman" w:hAnsi="Times New Roman" w:cs="Times New Roman"/>
                <w:lang w:val="en-GB"/>
              </w:rPr>
              <w:t>50</w:t>
            </w:r>
            <w:r w:rsidR="00FE71BC" w:rsidRPr="00FE3C59">
              <w:rPr>
                <w:rFonts w:ascii="Times New Roman" w:hAnsi="Times New Roman" w:cs="Times New Roman"/>
                <w:lang w:val="en-GB"/>
              </w:rPr>
              <w:t>0</w:t>
            </w:r>
          </w:p>
        </w:tc>
        <w:tc>
          <w:tcPr>
            <w:tcW w:w="7973" w:type="dxa"/>
          </w:tcPr>
          <w:p w14:paraId="357D573A" w14:textId="5CF95B0D" w:rsidR="00CE2829" w:rsidRPr="00FE3C59" w:rsidRDefault="00464DAE" w:rsidP="00464DA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Tranched products</w:t>
            </w:r>
          </w:p>
        </w:tc>
      </w:tr>
      <w:tr w:rsidR="00CE2829" w:rsidRPr="00FE3C59" w14:paraId="7F21B114" w14:textId="77777777" w:rsidTr="005F1AA1">
        <w:tc>
          <w:tcPr>
            <w:tcW w:w="1043" w:type="dxa"/>
          </w:tcPr>
          <w:p w14:paraId="765ED49D" w14:textId="1E7A1838" w:rsidR="00CE2829" w:rsidRPr="00FE3C59" w:rsidRDefault="00431657"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A16B5E" w:rsidRPr="00FE3C59">
              <w:rPr>
                <w:rFonts w:ascii="Times New Roman" w:hAnsi="Times New Roman" w:cs="Times New Roman"/>
                <w:lang w:val="en-GB"/>
              </w:rPr>
              <w:t>5</w:t>
            </w:r>
            <w:r w:rsidRPr="00FE3C59">
              <w:rPr>
                <w:rFonts w:ascii="Times New Roman" w:hAnsi="Times New Roman" w:cs="Times New Roman"/>
                <w:lang w:val="en-GB"/>
              </w:rPr>
              <w:t>0-02</w:t>
            </w:r>
            <w:r w:rsidR="00A16B5E" w:rsidRPr="00FE3C59">
              <w:rPr>
                <w:rFonts w:ascii="Times New Roman" w:hAnsi="Times New Roman" w:cs="Times New Roman"/>
                <w:lang w:val="en-GB"/>
              </w:rPr>
              <w:t>6</w:t>
            </w:r>
            <w:r w:rsidRPr="00FE3C59">
              <w:rPr>
                <w:rFonts w:ascii="Times New Roman" w:hAnsi="Times New Roman" w:cs="Times New Roman"/>
                <w:lang w:val="en-GB"/>
              </w:rPr>
              <w:t>0</w:t>
            </w:r>
          </w:p>
        </w:tc>
        <w:tc>
          <w:tcPr>
            <w:tcW w:w="7973" w:type="dxa"/>
          </w:tcPr>
          <w:p w14:paraId="7489FE43" w14:textId="77777777" w:rsidR="00431657" w:rsidRPr="00FE3C59" w:rsidRDefault="00431657"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Gross JTD amounts</w:t>
            </w:r>
          </w:p>
          <w:p w14:paraId="2F0F75A9" w14:textId="10B43059" w:rsidR="00CE2829" w:rsidRPr="00FE3C59" w:rsidRDefault="00431657" w:rsidP="00FA419A">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Article 325ac(2) of Regulation (EU) No 575/2013</w:t>
            </w:r>
          </w:p>
        </w:tc>
      </w:tr>
      <w:tr w:rsidR="008F0533" w:rsidRPr="00FE3C59" w14:paraId="5FABEFCC" w14:textId="77777777" w:rsidTr="005F1AA1">
        <w:tc>
          <w:tcPr>
            <w:tcW w:w="1043" w:type="dxa"/>
          </w:tcPr>
          <w:p w14:paraId="3E2F6953" w14:textId="6BAF7708" w:rsidR="008F0533" w:rsidRPr="00FE3C59" w:rsidRDefault="008F0533"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A16B5E" w:rsidRPr="00FE3C59">
              <w:rPr>
                <w:rFonts w:ascii="Times New Roman" w:hAnsi="Times New Roman" w:cs="Times New Roman"/>
                <w:lang w:val="en-GB"/>
              </w:rPr>
              <w:t>5</w:t>
            </w:r>
            <w:r w:rsidRPr="00FE3C59">
              <w:rPr>
                <w:rFonts w:ascii="Times New Roman" w:hAnsi="Times New Roman" w:cs="Times New Roman"/>
                <w:lang w:val="en-GB"/>
              </w:rPr>
              <w:t>0</w:t>
            </w:r>
          </w:p>
        </w:tc>
        <w:tc>
          <w:tcPr>
            <w:tcW w:w="7973" w:type="dxa"/>
          </w:tcPr>
          <w:p w14:paraId="3BE873B6" w14:textId="16E49B15" w:rsidR="008F0533" w:rsidRPr="00FE3C59" w:rsidRDefault="008F0533"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Long</w:t>
            </w:r>
          </w:p>
        </w:tc>
      </w:tr>
      <w:tr w:rsidR="008F0533" w:rsidRPr="00FE3C59" w14:paraId="3BC588C8" w14:textId="77777777" w:rsidTr="005F1AA1">
        <w:tc>
          <w:tcPr>
            <w:tcW w:w="1043" w:type="dxa"/>
          </w:tcPr>
          <w:p w14:paraId="5E141E4F" w14:textId="457670A8" w:rsidR="008F0533" w:rsidRPr="00FE3C59" w:rsidRDefault="008F0533"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A16B5E" w:rsidRPr="00FE3C59">
              <w:rPr>
                <w:rFonts w:ascii="Times New Roman" w:hAnsi="Times New Roman" w:cs="Times New Roman"/>
                <w:lang w:val="en-GB"/>
              </w:rPr>
              <w:t>6</w:t>
            </w:r>
            <w:r w:rsidRPr="00FE3C59">
              <w:rPr>
                <w:rFonts w:ascii="Times New Roman" w:hAnsi="Times New Roman" w:cs="Times New Roman"/>
                <w:lang w:val="en-GB"/>
              </w:rPr>
              <w:t>0</w:t>
            </w:r>
          </w:p>
        </w:tc>
        <w:tc>
          <w:tcPr>
            <w:tcW w:w="7973" w:type="dxa"/>
          </w:tcPr>
          <w:p w14:paraId="44DBB542" w14:textId="773A4C15" w:rsidR="008F0533" w:rsidRPr="00FE3C59" w:rsidRDefault="008F0533"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Short</w:t>
            </w:r>
          </w:p>
        </w:tc>
      </w:tr>
      <w:tr w:rsidR="008A5692" w:rsidRPr="00FE3C59" w14:paraId="47DA1A08" w14:textId="77777777" w:rsidTr="005F1AA1">
        <w:tc>
          <w:tcPr>
            <w:tcW w:w="1043" w:type="dxa"/>
          </w:tcPr>
          <w:p w14:paraId="2F0901CE" w14:textId="275C9D03" w:rsidR="008A5692" w:rsidRPr="00FE3C59" w:rsidRDefault="008A5692"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277F44" w:rsidRPr="00FE3C59">
              <w:rPr>
                <w:rFonts w:ascii="Times New Roman" w:hAnsi="Times New Roman" w:cs="Times New Roman"/>
                <w:lang w:val="en-GB"/>
              </w:rPr>
              <w:t>7</w:t>
            </w:r>
            <w:r w:rsidRPr="00FE3C59">
              <w:rPr>
                <w:rFonts w:ascii="Times New Roman" w:hAnsi="Times New Roman" w:cs="Times New Roman"/>
                <w:lang w:val="en-GB"/>
              </w:rPr>
              <w:t>0-</w:t>
            </w:r>
            <w:r w:rsidR="00F8260F" w:rsidRPr="00FE3C59">
              <w:rPr>
                <w:rFonts w:ascii="Times New Roman" w:hAnsi="Times New Roman" w:cs="Times New Roman"/>
                <w:lang w:val="en-GB"/>
              </w:rPr>
              <w:t>0</w:t>
            </w:r>
            <w:r w:rsidR="00931520" w:rsidRPr="00FE3C59">
              <w:rPr>
                <w:rFonts w:ascii="Times New Roman" w:hAnsi="Times New Roman" w:cs="Times New Roman"/>
                <w:lang w:val="en-GB"/>
              </w:rPr>
              <w:t>50</w:t>
            </w:r>
            <w:r w:rsidR="00F8260F" w:rsidRPr="00FE3C59">
              <w:rPr>
                <w:rFonts w:ascii="Times New Roman" w:hAnsi="Times New Roman" w:cs="Times New Roman"/>
                <w:lang w:val="en-GB"/>
              </w:rPr>
              <w:t>0</w:t>
            </w:r>
          </w:p>
        </w:tc>
        <w:tc>
          <w:tcPr>
            <w:tcW w:w="7973" w:type="dxa"/>
          </w:tcPr>
          <w:p w14:paraId="1B90AD6B" w14:textId="49817A78" w:rsidR="008A5692" w:rsidRPr="00FE3C59" w:rsidRDefault="008A5692" w:rsidP="008A56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 JTD amounts (not risk-weighted)</w:t>
            </w:r>
          </w:p>
          <w:p w14:paraId="07970652" w14:textId="305E7F4A" w:rsidR="000A488B" w:rsidRPr="00FE3C59" w:rsidRDefault="00F8260F" w:rsidP="000D42B1">
            <w:pPr>
              <w:pStyle w:val="BodyText"/>
              <w:spacing w:before="120" w:after="120"/>
              <w:rPr>
                <w:rFonts w:ascii="Times New Roman" w:hAnsi="Times New Roman" w:cs="Times New Roman"/>
                <w:lang w:val="en-GB"/>
              </w:rPr>
            </w:pPr>
            <w:r w:rsidRPr="00FE3C59">
              <w:rPr>
                <w:rFonts w:ascii="Times New Roman" w:hAnsi="Times New Roman" w:cs="Times New Roman"/>
                <w:lang w:val="en-GB"/>
              </w:rPr>
              <w:t xml:space="preserve">Net JTD amounts of tranched products calculated in accordance with Article 325ac of Regulation (EU) No 575/2013. </w:t>
            </w:r>
            <w:r w:rsidR="00272680" w:rsidRPr="00FE3C59">
              <w:rPr>
                <w:rFonts w:ascii="Times New Roman" w:hAnsi="Times New Roman" w:cs="Times New Roman"/>
                <w:lang w:val="en-GB"/>
              </w:rPr>
              <w:t>They shall be broken down between net long JTD amounts and net short JTD amounts, and</w:t>
            </w:r>
            <w:r w:rsidRPr="00FE3C59">
              <w:rPr>
                <w:rFonts w:ascii="Times New Roman" w:hAnsi="Times New Roman" w:cs="Times New Roman"/>
                <w:lang w:val="en-GB"/>
              </w:rPr>
              <w:t xml:space="preserve"> </w:t>
            </w:r>
            <w:r w:rsidR="00272680" w:rsidRPr="00FE3C59">
              <w:rPr>
                <w:rFonts w:ascii="Times New Roman" w:hAnsi="Times New Roman" w:cs="Times New Roman"/>
                <w:lang w:val="en-GB"/>
              </w:rPr>
              <w:t xml:space="preserve">they shall </w:t>
            </w:r>
            <w:r w:rsidRPr="00FE3C59">
              <w:rPr>
                <w:rFonts w:ascii="Times New Roman" w:hAnsi="Times New Roman" w:cs="Times New Roman"/>
                <w:lang w:val="en-GB"/>
              </w:rPr>
              <w:t xml:space="preserve">be allocated to </w:t>
            </w:r>
            <w:r w:rsidR="004061B5" w:rsidRPr="00FE3C59">
              <w:rPr>
                <w:rFonts w:ascii="Times New Roman" w:hAnsi="Times New Roman" w:cs="Times New Roman"/>
                <w:lang w:val="en-GB"/>
              </w:rPr>
              <w:t>the</w:t>
            </w:r>
            <w:r w:rsidR="00D519CE" w:rsidRPr="00FE3C59">
              <w:rPr>
                <w:rFonts w:ascii="Times New Roman" w:hAnsi="Times New Roman" w:cs="Times New Roman"/>
                <w:lang w:val="en-GB"/>
              </w:rPr>
              <w:t xml:space="preserve"> risk weight band </w:t>
            </w:r>
            <w:r w:rsidR="009914C3" w:rsidRPr="00FE3C59">
              <w:rPr>
                <w:rFonts w:ascii="Times New Roman" w:hAnsi="Times New Roman" w:cs="Times New Roman"/>
                <w:lang w:val="en-GB"/>
              </w:rPr>
              <w:t xml:space="preserve">that includes </w:t>
            </w:r>
            <w:r w:rsidR="00D519CE" w:rsidRPr="00FE3C59">
              <w:rPr>
                <w:rFonts w:ascii="Times New Roman" w:hAnsi="Times New Roman" w:cs="Times New Roman"/>
                <w:lang w:val="en-GB"/>
              </w:rPr>
              <w:t>the risk weight assigned in accordance with Article 325a</w:t>
            </w:r>
            <w:r w:rsidR="00A81F98" w:rsidRPr="00FE3C59">
              <w:rPr>
                <w:rFonts w:ascii="Times New Roman" w:hAnsi="Times New Roman" w:cs="Times New Roman"/>
                <w:lang w:val="en-GB"/>
              </w:rPr>
              <w:t>d</w:t>
            </w:r>
            <w:r w:rsidR="00D519CE" w:rsidRPr="00FE3C59">
              <w:rPr>
                <w:rFonts w:ascii="Times New Roman" w:hAnsi="Times New Roman" w:cs="Times New Roman"/>
                <w:lang w:val="en-GB"/>
              </w:rPr>
              <w:t>(1)</w:t>
            </w:r>
            <w:r w:rsidR="00964EB3" w:rsidRPr="00FE3C59">
              <w:rPr>
                <w:rFonts w:ascii="Times New Roman" w:hAnsi="Times New Roman" w:cs="Times New Roman"/>
                <w:lang w:val="en-GB"/>
              </w:rPr>
              <w:t>, point (b),</w:t>
            </w:r>
            <w:r w:rsidR="00D519CE" w:rsidRPr="00FE3C59">
              <w:rPr>
                <w:rFonts w:ascii="Times New Roman" w:hAnsi="Times New Roman" w:cs="Times New Roman"/>
                <w:lang w:val="en-GB"/>
              </w:rPr>
              <w:t xml:space="preserve"> of Regulation (EU) No 575/2013.</w:t>
            </w:r>
            <w:r w:rsidR="009914C3" w:rsidRPr="00FE3C59">
              <w:rPr>
                <w:rFonts w:ascii="Times New Roman" w:hAnsi="Times New Roman" w:cs="Times New Roman"/>
                <w:lang w:val="en-GB"/>
              </w:rPr>
              <w:t xml:space="preserve"> The amounts reported shall be the net JTD amounts before the application of any risk weights.</w:t>
            </w:r>
          </w:p>
        </w:tc>
      </w:tr>
      <w:tr w:rsidR="008A5692" w:rsidRPr="00FE3C59" w14:paraId="08C81F8A" w14:textId="77777777" w:rsidTr="005F1AA1">
        <w:tc>
          <w:tcPr>
            <w:tcW w:w="1043" w:type="dxa"/>
          </w:tcPr>
          <w:p w14:paraId="281A59AC" w14:textId="132497A0" w:rsidR="008A5692" w:rsidRPr="00FE3C59" w:rsidRDefault="00102BB4"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02</w:t>
            </w:r>
            <w:r w:rsidR="00931520" w:rsidRPr="00FE3C59">
              <w:rPr>
                <w:rFonts w:ascii="Times New Roman" w:hAnsi="Times New Roman" w:cs="Times New Roman"/>
                <w:lang w:val="en-GB"/>
              </w:rPr>
              <w:t>7</w:t>
            </w:r>
            <w:r w:rsidRPr="00FE3C59">
              <w:rPr>
                <w:rFonts w:ascii="Times New Roman" w:hAnsi="Times New Roman" w:cs="Times New Roman"/>
                <w:lang w:val="en-GB"/>
              </w:rPr>
              <w:t>0-03</w:t>
            </w:r>
            <w:r w:rsidR="00931520" w:rsidRPr="00FE3C59">
              <w:rPr>
                <w:rFonts w:ascii="Times New Roman" w:hAnsi="Times New Roman" w:cs="Times New Roman"/>
                <w:lang w:val="en-GB"/>
              </w:rPr>
              <w:t>8</w:t>
            </w:r>
            <w:r w:rsidRPr="00FE3C59">
              <w:rPr>
                <w:rFonts w:ascii="Times New Roman" w:hAnsi="Times New Roman" w:cs="Times New Roman"/>
                <w:lang w:val="en-GB"/>
              </w:rPr>
              <w:t>0</w:t>
            </w:r>
          </w:p>
        </w:tc>
        <w:tc>
          <w:tcPr>
            <w:tcW w:w="7973" w:type="dxa"/>
          </w:tcPr>
          <w:p w14:paraId="15EEE4B1" w14:textId="3F73FB04" w:rsidR="008A5692" w:rsidRPr="00FE3C59" w:rsidRDefault="00965D9F"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w:t>
            </w:r>
            <w:r w:rsidR="00E4647F" w:rsidRPr="00FE3C59">
              <w:rPr>
                <w:rFonts w:ascii="Times New Roman" w:hAnsi="Times New Roman" w:cs="Times New Roman"/>
                <w:b/>
                <w:u w:val="single"/>
                <w:lang w:val="en-GB"/>
              </w:rPr>
              <w:t xml:space="preserve"> long</w:t>
            </w:r>
            <w:r w:rsidRPr="00FE3C59">
              <w:rPr>
                <w:rFonts w:ascii="Times New Roman" w:hAnsi="Times New Roman" w:cs="Times New Roman"/>
                <w:b/>
                <w:u w:val="single"/>
                <w:lang w:val="en-GB"/>
              </w:rPr>
              <w:t xml:space="preserve"> JTD amounts (not risk-weighted)</w:t>
            </w:r>
          </w:p>
        </w:tc>
      </w:tr>
      <w:tr w:rsidR="00931520" w:rsidRPr="00FE3C59" w14:paraId="12C762CA" w14:textId="77777777" w:rsidTr="00E44BE3">
        <w:tc>
          <w:tcPr>
            <w:tcW w:w="1043" w:type="dxa"/>
            <w:vAlign w:val="bottom"/>
          </w:tcPr>
          <w:p w14:paraId="6123807A" w14:textId="0182350F"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0280</w:t>
            </w:r>
          </w:p>
        </w:tc>
        <w:tc>
          <w:tcPr>
            <w:tcW w:w="7973" w:type="dxa"/>
            <w:vAlign w:val="bottom"/>
          </w:tcPr>
          <w:p w14:paraId="2A04BCB0" w14:textId="1F6132B8"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[0 - 10%[</w:t>
            </w:r>
          </w:p>
        </w:tc>
      </w:tr>
      <w:tr w:rsidR="00931520" w:rsidRPr="00FE3C59" w14:paraId="6EFA46B4" w14:textId="77777777" w:rsidTr="00E44BE3">
        <w:tc>
          <w:tcPr>
            <w:tcW w:w="1043" w:type="dxa"/>
            <w:vAlign w:val="bottom"/>
          </w:tcPr>
          <w:p w14:paraId="6DD5FCC1" w14:textId="01574EC0"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0290</w:t>
            </w:r>
          </w:p>
        </w:tc>
        <w:tc>
          <w:tcPr>
            <w:tcW w:w="7973" w:type="dxa"/>
            <w:vAlign w:val="bottom"/>
          </w:tcPr>
          <w:p w14:paraId="454E7C10" w14:textId="2B21545F"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[10 - 12%[</w:t>
            </w:r>
          </w:p>
        </w:tc>
      </w:tr>
      <w:tr w:rsidR="00931520" w:rsidRPr="00FE3C59" w14:paraId="26A1BEA1" w14:textId="77777777" w:rsidTr="00E44BE3">
        <w:tc>
          <w:tcPr>
            <w:tcW w:w="1043" w:type="dxa"/>
            <w:vAlign w:val="bottom"/>
          </w:tcPr>
          <w:p w14:paraId="13F47711" w14:textId="56866700"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0300</w:t>
            </w:r>
          </w:p>
        </w:tc>
        <w:tc>
          <w:tcPr>
            <w:tcW w:w="7973" w:type="dxa"/>
            <w:vAlign w:val="bottom"/>
          </w:tcPr>
          <w:p w14:paraId="248893FB" w14:textId="18F1F395"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[12 - 20%[</w:t>
            </w:r>
          </w:p>
        </w:tc>
      </w:tr>
      <w:tr w:rsidR="00931520" w:rsidRPr="00FE3C59" w14:paraId="424E86AC" w14:textId="77777777" w:rsidTr="00E44BE3">
        <w:tc>
          <w:tcPr>
            <w:tcW w:w="1043" w:type="dxa"/>
            <w:vAlign w:val="bottom"/>
          </w:tcPr>
          <w:p w14:paraId="01984E2F" w14:textId="59DD8B08"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0310</w:t>
            </w:r>
          </w:p>
        </w:tc>
        <w:tc>
          <w:tcPr>
            <w:tcW w:w="7973" w:type="dxa"/>
            <w:vAlign w:val="bottom"/>
          </w:tcPr>
          <w:p w14:paraId="4AFC0B69" w14:textId="304E7F10"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[20 - 40%[</w:t>
            </w:r>
          </w:p>
        </w:tc>
      </w:tr>
      <w:tr w:rsidR="00931520" w:rsidRPr="00FE3C59" w14:paraId="7AC5B9F2" w14:textId="77777777" w:rsidTr="00E44BE3">
        <w:tc>
          <w:tcPr>
            <w:tcW w:w="1043" w:type="dxa"/>
            <w:vAlign w:val="bottom"/>
          </w:tcPr>
          <w:p w14:paraId="576AC7FD" w14:textId="5D0F3CD8"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0320</w:t>
            </w:r>
          </w:p>
        </w:tc>
        <w:tc>
          <w:tcPr>
            <w:tcW w:w="7973" w:type="dxa"/>
            <w:vAlign w:val="bottom"/>
          </w:tcPr>
          <w:p w14:paraId="36872C92" w14:textId="55577360"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[40 - 100%[</w:t>
            </w:r>
          </w:p>
        </w:tc>
      </w:tr>
      <w:tr w:rsidR="00931520" w:rsidRPr="00FE3C59" w14:paraId="00F8642F" w14:textId="77777777" w:rsidTr="00E44BE3">
        <w:tc>
          <w:tcPr>
            <w:tcW w:w="1043" w:type="dxa"/>
            <w:vAlign w:val="bottom"/>
          </w:tcPr>
          <w:p w14:paraId="21743C94" w14:textId="47AD3EA0"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0330</w:t>
            </w:r>
          </w:p>
        </w:tc>
        <w:tc>
          <w:tcPr>
            <w:tcW w:w="7973" w:type="dxa"/>
            <w:vAlign w:val="bottom"/>
          </w:tcPr>
          <w:p w14:paraId="0344C9A5" w14:textId="5CA51F3D"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[100 - 250%[</w:t>
            </w:r>
          </w:p>
        </w:tc>
      </w:tr>
      <w:tr w:rsidR="00931520" w:rsidRPr="00FE3C59" w14:paraId="4A3E40D6" w14:textId="77777777" w:rsidTr="00E44BE3">
        <w:tc>
          <w:tcPr>
            <w:tcW w:w="1043" w:type="dxa"/>
            <w:vAlign w:val="bottom"/>
          </w:tcPr>
          <w:p w14:paraId="67035699" w14:textId="604E17C7"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0340</w:t>
            </w:r>
          </w:p>
        </w:tc>
        <w:tc>
          <w:tcPr>
            <w:tcW w:w="7973" w:type="dxa"/>
            <w:vAlign w:val="bottom"/>
          </w:tcPr>
          <w:p w14:paraId="061E0F51" w14:textId="7E62D65B"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[250 - 350%[</w:t>
            </w:r>
          </w:p>
        </w:tc>
      </w:tr>
      <w:tr w:rsidR="00931520" w:rsidRPr="00FE3C59" w14:paraId="5086F533" w14:textId="77777777" w:rsidTr="00E44BE3">
        <w:tc>
          <w:tcPr>
            <w:tcW w:w="1043" w:type="dxa"/>
            <w:vAlign w:val="bottom"/>
          </w:tcPr>
          <w:p w14:paraId="0EB49C0A" w14:textId="3F6212A0"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0350</w:t>
            </w:r>
          </w:p>
        </w:tc>
        <w:tc>
          <w:tcPr>
            <w:tcW w:w="7973" w:type="dxa"/>
            <w:vAlign w:val="bottom"/>
          </w:tcPr>
          <w:p w14:paraId="41D2D6CB" w14:textId="445D66CC"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[350 - 425%[</w:t>
            </w:r>
          </w:p>
        </w:tc>
      </w:tr>
      <w:tr w:rsidR="00931520" w:rsidRPr="00FE3C59" w14:paraId="2B0C18FC" w14:textId="77777777" w:rsidTr="00185567">
        <w:tc>
          <w:tcPr>
            <w:tcW w:w="1043" w:type="dxa"/>
          </w:tcPr>
          <w:p w14:paraId="1351614D" w14:textId="54F53517"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0360</w:t>
            </w:r>
          </w:p>
        </w:tc>
        <w:tc>
          <w:tcPr>
            <w:tcW w:w="7973" w:type="dxa"/>
            <w:vAlign w:val="bottom"/>
          </w:tcPr>
          <w:p w14:paraId="340E7E32" w14:textId="24EFAE4F"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[425 - 650%[</w:t>
            </w:r>
          </w:p>
        </w:tc>
      </w:tr>
      <w:tr w:rsidR="00931520" w:rsidRPr="00FE3C59" w14:paraId="4274E923" w14:textId="77777777" w:rsidTr="00185567">
        <w:tc>
          <w:tcPr>
            <w:tcW w:w="1043" w:type="dxa"/>
          </w:tcPr>
          <w:p w14:paraId="2CC3D90D" w14:textId="552A8C45"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0370</w:t>
            </w:r>
          </w:p>
        </w:tc>
        <w:tc>
          <w:tcPr>
            <w:tcW w:w="7973" w:type="dxa"/>
            <w:vAlign w:val="bottom"/>
          </w:tcPr>
          <w:p w14:paraId="706A8B75" w14:textId="79C9E5C2"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[650 – 1 250%[</w:t>
            </w:r>
          </w:p>
        </w:tc>
      </w:tr>
      <w:tr w:rsidR="00931520" w:rsidRPr="00FE3C59" w14:paraId="52D36276" w14:textId="77777777" w:rsidTr="00185567">
        <w:tc>
          <w:tcPr>
            <w:tcW w:w="1043" w:type="dxa"/>
          </w:tcPr>
          <w:p w14:paraId="65F8698D" w14:textId="35DA349D" w:rsidR="00931520" w:rsidRPr="00FE3C59" w:rsidRDefault="00931520" w:rsidP="00931520">
            <w:pPr>
              <w:pStyle w:val="BodyText"/>
              <w:spacing w:before="120" w:after="120"/>
              <w:rPr>
                <w:rFonts w:ascii="Times New Roman" w:hAnsi="Times New Roman" w:cs="Times New Roman"/>
                <w:lang w:val="en-GB"/>
              </w:rPr>
            </w:pPr>
            <w:r w:rsidRPr="00FE3C59">
              <w:rPr>
                <w:rFonts w:ascii="Times New Roman" w:hAnsi="Times New Roman" w:cs="Times New Roman"/>
                <w:lang w:val="en-GB"/>
              </w:rPr>
              <w:t>0380</w:t>
            </w:r>
          </w:p>
        </w:tc>
        <w:tc>
          <w:tcPr>
            <w:tcW w:w="7973" w:type="dxa"/>
            <w:vAlign w:val="bottom"/>
          </w:tcPr>
          <w:p w14:paraId="05F63EC9" w14:textId="5550FB35" w:rsidR="00931520" w:rsidRPr="00FE3C59" w:rsidRDefault="00931520" w:rsidP="0093152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1 250%</w:t>
            </w:r>
          </w:p>
        </w:tc>
      </w:tr>
      <w:tr w:rsidR="008A5692" w:rsidRPr="00FE3C59" w14:paraId="60726CB5" w14:textId="77777777" w:rsidTr="005F1AA1">
        <w:tc>
          <w:tcPr>
            <w:tcW w:w="1043" w:type="dxa"/>
          </w:tcPr>
          <w:p w14:paraId="48DEE598" w14:textId="215F5F52" w:rsidR="008A5692" w:rsidRPr="00FE3C59" w:rsidRDefault="00102BB4"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03</w:t>
            </w:r>
            <w:r w:rsidR="00931520" w:rsidRPr="00FE3C59">
              <w:rPr>
                <w:rFonts w:ascii="Times New Roman" w:hAnsi="Times New Roman" w:cs="Times New Roman"/>
                <w:lang w:val="en-GB"/>
              </w:rPr>
              <w:t>9</w:t>
            </w:r>
            <w:r w:rsidRPr="00FE3C59">
              <w:rPr>
                <w:rFonts w:ascii="Times New Roman" w:hAnsi="Times New Roman" w:cs="Times New Roman"/>
                <w:lang w:val="en-GB"/>
              </w:rPr>
              <w:t>0-0</w:t>
            </w:r>
            <w:r w:rsidR="00185567" w:rsidRPr="00FE3C59">
              <w:rPr>
                <w:rFonts w:ascii="Times New Roman" w:hAnsi="Times New Roman" w:cs="Times New Roman"/>
                <w:lang w:val="en-GB"/>
              </w:rPr>
              <w:t>50</w:t>
            </w:r>
            <w:r w:rsidRPr="00FE3C59">
              <w:rPr>
                <w:rFonts w:ascii="Times New Roman" w:hAnsi="Times New Roman" w:cs="Times New Roman"/>
                <w:lang w:val="en-GB"/>
              </w:rPr>
              <w:t>0</w:t>
            </w:r>
          </w:p>
        </w:tc>
        <w:tc>
          <w:tcPr>
            <w:tcW w:w="7973" w:type="dxa"/>
          </w:tcPr>
          <w:p w14:paraId="2A1AC7DF" w14:textId="08CC3D90" w:rsidR="008A5692" w:rsidRPr="00FE3C59" w:rsidRDefault="00965D9F"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Net</w:t>
            </w:r>
            <w:r w:rsidR="00692043" w:rsidRPr="00FE3C59">
              <w:rPr>
                <w:rFonts w:ascii="Times New Roman" w:hAnsi="Times New Roman" w:cs="Times New Roman"/>
                <w:b/>
                <w:u w:val="single"/>
                <w:lang w:val="en-GB"/>
              </w:rPr>
              <w:t xml:space="preserve"> short</w:t>
            </w:r>
            <w:r w:rsidRPr="00FE3C59">
              <w:rPr>
                <w:rFonts w:ascii="Times New Roman" w:hAnsi="Times New Roman" w:cs="Times New Roman"/>
                <w:b/>
                <w:u w:val="single"/>
                <w:lang w:val="en-GB"/>
              </w:rPr>
              <w:t xml:space="preserve"> JTD amounts (not risk-weighted)</w:t>
            </w:r>
          </w:p>
        </w:tc>
      </w:tr>
      <w:tr w:rsidR="00185567" w:rsidRPr="00FE3C59" w14:paraId="503B7C31" w14:textId="77777777" w:rsidTr="00F2428E">
        <w:tc>
          <w:tcPr>
            <w:tcW w:w="1043" w:type="dxa"/>
          </w:tcPr>
          <w:p w14:paraId="6962151C" w14:textId="47D7CF09"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0400</w:t>
            </w:r>
          </w:p>
        </w:tc>
        <w:tc>
          <w:tcPr>
            <w:tcW w:w="7973" w:type="dxa"/>
            <w:vAlign w:val="bottom"/>
          </w:tcPr>
          <w:p w14:paraId="72D0D2FF" w14:textId="25537EBE"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[0 - 10%[</w:t>
            </w:r>
          </w:p>
        </w:tc>
      </w:tr>
      <w:tr w:rsidR="00185567" w:rsidRPr="00FE3C59" w14:paraId="2B56FBBE" w14:textId="77777777" w:rsidTr="00F2428E">
        <w:tc>
          <w:tcPr>
            <w:tcW w:w="1043" w:type="dxa"/>
          </w:tcPr>
          <w:p w14:paraId="1D584960" w14:textId="3A2C7988"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0410</w:t>
            </w:r>
          </w:p>
        </w:tc>
        <w:tc>
          <w:tcPr>
            <w:tcW w:w="7973" w:type="dxa"/>
            <w:vAlign w:val="bottom"/>
          </w:tcPr>
          <w:p w14:paraId="5F03AED5" w14:textId="0C1C7410"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[10 - 12%[</w:t>
            </w:r>
          </w:p>
        </w:tc>
      </w:tr>
      <w:tr w:rsidR="00185567" w:rsidRPr="00FE3C59" w14:paraId="7C997604" w14:textId="77777777" w:rsidTr="00F2428E">
        <w:tc>
          <w:tcPr>
            <w:tcW w:w="1043" w:type="dxa"/>
          </w:tcPr>
          <w:p w14:paraId="0396E67F" w14:textId="2CFA0045"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0420</w:t>
            </w:r>
          </w:p>
        </w:tc>
        <w:tc>
          <w:tcPr>
            <w:tcW w:w="7973" w:type="dxa"/>
            <w:vAlign w:val="bottom"/>
          </w:tcPr>
          <w:p w14:paraId="4F153B86" w14:textId="3B148AC6"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[12 - 20%[</w:t>
            </w:r>
          </w:p>
        </w:tc>
      </w:tr>
      <w:tr w:rsidR="00185567" w:rsidRPr="00FE3C59" w14:paraId="752E77A4" w14:textId="77777777" w:rsidTr="00F2428E">
        <w:tc>
          <w:tcPr>
            <w:tcW w:w="1043" w:type="dxa"/>
          </w:tcPr>
          <w:p w14:paraId="1F1A1271" w14:textId="426E2F56"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0430</w:t>
            </w:r>
          </w:p>
        </w:tc>
        <w:tc>
          <w:tcPr>
            <w:tcW w:w="7973" w:type="dxa"/>
            <w:vAlign w:val="bottom"/>
          </w:tcPr>
          <w:p w14:paraId="4642366B" w14:textId="4BFE2681"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[20 - 40%[</w:t>
            </w:r>
          </w:p>
        </w:tc>
      </w:tr>
      <w:tr w:rsidR="00185567" w:rsidRPr="00FE3C59" w14:paraId="74F90B6E" w14:textId="77777777" w:rsidTr="00F2428E">
        <w:tc>
          <w:tcPr>
            <w:tcW w:w="1043" w:type="dxa"/>
          </w:tcPr>
          <w:p w14:paraId="677F8279" w14:textId="59C42F3F"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0440</w:t>
            </w:r>
          </w:p>
        </w:tc>
        <w:tc>
          <w:tcPr>
            <w:tcW w:w="7973" w:type="dxa"/>
            <w:vAlign w:val="bottom"/>
          </w:tcPr>
          <w:p w14:paraId="21BD447C" w14:textId="665713C1"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[40 - 100%[</w:t>
            </w:r>
          </w:p>
        </w:tc>
      </w:tr>
      <w:tr w:rsidR="00185567" w:rsidRPr="00FE3C59" w14:paraId="64F5D02C" w14:textId="77777777" w:rsidTr="00F2428E">
        <w:tc>
          <w:tcPr>
            <w:tcW w:w="1043" w:type="dxa"/>
          </w:tcPr>
          <w:p w14:paraId="6B5E99A7" w14:textId="73674F08"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0450</w:t>
            </w:r>
          </w:p>
        </w:tc>
        <w:tc>
          <w:tcPr>
            <w:tcW w:w="7973" w:type="dxa"/>
            <w:vAlign w:val="bottom"/>
          </w:tcPr>
          <w:p w14:paraId="273986D1" w14:textId="00D23259"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[100 - 250%[</w:t>
            </w:r>
          </w:p>
        </w:tc>
      </w:tr>
      <w:tr w:rsidR="00185567" w:rsidRPr="00FE3C59" w14:paraId="3DCFFC0A" w14:textId="77777777" w:rsidTr="00F2428E">
        <w:tc>
          <w:tcPr>
            <w:tcW w:w="1043" w:type="dxa"/>
          </w:tcPr>
          <w:p w14:paraId="62D60B72" w14:textId="00A95940"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0460</w:t>
            </w:r>
          </w:p>
        </w:tc>
        <w:tc>
          <w:tcPr>
            <w:tcW w:w="7973" w:type="dxa"/>
            <w:vAlign w:val="bottom"/>
          </w:tcPr>
          <w:p w14:paraId="4881FCE7" w14:textId="6FD6C14E"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[250 - 350%[</w:t>
            </w:r>
          </w:p>
        </w:tc>
      </w:tr>
      <w:tr w:rsidR="00185567" w:rsidRPr="00FE3C59" w14:paraId="024E1BE9" w14:textId="77777777" w:rsidTr="00F2428E">
        <w:tc>
          <w:tcPr>
            <w:tcW w:w="1043" w:type="dxa"/>
          </w:tcPr>
          <w:p w14:paraId="2B720A29" w14:textId="357062A8"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0470</w:t>
            </w:r>
          </w:p>
        </w:tc>
        <w:tc>
          <w:tcPr>
            <w:tcW w:w="7973" w:type="dxa"/>
            <w:vAlign w:val="bottom"/>
          </w:tcPr>
          <w:p w14:paraId="50FC8383" w14:textId="76BA5B58"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[350 - 425%[</w:t>
            </w:r>
          </w:p>
        </w:tc>
      </w:tr>
      <w:tr w:rsidR="00185567" w:rsidRPr="00FE3C59" w14:paraId="6EA7F1DD" w14:textId="77777777" w:rsidTr="00F2428E">
        <w:tc>
          <w:tcPr>
            <w:tcW w:w="1043" w:type="dxa"/>
          </w:tcPr>
          <w:p w14:paraId="1AD091F0" w14:textId="07F6E67D"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0480</w:t>
            </w:r>
          </w:p>
        </w:tc>
        <w:tc>
          <w:tcPr>
            <w:tcW w:w="7973" w:type="dxa"/>
            <w:vAlign w:val="bottom"/>
          </w:tcPr>
          <w:p w14:paraId="4E7B6394" w14:textId="06BC0964"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[425 - 650%[</w:t>
            </w:r>
          </w:p>
        </w:tc>
      </w:tr>
      <w:tr w:rsidR="00185567" w:rsidRPr="00FE3C59" w14:paraId="2E40C8F2" w14:textId="77777777" w:rsidTr="00F2428E">
        <w:tc>
          <w:tcPr>
            <w:tcW w:w="1043" w:type="dxa"/>
          </w:tcPr>
          <w:p w14:paraId="4F079E0C" w14:textId="243A0894"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0490</w:t>
            </w:r>
          </w:p>
        </w:tc>
        <w:tc>
          <w:tcPr>
            <w:tcW w:w="7973" w:type="dxa"/>
            <w:vAlign w:val="bottom"/>
          </w:tcPr>
          <w:p w14:paraId="72472419" w14:textId="64036E6D"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[650 – 1 250%[</w:t>
            </w:r>
          </w:p>
        </w:tc>
      </w:tr>
      <w:tr w:rsidR="00185567" w:rsidRPr="00FE3C59" w14:paraId="1F877BD6" w14:textId="77777777" w:rsidTr="00185567">
        <w:tc>
          <w:tcPr>
            <w:tcW w:w="1043" w:type="dxa"/>
          </w:tcPr>
          <w:p w14:paraId="51F75312" w14:textId="43B48F0F" w:rsidR="00185567" w:rsidRPr="00FE3C59" w:rsidRDefault="00185567" w:rsidP="00185567">
            <w:pPr>
              <w:pStyle w:val="BodyText"/>
              <w:spacing w:before="120" w:after="120"/>
              <w:rPr>
                <w:rFonts w:ascii="Times New Roman" w:hAnsi="Times New Roman" w:cs="Times New Roman"/>
                <w:lang w:val="en-GB"/>
              </w:rPr>
            </w:pPr>
            <w:r w:rsidRPr="00FE3C59">
              <w:rPr>
                <w:rFonts w:ascii="Times New Roman" w:hAnsi="Times New Roman" w:cs="Times New Roman"/>
                <w:lang w:val="en-GB"/>
              </w:rPr>
              <w:t>0500</w:t>
            </w:r>
          </w:p>
        </w:tc>
        <w:tc>
          <w:tcPr>
            <w:tcW w:w="7973" w:type="dxa"/>
            <w:vAlign w:val="bottom"/>
          </w:tcPr>
          <w:p w14:paraId="183AB6E7" w14:textId="7CAAFD08" w:rsidR="00185567" w:rsidRPr="00FE3C59" w:rsidRDefault="00185567" w:rsidP="00185567">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1 250%</w:t>
            </w:r>
          </w:p>
        </w:tc>
      </w:tr>
      <w:tr w:rsidR="008A5692" w:rsidRPr="00FE3C59" w14:paraId="42EA15E4" w14:textId="77777777" w:rsidTr="005F1AA1">
        <w:tc>
          <w:tcPr>
            <w:tcW w:w="1043" w:type="dxa"/>
          </w:tcPr>
          <w:p w14:paraId="4D8F4722" w14:textId="62D894A5" w:rsidR="008A5692" w:rsidRPr="00FE3C59" w:rsidRDefault="001D0799"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0510</w:t>
            </w:r>
          </w:p>
        </w:tc>
        <w:tc>
          <w:tcPr>
            <w:tcW w:w="7973" w:type="dxa"/>
          </w:tcPr>
          <w:p w14:paraId="02337360" w14:textId="3DCDAD46" w:rsidR="00C432A6" w:rsidRPr="00FE3C59" w:rsidRDefault="00C432A6" w:rsidP="00C432A6">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Weighted to Short </w:t>
            </w:r>
            <w:r w:rsidR="00936B63" w:rsidRPr="00FE3C59">
              <w:rPr>
                <w:rFonts w:ascii="Times New Roman" w:hAnsi="Times New Roman" w:cs="Times New Roman"/>
                <w:b/>
                <w:u w:val="single"/>
                <w:lang w:val="en-GB"/>
              </w:rPr>
              <w:t xml:space="preserve">ACTP </w:t>
            </w:r>
            <w:r w:rsidRPr="00FE3C59">
              <w:rPr>
                <w:rFonts w:ascii="Times New Roman" w:hAnsi="Times New Roman" w:cs="Times New Roman"/>
                <w:b/>
                <w:u w:val="single"/>
                <w:lang w:val="en-GB"/>
              </w:rPr>
              <w:t>ratio</w:t>
            </w:r>
          </w:p>
          <w:p w14:paraId="0CA8CDC1" w14:textId="402A51F1" w:rsidR="008A5692" w:rsidRPr="00FE3C59" w:rsidRDefault="00C432A6"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Weighted</w:t>
            </w:r>
            <w:r w:rsidR="00546F99" w:rsidRPr="00FE3C59">
              <w:rPr>
                <w:rFonts w:ascii="Times New Roman" w:hAnsi="Times New Roman" w:cs="Times New Roman"/>
                <w:lang w:val="en-GB"/>
              </w:rPr>
              <w:t>-</w:t>
            </w:r>
            <w:r w:rsidRPr="00FE3C59">
              <w:rPr>
                <w:rFonts w:ascii="Times New Roman" w:hAnsi="Times New Roman" w:cs="Times New Roman"/>
                <w:lang w:val="en-GB"/>
              </w:rPr>
              <w:t>to</w:t>
            </w:r>
            <w:r w:rsidR="00546F99" w:rsidRPr="00FE3C59">
              <w:rPr>
                <w:rFonts w:ascii="Times New Roman" w:hAnsi="Times New Roman" w:cs="Times New Roman"/>
                <w:lang w:val="en-GB"/>
              </w:rPr>
              <w:t>-</w:t>
            </w:r>
            <w:r w:rsidRPr="00FE3C59">
              <w:rPr>
                <w:rFonts w:ascii="Times New Roman" w:hAnsi="Times New Roman" w:cs="Times New Roman"/>
                <w:lang w:val="en-GB"/>
              </w:rPr>
              <w:t xml:space="preserve">Short </w:t>
            </w:r>
            <w:r w:rsidR="00546F99" w:rsidRPr="00FE3C59">
              <w:rPr>
                <w:rFonts w:ascii="Times New Roman" w:hAnsi="Times New Roman" w:cs="Times New Roman"/>
                <w:lang w:val="en-GB"/>
              </w:rPr>
              <w:t xml:space="preserve">ratio </w:t>
            </w:r>
            <w:r w:rsidR="006F46E7" w:rsidRPr="00FE3C59">
              <w:rPr>
                <w:rFonts w:ascii="Times New Roman" w:hAnsi="Times New Roman" w:cs="Times New Roman"/>
                <w:lang w:val="en-GB"/>
              </w:rPr>
              <w:t xml:space="preserve">of the </w:t>
            </w:r>
            <w:r w:rsidR="0056732F" w:rsidRPr="00FE3C59">
              <w:rPr>
                <w:rFonts w:ascii="Times New Roman" w:hAnsi="Times New Roman" w:cs="Times New Roman"/>
                <w:lang w:val="en-GB"/>
              </w:rPr>
              <w:t xml:space="preserve">ACTP </w:t>
            </w:r>
            <w:r w:rsidRPr="00FE3C59">
              <w:rPr>
                <w:rFonts w:ascii="Times New Roman" w:hAnsi="Times New Roman" w:cs="Times New Roman"/>
                <w:lang w:val="en-GB"/>
              </w:rPr>
              <w:t>(</w:t>
            </w:r>
            <m:oMath>
              <m:sSub>
                <m:sSubPr>
                  <m:ctrlPr>
                    <w:rPr>
                      <w:rFonts w:ascii="Cambria Math" w:hAnsi="Cambria Math" w:cs="Times New Roman"/>
                      <w:bCs/>
                      <w:iCs/>
                      <w:lang w:val="en-GB"/>
                    </w:rPr>
                  </m:ctrlPr>
                </m:sSubPr>
                <m:e>
                  <m:r>
                    <m:rPr>
                      <m:sty m:val="p"/>
                    </m:rPr>
                    <w:rPr>
                      <w:rFonts w:ascii="Cambria Math" w:hAnsi="Cambria Math" w:cs="Times New Roman"/>
                      <w:lang w:val="en-GB"/>
                    </w:rPr>
                    <m:t>WtS</m:t>
                  </m:r>
                </m:e>
                <m:sub>
                  <m:r>
                    <m:rPr>
                      <m:sty m:val="p"/>
                    </m:rPr>
                    <w:rPr>
                      <w:rFonts w:ascii="Cambria Math" w:hAnsi="Cambria Math" w:cs="Times New Roman"/>
                      <w:lang w:val="en-GB"/>
                    </w:rPr>
                    <m:t>ACTP</m:t>
                  </m:r>
                </m:sub>
              </m:sSub>
            </m:oMath>
            <w:r w:rsidRPr="00FE3C59">
              <w:rPr>
                <w:rFonts w:ascii="Times New Roman" w:hAnsi="Times New Roman" w:cs="Times New Roman"/>
                <w:lang w:val="en-GB"/>
              </w:rPr>
              <w:t>) calculated in accordance with Article 325</w:t>
            </w:r>
            <w:r w:rsidR="00F92D6E" w:rsidRPr="00FE3C59">
              <w:rPr>
                <w:rFonts w:ascii="Times New Roman" w:hAnsi="Times New Roman" w:cs="Times New Roman"/>
                <w:lang w:val="en-GB"/>
              </w:rPr>
              <w:t>ad(3</w:t>
            </w:r>
            <w:r w:rsidRPr="00FE3C59">
              <w:rPr>
                <w:rFonts w:ascii="Times New Roman" w:hAnsi="Times New Roman" w:cs="Times New Roman"/>
                <w:lang w:val="en-GB"/>
              </w:rPr>
              <w:t>) of Regulation (EU) No 575/2013</w:t>
            </w:r>
          </w:p>
        </w:tc>
      </w:tr>
      <w:tr w:rsidR="008A5692" w:rsidRPr="00FE3C59" w14:paraId="6CDA3D4A" w14:textId="77777777" w:rsidTr="005F1AA1">
        <w:tc>
          <w:tcPr>
            <w:tcW w:w="1043" w:type="dxa"/>
          </w:tcPr>
          <w:p w14:paraId="01067991" w14:textId="3CDBBA83" w:rsidR="008A5692" w:rsidRPr="00FE3C59" w:rsidRDefault="001D0799" w:rsidP="002D1138">
            <w:pPr>
              <w:pStyle w:val="BodyText"/>
              <w:spacing w:before="120" w:after="120"/>
              <w:rPr>
                <w:rFonts w:ascii="Times New Roman" w:hAnsi="Times New Roman" w:cs="Times New Roman"/>
                <w:lang w:val="en-GB"/>
              </w:rPr>
            </w:pPr>
            <w:r w:rsidRPr="00FE3C59">
              <w:rPr>
                <w:rFonts w:ascii="Times New Roman" w:hAnsi="Times New Roman" w:cs="Times New Roman"/>
                <w:lang w:val="en-GB"/>
              </w:rPr>
              <w:t>0520</w:t>
            </w:r>
          </w:p>
        </w:tc>
        <w:tc>
          <w:tcPr>
            <w:tcW w:w="7973" w:type="dxa"/>
          </w:tcPr>
          <w:p w14:paraId="4F43C9AA" w14:textId="77777777" w:rsidR="0075364C" w:rsidRPr="00FE3C59" w:rsidRDefault="0075364C" w:rsidP="0075364C">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Own funds requirement</w:t>
            </w:r>
          </w:p>
          <w:p w14:paraId="707252AA" w14:textId="0BD1F379" w:rsidR="008A5692" w:rsidRPr="00FE3C59" w:rsidRDefault="00E26144" w:rsidP="00431657">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Bucket-level o</w:t>
            </w:r>
            <w:r w:rsidR="00C864F8" w:rsidRPr="00FE3C59">
              <w:rPr>
                <w:rFonts w:ascii="Times New Roman" w:hAnsi="Times New Roman" w:cs="Times New Roman"/>
                <w:lang w:val="en-GB"/>
              </w:rPr>
              <w:t>wn funds requirement calculated in accordance with Article 325</w:t>
            </w:r>
            <w:r w:rsidR="00A950F6" w:rsidRPr="00FE3C59">
              <w:rPr>
                <w:rFonts w:ascii="Times New Roman" w:hAnsi="Times New Roman" w:cs="Times New Roman"/>
                <w:lang w:val="en-GB"/>
              </w:rPr>
              <w:t>ad</w:t>
            </w:r>
            <w:r w:rsidR="00C864F8" w:rsidRPr="00FE3C59">
              <w:rPr>
                <w:rFonts w:ascii="Times New Roman" w:hAnsi="Times New Roman" w:cs="Times New Roman"/>
                <w:lang w:val="en-GB"/>
              </w:rPr>
              <w:t>(</w:t>
            </w:r>
            <w:r w:rsidR="00A950F6" w:rsidRPr="00FE3C59">
              <w:rPr>
                <w:rFonts w:ascii="Times New Roman" w:hAnsi="Times New Roman" w:cs="Times New Roman"/>
                <w:lang w:val="en-GB"/>
              </w:rPr>
              <w:t>3</w:t>
            </w:r>
            <w:r w:rsidR="00C864F8" w:rsidRPr="00FE3C59">
              <w:rPr>
                <w:rFonts w:ascii="Times New Roman" w:hAnsi="Times New Roman" w:cs="Times New Roman"/>
                <w:lang w:val="en-GB"/>
              </w:rPr>
              <w:t>) of Regulation (EU) No 575/2013.</w:t>
            </w:r>
          </w:p>
        </w:tc>
      </w:tr>
    </w:tbl>
    <w:p w14:paraId="25E31A60" w14:textId="168DE961" w:rsidR="00C65F1F" w:rsidRPr="00FE3C59" w:rsidRDefault="00C65F1F" w:rsidP="004F7DA1">
      <w:pPr>
        <w:pStyle w:val="body"/>
        <w:rPr>
          <w:rFonts w:ascii="Times New Roman" w:hAnsi="Times New Roman" w:cs="Times New Roman"/>
          <w:lang w:val="en-GB"/>
        </w:rPr>
      </w:pPr>
    </w:p>
    <w:p w14:paraId="02248034" w14:textId="3B09C17B" w:rsidR="00D93371" w:rsidRPr="00FE3C59" w:rsidRDefault="00D93371" w:rsidP="00D93371">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3.</w:t>
      </w:r>
      <w:r w:rsidRPr="00FE3C59">
        <w:rPr>
          <w:rFonts w:ascii="Times New Roman" w:hAnsi="Times New Roman" w:cs="Times New Roman"/>
          <w:sz w:val="24"/>
          <w:szCs w:val="24"/>
          <w:u w:val="none"/>
          <w:lang w:val="en-GB"/>
        </w:rPr>
        <w:tab/>
        <w:t>Market risk – Alternative internal model approach</w:t>
      </w:r>
      <w:r w:rsidR="0073778B">
        <w:rPr>
          <w:rFonts w:ascii="Times New Roman" w:hAnsi="Times New Roman" w:cs="Times New Roman"/>
          <w:sz w:val="24"/>
          <w:szCs w:val="24"/>
          <w:u w:val="none"/>
          <w:lang w:val="en-GB"/>
        </w:rPr>
        <w:t xml:space="preserve"> (MKR IMA)</w:t>
      </w:r>
    </w:p>
    <w:p w14:paraId="4D570F73" w14:textId="77777777" w:rsidR="00D93371" w:rsidRPr="00FE3C59" w:rsidRDefault="00D93371" w:rsidP="00D93371">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3.1 Scope</w:t>
      </w:r>
    </w:p>
    <w:p w14:paraId="1FF89057" w14:textId="14EAC476" w:rsidR="00D93371" w:rsidRPr="00FE3C59" w:rsidRDefault="00D93371" w:rsidP="00996C30">
      <w:pPr>
        <w:pStyle w:val="InstructionsText2"/>
        <w:numPr>
          <w:ilvl w:val="0"/>
          <w:numId w:val="57"/>
        </w:numPr>
      </w:pPr>
      <w:r w:rsidRPr="00FE3C59">
        <w:t>Institutions shall report the information specified in this section for each offsetting group in accordance with the specifications in Part I, section 1.4 of this annex.</w:t>
      </w:r>
    </w:p>
    <w:p w14:paraId="1DC610C1" w14:textId="77777777" w:rsidR="00D93371" w:rsidRPr="00FE3C59" w:rsidRDefault="00D93371" w:rsidP="0044413E">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3.2</w:t>
      </w:r>
      <w:r w:rsidRPr="00FE3C59">
        <w:rPr>
          <w:rFonts w:ascii="Times New Roman" w:hAnsi="Times New Roman" w:cs="Times New Roman"/>
          <w:sz w:val="24"/>
          <w:szCs w:val="24"/>
          <w:u w:val="none"/>
          <w:lang w:val="en-GB"/>
        </w:rPr>
        <w:tab/>
        <w:t>C 95.00: Summary of own funds requirements (MKR IMA SUM)</w:t>
      </w:r>
    </w:p>
    <w:p w14:paraId="527D89F7" w14:textId="77777777" w:rsidR="00D93371" w:rsidRPr="00FE3C59" w:rsidRDefault="00D93371" w:rsidP="0044413E">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3.2.1 General remarks</w:t>
      </w:r>
    </w:p>
    <w:p w14:paraId="35229801" w14:textId="3C755E9F" w:rsidR="00D93371" w:rsidRPr="00FE3C59" w:rsidRDefault="00D93371" w:rsidP="006E2ED1">
      <w:pPr>
        <w:pStyle w:val="InstructionsText2"/>
        <w:numPr>
          <w:ilvl w:val="0"/>
          <w:numId w:val="57"/>
        </w:numPr>
      </w:pPr>
      <w:r w:rsidRPr="00FE3C59">
        <w:t xml:space="preserve">This template provides summary information on the calculation of own funds requirements for Market Risk in accordance with the Alternative Internal Model approach, set out in Part Three, Title IV, Chapter 1b, of Regulation (EU) No 575/2013. </w:t>
      </w:r>
    </w:p>
    <w:p w14:paraId="5D3EE84E" w14:textId="33F10DC3" w:rsidR="00D93371" w:rsidRPr="00FE3C59" w:rsidRDefault="00D93371" w:rsidP="006E2ED1">
      <w:pPr>
        <w:pStyle w:val="InstructionsText2"/>
        <w:numPr>
          <w:ilvl w:val="0"/>
          <w:numId w:val="57"/>
        </w:numPr>
      </w:pPr>
      <w:r w:rsidRPr="00FE3C59">
        <w:t xml:space="preserve">Where information is reported on a consolidated level, institutions shall also provide the information specified in this template for the aggregate of all </w:t>
      </w:r>
      <w:r w:rsidRPr="00FE3C59">
        <w:lastRenderedPageBreak/>
        <w:t xml:space="preserve">offsetting groups, in addition to the reporting of this template for each offsetting group in accordance with </w:t>
      </w:r>
      <w:r w:rsidR="00673794" w:rsidRPr="00FE3C59">
        <w:t xml:space="preserve">Part II, </w:t>
      </w:r>
      <w:r w:rsidRPr="00FE3C59">
        <w:t xml:space="preserve">paragraph </w:t>
      </w:r>
      <w:r w:rsidR="00673794" w:rsidRPr="00FE3C59">
        <w:t>3</w:t>
      </w:r>
      <w:r w:rsidR="00E6188E" w:rsidRPr="00FE3C59">
        <w:t>5</w:t>
      </w:r>
      <w:r w:rsidR="00673794" w:rsidRPr="00FE3C59">
        <w:t>,</w:t>
      </w:r>
      <w:r w:rsidRPr="00FE3C59">
        <w:t xml:space="preserve"> of this Annex.</w:t>
      </w:r>
    </w:p>
    <w:p w14:paraId="694F2709" w14:textId="2CEFD2C2" w:rsidR="008A4B08" w:rsidRPr="00FE3C59" w:rsidRDefault="008A4B08" w:rsidP="008A4B08">
      <w:pPr>
        <w:pStyle w:val="Instructionsberschrift2"/>
        <w:numPr>
          <w:ilvl w:val="0"/>
          <w:numId w:val="0"/>
        </w:numPr>
        <w:ind w:left="357" w:hanging="357"/>
        <w:rPr>
          <w:rFonts w:ascii="Times New Roman" w:hAnsi="Times New Roman" w:cs="Times New Roman"/>
          <w:sz w:val="24"/>
          <w:szCs w:val="24"/>
          <w:u w:val="none"/>
          <w:lang w:val="en-GB"/>
        </w:rPr>
      </w:pPr>
      <w:r w:rsidRPr="00FE3C59">
        <w:rPr>
          <w:rFonts w:ascii="Times New Roman" w:hAnsi="Times New Roman" w:cs="Times New Roman"/>
          <w:sz w:val="24"/>
          <w:szCs w:val="24"/>
          <w:u w:val="none"/>
          <w:lang w:val="en-GB"/>
        </w:rPr>
        <w:t>3.2.2 Instructions concerning specific positions</w:t>
      </w:r>
    </w:p>
    <w:tbl>
      <w:tblPr>
        <w:tblStyle w:val="TableGrid"/>
        <w:tblW w:w="0" w:type="auto"/>
        <w:tblLook w:val="04A0" w:firstRow="1" w:lastRow="0" w:firstColumn="1" w:lastColumn="0" w:noHBand="0" w:noVBand="1"/>
      </w:tblPr>
      <w:tblGrid>
        <w:gridCol w:w="1043"/>
        <w:gridCol w:w="7973"/>
      </w:tblGrid>
      <w:tr w:rsidR="00B530B5" w:rsidRPr="00FE3C59" w14:paraId="5254E483" w14:textId="77777777" w:rsidTr="00157901">
        <w:tc>
          <w:tcPr>
            <w:tcW w:w="1043" w:type="dxa"/>
            <w:shd w:val="clear" w:color="auto" w:fill="BFBFBF" w:themeFill="background1" w:themeFillShade="BF"/>
          </w:tcPr>
          <w:p w14:paraId="472B8B21"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6C855684"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0CB75116" w14:textId="77777777" w:rsidTr="00157901">
        <w:tc>
          <w:tcPr>
            <w:tcW w:w="1043" w:type="dxa"/>
          </w:tcPr>
          <w:p w14:paraId="1DCF586C" w14:textId="12D2E5C8"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w:t>
            </w:r>
            <w:r w:rsidR="00D66373">
              <w:rPr>
                <w:rFonts w:ascii="Times New Roman" w:hAnsi="Times New Roman" w:cs="Times New Roman"/>
                <w:lang w:val="en-GB"/>
              </w:rPr>
              <w:t>65</w:t>
            </w:r>
          </w:p>
        </w:tc>
        <w:tc>
          <w:tcPr>
            <w:tcW w:w="7973" w:type="dxa"/>
          </w:tcPr>
          <w:p w14:paraId="6551C31E" w14:textId="1A96F838" w:rsidR="00B530B5" w:rsidRPr="00FE3C59" w:rsidRDefault="6270B300" w:rsidP="00157901">
            <w:pPr>
              <w:pStyle w:val="BodyText"/>
              <w:spacing w:before="120" w:after="120"/>
              <w:rPr>
                <w:rFonts w:ascii="Times New Roman" w:hAnsi="Times New Roman" w:cs="Times New Roman"/>
                <w:b/>
                <w:bCs/>
                <w:u w:val="single"/>
                <w:lang w:val="en-GB"/>
              </w:rPr>
            </w:pPr>
            <w:r w:rsidRPr="00FE3C59">
              <w:rPr>
                <w:rFonts w:ascii="Times New Roman" w:hAnsi="Times New Roman" w:cs="Times New Roman"/>
                <w:b/>
                <w:u w:val="single"/>
                <w:lang w:val="en-GB"/>
              </w:rPr>
              <w:t>Modellable risk factors: Expected shortfall measure</w:t>
            </w:r>
          </w:p>
        </w:tc>
      </w:tr>
      <w:tr w:rsidR="00B530B5" w:rsidRPr="00FE3C59" w14:paraId="49D371F1" w14:textId="77777777" w:rsidTr="00157901">
        <w:tc>
          <w:tcPr>
            <w:tcW w:w="1043" w:type="dxa"/>
          </w:tcPr>
          <w:p w14:paraId="6FAE5DC8"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0010</w:t>
            </w:r>
          </w:p>
        </w:tc>
        <w:tc>
          <w:tcPr>
            <w:tcW w:w="7973" w:type="dxa"/>
          </w:tcPr>
          <w:p w14:paraId="0F50A29E"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Previous day’s risk measure (ES</w:t>
            </w:r>
            <w:r w:rsidRPr="00FE3C59">
              <w:rPr>
                <w:rFonts w:ascii="Times New Roman" w:hAnsi="Times New Roman" w:cs="Times New Roman"/>
                <w:b/>
                <w:u w:val="single"/>
                <w:vertAlign w:val="subscript"/>
                <w:lang w:val="en-GB"/>
              </w:rPr>
              <w:t>t-1</w:t>
            </w:r>
            <w:r w:rsidRPr="00FE3C59">
              <w:rPr>
                <w:rFonts w:ascii="Times New Roman" w:hAnsi="Times New Roman" w:cs="Times New Roman"/>
                <w:b/>
                <w:u w:val="single"/>
                <w:lang w:val="en-GB"/>
              </w:rPr>
              <w:t>)</w:t>
            </w:r>
          </w:p>
          <w:p w14:paraId="237B3CAD"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325ba(1), point (a)(i), of Regulation (EU) No 575/2013</w:t>
            </w:r>
          </w:p>
        </w:tc>
      </w:tr>
      <w:tr w:rsidR="00B530B5" w:rsidRPr="00FE3C59" w14:paraId="63843C22" w14:textId="77777777" w:rsidTr="00157901">
        <w:tc>
          <w:tcPr>
            <w:tcW w:w="1043" w:type="dxa"/>
          </w:tcPr>
          <w:p w14:paraId="4FC71420"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0020</w:t>
            </w:r>
          </w:p>
        </w:tc>
        <w:tc>
          <w:tcPr>
            <w:tcW w:w="7973" w:type="dxa"/>
          </w:tcPr>
          <w:p w14:paraId="235BE6D8"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Average of daily risk measure over the preceding 60 business days (ES</w:t>
            </w:r>
            <w:r w:rsidRPr="00FE3C59">
              <w:rPr>
                <w:rFonts w:ascii="Times New Roman" w:hAnsi="Times New Roman" w:cs="Times New Roman"/>
                <w:b/>
                <w:u w:val="single"/>
                <w:vertAlign w:val="superscript"/>
                <w:lang w:val="en-GB"/>
              </w:rPr>
              <w:t>avg</w:t>
            </w:r>
            <w:r w:rsidRPr="00FE3C59">
              <w:rPr>
                <w:rFonts w:ascii="Times New Roman" w:hAnsi="Times New Roman" w:cs="Times New Roman"/>
                <w:b/>
                <w:u w:val="single"/>
                <w:lang w:val="en-GB"/>
              </w:rPr>
              <w:t xml:space="preserve"> ∙ m</w:t>
            </w:r>
            <w:r w:rsidRPr="00FE3C59">
              <w:rPr>
                <w:rFonts w:ascii="Times New Roman" w:hAnsi="Times New Roman" w:cs="Times New Roman"/>
                <w:b/>
                <w:u w:val="single"/>
                <w:vertAlign w:val="subscript"/>
                <w:lang w:val="en-GB"/>
              </w:rPr>
              <w:t>c</w:t>
            </w:r>
            <w:r w:rsidRPr="00FE3C59">
              <w:rPr>
                <w:rFonts w:ascii="Times New Roman" w:hAnsi="Times New Roman" w:cs="Times New Roman"/>
                <w:b/>
                <w:u w:val="single"/>
                <w:lang w:val="en-GB"/>
              </w:rPr>
              <w:t>)</w:t>
            </w:r>
          </w:p>
          <w:p w14:paraId="17B3B06E"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Article 325ba(1), point (b)(i), of Regulation (EU) No 575/2013</w:t>
            </w:r>
          </w:p>
        </w:tc>
      </w:tr>
      <w:tr w:rsidR="00B530B5" w:rsidRPr="00FE3C59" w14:paraId="76809556" w14:textId="77777777" w:rsidTr="00157901">
        <w:tc>
          <w:tcPr>
            <w:tcW w:w="1043" w:type="dxa"/>
          </w:tcPr>
          <w:p w14:paraId="6303CBD3"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0030</w:t>
            </w:r>
          </w:p>
        </w:tc>
        <w:tc>
          <w:tcPr>
            <w:tcW w:w="7973" w:type="dxa"/>
          </w:tcPr>
          <w:p w14:paraId="23AF57F0" w14:textId="77777777" w:rsidR="00B530B5" w:rsidRPr="00FE3C59" w:rsidRDefault="00B530B5" w:rsidP="00157901">
            <w:pPr>
              <w:pStyle w:val="BodyText"/>
              <w:spacing w:before="120" w:after="120"/>
              <w:rPr>
                <w:rFonts w:ascii="Times New Roman" w:hAnsi="Times New Roman" w:cs="Times New Roman"/>
                <w:b/>
                <w:u w:val="single"/>
                <w:vertAlign w:val="subscript"/>
                <w:lang w:val="en-GB"/>
              </w:rPr>
            </w:pPr>
            <w:r w:rsidRPr="00FE3C59">
              <w:rPr>
                <w:rFonts w:ascii="Times New Roman" w:hAnsi="Times New Roman" w:cs="Times New Roman"/>
                <w:b/>
                <w:u w:val="single"/>
                <w:lang w:val="en-GB"/>
              </w:rPr>
              <w:t>Multiplier m</w:t>
            </w:r>
            <w:r w:rsidRPr="00FE3C59">
              <w:rPr>
                <w:rFonts w:ascii="Times New Roman" w:hAnsi="Times New Roman" w:cs="Times New Roman"/>
                <w:b/>
                <w:u w:val="single"/>
                <w:vertAlign w:val="subscript"/>
                <w:lang w:val="en-GB"/>
              </w:rPr>
              <w:t>c</w:t>
            </w:r>
          </w:p>
          <w:p w14:paraId="187A3F77" w14:textId="59AA5C40"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Article 325bf(6) of Regulation (EU) No 575/2013, Article 101(1) of Directive 2013/36/EU </w:t>
            </w:r>
          </w:p>
          <w:p w14:paraId="24E168DC"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Where the competent authority imposes higher multiplication factors as part of its ongoing review of the internal models, in accordance with the national implementation measures for Article 101 of Directive 2013/36/EU or other national legislation, the higher multiplication factor shall be reflected in this cell.</w:t>
            </w:r>
          </w:p>
        </w:tc>
      </w:tr>
      <w:tr w:rsidR="00B530B5" w:rsidRPr="00FE3C59" w14:paraId="6644132A" w14:textId="77777777" w:rsidTr="00157901">
        <w:tc>
          <w:tcPr>
            <w:tcW w:w="1043" w:type="dxa"/>
          </w:tcPr>
          <w:p w14:paraId="3DEE0724"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0040</w:t>
            </w:r>
          </w:p>
        </w:tc>
        <w:tc>
          <w:tcPr>
            <w:tcW w:w="7973" w:type="dxa"/>
          </w:tcPr>
          <w:p w14:paraId="6F94D681"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w:t>
            </w:r>
            <w:r w:rsidRPr="00FE3C59">
              <w:rPr>
                <w:rFonts w:ascii="Times New Roman" w:hAnsi="Times New Roman" w:cs="Times New Roman"/>
                <w:b/>
                <w:u w:val="single"/>
                <w:vertAlign w:val="subscript"/>
                <w:lang w:val="en-GB"/>
              </w:rPr>
              <w:t>c</w:t>
            </w:r>
            <w:r w:rsidRPr="00FE3C59">
              <w:rPr>
                <w:rFonts w:ascii="Times New Roman" w:hAnsi="Times New Roman" w:cs="Times New Roman"/>
                <w:b/>
                <w:u w:val="single"/>
                <w:lang w:val="en-GB"/>
              </w:rPr>
              <w:t xml:space="preserve"> – of which: quantitative add-on (back-testing)</w:t>
            </w:r>
          </w:p>
          <w:p w14:paraId="3BF5F851"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Article 325bf(6) of Regulation (EU) No 575/2013</w:t>
            </w:r>
          </w:p>
        </w:tc>
      </w:tr>
      <w:tr w:rsidR="00B530B5" w:rsidRPr="00FE3C59" w14:paraId="736078E1" w14:textId="77777777" w:rsidTr="00157901">
        <w:tc>
          <w:tcPr>
            <w:tcW w:w="1043" w:type="dxa"/>
          </w:tcPr>
          <w:p w14:paraId="5CA026FF"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0050</w:t>
            </w:r>
          </w:p>
        </w:tc>
        <w:tc>
          <w:tcPr>
            <w:tcW w:w="7973" w:type="dxa"/>
          </w:tcPr>
          <w:p w14:paraId="0704DE54"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w:t>
            </w:r>
            <w:r w:rsidRPr="00FE3C59">
              <w:rPr>
                <w:rFonts w:ascii="Times New Roman" w:hAnsi="Times New Roman" w:cs="Times New Roman"/>
                <w:b/>
                <w:u w:val="single"/>
                <w:vertAlign w:val="subscript"/>
                <w:lang w:val="en-GB"/>
              </w:rPr>
              <w:t>c</w:t>
            </w:r>
            <w:r w:rsidRPr="00FE3C59">
              <w:rPr>
                <w:rFonts w:ascii="Times New Roman" w:hAnsi="Times New Roman" w:cs="Times New Roman"/>
                <w:b/>
                <w:u w:val="single"/>
                <w:lang w:val="en-GB"/>
              </w:rPr>
              <w:t xml:space="preserve"> – of which: qualitative add-on</w:t>
            </w:r>
          </w:p>
          <w:p w14:paraId="60D20040"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The add-on to the multiplication factor of Article 325bf(6) of Regulation (EU) No 575/2013, imposed by the competent authority in accordance with the national implementation measures for Article 101 of Directive 2013/36/EU or other national legislation as part of the ongoing review of internal models, shall be reported.</w:t>
            </w:r>
          </w:p>
        </w:tc>
      </w:tr>
      <w:tr w:rsidR="00B530B5" w:rsidRPr="00FE3C59" w14:paraId="257759FA" w14:textId="77777777" w:rsidTr="00157901">
        <w:tc>
          <w:tcPr>
            <w:tcW w:w="1043" w:type="dxa"/>
          </w:tcPr>
          <w:p w14:paraId="570A4394"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0060</w:t>
            </w:r>
          </w:p>
        </w:tc>
        <w:tc>
          <w:tcPr>
            <w:tcW w:w="7973" w:type="dxa"/>
          </w:tcPr>
          <w:p w14:paraId="3FCF57B6"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Memorandum item: Number of overshootings</w:t>
            </w:r>
          </w:p>
          <w:p w14:paraId="1064BDE2"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325bf(6), first subparagraph, point (b), of Regulation (EU) No 575/2013</w:t>
            </w:r>
          </w:p>
          <w:p w14:paraId="03D535A3"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The number of overshootings reported in this cell shall be the number used for the determination of the add-on in accordance with Table 3 of Article 325f(6), point (b), of Regulation (EU) No 575/2013. Overshootings that are excluded with the permission of the competent authority shall not be included.</w:t>
            </w:r>
          </w:p>
        </w:tc>
      </w:tr>
      <w:tr w:rsidR="00B530B5" w:rsidRPr="00FE3C59" w14:paraId="220FB308" w14:textId="77777777" w:rsidTr="00157901">
        <w:tc>
          <w:tcPr>
            <w:tcW w:w="1043" w:type="dxa"/>
          </w:tcPr>
          <w:p w14:paraId="6EC3824A" w14:textId="77777777" w:rsidR="00B530B5" w:rsidRPr="00B41DD6"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0065</w:t>
            </w:r>
          </w:p>
        </w:tc>
        <w:tc>
          <w:tcPr>
            <w:tcW w:w="7973" w:type="dxa"/>
          </w:tcPr>
          <w:p w14:paraId="5D6A531B"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Memorandum item: Recognition of extraordinary circumstances</w:t>
            </w:r>
          </w:p>
          <w:p w14:paraId="53032752"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325bf(6), second subparagraph, of Regulation (EU) No 575/2013</w:t>
            </w:r>
          </w:p>
          <w:p w14:paraId="3B085FF0" w14:textId="2ECCCB9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lastRenderedPageBreak/>
              <w:t xml:space="preserve">Where the competent authority allowed institutions to limit the add-on to that resulting from overshootings under back-testing hypothetical changes in accordance with Article 325bf(6), second subparagraph, of Regulation (EU) No 575/2013, the institution shall indicate whether that recognition of extraordinary circumstances applied for the full </w:t>
            </w:r>
            <w:r w:rsidR="006C5062">
              <w:rPr>
                <w:rFonts w:ascii="Times New Roman" w:hAnsi="Times New Roman" w:cs="Times New Roman"/>
                <w:bCs/>
                <w:lang w:val="en-GB"/>
              </w:rPr>
              <w:t>reference period</w:t>
            </w:r>
            <w:r w:rsidRPr="00FE3C59">
              <w:rPr>
                <w:rFonts w:ascii="Times New Roman" w:hAnsi="Times New Roman" w:cs="Times New Roman"/>
                <w:bCs/>
                <w:lang w:val="en-GB"/>
              </w:rPr>
              <w:t xml:space="preserve"> (three-month period ending with the reference date) or parts of the </w:t>
            </w:r>
            <w:r w:rsidR="006C5062">
              <w:rPr>
                <w:rFonts w:ascii="Times New Roman" w:hAnsi="Times New Roman" w:cs="Times New Roman"/>
                <w:bCs/>
                <w:lang w:val="en-GB"/>
              </w:rPr>
              <w:t>reference period</w:t>
            </w:r>
            <w:r w:rsidRPr="00FE3C59">
              <w:rPr>
                <w:rFonts w:ascii="Times New Roman" w:hAnsi="Times New Roman" w:cs="Times New Roman"/>
                <w:bCs/>
                <w:lang w:val="en-GB"/>
              </w:rPr>
              <w:t>.</w:t>
            </w:r>
          </w:p>
          <w:p w14:paraId="4B554A49"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Otherwise, institutions shall indicate ‘No recognition of extraordinary circumstances’.</w:t>
            </w:r>
          </w:p>
        </w:tc>
      </w:tr>
      <w:tr w:rsidR="00B530B5" w:rsidRPr="00FE3C59" w14:paraId="447F5B71" w14:textId="77777777" w:rsidTr="00157901">
        <w:tc>
          <w:tcPr>
            <w:tcW w:w="1043" w:type="dxa"/>
          </w:tcPr>
          <w:p w14:paraId="4F53EB95"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lastRenderedPageBreak/>
              <w:t>0070-0080</w:t>
            </w:r>
          </w:p>
        </w:tc>
        <w:tc>
          <w:tcPr>
            <w:tcW w:w="7973" w:type="dxa"/>
          </w:tcPr>
          <w:p w14:paraId="61819D60"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Non-modellable risk factors: Stress scenario risk measure</w:t>
            </w:r>
          </w:p>
        </w:tc>
      </w:tr>
      <w:tr w:rsidR="00B530B5" w:rsidRPr="00FE3C59" w14:paraId="7DDCD31B" w14:textId="77777777" w:rsidTr="00157901">
        <w:tc>
          <w:tcPr>
            <w:tcW w:w="1043" w:type="dxa"/>
          </w:tcPr>
          <w:p w14:paraId="64E3E9A5" w14:textId="77777777" w:rsidR="00B530B5" w:rsidRPr="00B41DD6"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0070</w:t>
            </w:r>
          </w:p>
        </w:tc>
        <w:tc>
          <w:tcPr>
            <w:tcW w:w="7973" w:type="dxa"/>
          </w:tcPr>
          <w:p w14:paraId="168758DA"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Previous day’s risk measure (SS</w:t>
            </w:r>
            <w:r w:rsidRPr="00FE3C59">
              <w:rPr>
                <w:rFonts w:ascii="Times New Roman" w:hAnsi="Times New Roman" w:cs="Times New Roman"/>
                <w:b/>
                <w:u w:val="single"/>
                <w:vertAlign w:val="subscript"/>
                <w:lang w:val="en-GB"/>
              </w:rPr>
              <w:t>t-1</w:t>
            </w:r>
            <w:r w:rsidRPr="00FE3C59">
              <w:rPr>
                <w:rFonts w:ascii="Times New Roman" w:hAnsi="Times New Roman" w:cs="Times New Roman"/>
                <w:b/>
                <w:u w:val="single"/>
                <w:lang w:val="en-GB"/>
              </w:rPr>
              <w:t>)</w:t>
            </w:r>
          </w:p>
          <w:p w14:paraId="61686AFA"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325ba(1), point (a)(ii), of Regulation (EU) No 575/2013</w:t>
            </w:r>
          </w:p>
        </w:tc>
      </w:tr>
      <w:tr w:rsidR="00B530B5" w:rsidRPr="00FE3C59" w14:paraId="63C355E2" w14:textId="77777777" w:rsidTr="00157901">
        <w:tc>
          <w:tcPr>
            <w:tcW w:w="1043" w:type="dxa"/>
          </w:tcPr>
          <w:p w14:paraId="1B9BAE4B"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0080</w:t>
            </w:r>
          </w:p>
        </w:tc>
        <w:tc>
          <w:tcPr>
            <w:tcW w:w="7973" w:type="dxa"/>
          </w:tcPr>
          <w:p w14:paraId="3E7A33E9"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Average of daily risk measure over the preceding 60 business days (SS</w:t>
            </w:r>
            <w:r w:rsidRPr="00FE3C59">
              <w:rPr>
                <w:rFonts w:ascii="Times New Roman" w:hAnsi="Times New Roman" w:cs="Times New Roman"/>
                <w:b/>
                <w:u w:val="single"/>
                <w:vertAlign w:val="superscript"/>
                <w:lang w:val="en-GB"/>
              </w:rPr>
              <w:t>avg</w:t>
            </w:r>
            <w:r w:rsidRPr="00FE3C59">
              <w:rPr>
                <w:rFonts w:ascii="Times New Roman" w:hAnsi="Times New Roman" w:cs="Times New Roman"/>
                <w:b/>
                <w:u w:val="single"/>
                <w:lang w:val="en-GB"/>
              </w:rPr>
              <w:t>)</w:t>
            </w:r>
          </w:p>
          <w:p w14:paraId="7126421D"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Article 325ba(1), point (b)(ii), of Regulation (EU) No 575/2013</w:t>
            </w:r>
          </w:p>
        </w:tc>
      </w:tr>
      <w:tr w:rsidR="00B530B5" w:rsidRPr="00FE3C59" w14:paraId="683413B2" w14:textId="77777777" w:rsidTr="00157901">
        <w:tc>
          <w:tcPr>
            <w:tcW w:w="1043" w:type="dxa"/>
          </w:tcPr>
          <w:p w14:paraId="57C2A8F9"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0090-0100</w:t>
            </w:r>
          </w:p>
        </w:tc>
        <w:tc>
          <w:tcPr>
            <w:tcW w:w="7973" w:type="dxa"/>
          </w:tcPr>
          <w:p w14:paraId="61D94B8C"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Default risk</w:t>
            </w:r>
          </w:p>
        </w:tc>
      </w:tr>
      <w:tr w:rsidR="00B530B5" w:rsidRPr="00FE3C59" w14:paraId="3EA568D6" w14:textId="77777777" w:rsidTr="00157901">
        <w:tc>
          <w:tcPr>
            <w:tcW w:w="1043" w:type="dxa"/>
          </w:tcPr>
          <w:p w14:paraId="30E48BB3"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0090</w:t>
            </w:r>
          </w:p>
        </w:tc>
        <w:tc>
          <w:tcPr>
            <w:tcW w:w="7973" w:type="dxa"/>
          </w:tcPr>
          <w:p w14:paraId="4AD02B6B"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Most recent own funds requirements for default risk</w:t>
            </w:r>
          </w:p>
          <w:p w14:paraId="2F1E7619"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325ba(2), point (a), of Regulation (EU) No 575/2013</w:t>
            </w:r>
          </w:p>
        </w:tc>
      </w:tr>
      <w:tr w:rsidR="00B530B5" w:rsidRPr="00FE3C59" w14:paraId="6DA52FFF" w14:textId="77777777" w:rsidTr="00157901">
        <w:tc>
          <w:tcPr>
            <w:tcW w:w="1043" w:type="dxa"/>
          </w:tcPr>
          <w:p w14:paraId="6AB3A5B8"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0100</w:t>
            </w:r>
          </w:p>
        </w:tc>
        <w:tc>
          <w:tcPr>
            <w:tcW w:w="7973" w:type="dxa"/>
          </w:tcPr>
          <w:p w14:paraId="08E964BB"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Average own funds requirement for default risk over the preceding 12 weeks</w:t>
            </w:r>
          </w:p>
          <w:p w14:paraId="7CCA0816"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Article 325ba(2), point (b), of Regulation (EU) No 575/2013</w:t>
            </w:r>
          </w:p>
        </w:tc>
      </w:tr>
      <w:tr w:rsidR="00B530B5" w:rsidRPr="00FE3C59" w14:paraId="69DA86D1" w14:textId="77777777" w:rsidTr="00157901">
        <w:tc>
          <w:tcPr>
            <w:tcW w:w="1043" w:type="dxa"/>
          </w:tcPr>
          <w:p w14:paraId="752F3B26"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0110</w:t>
            </w:r>
          </w:p>
        </w:tc>
        <w:tc>
          <w:tcPr>
            <w:tcW w:w="7973" w:type="dxa"/>
          </w:tcPr>
          <w:p w14:paraId="2FFD2834"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IMA own funds requirements for IMA desks (IMA</w:t>
            </w:r>
            <w:r w:rsidRPr="00FE3C59">
              <w:rPr>
                <w:rFonts w:ascii="Times New Roman" w:hAnsi="Times New Roman" w:cs="Times New Roman"/>
                <w:b/>
                <w:u w:val="single"/>
                <w:vertAlign w:val="subscript"/>
                <w:lang w:val="en-GB"/>
              </w:rPr>
              <w:t>IMA</w:t>
            </w:r>
            <w:r w:rsidRPr="00FE3C59">
              <w:rPr>
                <w:rFonts w:ascii="Times New Roman" w:hAnsi="Times New Roman" w:cs="Times New Roman"/>
                <w:b/>
                <w:u w:val="single"/>
                <w:lang w:val="en-GB"/>
              </w:rPr>
              <w:t>)</w:t>
            </w:r>
          </w:p>
          <w:p w14:paraId="1DFC0F0F" w14:textId="756141E9"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Article 10(1) of Regulation (EU) 2022/2059</w:t>
            </w:r>
            <w:r w:rsidR="00102C44">
              <w:rPr>
                <w:rStyle w:val="FootnoteReference"/>
                <w:rFonts w:ascii="Times New Roman" w:hAnsi="Times New Roman" w:cs="Times New Roman"/>
                <w:bCs/>
                <w:lang w:val="en-GB"/>
              </w:rPr>
              <w:footnoteReference w:id="5"/>
            </w:r>
          </w:p>
        </w:tc>
      </w:tr>
      <w:tr w:rsidR="00B530B5" w:rsidRPr="00FE3C59" w14:paraId="34953340" w14:textId="77777777" w:rsidTr="00157901">
        <w:tc>
          <w:tcPr>
            <w:tcW w:w="1043" w:type="dxa"/>
          </w:tcPr>
          <w:p w14:paraId="7F72EDFE"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0120</w:t>
            </w:r>
          </w:p>
        </w:tc>
        <w:tc>
          <w:tcPr>
            <w:tcW w:w="7973" w:type="dxa"/>
          </w:tcPr>
          <w:p w14:paraId="772122F4"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SA own funds requirements for all IMA desks (portfolio view) (SA</w:t>
            </w:r>
            <w:r w:rsidRPr="00FE3C59">
              <w:rPr>
                <w:rFonts w:ascii="Times New Roman" w:hAnsi="Times New Roman" w:cs="Times New Roman"/>
                <w:b/>
                <w:u w:val="single"/>
                <w:vertAlign w:val="subscript"/>
                <w:lang w:val="en-GB"/>
              </w:rPr>
              <w:t>IMA</w:t>
            </w:r>
            <w:r w:rsidRPr="00FE3C59">
              <w:rPr>
                <w:rFonts w:ascii="Times New Roman" w:hAnsi="Times New Roman" w:cs="Times New Roman"/>
                <w:b/>
                <w:u w:val="single"/>
                <w:lang w:val="en-GB"/>
              </w:rPr>
              <w:t>)</w:t>
            </w:r>
          </w:p>
          <w:p w14:paraId="4D46EA3E"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Article 10(1) of Regulation (EU) 2022/2059</w:t>
            </w:r>
          </w:p>
        </w:tc>
      </w:tr>
      <w:tr w:rsidR="00B530B5" w:rsidRPr="00FE3C59" w14:paraId="36B8BF17" w14:textId="77777777" w:rsidTr="00157901">
        <w:tc>
          <w:tcPr>
            <w:tcW w:w="1043" w:type="dxa"/>
          </w:tcPr>
          <w:p w14:paraId="5ADBF936"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0130-0160</w:t>
            </w:r>
          </w:p>
        </w:tc>
        <w:tc>
          <w:tcPr>
            <w:tcW w:w="7973" w:type="dxa"/>
          </w:tcPr>
          <w:p w14:paraId="14FC864C" w14:textId="6B960DB1"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Capital surcharge calculation</w:t>
            </w:r>
          </w:p>
        </w:tc>
      </w:tr>
      <w:tr w:rsidR="00B530B5" w:rsidRPr="00FE3C59" w14:paraId="4FF5C223" w14:textId="77777777" w:rsidTr="00157901">
        <w:tc>
          <w:tcPr>
            <w:tcW w:w="1043" w:type="dxa"/>
          </w:tcPr>
          <w:p w14:paraId="6887B902"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0130</w:t>
            </w:r>
          </w:p>
        </w:tc>
        <w:tc>
          <w:tcPr>
            <w:tcW w:w="7973" w:type="dxa"/>
          </w:tcPr>
          <w:p w14:paraId="39D171E5" w14:textId="77777777" w:rsidR="00B530B5" w:rsidRPr="00FE3C59" w:rsidRDefault="00B530B5" w:rsidP="00157901">
            <w:pPr>
              <w:pStyle w:val="BodyText"/>
              <w:spacing w:before="120" w:after="120"/>
              <w:rPr>
                <w:rFonts w:ascii="Times New Roman" w:hAnsi="Times New Roman" w:cs="Times New Roman"/>
                <w:b/>
                <w:bCs/>
                <w:u w:val="single"/>
                <w:lang w:val="en-GB"/>
              </w:rPr>
            </w:pPr>
            <w:r w:rsidRPr="00FE3C59">
              <w:rPr>
                <w:rFonts w:ascii="Times New Roman" w:hAnsi="Times New Roman" w:cs="Times New Roman"/>
                <w:b/>
                <w:bCs/>
                <w:u w:val="single"/>
                <w:lang w:val="en-GB"/>
              </w:rPr>
              <w:t>SA own funds requirements for non-green IMA desks (∑</w:t>
            </w:r>
            <w:r w:rsidRPr="00FE3C59">
              <w:rPr>
                <w:rFonts w:ascii="Times New Roman" w:hAnsi="Times New Roman" w:cs="Times New Roman"/>
                <w:b/>
                <w:bCs/>
                <w:u w:val="single"/>
                <w:vertAlign w:val="subscript"/>
                <w:lang w:val="en-GB"/>
              </w:rPr>
              <w:t xml:space="preserve">(i </w:t>
            </w:r>
            <w:r w:rsidRPr="00FE3C59">
              <w:rPr>
                <w:rFonts w:ascii="Cambria Math" w:hAnsi="Cambria Math" w:cs="Cambria Math"/>
                <w:b/>
                <w:u w:val="single"/>
                <w:vertAlign w:val="subscript"/>
                <w:lang w:val="en-GB" w:eastAsia="ja-JP"/>
              </w:rPr>
              <w:t>∈</w:t>
            </w:r>
            <w:r w:rsidRPr="00FE3C59">
              <w:rPr>
                <w:rFonts w:ascii="Times New Roman" w:hAnsi="Times New Roman" w:cs="Times New Roman"/>
                <w:b/>
                <w:bCs/>
                <w:u w:val="single"/>
                <w:vertAlign w:val="subscript"/>
                <w:lang w:val="en-GB"/>
              </w:rPr>
              <w:t xml:space="preserve"> NG) </w:t>
            </w:r>
            <w:r w:rsidRPr="00FE3C59">
              <w:rPr>
                <w:rFonts w:ascii="Times New Roman" w:hAnsi="Times New Roman" w:cs="Times New Roman"/>
                <w:b/>
                <w:bCs/>
                <w:u w:val="single"/>
                <w:lang w:val="en-GB"/>
              </w:rPr>
              <w:t>SA</w:t>
            </w:r>
            <w:r w:rsidRPr="00FE3C59">
              <w:rPr>
                <w:rFonts w:ascii="Times New Roman" w:hAnsi="Times New Roman" w:cs="Times New Roman"/>
                <w:b/>
                <w:bCs/>
                <w:u w:val="single"/>
                <w:vertAlign w:val="subscript"/>
                <w:lang w:val="en-GB"/>
              </w:rPr>
              <w:t>i</w:t>
            </w:r>
            <w:r w:rsidRPr="00FE3C59">
              <w:rPr>
                <w:rFonts w:ascii="Times New Roman" w:hAnsi="Times New Roman" w:cs="Times New Roman"/>
                <w:b/>
                <w:bCs/>
                <w:u w:val="single"/>
                <w:lang w:val="en-GB"/>
              </w:rPr>
              <w:t>)</w:t>
            </w:r>
          </w:p>
          <w:p w14:paraId="330B34CF" w14:textId="77777777" w:rsidR="00B530B5" w:rsidRPr="00FE3C59" w:rsidRDefault="00B530B5" w:rsidP="00157901">
            <w:pPr>
              <w:pStyle w:val="Tabelleninhalt"/>
              <w:spacing w:after="120"/>
              <w:rPr>
                <w:rFonts w:ascii="Times New Roman" w:hAnsi="Times New Roman" w:cs="Times New Roman"/>
                <w:lang w:val="en-GB"/>
              </w:rPr>
            </w:pPr>
            <w:r w:rsidRPr="00FE3C59">
              <w:rPr>
                <w:rFonts w:ascii="Times New Roman" w:hAnsi="Times New Roman" w:cs="Times New Roman"/>
                <w:lang w:val="en-GB"/>
              </w:rPr>
              <w:t>Article 10(2) of Regulation (EU) 2022/2059</w:t>
            </w:r>
          </w:p>
        </w:tc>
      </w:tr>
      <w:tr w:rsidR="00B530B5" w:rsidRPr="00FE3C59" w14:paraId="5027776F" w14:textId="77777777" w:rsidTr="00157901">
        <w:tc>
          <w:tcPr>
            <w:tcW w:w="1043" w:type="dxa"/>
          </w:tcPr>
          <w:p w14:paraId="2225A9DC"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0140</w:t>
            </w:r>
          </w:p>
        </w:tc>
        <w:tc>
          <w:tcPr>
            <w:tcW w:w="7973" w:type="dxa"/>
          </w:tcPr>
          <w:p w14:paraId="19F21B0A"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SA own funds requirements for all IMA desks (desk by desk) (∑</w:t>
            </w:r>
            <w:r w:rsidRPr="00FE3C59">
              <w:rPr>
                <w:rFonts w:ascii="Times New Roman" w:hAnsi="Times New Roman" w:cs="Times New Roman"/>
                <w:b/>
                <w:u w:val="single"/>
                <w:vertAlign w:val="subscript"/>
                <w:lang w:val="en-GB"/>
              </w:rPr>
              <w:t>(i ͨ</w:t>
            </w:r>
            <w:r w:rsidRPr="00FE3C59">
              <w:rPr>
                <w:rFonts w:ascii="Cambria Math" w:hAnsi="Cambria Math" w:cs="Cambria Math"/>
                <w:b/>
                <w:u w:val="single"/>
                <w:vertAlign w:val="subscript"/>
                <w:lang w:val="en-GB" w:eastAsia="ja-JP"/>
              </w:rPr>
              <w:t>∈</w:t>
            </w:r>
            <w:r w:rsidRPr="00FE3C59">
              <w:rPr>
                <w:rFonts w:ascii="Times New Roman" w:eastAsiaTheme="minorEastAsia" w:hAnsi="Times New Roman" w:cs="Times New Roman"/>
                <w:b/>
                <w:u w:val="single"/>
                <w:vertAlign w:val="subscript"/>
                <w:lang w:val="en-GB" w:eastAsia="ja-JP"/>
              </w:rPr>
              <w:t xml:space="preserve"> </w:t>
            </w:r>
            <w:r w:rsidRPr="00FE3C59">
              <w:rPr>
                <w:rFonts w:ascii="Times New Roman" w:hAnsi="Times New Roman" w:cs="Times New Roman"/>
                <w:b/>
                <w:u w:val="single"/>
                <w:vertAlign w:val="subscript"/>
                <w:lang w:val="en-GB"/>
              </w:rPr>
              <w:t xml:space="preserve">IMA) </w:t>
            </w:r>
            <w:r w:rsidRPr="00FE3C59">
              <w:rPr>
                <w:rFonts w:ascii="Times New Roman" w:hAnsi="Times New Roman" w:cs="Times New Roman"/>
                <w:b/>
                <w:u w:val="single"/>
                <w:lang w:val="en-GB"/>
              </w:rPr>
              <w:t>SA</w:t>
            </w:r>
            <w:r w:rsidRPr="00FE3C59">
              <w:rPr>
                <w:rFonts w:ascii="Times New Roman" w:hAnsi="Times New Roman" w:cs="Times New Roman"/>
                <w:b/>
                <w:u w:val="single"/>
                <w:vertAlign w:val="subscript"/>
                <w:lang w:val="en-GB"/>
              </w:rPr>
              <w:t>i</w:t>
            </w:r>
            <w:r w:rsidRPr="00FE3C59">
              <w:rPr>
                <w:rFonts w:ascii="Times New Roman" w:hAnsi="Times New Roman" w:cs="Times New Roman"/>
                <w:b/>
                <w:u w:val="single"/>
                <w:lang w:val="en-GB"/>
              </w:rPr>
              <w:t>)</w:t>
            </w:r>
          </w:p>
          <w:p w14:paraId="7804185C"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Article 10(2) of Regulation (EU) 2022/2059</w:t>
            </w:r>
          </w:p>
        </w:tc>
      </w:tr>
      <w:tr w:rsidR="00B530B5" w:rsidRPr="00FE3C59" w14:paraId="77966857" w14:textId="77777777" w:rsidTr="00157901">
        <w:tc>
          <w:tcPr>
            <w:tcW w:w="1043" w:type="dxa"/>
          </w:tcPr>
          <w:p w14:paraId="151DBA77"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lastRenderedPageBreak/>
              <w:t>0150</w:t>
            </w:r>
          </w:p>
        </w:tc>
        <w:tc>
          <w:tcPr>
            <w:tcW w:w="7973" w:type="dxa"/>
          </w:tcPr>
          <w:p w14:paraId="3087123E"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k-coefficient (k)</w:t>
            </w:r>
          </w:p>
          <w:p w14:paraId="48D3920A"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Article 10(2) of Regulation (EU) 2022/2059</w:t>
            </w:r>
          </w:p>
        </w:tc>
      </w:tr>
      <w:tr w:rsidR="00B530B5" w:rsidRPr="00FE3C59" w14:paraId="64DE4C5B" w14:textId="77777777" w:rsidTr="00157901">
        <w:tc>
          <w:tcPr>
            <w:tcW w:w="1043" w:type="dxa"/>
          </w:tcPr>
          <w:p w14:paraId="602DC239"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0160</w:t>
            </w:r>
          </w:p>
        </w:tc>
        <w:tc>
          <w:tcPr>
            <w:tcW w:w="7973" w:type="dxa"/>
          </w:tcPr>
          <w:p w14:paraId="5680DED8"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Capital surcharge</w:t>
            </w:r>
          </w:p>
          <w:p w14:paraId="28F1F204"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10(1) of Regulation (EU) 2022/2059</w:t>
            </w:r>
          </w:p>
        </w:tc>
      </w:tr>
      <w:tr w:rsidR="00B530B5" w:rsidRPr="00FE3C59" w14:paraId="6E4984AF" w14:textId="77777777" w:rsidTr="00157901">
        <w:tc>
          <w:tcPr>
            <w:tcW w:w="1043" w:type="dxa"/>
          </w:tcPr>
          <w:p w14:paraId="3F243525"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0170</w:t>
            </w:r>
          </w:p>
        </w:tc>
        <w:tc>
          <w:tcPr>
            <w:tcW w:w="7973" w:type="dxa"/>
          </w:tcPr>
          <w:p w14:paraId="6B17B078"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SA own funds requirements for SA desks (C</w:t>
            </w:r>
            <w:r w:rsidRPr="00FE3C59">
              <w:rPr>
                <w:rFonts w:ascii="Times New Roman" w:hAnsi="Times New Roman" w:cs="Times New Roman"/>
                <w:b/>
                <w:u w:val="single"/>
                <w:vertAlign w:val="subscript"/>
                <w:lang w:val="en-GB"/>
              </w:rPr>
              <w:t>u</w:t>
            </w:r>
            <w:r w:rsidRPr="00FE3C59">
              <w:rPr>
                <w:rFonts w:ascii="Times New Roman" w:hAnsi="Times New Roman" w:cs="Times New Roman"/>
                <w:b/>
                <w:u w:val="single"/>
                <w:lang w:val="en-GB"/>
              </w:rPr>
              <w:t>)</w:t>
            </w:r>
          </w:p>
          <w:p w14:paraId="06D9D83E"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Article 16 of Regulation (EU) 2022/2059</w:t>
            </w:r>
          </w:p>
        </w:tc>
      </w:tr>
      <w:tr w:rsidR="00B530B5" w:rsidRPr="00FE3C59" w14:paraId="68795CCD" w14:textId="77777777" w:rsidTr="00157901">
        <w:tc>
          <w:tcPr>
            <w:tcW w:w="1043" w:type="dxa"/>
          </w:tcPr>
          <w:p w14:paraId="15741654"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0180</w:t>
            </w:r>
          </w:p>
        </w:tc>
        <w:tc>
          <w:tcPr>
            <w:tcW w:w="7973" w:type="dxa"/>
          </w:tcPr>
          <w:p w14:paraId="21894599"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SA own funds requirements for all desks (SA</w:t>
            </w:r>
            <w:r w:rsidRPr="00FE3C59">
              <w:rPr>
                <w:rFonts w:ascii="Times New Roman" w:hAnsi="Times New Roman" w:cs="Times New Roman"/>
                <w:b/>
                <w:u w:val="single"/>
                <w:vertAlign w:val="subscript"/>
                <w:lang w:val="en-GB"/>
              </w:rPr>
              <w:t>all desks</w:t>
            </w:r>
            <w:r w:rsidRPr="00FE3C59">
              <w:rPr>
                <w:rFonts w:ascii="Times New Roman" w:hAnsi="Times New Roman" w:cs="Times New Roman"/>
                <w:b/>
                <w:u w:val="single"/>
                <w:lang w:val="en-GB"/>
              </w:rPr>
              <w:t>)</w:t>
            </w:r>
          </w:p>
          <w:p w14:paraId="2A3FB116"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Article 16 of Regulation (EU) 2022/2059</w:t>
            </w:r>
          </w:p>
        </w:tc>
      </w:tr>
      <w:tr w:rsidR="00B530B5" w:rsidRPr="00FE3C59" w14:paraId="69176B1B" w14:textId="77777777" w:rsidTr="00157901">
        <w:tc>
          <w:tcPr>
            <w:tcW w:w="1043" w:type="dxa"/>
          </w:tcPr>
          <w:p w14:paraId="12EA0D13"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0190</w:t>
            </w:r>
          </w:p>
        </w:tc>
        <w:tc>
          <w:tcPr>
            <w:tcW w:w="7973" w:type="dxa"/>
          </w:tcPr>
          <w:p w14:paraId="38045B42"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Own funds requirements for the on- and off-balance sheet business subject to market risk</w:t>
            </w:r>
          </w:p>
          <w:p w14:paraId="1A2DC626"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Sum of point (a) and point (b) of Article 16 of Regulation (EU) 2022/2059</w:t>
            </w:r>
          </w:p>
        </w:tc>
      </w:tr>
      <w:tr w:rsidR="00B530B5" w:rsidRPr="00FE3C59" w14:paraId="1B140AE9" w14:textId="77777777" w:rsidTr="00157901">
        <w:tc>
          <w:tcPr>
            <w:tcW w:w="1043" w:type="dxa"/>
          </w:tcPr>
          <w:p w14:paraId="4274D9B4" w14:textId="77777777" w:rsidR="00B530B5" w:rsidRPr="00FE3C59" w:rsidRDefault="00B530B5" w:rsidP="00157901">
            <w:pPr>
              <w:pStyle w:val="BodyText"/>
              <w:spacing w:before="120" w:after="120"/>
              <w:rPr>
                <w:rFonts w:ascii="Times New Roman" w:hAnsi="Times New Roman" w:cs="Times New Roman"/>
                <w:lang w:val="en-GB"/>
              </w:rPr>
            </w:pPr>
            <w:r w:rsidRPr="00B41DD6">
              <w:rPr>
                <w:rFonts w:ascii="Times New Roman" w:hAnsi="Times New Roman" w:cs="Times New Roman"/>
                <w:lang w:val="en-GB"/>
              </w:rPr>
              <w:t>0200</w:t>
            </w:r>
          </w:p>
        </w:tc>
        <w:tc>
          <w:tcPr>
            <w:tcW w:w="7973" w:type="dxa"/>
          </w:tcPr>
          <w:p w14:paraId="17D0A1A4"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Total risk exposure amount</w:t>
            </w:r>
          </w:p>
          <w:p w14:paraId="39D5BC7D" w14:textId="77777777" w:rsidR="00B530B5" w:rsidRPr="00FE3C59" w:rsidRDefault="00B530B5" w:rsidP="00157901">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Article 92(4), point (b), </w:t>
            </w:r>
            <w:r w:rsidRPr="00FE3C59">
              <w:rPr>
                <w:rFonts w:ascii="Times New Roman" w:hAnsi="Times New Roman" w:cs="Times New Roman"/>
                <w:bCs/>
                <w:highlight w:val="yellow"/>
                <w:lang w:val="en-GB"/>
              </w:rPr>
              <w:t>/ Article 92(7), point (b),</w:t>
            </w:r>
            <w:r w:rsidRPr="00FE3C59">
              <w:rPr>
                <w:rFonts w:ascii="Times New Roman" w:hAnsi="Times New Roman" w:cs="Times New Roman"/>
                <w:bCs/>
                <w:lang w:val="en-GB"/>
              </w:rPr>
              <w:t xml:space="preserve"> of Regulation (EU) No 575/2013 </w:t>
            </w:r>
          </w:p>
          <w:p w14:paraId="57ACCBD2" w14:textId="77777777" w:rsidR="00B530B5" w:rsidRPr="00FE3C59" w:rsidRDefault="00B530B5" w:rsidP="00157901">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Result of the multiplication of the own funds requirements by 12,5.</w:t>
            </w:r>
          </w:p>
        </w:tc>
      </w:tr>
    </w:tbl>
    <w:p w14:paraId="2087BC47" w14:textId="715F6857" w:rsidR="00EE1E9D"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3.2</w:t>
      </w:r>
      <w:r w:rsidRPr="00FE3C59">
        <w:rPr>
          <w:rFonts w:ascii="Times New Roman" w:hAnsi="Times New Roman" w:cs="Times New Roman"/>
          <w:sz w:val="24"/>
          <w:u w:val="none"/>
          <w:lang w:val="en-GB"/>
        </w:rPr>
        <w:tab/>
      </w:r>
      <w:r w:rsidR="00EE1E9D">
        <w:rPr>
          <w:rFonts w:ascii="Times New Roman" w:hAnsi="Times New Roman" w:cs="Times New Roman"/>
          <w:sz w:val="24"/>
          <w:u w:val="none"/>
          <w:lang w:val="en-GB"/>
        </w:rPr>
        <w:t>Risk factor eligibility test and stress periods for the calculation of the risk measures</w:t>
      </w:r>
    </w:p>
    <w:p w14:paraId="150607DD" w14:textId="5D328D0D" w:rsidR="00B530B5" w:rsidRPr="00FE3C59" w:rsidRDefault="00EE1E9D" w:rsidP="00B530B5">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3.2.1</w:t>
      </w:r>
      <w:r w:rsidR="00334228">
        <w:rPr>
          <w:rFonts w:ascii="Times New Roman" w:hAnsi="Times New Roman" w:cs="Times New Roman"/>
          <w:sz w:val="24"/>
          <w:u w:val="none"/>
          <w:lang w:val="en-GB"/>
        </w:rPr>
        <w:t xml:space="preserve"> </w:t>
      </w:r>
      <w:r w:rsidR="00B530B5" w:rsidRPr="00FE3C59">
        <w:rPr>
          <w:rFonts w:ascii="Times New Roman" w:hAnsi="Times New Roman" w:cs="Times New Roman"/>
          <w:sz w:val="24"/>
          <w:u w:val="none"/>
          <w:lang w:val="en-GB"/>
        </w:rPr>
        <w:t>C 96.01: Risk factor eligibility test (MKR IMA RFET)</w:t>
      </w:r>
    </w:p>
    <w:p w14:paraId="23685891" w14:textId="56433813"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3.2.1</w:t>
      </w:r>
      <w:r w:rsidR="00334228">
        <w:rPr>
          <w:rFonts w:ascii="Times New Roman" w:hAnsi="Times New Roman" w:cs="Times New Roman"/>
          <w:sz w:val="24"/>
          <w:u w:val="none"/>
          <w:lang w:val="en-GB"/>
        </w:rPr>
        <w:t>.1</w:t>
      </w:r>
      <w:r w:rsidRPr="00FE3C59">
        <w:rPr>
          <w:rFonts w:ascii="Times New Roman" w:hAnsi="Times New Roman" w:cs="Times New Roman"/>
          <w:sz w:val="24"/>
          <w:u w:val="none"/>
          <w:lang w:val="en-GB"/>
        </w:rPr>
        <w:t xml:space="preserve"> General remarks</w:t>
      </w:r>
    </w:p>
    <w:p w14:paraId="751A7DC0" w14:textId="670BF78D" w:rsidR="00B530B5" w:rsidRPr="00FE3C59" w:rsidRDefault="00B530B5" w:rsidP="006E2ED1">
      <w:pPr>
        <w:pStyle w:val="InstructionsText2"/>
        <w:numPr>
          <w:ilvl w:val="0"/>
          <w:numId w:val="57"/>
        </w:numPr>
      </w:pPr>
      <w:r w:rsidRPr="00FE3C59">
        <w:t>The template MKR IMA RFET shall be used to provide information on the outcome of the risk factor eligibility test done in accordance with Article 325be of Regulation (EU) No 575/2013 in conjunction with Regulation (EU) 2022/2060</w:t>
      </w:r>
      <w:r w:rsidR="00617369">
        <w:rPr>
          <w:rStyle w:val="FootnoteReference"/>
        </w:rPr>
        <w:footnoteReference w:id="6"/>
      </w:r>
      <w:r w:rsidRPr="00FE3C59">
        <w:t>.</w:t>
      </w:r>
    </w:p>
    <w:p w14:paraId="14572F1B" w14:textId="2012C5C0"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3.2.</w:t>
      </w:r>
      <w:r w:rsidR="00334228">
        <w:rPr>
          <w:rFonts w:ascii="Times New Roman" w:hAnsi="Times New Roman" w:cs="Times New Roman"/>
          <w:sz w:val="24"/>
          <w:u w:val="none"/>
          <w:lang w:val="en-GB"/>
        </w:rPr>
        <w:t>1.</w:t>
      </w:r>
      <w:r w:rsidRPr="00FE3C59">
        <w:rPr>
          <w:rFonts w:ascii="Times New Roman" w:hAnsi="Times New Roman" w:cs="Times New Roman"/>
          <w:sz w:val="24"/>
          <w:u w:val="none"/>
          <w:lang w:val="en-GB"/>
        </w:rPr>
        <w:t>2 Instructions concerning specific positions</w:t>
      </w:r>
    </w:p>
    <w:tbl>
      <w:tblPr>
        <w:tblStyle w:val="TableGrid"/>
        <w:tblW w:w="0" w:type="auto"/>
        <w:tblLook w:val="04A0" w:firstRow="1" w:lastRow="0" w:firstColumn="1" w:lastColumn="0" w:noHBand="0" w:noVBand="1"/>
      </w:tblPr>
      <w:tblGrid>
        <w:gridCol w:w="1043"/>
        <w:gridCol w:w="7973"/>
      </w:tblGrid>
      <w:tr w:rsidR="00B530B5" w:rsidRPr="00FE3C59" w14:paraId="708AD0A9" w14:textId="77777777" w:rsidTr="00ED7500">
        <w:tc>
          <w:tcPr>
            <w:tcW w:w="1043" w:type="dxa"/>
            <w:shd w:val="clear" w:color="auto" w:fill="BFBFBF" w:themeFill="background1" w:themeFillShade="BF"/>
          </w:tcPr>
          <w:p w14:paraId="6FB6D820" w14:textId="77777777" w:rsidR="00B530B5" w:rsidRPr="00FE3C59" w:rsidRDefault="00B530B5" w:rsidP="005C3792">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548E421A" w14:textId="77777777" w:rsidR="00B530B5" w:rsidRPr="00FE3C59" w:rsidRDefault="00B530B5" w:rsidP="005C3792">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68554134" w14:textId="77777777" w:rsidTr="00ED7500">
        <w:tc>
          <w:tcPr>
            <w:tcW w:w="1043" w:type="dxa"/>
          </w:tcPr>
          <w:p w14:paraId="1873CED8"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0010-0040</w:t>
            </w:r>
          </w:p>
        </w:tc>
        <w:tc>
          <w:tcPr>
            <w:tcW w:w="7973" w:type="dxa"/>
          </w:tcPr>
          <w:p w14:paraId="2DD2FA3A"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Modellable risk factors (MRF)</w:t>
            </w:r>
          </w:p>
          <w:p w14:paraId="11D66109"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Information on risk factors that are considered modellable on the basis of the assessment made in accordance with Article 325be of Regulation (EU) No 575/2013 in conjunction with Regulation (EU) 2022/2060</w:t>
            </w:r>
          </w:p>
        </w:tc>
      </w:tr>
      <w:tr w:rsidR="00B530B5" w:rsidRPr="00FE3C59" w14:paraId="2A617491" w14:textId="77777777" w:rsidTr="00ED7500">
        <w:tc>
          <w:tcPr>
            <w:tcW w:w="1043" w:type="dxa"/>
          </w:tcPr>
          <w:p w14:paraId="29B344CE"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0010-0020</w:t>
            </w:r>
          </w:p>
        </w:tc>
        <w:tc>
          <w:tcPr>
            <w:tcW w:w="7973" w:type="dxa"/>
          </w:tcPr>
          <w:p w14:paraId="45E62D37" w14:textId="04FA0430"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Risk factor eligibility test (RFET) at risk factor level</w:t>
            </w:r>
          </w:p>
        </w:tc>
      </w:tr>
      <w:tr w:rsidR="00B530B5" w:rsidRPr="00FE3C59" w14:paraId="6CF2D876" w14:textId="77777777" w:rsidTr="00ED7500">
        <w:tc>
          <w:tcPr>
            <w:tcW w:w="1043" w:type="dxa"/>
          </w:tcPr>
          <w:p w14:paraId="77C1B37E"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5D0FDA4A"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Number of risk factors: Parameter for curve or surface</w:t>
            </w:r>
          </w:p>
          <w:p w14:paraId="443629EA"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Article 6 of Regulation (EU) 2022/2060</w:t>
            </w:r>
          </w:p>
        </w:tc>
      </w:tr>
      <w:tr w:rsidR="00B530B5" w:rsidRPr="00FE3C59" w14:paraId="6C57772E" w14:textId="77777777" w:rsidTr="00ED7500">
        <w:tc>
          <w:tcPr>
            <w:tcW w:w="1043" w:type="dxa"/>
          </w:tcPr>
          <w:p w14:paraId="3B671AA2"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7D7584C0"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Number of risk factors: Not parameter for curve or surface</w:t>
            </w:r>
          </w:p>
          <w:p w14:paraId="2072BA08"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1 of Regulation (EU) 2022/2060 </w:t>
            </w:r>
          </w:p>
        </w:tc>
      </w:tr>
      <w:tr w:rsidR="00B530B5" w:rsidRPr="00FE3C59" w14:paraId="24EF4275" w14:textId="77777777" w:rsidTr="00ED7500">
        <w:tc>
          <w:tcPr>
            <w:tcW w:w="1043" w:type="dxa"/>
          </w:tcPr>
          <w:p w14:paraId="72841B57"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5119CDB8"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RFET at bucket level – Number of buckets</w:t>
            </w:r>
          </w:p>
          <w:p w14:paraId="65F5E216"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Article 4 of Regulation (EU) 2022/2060</w:t>
            </w:r>
          </w:p>
        </w:tc>
      </w:tr>
      <w:tr w:rsidR="00B530B5" w:rsidRPr="00FE3C59" w14:paraId="4F739082" w14:textId="77777777" w:rsidTr="00ED7500">
        <w:tc>
          <w:tcPr>
            <w:tcW w:w="1043" w:type="dxa"/>
          </w:tcPr>
          <w:p w14:paraId="09D53B87"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54596649"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Total number of modellable risk factors</w:t>
            </w:r>
          </w:p>
          <w:p w14:paraId="04B5D9DC"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The number reported in this column shall be the number of the risk factors considered modellable in accordance with Articles 1 and 6 of Regulation (EU) 2022/2060, plus the number of buckets, where the assessment was made in accordance with Article 4 of that Regulation.</w:t>
            </w:r>
          </w:p>
        </w:tc>
      </w:tr>
      <w:tr w:rsidR="00B530B5" w:rsidRPr="00FE3C59" w14:paraId="571E0C4E" w14:textId="77777777" w:rsidTr="00ED7500">
        <w:tc>
          <w:tcPr>
            <w:tcW w:w="1043" w:type="dxa"/>
          </w:tcPr>
          <w:p w14:paraId="1F7B9EEC"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0050-0130</w:t>
            </w:r>
          </w:p>
        </w:tc>
        <w:tc>
          <w:tcPr>
            <w:tcW w:w="7973" w:type="dxa"/>
          </w:tcPr>
          <w:p w14:paraId="648C9973"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Non-modellable risk factors (NMRF)</w:t>
            </w:r>
          </w:p>
          <w:p w14:paraId="00E7C931"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Information on risk factors that are considered non-modellable on the basis of the assessment made in accordance with Article 325be of Regulation (EU) No 575/2013 in conjunction with Regulation (EU) 2022/2060</w:t>
            </w:r>
          </w:p>
        </w:tc>
      </w:tr>
      <w:tr w:rsidR="00B530B5" w:rsidRPr="00FE3C59" w14:paraId="3594DC61" w14:textId="77777777" w:rsidTr="00ED7500">
        <w:tc>
          <w:tcPr>
            <w:tcW w:w="1043" w:type="dxa"/>
          </w:tcPr>
          <w:p w14:paraId="36CAEC52"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0050-0060</w:t>
            </w:r>
          </w:p>
        </w:tc>
        <w:tc>
          <w:tcPr>
            <w:tcW w:w="7973" w:type="dxa"/>
          </w:tcPr>
          <w:p w14:paraId="17EB3675" w14:textId="68D2CE4D"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RFET at risk factor level - Number of risk factors</w:t>
            </w:r>
          </w:p>
        </w:tc>
      </w:tr>
      <w:tr w:rsidR="00B530B5" w:rsidRPr="00FE3C59" w14:paraId="5B892D6C" w14:textId="77777777" w:rsidTr="00ED7500">
        <w:tc>
          <w:tcPr>
            <w:tcW w:w="1043" w:type="dxa"/>
          </w:tcPr>
          <w:p w14:paraId="2AD73FB8"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tcPr>
          <w:p w14:paraId="1EB43E74"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Parameter for curve or surface</w:t>
            </w:r>
          </w:p>
          <w:p w14:paraId="03CC9BFF"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Article 6 of Regulation (EU) 2022/2060</w:t>
            </w:r>
          </w:p>
        </w:tc>
      </w:tr>
      <w:tr w:rsidR="00B530B5" w:rsidRPr="00FE3C59" w14:paraId="71735CCF" w14:textId="77777777" w:rsidTr="00ED7500">
        <w:tc>
          <w:tcPr>
            <w:tcW w:w="1043" w:type="dxa"/>
          </w:tcPr>
          <w:p w14:paraId="38A07362"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7E7746B2"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Not parameter for curve or surface</w:t>
            </w:r>
          </w:p>
          <w:p w14:paraId="40E02189"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Article 1 of Regulation (EU) 2022/2060</w:t>
            </w:r>
          </w:p>
        </w:tc>
      </w:tr>
      <w:tr w:rsidR="00B530B5" w:rsidRPr="00FE3C59" w14:paraId="2990D2DB" w14:textId="77777777" w:rsidTr="00ED7500">
        <w:tc>
          <w:tcPr>
            <w:tcW w:w="1043" w:type="dxa"/>
          </w:tcPr>
          <w:p w14:paraId="71BC5B72"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Pr>
          <w:p w14:paraId="620D1421"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RFET at bucket level - Number of buckets</w:t>
            </w:r>
          </w:p>
          <w:p w14:paraId="2ACA2F99"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Article 4 of Regulation (EU) 2022/2060</w:t>
            </w:r>
          </w:p>
        </w:tc>
      </w:tr>
      <w:tr w:rsidR="00B530B5" w:rsidRPr="00FE3C59" w14:paraId="5D831CAD" w14:textId="77777777" w:rsidTr="00ED7500">
        <w:tc>
          <w:tcPr>
            <w:tcW w:w="1043" w:type="dxa"/>
          </w:tcPr>
          <w:p w14:paraId="33F5DFF8"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tcPr>
          <w:p w14:paraId="7A9E00B6"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Total number of non-modellable risk factors</w:t>
            </w:r>
          </w:p>
          <w:p w14:paraId="1A8E3B3C"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The number reported in this column shall be the number of the risk factors considered non-modellable in accordance with Articles 1 and 6 of Regulation (EU) 2022/2060, plus the number of buckets, where the assessment was made in accordance with Article 4 of that Regulation.</w:t>
            </w:r>
          </w:p>
        </w:tc>
      </w:tr>
      <w:tr w:rsidR="00B530B5" w:rsidRPr="00FE3C59" w14:paraId="42B700D7" w14:textId="77777777" w:rsidTr="00ED7500">
        <w:tc>
          <w:tcPr>
            <w:tcW w:w="1043" w:type="dxa"/>
          </w:tcPr>
          <w:p w14:paraId="09EFF550"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0090-0120</w:t>
            </w:r>
          </w:p>
        </w:tc>
        <w:tc>
          <w:tcPr>
            <w:tcW w:w="7973" w:type="dxa"/>
          </w:tcPr>
          <w:p w14:paraId="55A2B715"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Number of real price observations (RPOs) for risk factors in the risk class</w:t>
            </w:r>
          </w:p>
          <w:p w14:paraId="5E56833C"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Information about the availability of RPOs shall be provided as follows:</w:t>
            </w:r>
          </w:p>
          <w:p w14:paraId="37F57023" w14:textId="77777777" w:rsidR="00B530B5" w:rsidRPr="00FE3C59" w:rsidRDefault="00B530B5" w:rsidP="00DD64D6">
            <w:pPr>
              <w:pStyle w:val="ListParagraph"/>
              <w:numPr>
                <w:ilvl w:val="0"/>
                <w:numId w:val="107"/>
              </w:numPr>
              <w:ind w:left="357" w:hanging="357"/>
              <w:contextualSpacing w:val="0"/>
            </w:pPr>
            <w:r w:rsidRPr="00FE3C59">
              <w:t xml:space="preserve">Where the assessment of the ability to model is done at risk factor level, the RPOs available for the risk factor shall be considered; </w:t>
            </w:r>
          </w:p>
          <w:p w14:paraId="5DDBB24C" w14:textId="77777777" w:rsidR="00B530B5" w:rsidRPr="00FE3C59" w:rsidRDefault="00B530B5" w:rsidP="00DD64D6">
            <w:pPr>
              <w:pStyle w:val="ListParagraph"/>
              <w:numPr>
                <w:ilvl w:val="0"/>
                <w:numId w:val="107"/>
              </w:numPr>
              <w:ind w:left="357" w:hanging="357"/>
              <w:contextualSpacing w:val="0"/>
            </w:pPr>
            <w:r w:rsidRPr="00FE3C59">
              <w:lastRenderedPageBreak/>
              <w:t xml:space="preserve">Where the assessment of the ability to model is done at bucket level in accordance with Article 4 of Regulation (EU) 2022/2060, the RPOs available for any risk factor in the bucket shall be considered; </w:t>
            </w:r>
          </w:p>
          <w:p w14:paraId="505407AB" w14:textId="77777777" w:rsidR="00B530B5" w:rsidRPr="00FE3C59" w:rsidRDefault="00B530B5" w:rsidP="00DD64D6">
            <w:pPr>
              <w:pStyle w:val="ListParagraph"/>
              <w:numPr>
                <w:ilvl w:val="0"/>
                <w:numId w:val="107"/>
              </w:numPr>
              <w:ind w:left="357" w:hanging="357"/>
              <w:contextualSpacing w:val="0"/>
            </w:pPr>
            <w:r w:rsidRPr="00FE3C59">
              <w:t xml:space="preserve">The first quartile, median, average and third quartile of RPOs shall be determined across all the NMRFs in the respective sub-category. </w:t>
            </w:r>
          </w:p>
        </w:tc>
      </w:tr>
      <w:tr w:rsidR="00B530B5" w:rsidRPr="00FE3C59" w14:paraId="08FD4942" w14:textId="77777777" w:rsidTr="00ED7500">
        <w:tc>
          <w:tcPr>
            <w:tcW w:w="1043" w:type="dxa"/>
          </w:tcPr>
          <w:p w14:paraId="01A80A28"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0090</w:t>
            </w:r>
          </w:p>
        </w:tc>
        <w:tc>
          <w:tcPr>
            <w:tcW w:w="7973" w:type="dxa"/>
          </w:tcPr>
          <w:p w14:paraId="269A500A" w14:textId="77777777" w:rsidR="00B530B5" w:rsidRPr="00FE3C59"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First quartile </w:t>
            </w:r>
          </w:p>
        </w:tc>
      </w:tr>
      <w:tr w:rsidR="00B530B5" w:rsidRPr="00FE3C59" w14:paraId="2D4B9A1B" w14:textId="77777777" w:rsidTr="00ED7500">
        <w:tc>
          <w:tcPr>
            <w:tcW w:w="1043" w:type="dxa"/>
          </w:tcPr>
          <w:p w14:paraId="77F01BBD"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tcPr>
          <w:p w14:paraId="5165110A" w14:textId="77777777" w:rsidR="00B530B5" w:rsidRPr="00ED7500"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Median</w:t>
            </w:r>
          </w:p>
        </w:tc>
      </w:tr>
      <w:tr w:rsidR="00B530B5" w:rsidRPr="00FE3C59" w14:paraId="1B8A7917" w14:textId="77777777" w:rsidTr="00ED7500">
        <w:tc>
          <w:tcPr>
            <w:tcW w:w="1043" w:type="dxa"/>
          </w:tcPr>
          <w:p w14:paraId="4863BFBF"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tcPr>
          <w:p w14:paraId="35BFD63C" w14:textId="77777777" w:rsidR="00B530B5" w:rsidRPr="00ED7500"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Average</w:t>
            </w:r>
          </w:p>
        </w:tc>
      </w:tr>
      <w:tr w:rsidR="00B530B5" w:rsidRPr="00FE3C59" w14:paraId="358F2288" w14:textId="77777777" w:rsidTr="00ED7500">
        <w:tc>
          <w:tcPr>
            <w:tcW w:w="1043" w:type="dxa"/>
          </w:tcPr>
          <w:p w14:paraId="2A543129"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73" w:type="dxa"/>
          </w:tcPr>
          <w:p w14:paraId="7AEEC882" w14:textId="77777777" w:rsidR="00B530B5" w:rsidRPr="00ED7500" w:rsidRDefault="00B530B5" w:rsidP="00ED750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Third quartile</w:t>
            </w:r>
          </w:p>
        </w:tc>
      </w:tr>
      <w:tr w:rsidR="00B530B5" w:rsidRPr="00FE3C59" w14:paraId="19F3B55B" w14:textId="77777777" w:rsidTr="00ED7500">
        <w:tc>
          <w:tcPr>
            <w:tcW w:w="1043" w:type="dxa"/>
          </w:tcPr>
          <w:p w14:paraId="4F2C8642" w14:textId="77777777" w:rsidR="00B530B5" w:rsidRPr="00FE3C59" w:rsidRDefault="00B530B5" w:rsidP="00ED7500">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73" w:type="dxa"/>
          </w:tcPr>
          <w:p w14:paraId="7A277D6C" w14:textId="77777777" w:rsidR="00B530B5" w:rsidRPr="00FE3C59" w:rsidRDefault="00B530B5" w:rsidP="00ED7500">
            <w:pPr>
              <w:pStyle w:val="BodyText"/>
              <w:spacing w:before="120" w:after="120"/>
              <w:rPr>
                <w:rFonts w:ascii="Times New Roman" w:hAnsi="Times New Roman" w:cs="Times New Roman"/>
                <w:b/>
                <w:bCs/>
                <w:u w:val="single"/>
                <w:lang w:val="en-GB"/>
              </w:rPr>
            </w:pPr>
            <w:r w:rsidRPr="00ED7500">
              <w:rPr>
                <w:rFonts w:ascii="Times New Roman" w:hAnsi="Times New Roman" w:cs="Times New Roman"/>
                <w:b/>
                <w:u w:val="single"/>
                <w:lang w:val="en-GB"/>
              </w:rPr>
              <w:t>Average</w:t>
            </w:r>
            <w:r w:rsidRPr="00FE3C59">
              <w:rPr>
                <w:rFonts w:ascii="Times New Roman" w:hAnsi="Times New Roman" w:cs="Times New Roman"/>
                <w:b/>
                <w:bCs/>
                <w:u w:val="single"/>
                <w:lang w:val="en-GB"/>
              </w:rPr>
              <w:t xml:space="preserve"> longest </w:t>
            </w:r>
            <w:r w:rsidRPr="00FE3C59">
              <w:rPr>
                <w:rFonts w:ascii="Times New Roman" w:hAnsi="Times New Roman" w:cs="Times New Roman"/>
                <w:b/>
                <w:u w:val="single"/>
                <w:lang w:val="en-GB"/>
              </w:rPr>
              <w:t xml:space="preserve">period </w:t>
            </w:r>
            <w:r w:rsidRPr="00FE3C59">
              <w:rPr>
                <w:rFonts w:ascii="Times New Roman" w:hAnsi="Times New Roman" w:cs="Times New Roman"/>
                <w:b/>
                <w:bCs/>
                <w:u w:val="single"/>
                <w:lang w:val="en-GB"/>
              </w:rPr>
              <w:t>between two RPOs for the risk factors in the risk class (in days)</w:t>
            </w:r>
          </w:p>
          <w:p w14:paraId="58038434" w14:textId="77777777" w:rsidR="00B530B5" w:rsidRPr="00FE3C59" w:rsidRDefault="00B530B5" w:rsidP="00ED7500">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For each risk factor, where the assessment of the ability to model is done at risk factor level, and every bucket of risk factors, where the assessment of the ability to model is done at bucket level, the longest period between two RPOs shall be determined (in days). The average shall be determined across all the NMRFs in the respective sub-category.  </w:t>
            </w:r>
          </w:p>
        </w:tc>
      </w:tr>
    </w:tbl>
    <w:p w14:paraId="35811E34" w14:textId="77777777" w:rsidR="00B530B5" w:rsidRPr="00DD64D6" w:rsidRDefault="00B530B5" w:rsidP="005C3792">
      <w:pPr>
        <w:pStyle w:val="NoSpacing"/>
      </w:pPr>
    </w:p>
    <w:tbl>
      <w:tblPr>
        <w:tblStyle w:val="TableGrid"/>
        <w:tblW w:w="0" w:type="auto"/>
        <w:tblLook w:val="04A0" w:firstRow="1" w:lastRow="0" w:firstColumn="1" w:lastColumn="0" w:noHBand="0" w:noVBand="1"/>
      </w:tblPr>
      <w:tblGrid>
        <w:gridCol w:w="1063"/>
        <w:gridCol w:w="7953"/>
      </w:tblGrid>
      <w:tr w:rsidR="00B530B5" w:rsidRPr="00FE3C59" w14:paraId="33889B53" w14:textId="77777777" w:rsidTr="3F965E88">
        <w:tc>
          <w:tcPr>
            <w:tcW w:w="1063" w:type="dxa"/>
            <w:shd w:val="clear" w:color="auto" w:fill="BFBFBF" w:themeFill="background1" w:themeFillShade="BF"/>
          </w:tcPr>
          <w:p w14:paraId="357088EF" w14:textId="77777777" w:rsidR="00B530B5" w:rsidRPr="00FE3C59" w:rsidRDefault="00B530B5" w:rsidP="005C3792">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3941FCB6" w14:textId="77777777" w:rsidR="00B530B5" w:rsidRPr="00FE3C59" w:rsidRDefault="00B530B5" w:rsidP="005C3792">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61BD80CC" w14:textId="77777777" w:rsidTr="3F965E88">
        <w:tc>
          <w:tcPr>
            <w:tcW w:w="1063" w:type="dxa"/>
          </w:tcPr>
          <w:p w14:paraId="1ABB8464"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0010-0330</w:t>
            </w:r>
          </w:p>
        </w:tc>
        <w:tc>
          <w:tcPr>
            <w:tcW w:w="7953" w:type="dxa"/>
            <w:vAlign w:val="bottom"/>
          </w:tcPr>
          <w:p w14:paraId="26D29D83"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Broad categories and sub-categories of risk factors</w:t>
            </w:r>
          </w:p>
          <w:p w14:paraId="78F1725E"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325bd, Table 2,</w:t>
            </w:r>
            <w:r w:rsidRPr="00FE3C59">
              <w:rPr>
                <w:rFonts w:ascii="Times New Roman" w:hAnsi="Times New Roman" w:cs="Times New Roman"/>
                <w:bCs/>
                <w:lang w:val="en-GB"/>
              </w:rPr>
              <w:t xml:space="preserve"> of Regulation (EU) No 575/2013</w:t>
            </w:r>
          </w:p>
        </w:tc>
      </w:tr>
      <w:tr w:rsidR="00B530B5" w:rsidRPr="00FE3C59" w14:paraId="4F655877" w14:textId="77777777" w:rsidTr="3F965E88">
        <w:tc>
          <w:tcPr>
            <w:tcW w:w="1063" w:type="dxa"/>
          </w:tcPr>
          <w:p w14:paraId="3E030DAB"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53" w:type="dxa"/>
            <w:vAlign w:val="bottom"/>
          </w:tcPr>
          <w:p w14:paraId="163020C1"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w:t>
            </w:r>
          </w:p>
        </w:tc>
      </w:tr>
      <w:tr w:rsidR="00B530B5" w:rsidRPr="00FE3C59" w14:paraId="414274F1" w14:textId="77777777" w:rsidTr="3F965E88">
        <w:tc>
          <w:tcPr>
            <w:tcW w:w="1063" w:type="dxa"/>
          </w:tcPr>
          <w:p w14:paraId="7DFFAA96"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53" w:type="dxa"/>
            <w:vAlign w:val="bottom"/>
          </w:tcPr>
          <w:p w14:paraId="54404922"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Most liquid currencies and domestic currency</w:t>
            </w:r>
          </w:p>
        </w:tc>
      </w:tr>
      <w:tr w:rsidR="00B530B5" w:rsidRPr="00FE3C59" w14:paraId="3009717A" w14:textId="77777777" w:rsidTr="3F965E88">
        <w:tc>
          <w:tcPr>
            <w:tcW w:w="1063" w:type="dxa"/>
          </w:tcPr>
          <w:p w14:paraId="2D8D285B"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53" w:type="dxa"/>
            <w:vAlign w:val="bottom"/>
          </w:tcPr>
          <w:p w14:paraId="1B51E6A1"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Other currencies</w:t>
            </w:r>
          </w:p>
        </w:tc>
      </w:tr>
      <w:tr w:rsidR="00B530B5" w:rsidRPr="00FE3C59" w14:paraId="182EF766" w14:textId="77777777" w:rsidTr="3F965E88">
        <w:tc>
          <w:tcPr>
            <w:tcW w:w="1063" w:type="dxa"/>
          </w:tcPr>
          <w:p w14:paraId="755317A1"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53" w:type="dxa"/>
            <w:vAlign w:val="bottom"/>
          </w:tcPr>
          <w:p w14:paraId="0FBE722E"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Volatility</w:t>
            </w:r>
          </w:p>
        </w:tc>
      </w:tr>
      <w:tr w:rsidR="00B530B5" w:rsidRPr="00FE3C59" w14:paraId="3B70A957" w14:textId="77777777" w:rsidTr="3F965E88">
        <w:tc>
          <w:tcPr>
            <w:tcW w:w="1063" w:type="dxa"/>
          </w:tcPr>
          <w:p w14:paraId="5CD5CFBB"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53" w:type="dxa"/>
            <w:vAlign w:val="bottom"/>
          </w:tcPr>
          <w:p w14:paraId="118F244F"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Other types</w:t>
            </w:r>
          </w:p>
        </w:tc>
      </w:tr>
      <w:tr w:rsidR="00B530B5" w:rsidRPr="00FE3C59" w14:paraId="617528D7" w14:textId="77777777" w:rsidTr="3F965E88">
        <w:tc>
          <w:tcPr>
            <w:tcW w:w="1063" w:type="dxa"/>
          </w:tcPr>
          <w:p w14:paraId="6C1D42BF"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53" w:type="dxa"/>
            <w:vAlign w:val="bottom"/>
          </w:tcPr>
          <w:p w14:paraId="399698EA"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w:t>
            </w:r>
          </w:p>
        </w:tc>
      </w:tr>
      <w:tr w:rsidR="00B530B5" w:rsidRPr="00FE3C59" w14:paraId="2D648210" w14:textId="77777777" w:rsidTr="3F965E88">
        <w:tc>
          <w:tcPr>
            <w:tcW w:w="1063" w:type="dxa"/>
          </w:tcPr>
          <w:p w14:paraId="66ACA628"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53" w:type="dxa"/>
            <w:vAlign w:val="bottom"/>
          </w:tcPr>
          <w:p w14:paraId="086F3582"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Central government, including central banks, of Member States</w:t>
            </w:r>
          </w:p>
        </w:tc>
      </w:tr>
      <w:tr w:rsidR="00B530B5" w:rsidRPr="00FE3C59" w14:paraId="59CCCBCB" w14:textId="77777777" w:rsidTr="3F965E88">
        <w:tc>
          <w:tcPr>
            <w:tcW w:w="1063" w:type="dxa"/>
          </w:tcPr>
          <w:p w14:paraId="03DE5E62"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53" w:type="dxa"/>
            <w:vAlign w:val="bottom"/>
          </w:tcPr>
          <w:p w14:paraId="04D77C6B"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Covered bonds issued by credit institutions in Member States (Investment Grade)</w:t>
            </w:r>
          </w:p>
        </w:tc>
      </w:tr>
      <w:tr w:rsidR="00B530B5" w:rsidRPr="00FE3C59" w14:paraId="78C416AA" w14:textId="77777777" w:rsidTr="3F965E88">
        <w:tc>
          <w:tcPr>
            <w:tcW w:w="1063" w:type="dxa"/>
          </w:tcPr>
          <w:p w14:paraId="20B30A0F"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53" w:type="dxa"/>
            <w:vAlign w:val="bottom"/>
          </w:tcPr>
          <w:p w14:paraId="0F9596BA"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Sovereign (Investment grade)</w:t>
            </w:r>
          </w:p>
        </w:tc>
      </w:tr>
      <w:tr w:rsidR="00B530B5" w:rsidRPr="00FE3C59" w14:paraId="73954FE9" w14:textId="77777777" w:rsidTr="3F965E88">
        <w:tc>
          <w:tcPr>
            <w:tcW w:w="1063" w:type="dxa"/>
          </w:tcPr>
          <w:p w14:paraId="15A66156"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53" w:type="dxa"/>
            <w:vAlign w:val="bottom"/>
          </w:tcPr>
          <w:p w14:paraId="2AF0D12C"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Sovereign (High yield)</w:t>
            </w:r>
          </w:p>
        </w:tc>
      </w:tr>
      <w:tr w:rsidR="00B530B5" w:rsidRPr="00FE3C59" w14:paraId="45C6753E" w14:textId="77777777" w:rsidTr="3F965E88">
        <w:tc>
          <w:tcPr>
            <w:tcW w:w="1063" w:type="dxa"/>
          </w:tcPr>
          <w:p w14:paraId="4227900F"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0110</w:t>
            </w:r>
          </w:p>
        </w:tc>
        <w:tc>
          <w:tcPr>
            <w:tcW w:w="7953" w:type="dxa"/>
            <w:vAlign w:val="bottom"/>
          </w:tcPr>
          <w:p w14:paraId="02CE7761"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Corporate (Investment grade)</w:t>
            </w:r>
          </w:p>
        </w:tc>
      </w:tr>
      <w:tr w:rsidR="00B530B5" w:rsidRPr="00FE3C59" w14:paraId="1705ABC8" w14:textId="77777777" w:rsidTr="3F965E88">
        <w:tc>
          <w:tcPr>
            <w:tcW w:w="1063" w:type="dxa"/>
          </w:tcPr>
          <w:p w14:paraId="698C9D6C"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53" w:type="dxa"/>
            <w:vAlign w:val="bottom"/>
          </w:tcPr>
          <w:p w14:paraId="5280172B" w14:textId="77777777" w:rsidR="00B530B5" w:rsidRPr="005C3792"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Corporate (High yield)</w:t>
            </w:r>
          </w:p>
        </w:tc>
      </w:tr>
      <w:tr w:rsidR="00B530B5" w:rsidRPr="00FE3C59" w14:paraId="58C1EA4D" w14:textId="77777777" w:rsidTr="3F965E88">
        <w:tc>
          <w:tcPr>
            <w:tcW w:w="1063" w:type="dxa"/>
          </w:tcPr>
          <w:p w14:paraId="4F9BE55B"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53" w:type="dxa"/>
            <w:vAlign w:val="bottom"/>
          </w:tcPr>
          <w:p w14:paraId="2ABABBC3"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Volatility</w:t>
            </w:r>
          </w:p>
        </w:tc>
      </w:tr>
      <w:tr w:rsidR="00B530B5" w:rsidRPr="00FE3C59" w14:paraId="28AF74BD" w14:textId="77777777" w:rsidTr="3F965E88">
        <w:tc>
          <w:tcPr>
            <w:tcW w:w="1063" w:type="dxa"/>
          </w:tcPr>
          <w:p w14:paraId="22466A3C"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953" w:type="dxa"/>
            <w:vAlign w:val="bottom"/>
          </w:tcPr>
          <w:p w14:paraId="0266469C"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 Other types</w:t>
            </w:r>
          </w:p>
        </w:tc>
      </w:tr>
      <w:tr w:rsidR="00B530B5" w:rsidRPr="00FE3C59" w14:paraId="01B0DA6C" w14:textId="77777777" w:rsidTr="3F965E88">
        <w:tc>
          <w:tcPr>
            <w:tcW w:w="1063" w:type="dxa"/>
          </w:tcPr>
          <w:p w14:paraId="6E1E34A0"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953" w:type="dxa"/>
            <w:vAlign w:val="bottom"/>
          </w:tcPr>
          <w:p w14:paraId="17D5D749"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w:t>
            </w:r>
          </w:p>
        </w:tc>
      </w:tr>
      <w:tr w:rsidR="00B530B5" w:rsidRPr="00FE3C59" w14:paraId="0B1FEFCD" w14:textId="77777777" w:rsidTr="3F965E88">
        <w:tc>
          <w:tcPr>
            <w:tcW w:w="1063" w:type="dxa"/>
          </w:tcPr>
          <w:p w14:paraId="78B81EF9"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53" w:type="dxa"/>
            <w:vAlign w:val="bottom"/>
          </w:tcPr>
          <w:p w14:paraId="4A892A13"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 Equity price (Large market capitalisation)</w:t>
            </w:r>
          </w:p>
        </w:tc>
      </w:tr>
      <w:tr w:rsidR="00B530B5" w:rsidRPr="00FE3C59" w14:paraId="4BEEC5EE" w14:textId="77777777" w:rsidTr="3F965E88">
        <w:tc>
          <w:tcPr>
            <w:tcW w:w="1063" w:type="dxa"/>
          </w:tcPr>
          <w:p w14:paraId="633F373B"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953" w:type="dxa"/>
            <w:vAlign w:val="bottom"/>
          </w:tcPr>
          <w:p w14:paraId="0B36AF46"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 Equity price (Small market capitalisation)</w:t>
            </w:r>
          </w:p>
        </w:tc>
      </w:tr>
      <w:tr w:rsidR="00B530B5" w:rsidRPr="00FE3C59" w14:paraId="0C28C49C" w14:textId="77777777" w:rsidTr="3F965E88">
        <w:tc>
          <w:tcPr>
            <w:tcW w:w="1063" w:type="dxa"/>
          </w:tcPr>
          <w:p w14:paraId="222C0977"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953" w:type="dxa"/>
            <w:vAlign w:val="bottom"/>
          </w:tcPr>
          <w:p w14:paraId="0E73D115"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 Volatility (Large market capitalisation)</w:t>
            </w:r>
          </w:p>
        </w:tc>
      </w:tr>
      <w:tr w:rsidR="00B530B5" w:rsidRPr="00FE3C59" w14:paraId="3808EE13" w14:textId="77777777" w:rsidTr="3F965E88">
        <w:tc>
          <w:tcPr>
            <w:tcW w:w="1063" w:type="dxa"/>
          </w:tcPr>
          <w:p w14:paraId="130B4E12"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53" w:type="dxa"/>
            <w:vAlign w:val="bottom"/>
          </w:tcPr>
          <w:p w14:paraId="33BEC143"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 Volatility (Small market capitalisation)</w:t>
            </w:r>
          </w:p>
        </w:tc>
      </w:tr>
      <w:tr w:rsidR="00B530B5" w:rsidRPr="00FE3C59" w14:paraId="4F2C4DCB" w14:textId="77777777" w:rsidTr="3F965E88">
        <w:tc>
          <w:tcPr>
            <w:tcW w:w="1063" w:type="dxa"/>
          </w:tcPr>
          <w:p w14:paraId="49A2145C"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53" w:type="dxa"/>
            <w:vAlign w:val="bottom"/>
          </w:tcPr>
          <w:p w14:paraId="69F3F5DF"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 Other types</w:t>
            </w:r>
          </w:p>
        </w:tc>
      </w:tr>
      <w:tr w:rsidR="00B530B5" w:rsidRPr="00FE3C59" w14:paraId="20E41E6E" w14:textId="77777777" w:rsidTr="3F965E88">
        <w:tc>
          <w:tcPr>
            <w:tcW w:w="1063" w:type="dxa"/>
          </w:tcPr>
          <w:p w14:paraId="71B14028"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53" w:type="dxa"/>
            <w:vAlign w:val="bottom"/>
          </w:tcPr>
          <w:p w14:paraId="37F72F73"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w:t>
            </w:r>
          </w:p>
        </w:tc>
      </w:tr>
      <w:tr w:rsidR="00B530B5" w:rsidRPr="00FE3C59" w14:paraId="5C0CDB1C" w14:textId="77777777" w:rsidTr="3F965E88">
        <w:tc>
          <w:tcPr>
            <w:tcW w:w="1063" w:type="dxa"/>
          </w:tcPr>
          <w:p w14:paraId="6A7018A8"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0220</w:t>
            </w:r>
          </w:p>
        </w:tc>
        <w:tc>
          <w:tcPr>
            <w:tcW w:w="7953" w:type="dxa"/>
            <w:vAlign w:val="bottom"/>
          </w:tcPr>
          <w:p w14:paraId="696ED5CC"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Most liquid currency pairs</w:t>
            </w:r>
          </w:p>
        </w:tc>
      </w:tr>
      <w:tr w:rsidR="00B530B5" w:rsidRPr="00FE3C59" w14:paraId="622B4AD1" w14:textId="77777777" w:rsidTr="3F965E88">
        <w:tc>
          <w:tcPr>
            <w:tcW w:w="1063" w:type="dxa"/>
          </w:tcPr>
          <w:p w14:paraId="743E9F81"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w:t>
            </w:r>
          </w:p>
        </w:tc>
        <w:tc>
          <w:tcPr>
            <w:tcW w:w="7953" w:type="dxa"/>
            <w:vAlign w:val="bottom"/>
          </w:tcPr>
          <w:p w14:paraId="217A0C01"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Other currency pairs</w:t>
            </w:r>
          </w:p>
        </w:tc>
      </w:tr>
      <w:tr w:rsidR="00B530B5" w:rsidRPr="00FE3C59" w14:paraId="12C1F994" w14:textId="77777777" w:rsidTr="3F965E88">
        <w:tc>
          <w:tcPr>
            <w:tcW w:w="1063" w:type="dxa"/>
          </w:tcPr>
          <w:p w14:paraId="31E22691"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0240</w:t>
            </w:r>
          </w:p>
        </w:tc>
        <w:tc>
          <w:tcPr>
            <w:tcW w:w="7953" w:type="dxa"/>
            <w:vAlign w:val="bottom"/>
          </w:tcPr>
          <w:p w14:paraId="4BEE5F11"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Volatility</w:t>
            </w:r>
          </w:p>
        </w:tc>
      </w:tr>
      <w:tr w:rsidR="00B530B5" w:rsidRPr="00FE3C59" w14:paraId="492F257D" w14:textId="77777777" w:rsidTr="3F965E88">
        <w:tc>
          <w:tcPr>
            <w:tcW w:w="1063" w:type="dxa"/>
          </w:tcPr>
          <w:p w14:paraId="3690538B"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0250</w:t>
            </w:r>
          </w:p>
        </w:tc>
        <w:tc>
          <w:tcPr>
            <w:tcW w:w="7953" w:type="dxa"/>
            <w:vAlign w:val="bottom"/>
          </w:tcPr>
          <w:p w14:paraId="59E1DEDA"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Other types</w:t>
            </w:r>
          </w:p>
        </w:tc>
      </w:tr>
      <w:tr w:rsidR="00B530B5" w:rsidRPr="00FE3C59" w14:paraId="0E13EBC6" w14:textId="77777777" w:rsidTr="3F965E88">
        <w:tc>
          <w:tcPr>
            <w:tcW w:w="1063" w:type="dxa"/>
          </w:tcPr>
          <w:p w14:paraId="30BE1383"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0260</w:t>
            </w:r>
          </w:p>
        </w:tc>
        <w:tc>
          <w:tcPr>
            <w:tcW w:w="7953" w:type="dxa"/>
            <w:vAlign w:val="bottom"/>
          </w:tcPr>
          <w:p w14:paraId="06FF6009"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w:t>
            </w:r>
          </w:p>
        </w:tc>
      </w:tr>
      <w:tr w:rsidR="00B530B5" w:rsidRPr="00FE3C59" w14:paraId="181300B3" w14:textId="77777777" w:rsidTr="3F965E88">
        <w:tc>
          <w:tcPr>
            <w:tcW w:w="1063" w:type="dxa"/>
          </w:tcPr>
          <w:p w14:paraId="2D48CEBE"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0270</w:t>
            </w:r>
          </w:p>
        </w:tc>
        <w:tc>
          <w:tcPr>
            <w:tcW w:w="7953" w:type="dxa"/>
            <w:vAlign w:val="bottom"/>
          </w:tcPr>
          <w:p w14:paraId="5D301142"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Energy price and carbon emissions price</w:t>
            </w:r>
          </w:p>
        </w:tc>
      </w:tr>
      <w:tr w:rsidR="00B530B5" w:rsidRPr="00FE3C59" w14:paraId="2F4D94E4" w14:textId="77777777" w:rsidTr="3F965E88">
        <w:tc>
          <w:tcPr>
            <w:tcW w:w="1063" w:type="dxa"/>
          </w:tcPr>
          <w:p w14:paraId="2C0E7FD6"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0280</w:t>
            </w:r>
          </w:p>
        </w:tc>
        <w:tc>
          <w:tcPr>
            <w:tcW w:w="7953" w:type="dxa"/>
            <w:vAlign w:val="bottom"/>
          </w:tcPr>
          <w:p w14:paraId="434B000C"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Precious metal price and non-ferrous metal price</w:t>
            </w:r>
          </w:p>
        </w:tc>
      </w:tr>
      <w:tr w:rsidR="00B530B5" w:rsidRPr="00FE3C59" w14:paraId="52B5F3C2" w14:textId="77777777" w:rsidTr="3F965E88">
        <w:tc>
          <w:tcPr>
            <w:tcW w:w="1063" w:type="dxa"/>
          </w:tcPr>
          <w:p w14:paraId="4E55C213"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0290</w:t>
            </w:r>
          </w:p>
        </w:tc>
        <w:tc>
          <w:tcPr>
            <w:tcW w:w="7953" w:type="dxa"/>
            <w:vAlign w:val="bottom"/>
          </w:tcPr>
          <w:p w14:paraId="4B03252C"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Other commodity prices</w:t>
            </w:r>
          </w:p>
        </w:tc>
      </w:tr>
      <w:tr w:rsidR="00B530B5" w:rsidRPr="00FE3C59" w14:paraId="4E374F8C" w14:textId="77777777" w:rsidTr="3F965E88">
        <w:tc>
          <w:tcPr>
            <w:tcW w:w="1063" w:type="dxa"/>
          </w:tcPr>
          <w:p w14:paraId="29552D19"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0300</w:t>
            </w:r>
          </w:p>
        </w:tc>
        <w:tc>
          <w:tcPr>
            <w:tcW w:w="7953" w:type="dxa"/>
            <w:vAlign w:val="bottom"/>
          </w:tcPr>
          <w:p w14:paraId="43AFE6D5" w14:textId="77777777" w:rsidR="00B530B5" w:rsidRPr="005C3792" w:rsidRDefault="6270B300" w:rsidP="005C3792">
            <w:pPr>
              <w:pStyle w:val="BodyText"/>
              <w:spacing w:before="120" w:after="120"/>
              <w:rPr>
                <w:rFonts w:ascii="Times New Roman" w:hAnsi="Times New Roman" w:cs="Times New Roman"/>
                <w:b/>
                <w:u w:val="single"/>
                <w:lang w:val="en-GB"/>
              </w:rPr>
            </w:pPr>
            <w:r w:rsidRPr="005C3792">
              <w:rPr>
                <w:rFonts w:ascii="Times New Roman" w:hAnsi="Times New Roman" w:cs="Times New Roman"/>
                <w:b/>
                <w:u w:val="single"/>
                <w:lang w:val="en-GB"/>
              </w:rPr>
              <w:t>Commodity risk – Energy volatility and carbon emissions volatility</w:t>
            </w:r>
          </w:p>
        </w:tc>
      </w:tr>
      <w:tr w:rsidR="00B530B5" w:rsidRPr="00FE3C59" w14:paraId="2BD241C3" w14:textId="77777777" w:rsidTr="3F965E88">
        <w:tc>
          <w:tcPr>
            <w:tcW w:w="1063" w:type="dxa"/>
          </w:tcPr>
          <w:p w14:paraId="3AF3835A"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0310</w:t>
            </w:r>
          </w:p>
        </w:tc>
        <w:tc>
          <w:tcPr>
            <w:tcW w:w="7953" w:type="dxa"/>
            <w:vAlign w:val="bottom"/>
          </w:tcPr>
          <w:p w14:paraId="2B02F734"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Precious metal volatility and non-ferrous metal volatility</w:t>
            </w:r>
          </w:p>
        </w:tc>
      </w:tr>
      <w:tr w:rsidR="00B530B5" w:rsidRPr="00FE3C59" w14:paraId="0FF6E126" w14:textId="77777777" w:rsidTr="3F965E88">
        <w:tc>
          <w:tcPr>
            <w:tcW w:w="1063" w:type="dxa"/>
          </w:tcPr>
          <w:p w14:paraId="3C318E56"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0320</w:t>
            </w:r>
          </w:p>
        </w:tc>
        <w:tc>
          <w:tcPr>
            <w:tcW w:w="7953" w:type="dxa"/>
            <w:vAlign w:val="bottom"/>
          </w:tcPr>
          <w:p w14:paraId="542E516F"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Other commodity volatilities</w:t>
            </w:r>
          </w:p>
        </w:tc>
      </w:tr>
      <w:tr w:rsidR="00B530B5" w:rsidRPr="00FE3C59" w14:paraId="50E113B9" w14:textId="77777777" w:rsidTr="3F965E88">
        <w:tc>
          <w:tcPr>
            <w:tcW w:w="1063" w:type="dxa"/>
          </w:tcPr>
          <w:p w14:paraId="0D282FC5" w14:textId="77777777" w:rsidR="00B530B5" w:rsidRPr="00FE3C59" w:rsidRDefault="00B530B5" w:rsidP="005C3792">
            <w:pPr>
              <w:pStyle w:val="BodyText"/>
              <w:spacing w:before="120" w:after="120"/>
              <w:rPr>
                <w:rFonts w:ascii="Times New Roman" w:hAnsi="Times New Roman" w:cs="Times New Roman"/>
                <w:lang w:val="en-GB"/>
              </w:rPr>
            </w:pPr>
            <w:r w:rsidRPr="00FE3C59">
              <w:rPr>
                <w:rFonts w:ascii="Times New Roman" w:hAnsi="Times New Roman" w:cs="Times New Roman"/>
                <w:lang w:val="en-GB"/>
              </w:rPr>
              <w:t>0330</w:t>
            </w:r>
          </w:p>
        </w:tc>
        <w:tc>
          <w:tcPr>
            <w:tcW w:w="7953" w:type="dxa"/>
            <w:vAlign w:val="bottom"/>
          </w:tcPr>
          <w:p w14:paraId="59BD5E8C" w14:textId="77777777" w:rsidR="00B530B5" w:rsidRPr="00FE3C59" w:rsidRDefault="00B530B5" w:rsidP="005C379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Other types</w:t>
            </w:r>
          </w:p>
        </w:tc>
      </w:tr>
    </w:tbl>
    <w:p w14:paraId="7B4D0F34" w14:textId="2A89D22B" w:rsidR="007716D0" w:rsidRPr="00FE3C59" w:rsidRDefault="007716D0" w:rsidP="007716D0">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lastRenderedPageBreak/>
        <w:t xml:space="preserve">3.2.1 </w:t>
      </w:r>
      <w:r w:rsidRPr="00FE3C59">
        <w:rPr>
          <w:rFonts w:ascii="Times New Roman" w:hAnsi="Times New Roman" w:cs="Times New Roman"/>
          <w:sz w:val="24"/>
          <w:u w:val="none"/>
          <w:lang w:val="en-GB"/>
        </w:rPr>
        <w:t>C 96.01</w:t>
      </w:r>
      <w:r>
        <w:rPr>
          <w:rFonts w:ascii="Times New Roman" w:hAnsi="Times New Roman" w:cs="Times New Roman"/>
          <w:sz w:val="24"/>
          <w:u w:val="none"/>
          <w:lang w:val="en-GB"/>
        </w:rPr>
        <w:t>.2</w:t>
      </w:r>
      <w:r w:rsidRPr="00FE3C59">
        <w:rPr>
          <w:rFonts w:ascii="Times New Roman" w:hAnsi="Times New Roman" w:cs="Times New Roman"/>
          <w:sz w:val="24"/>
          <w:u w:val="none"/>
          <w:lang w:val="en-GB"/>
        </w:rPr>
        <w:t xml:space="preserve">: </w:t>
      </w:r>
      <w:r w:rsidR="00B860DE" w:rsidRPr="00B860DE">
        <w:rPr>
          <w:rFonts w:ascii="Times New Roman" w:hAnsi="Times New Roman" w:cs="Times New Roman"/>
          <w:sz w:val="24"/>
          <w:u w:val="none"/>
          <w:lang w:val="en-GB"/>
        </w:rPr>
        <w:t xml:space="preserve">Stress periods for </w:t>
      </w:r>
      <w:r w:rsidR="00B860DE">
        <w:rPr>
          <w:rFonts w:ascii="Times New Roman" w:hAnsi="Times New Roman" w:cs="Times New Roman"/>
          <w:sz w:val="24"/>
          <w:u w:val="none"/>
          <w:lang w:val="en-GB"/>
        </w:rPr>
        <w:t>the calculation of the risk measures</w:t>
      </w:r>
      <w:r w:rsidR="00B860DE" w:rsidRPr="00B860DE">
        <w:rPr>
          <w:rFonts w:ascii="Times New Roman" w:hAnsi="Times New Roman" w:cs="Times New Roman"/>
          <w:sz w:val="24"/>
          <w:u w:val="none"/>
          <w:lang w:val="en-GB"/>
        </w:rPr>
        <w:t xml:space="preserve"> (MKR IMA SP)</w:t>
      </w:r>
    </w:p>
    <w:p w14:paraId="564D2969" w14:textId="77777777" w:rsidR="007716D0" w:rsidRPr="00FE3C59" w:rsidRDefault="007716D0" w:rsidP="007716D0">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3.2.1</w:t>
      </w:r>
      <w:r>
        <w:rPr>
          <w:rFonts w:ascii="Times New Roman" w:hAnsi="Times New Roman" w:cs="Times New Roman"/>
          <w:sz w:val="24"/>
          <w:u w:val="none"/>
          <w:lang w:val="en-GB"/>
        </w:rPr>
        <w:t>.1</w:t>
      </w:r>
      <w:r w:rsidRPr="00FE3C59">
        <w:rPr>
          <w:rFonts w:ascii="Times New Roman" w:hAnsi="Times New Roman" w:cs="Times New Roman"/>
          <w:sz w:val="24"/>
          <w:u w:val="none"/>
          <w:lang w:val="en-GB"/>
        </w:rPr>
        <w:t xml:space="preserve"> General remarks</w:t>
      </w:r>
    </w:p>
    <w:p w14:paraId="693A9428" w14:textId="5B799027" w:rsidR="007716D0" w:rsidRPr="00FE3C59" w:rsidRDefault="007716D0" w:rsidP="00320C52">
      <w:pPr>
        <w:pStyle w:val="InstructionsText2"/>
        <w:numPr>
          <w:ilvl w:val="0"/>
          <w:numId w:val="57"/>
        </w:numPr>
      </w:pPr>
      <w:r w:rsidRPr="00FE3C59">
        <w:t xml:space="preserve">The template MKR IMA </w:t>
      </w:r>
      <w:r w:rsidR="009979BC">
        <w:t>SP</w:t>
      </w:r>
      <w:r w:rsidRPr="00FE3C59">
        <w:t xml:space="preserve"> shall be used to provide information </w:t>
      </w:r>
      <w:r w:rsidR="009979BC">
        <w:t xml:space="preserve">on the stress periods taken into account for the calculation of the </w:t>
      </w:r>
      <w:r w:rsidR="00D66318">
        <w:t>different elements of the expected shortfall and stress scenario risk measures.</w:t>
      </w:r>
    </w:p>
    <w:p w14:paraId="0752BBC5" w14:textId="77777777" w:rsidR="007716D0" w:rsidRPr="00FE3C59" w:rsidRDefault="007716D0" w:rsidP="007716D0">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3.2.</w:t>
      </w:r>
      <w:r>
        <w:rPr>
          <w:rFonts w:ascii="Times New Roman" w:hAnsi="Times New Roman" w:cs="Times New Roman"/>
          <w:sz w:val="24"/>
          <w:u w:val="none"/>
          <w:lang w:val="en-GB"/>
        </w:rPr>
        <w:t>1.</w:t>
      </w:r>
      <w:r w:rsidRPr="00FE3C59">
        <w:rPr>
          <w:rFonts w:ascii="Times New Roman" w:hAnsi="Times New Roman" w:cs="Times New Roman"/>
          <w:sz w:val="24"/>
          <w:u w:val="none"/>
          <w:lang w:val="en-GB"/>
        </w:rPr>
        <w:t>2 Instructions concerning specific positions</w:t>
      </w:r>
    </w:p>
    <w:tbl>
      <w:tblPr>
        <w:tblStyle w:val="TableGrid"/>
        <w:tblW w:w="0" w:type="auto"/>
        <w:tblLook w:val="04A0" w:firstRow="1" w:lastRow="0" w:firstColumn="1" w:lastColumn="0" w:noHBand="0" w:noVBand="1"/>
      </w:tblPr>
      <w:tblGrid>
        <w:gridCol w:w="1043"/>
        <w:gridCol w:w="7973"/>
      </w:tblGrid>
      <w:tr w:rsidR="007716D0" w:rsidRPr="00FE3C59" w14:paraId="4128C66A" w14:textId="77777777" w:rsidTr="003C72E1">
        <w:tc>
          <w:tcPr>
            <w:tcW w:w="1043" w:type="dxa"/>
            <w:shd w:val="clear" w:color="auto" w:fill="BFBFBF" w:themeFill="background1" w:themeFillShade="BF"/>
          </w:tcPr>
          <w:p w14:paraId="0BFA2400" w14:textId="77777777" w:rsidR="007716D0" w:rsidRPr="00FE3C59" w:rsidRDefault="007716D0" w:rsidP="003C72E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1643C6A8" w14:textId="77777777" w:rsidR="007716D0" w:rsidRPr="00FE3C59" w:rsidRDefault="007716D0" w:rsidP="003C72E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7716D0" w:rsidRPr="00FE3C59" w14:paraId="332058FB" w14:textId="77777777" w:rsidTr="003C72E1">
        <w:tc>
          <w:tcPr>
            <w:tcW w:w="1043" w:type="dxa"/>
          </w:tcPr>
          <w:p w14:paraId="5450B0DD" w14:textId="77777777" w:rsidR="007716D0" w:rsidRPr="00FE3C59" w:rsidRDefault="007716D0" w:rsidP="003C72E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0010-0040</w:t>
            </w:r>
          </w:p>
        </w:tc>
        <w:tc>
          <w:tcPr>
            <w:tcW w:w="7973" w:type="dxa"/>
          </w:tcPr>
          <w:p w14:paraId="369DFEC1" w14:textId="1FD10A3F" w:rsidR="007716D0" w:rsidRPr="00FE3C59" w:rsidRDefault="00C902E4" w:rsidP="003C72E1">
            <w:pPr>
              <w:pStyle w:val="BodyText"/>
              <w:spacing w:before="120" w:after="120"/>
              <w:rPr>
                <w:rFonts w:ascii="Times New Roman" w:hAnsi="Times New Roman" w:cs="Times New Roman"/>
                <w:b/>
                <w:u w:val="single"/>
                <w:lang w:val="en-GB"/>
              </w:rPr>
            </w:pPr>
            <w:r w:rsidRPr="00C902E4">
              <w:rPr>
                <w:rFonts w:ascii="Times New Roman" w:hAnsi="Times New Roman" w:cs="Times New Roman"/>
                <w:b/>
                <w:u w:val="single"/>
                <w:lang w:val="en-GB"/>
              </w:rPr>
              <w:t>Stress period considered for calculations as of the reference date</w:t>
            </w:r>
          </w:p>
          <w:p w14:paraId="742E9360" w14:textId="6762689C" w:rsidR="00AA5297" w:rsidRDefault="00AA5297" w:rsidP="003C72E1">
            <w:pPr>
              <w:pStyle w:val="Tabelleninhalt"/>
              <w:spacing w:after="120"/>
              <w:rPr>
                <w:rFonts w:ascii="Times New Roman" w:hAnsi="Times New Roman" w:cs="Times New Roman"/>
                <w:lang w:val="en-GB"/>
              </w:rPr>
            </w:pPr>
            <w:r>
              <w:rPr>
                <w:rFonts w:ascii="Times New Roman" w:hAnsi="Times New Roman" w:cs="Times New Roman"/>
                <w:lang w:val="en-GB"/>
              </w:rPr>
              <w:t>Article</w:t>
            </w:r>
            <w:r w:rsidR="005A72EB">
              <w:rPr>
                <w:rFonts w:ascii="Times New Roman" w:hAnsi="Times New Roman" w:cs="Times New Roman"/>
                <w:lang w:val="en-GB"/>
              </w:rPr>
              <w:t xml:space="preserve"> 325bc(2), point (c) of Regulation (EU) No 575/2013, Article 8 of </w:t>
            </w:r>
            <w:r w:rsidR="00804AB9" w:rsidRPr="00804AB9">
              <w:rPr>
                <w:rFonts w:ascii="Times New Roman" w:hAnsi="Times New Roman" w:cs="Times New Roman"/>
                <w:lang w:val="en-GB"/>
              </w:rPr>
              <w:t>[RTS on SSRM]</w:t>
            </w:r>
          </w:p>
          <w:p w14:paraId="6642FE3D" w14:textId="59996592" w:rsidR="007716D0" w:rsidRPr="00FE3C59" w:rsidRDefault="00EF271A" w:rsidP="003C72E1">
            <w:pPr>
              <w:pStyle w:val="Tabelleninhalt"/>
              <w:spacing w:after="120"/>
              <w:rPr>
                <w:rFonts w:ascii="Times New Roman" w:hAnsi="Times New Roman" w:cs="Times New Roman"/>
                <w:lang w:val="en-GB"/>
              </w:rPr>
            </w:pPr>
            <w:r w:rsidRPr="00992D8C">
              <w:rPr>
                <w:rFonts w:ascii="Times New Roman" w:hAnsi="Times New Roman" w:cs="Times New Roman"/>
                <w:lang w:val="en-GB"/>
              </w:rPr>
              <w:t>Institutions shall</w:t>
            </w:r>
            <w:r>
              <w:rPr>
                <w:rFonts w:ascii="Times New Roman" w:hAnsi="Times New Roman" w:cs="Times New Roman"/>
                <w:lang w:val="en-GB"/>
              </w:rPr>
              <w:t xml:space="preserve"> provide information on the </w:t>
            </w:r>
            <w:r w:rsidR="00A70169">
              <w:rPr>
                <w:rFonts w:ascii="Times New Roman" w:hAnsi="Times New Roman" w:cs="Times New Roman"/>
                <w:lang w:val="en-GB"/>
              </w:rPr>
              <w:t>continuous 12-month period</w:t>
            </w:r>
            <w:r w:rsidR="0064793C">
              <w:rPr>
                <w:rFonts w:ascii="Times New Roman" w:hAnsi="Times New Roman" w:cs="Times New Roman"/>
                <w:lang w:val="en-GB"/>
              </w:rPr>
              <w:t xml:space="preserve"> (stress period)</w:t>
            </w:r>
            <w:r>
              <w:rPr>
                <w:rFonts w:ascii="Times New Roman" w:hAnsi="Times New Roman" w:cs="Times New Roman"/>
                <w:lang w:val="en-GB"/>
              </w:rPr>
              <w:t xml:space="preserve"> that they </w:t>
            </w:r>
            <w:r w:rsidR="007E5EF3">
              <w:rPr>
                <w:rFonts w:ascii="Times New Roman" w:hAnsi="Times New Roman" w:cs="Times New Roman"/>
                <w:lang w:val="en-GB"/>
              </w:rPr>
              <w:t xml:space="preserve">take into account in the </w:t>
            </w:r>
            <w:r>
              <w:rPr>
                <w:rFonts w:ascii="Times New Roman" w:hAnsi="Times New Roman" w:cs="Times New Roman"/>
                <w:lang w:val="en-GB"/>
              </w:rPr>
              <w:t>calculat</w:t>
            </w:r>
            <w:r w:rsidR="007E5EF3">
              <w:rPr>
                <w:rFonts w:ascii="Times New Roman" w:hAnsi="Times New Roman" w:cs="Times New Roman"/>
                <w:lang w:val="en-GB"/>
              </w:rPr>
              <w:t>ion of</w:t>
            </w:r>
            <w:r>
              <w:rPr>
                <w:rFonts w:ascii="Times New Roman" w:hAnsi="Times New Roman" w:cs="Times New Roman"/>
                <w:lang w:val="en-GB"/>
              </w:rPr>
              <w:t xml:space="preserve"> the expected shortfall</w:t>
            </w:r>
            <w:r w:rsidR="00FA5892">
              <w:rPr>
                <w:rFonts w:ascii="Times New Roman" w:hAnsi="Times New Roman" w:cs="Times New Roman"/>
                <w:lang w:val="en-GB"/>
              </w:rPr>
              <w:t xml:space="preserve"> and</w:t>
            </w:r>
            <w:r>
              <w:rPr>
                <w:rFonts w:ascii="Times New Roman" w:hAnsi="Times New Roman" w:cs="Times New Roman"/>
                <w:lang w:val="en-GB"/>
              </w:rPr>
              <w:t xml:space="preserve"> stress </w:t>
            </w:r>
            <w:r w:rsidR="007E5EF3">
              <w:rPr>
                <w:rFonts w:ascii="Times New Roman" w:hAnsi="Times New Roman" w:cs="Times New Roman"/>
                <w:lang w:val="en-GB"/>
              </w:rPr>
              <w:t>scenario risk measures</w:t>
            </w:r>
            <w:r w:rsidR="00FA5892">
              <w:rPr>
                <w:rFonts w:ascii="Times New Roman" w:hAnsi="Times New Roman" w:cs="Times New Roman"/>
                <w:lang w:val="en-GB"/>
              </w:rPr>
              <w:t>, respectively,</w:t>
            </w:r>
            <w:r w:rsidR="007E5EF3">
              <w:rPr>
                <w:rFonts w:ascii="Times New Roman" w:hAnsi="Times New Roman" w:cs="Times New Roman"/>
                <w:lang w:val="en-GB"/>
              </w:rPr>
              <w:t xml:space="preserve"> as of the reference date.</w:t>
            </w:r>
          </w:p>
        </w:tc>
      </w:tr>
      <w:tr w:rsidR="00C902E4" w:rsidRPr="00FE3C59" w14:paraId="7A504843" w14:textId="77777777" w:rsidTr="003C72E1">
        <w:tc>
          <w:tcPr>
            <w:tcW w:w="1043" w:type="dxa"/>
          </w:tcPr>
          <w:p w14:paraId="3E9C7098" w14:textId="15B74DEC" w:rsidR="00C902E4" w:rsidRPr="00FE3C59" w:rsidRDefault="00714E02" w:rsidP="003C72E1">
            <w:pPr>
              <w:pStyle w:val="BodyText"/>
              <w:spacing w:before="120" w:after="120"/>
              <w:rPr>
                <w:rFonts w:ascii="Times New Roman" w:hAnsi="Times New Roman" w:cs="Times New Roman"/>
                <w:lang w:val="en-GB"/>
              </w:rPr>
            </w:pPr>
            <w:r>
              <w:rPr>
                <w:rFonts w:ascii="Times New Roman" w:hAnsi="Times New Roman" w:cs="Times New Roman"/>
                <w:lang w:val="en-GB"/>
              </w:rPr>
              <w:t>0010</w:t>
            </w:r>
          </w:p>
        </w:tc>
        <w:tc>
          <w:tcPr>
            <w:tcW w:w="7973" w:type="dxa"/>
          </w:tcPr>
          <w:p w14:paraId="1BD5C37C" w14:textId="51E00E6E" w:rsidR="00C902E4" w:rsidRPr="00FE3C59" w:rsidRDefault="00C902E4" w:rsidP="00C902E4">
            <w:pPr>
              <w:pStyle w:val="BodyText"/>
              <w:spacing w:before="120" w:after="120"/>
              <w:rPr>
                <w:rFonts w:ascii="Times New Roman" w:hAnsi="Times New Roman" w:cs="Times New Roman"/>
                <w:b/>
                <w:u w:val="single"/>
                <w:lang w:val="en-GB"/>
              </w:rPr>
            </w:pPr>
            <w:r w:rsidRPr="00C902E4">
              <w:rPr>
                <w:rFonts w:ascii="Times New Roman" w:hAnsi="Times New Roman" w:cs="Times New Roman"/>
                <w:b/>
                <w:u w:val="single"/>
                <w:lang w:val="en-GB"/>
              </w:rPr>
              <w:t>Stress period considered for calculations as of the reference date</w:t>
            </w:r>
            <w:r w:rsidR="00714E02">
              <w:rPr>
                <w:rFonts w:ascii="Times New Roman" w:hAnsi="Times New Roman" w:cs="Times New Roman"/>
                <w:b/>
                <w:u w:val="single"/>
                <w:lang w:val="en-GB"/>
              </w:rPr>
              <w:t xml:space="preserve"> – Start date</w:t>
            </w:r>
          </w:p>
          <w:p w14:paraId="12985DB9" w14:textId="33CF8440" w:rsidR="00C902E4" w:rsidRPr="00C902E4" w:rsidRDefault="00992D8C" w:rsidP="00C902E4">
            <w:pPr>
              <w:pStyle w:val="BodyText"/>
              <w:spacing w:before="120" w:after="120"/>
              <w:rPr>
                <w:rFonts w:ascii="Times New Roman" w:hAnsi="Times New Roman" w:cs="Times New Roman"/>
                <w:b/>
                <w:u w:val="single"/>
                <w:lang w:val="en-GB"/>
              </w:rPr>
            </w:pPr>
            <w:r w:rsidRPr="00992D8C">
              <w:rPr>
                <w:rFonts w:ascii="Times New Roman" w:hAnsi="Times New Roman" w:cs="Times New Roman"/>
                <w:lang w:val="en-GB"/>
              </w:rPr>
              <w:t xml:space="preserve">Institutions shall indicate the date </w:t>
            </w:r>
            <w:r w:rsidR="00FA5892">
              <w:rPr>
                <w:rFonts w:ascii="Times New Roman" w:hAnsi="Times New Roman" w:cs="Times New Roman"/>
                <w:lang w:val="en-GB"/>
              </w:rPr>
              <w:t xml:space="preserve">corresponding to the </w:t>
            </w:r>
            <w:r w:rsidRPr="00992D8C">
              <w:rPr>
                <w:rFonts w:ascii="Times New Roman" w:hAnsi="Times New Roman" w:cs="Times New Roman"/>
                <w:lang w:val="en-GB"/>
              </w:rPr>
              <w:t xml:space="preserve">first day of the stress period </w:t>
            </w:r>
            <w:r w:rsidR="006B67A2">
              <w:rPr>
                <w:rFonts w:ascii="Times New Roman" w:hAnsi="Times New Roman" w:cs="Times New Roman"/>
                <w:lang w:val="en-GB"/>
              </w:rPr>
              <w:t>taken into account in the</w:t>
            </w:r>
            <w:r w:rsidRPr="00992D8C">
              <w:rPr>
                <w:rFonts w:ascii="Times New Roman" w:hAnsi="Times New Roman" w:cs="Times New Roman"/>
                <w:lang w:val="en-GB"/>
              </w:rPr>
              <w:t xml:space="preserve"> calculation of the </w:t>
            </w:r>
            <w:r w:rsidR="00FA5892" w:rsidRPr="00FA5892">
              <w:rPr>
                <w:rFonts w:ascii="Times New Roman" w:hAnsi="Times New Roman" w:cs="Times New Roman"/>
                <w:lang w:val="en-GB"/>
              </w:rPr>
              <w:t>expected shortfall and stress scenario risk measures, respectively</w:t>
            </w:r>
            <w:r w:rsidR="00FA5892">
              <w:rPr>
                <w:rFonts w:ascii="Times New Roman" w:hAnsi="Times New Roman" w:cs="Times New Roman"/>
                <w:lang w:val="en-GB"/>
              </w:rPr>
              <w:t>.</w:t>
            </w:r>
          </w:p>
        </w:tc>
      </w:tr>
      <w:tr w:rsidR="00C902E4" w:rsidRPr="00FE3C59" w14:paraId="1CA35E9E" w14:textId="77777777" w:rsidTr="003C72E1">
        <w:tc>
          <w:tcPr>
            <w:tcW w:w="1043" w:type="dxa"/>
          </w:tcPr>
          <w:p w14:paraId="2CAF5EE3" w14:textId="3A664E74" w:rsidR="00C902E4" w:rsidRPr="00FE3C59" w:rsidRDefault="00714E02" w:rsidP="003C72E1">
            <w:pPr>
              <w:pStyle w:val="BodyText"/>
              <w:spacing w:before="120" w:after="120"/>
              <w:rPr>
                <w:rFonts w:ascii="Times New Roman" w:hAnsi="Times New Roman" w:cs="Times New Roman"/>
                <w:lang w:val="en-GB"/>
              </w:rPr>
            </w:pPr>
            <w:r>
              <w:rPr>
                <w:rFonts w:ascii="Times New Roman" w:hAnsi="Times New Roman" w:cs="Times New Roman"/>
                <w:lang w:val="en-GB"/>
              </w:rPr>
              <w:t>0020</w:t>
            </w:r>
          </w:p>
        </w:tc>
        <w:tc>
          <w:tcPr>
            <w:tcW w:w="7973" w:type="dxa"/>
          </w:tcPr>
          <w:p w14:paraId="63E5053E" w14:textId="3585D5B6" w:rsidR="00480F80" w:rsidRPr="00FE3C59" w:rsidRDefault="00480F80" w:rsidP="00480F80">
            <w:pPr>
              <w:pStyle w:val="BodyText"/>
              <w:spacing w:before="120" w:after="120"/>
              <w:rPr>
                <w:rFonts w:ascii="Times New Roman" w:hAnsi="Times New Roman" w:cs="Times New Roman"/>
                <w:b/>
                <w:u w:val="single"/>
                <w:lang w:val="en-GB"/>
              </w:rPr>
            </w:pPr>
            <w:r w:rsidRPr="00C902E4">
              <w:rPr>
                <w:rFonts w:ascii="Times New Roman" w:hAnsi="Times New Roman" w:cs="Times New Roman"/>
                <w:b/>
                <w:u w:val="single"/>
                <w:lang w:val="en-GB"/>
              </w:rPr>
              <w:t>Stress period considered for calculations as of the reference date</w:t>
            </w:r>
            <w:r w:rsidR="00714E02">
              <w:rPr>
                <w:rFonts w:ascii="Times New Roman" w:hAnsi="Times New Roman" w:cs="Times New Roman"/>
                <w:b/>
                <w:u w:val="single"/>
                <w:lang w:val="en-GB"/>
              </w:rPr>
              <w:t xml:space="preserve"> – End date</w:t>
            </w:r>
          </w:p>
          <w:p w14:paraId="5ED7ECC6" w14:textId="1050980F" w:rsidR="00C902E4" w:rsidRPr="00C902E4" w:rsidRDefault="00FA5892" w:rsidP="00480F80">
            <w:pPr>
              <w:pStyle w:val="BodyText"/>
              <w:spacing w:before="120" w:after="120"/>
              <w:rPr>
                <w:rFonts w:ascii="Times New Roman" w:hAnsi="Times New Roman" w:cs="Times New Roman"/>
                <w:b/>
                <w:u w:val="single"/>
                <w:lang w:val="en-GB"/>
              </w:rPr>
            </w:pPr>
            <w:r w:rsidRPr="00992D8C">
              <w:rPr>
                <w:rFonts w:ascii="Times New Roman" w:hAnsi="Times New Roman" w:cs="Times New Roman"/>
                <w:lang w:val="en-GB"/>
              </w:rPr>
              <w:t xml:space="preserve">Institutions shall indicate the date </w:t>
            </w:r>
            <w:r>
              <w:rPr>
                <w:rFonts w:ascii="Times New Roman" w:hAnsi="Times New Roman" w:cs="Times New Roman"/>
                <w:lang w:val="en-GB"/>
              </w:rPr>
              <w:t>corresponding to the last</w:t>
            </w:r>
            <w:r w:rsidRPr="00992D8C">
              <w:rPr>
                <w:rFonts w:ascii="Times New Roman" w:hAnsi="Times New Roman" w:cs="Times New Roman"/>
                <w:lang w:val="en-GB"/>
              </w:rPr>
              <w:t xml:space="preserve"> day of the stress period </w:t>
            </w:r>
            <w:r>
              <w:rPr>
                <w:rFonts w:ascii="Times New Roman" w:hAnsi="Times New Roman" w:cs="Times New Roman"/>
                <w:lang w:val="en-GB"/>
              </w:rPr>
              <w:t>taken into account in the</w:t>
            </w:r>
            <w:r w:rsidRPr="00992D8C">
              <w:rPr>
                <w:rFonts w:ascii="Times New Roman" w:hAnsi="Times New Roman" w:cs="Times New Roman"/>
                <w:lang w:val="en-GB"/>
              </w:rPr>
              <w:t xml:space="preserve"> calculation of the </w:t>
            </w:r>
            <w:r w:rsidRPr="00FA5892">
              <w:rPr>
                <w:rFonts w:ascii="Times New Roman" w:hAnsi="Times New Roman" w:cs="Times New Roman"/>
                <w:lang w:val="en-GB"/>
              </w:rPr>
              <w:t>expected shortfall and stress scenario risk measures, respectively</w:t>
            </w:r>
            <w:r>
              <w:rPr>
                <w:rFonts w:ascii="Times New Roman" w:hAnsi="Times New Roman" w:cs="Times New Roman"/>
                <w:lang w:val="en-GB"/>
              </w:rPr>
              <w:t>.</w:t>
            </w:r>
          </w:p>
        </w:tc>
      </w:tr>
      <w:tr w:rsidR="00C902E4" w:rsidRPr="00FE3C59" w14:paraId="1F8EF607" w14:textId="77777777" w:rsidTr="003C72E1">
        <w:tc>
          <w:tcPr>
            <w:tcW w:w="1043" w:type="dxa"/>
          </w:tcPr>
          <w:p w14:paraId="2973FA74" w14:textId="766117E7" w:rsidR="00C902E4" w:rsidRPr="00FE3C59" w:rsidRDefault="00714E02" w:rsidP="003C72E1">
            <w:pPr>
              <w:pStyle w:val="BodyText"/>
              <w:spacing w:before="120" w:after="120"/>
              <w:rPr>
                <w:rFonts w:ascii="Times New Roman" w:hAnsi="Times New Roman" w:cs="Times New Roman"/>
                <w:lang w:val="en-GB"/>
              </w:rPr>
            </w:pPr>
            <w:r>
              <w:rPr>
                <w:rFonts w:ascii="Times New Roman" w:hAnsi="Times New Roman" w:cs="Times New Roman"/>
                <w:lang w:val="en-GB"/>
              </w:rPr>
              <w:t>0030</w:t>
            </w:r>
          </w:p>
        </w:tc>
        <w:tc>
          <w:tcPr>
            <w:tcW w:w="7973" w:type="dxa"/>
          </w:tcPr>
          <w:p w14:paraId="7F88E2B2" w14:textId="0719366B" w:rsidR="00480F80" w:rsidRPr="00FE3C59" w:rsidRDefault="00480F80" w:rsidP="00480F80">
            <w:pPr>
              <w:pStyle w:val="BodyText"/>
              <w:spacing w:before="120" w:after="120"/>
              <w:rPr>
                <w:rFonts w:ascii="Times New Roman" w:hAnsi="Times New Roman" w:cs="Times New Roman"/>
                <w:b/>
                <w:u w:val="single"/>
                <w:lang w:val="en-GB"/>
              </w:rPr>
            </w:pPr>
            <w:r w:rsidRPr="00C902E4">
              <w:rPr>
                <w:rFonts w:ascii="Times New Roman" w:hAnsi="Times New Roman" w:cs="Times New Roman"/>
                <w:b/>
                <w:u w:val="single"/>
                <w:lang w:val="en-GB"/>
              </w:rPr>
              <w:t>Stress period considered for calculations as of the reference date</w:t>
            </w:r>
            <w:r w:rsidR="00E94C60">
              <w:rPr>
                <w:rFonts w:ascii="Times New Roman" w:hAnsi="Times New Roman" w:cs="Times New Roman"/>
                <w:b/>
                <w:u w:val="single"/>
                <w:lang w:val="en-GB"/>
              </w:rPr>
              <w:t xml:space="preserve"> – Number of business days</w:t>
            </w:r>
          </w:p>
          <w:p w14:paraId="615BF33B" w14:textId="281943A8" w:rsidR="005F6BFE" w:rsidRPr="004A09E7" w:rsidRDefault="004A09E7" w:rsidP="00480F80">
            <w:pPr>
              <w:pStyle w:val="BodyText"/>
              <w:spacing w:before="120" w:after="120"/>
              <w:rPr>
                <w:rFonts w:ascii="Times New Roman" w:hAnsi="Times New Roman" w:cs="Times New Roman"/>
                <w:lang w:val="en-GB"/>
              </w:rPr>
            </w:pPr>
            <w:r>
              <w:rPr>
                <w:rFonts w:ascii="Times New Roman" w:hAnsi="Times New Roman" w:cs="Times New Roman"/>
                <w:lang w:val="en-GB"/>
              </w:rPr>
              <w:t>I</w:t>
            </w:r>
            <w:r w:rsidR="008D721E">
              <w:rPr>
                <w:rFonts w:ascii="Times New Roman" w:hAnsi="Times New Roman" w:cs="Times New Roman"/>
                <w:lang w:val="en-GB"/>
              </w:rPr>
              <w:t>nstitutions</w:t>
            </w:r>
            <w:r w:rsidR="002B4031">
              <w:rPr>
                <w:rFonts w:ascii="Times New Roman" w:hAnsi="Times New Roman" w:cs="Times New Roman"/>
                <w:lang w:val="en-GB"/>
              </w:rPr>
              <w:t xml:space="preserve"> shall indicate the number of </w:t>
            </w:r>
            <w:r w:rsidR="00E93AC9">
              <w:rPr>
                <w:rFonts w:ascii="Times New Roman" w:hAnsi="Times New Roman" w:cs="Times New Roman"/>
                <w:lang w:val="en-GB"/>
              </w:rPr>
              <w:t xml:space="preserve">business days </w:t>
            </w:r>
            <w:r w:rsidR="00570183">
              <w:rPr>
                <w:rFonts w:ascii="Times New Roman" w:hAnsi="Times New Roman" w:cs="Times New Roman"/>
                <w:lang w:val="en-GB"/>
              </w:rPr>
              <w:t>in the</w:t>
            </w:r>
            <w:r w:rsidR="005F6BFE">
              <w:rPr>
                <w:rFonts w:ascii="Times New Roman" w:hAnsi="Times New Roman" w:cs="Times New Roman"/>
                <w:lang w:val="en-GB"/>
              </w:rPr>
              <w:t xml:space="preserve"> </w:t>
            </w:r>
            <w:r>
              <w:rPr>
                <w:rFonts w:ascii="Times New Roman" w:hAnsi="Times New Roman" w:cs="Times New Roman"/>
                <w:lang w:val="en-GB"/>
              </w:rPr>
              <w:t xml:space="preserve">selected </w:t>
            </w:r>
            <w:r w:rsidR="005F6BFE">
              <w:rPr>
                <w:rFonts w:ascii="Times New Roman" w:hAnsi="Times New Roman" w:cs="Times New Roman"/>
                <w:lang w:val="en-GB"/>
              </w:rPr>
              <w:t>stress period.</w:t>
            </w:r>
          </w:p>
        </w:tc>
      </w:tr>
      <w:tr w:rsidR="00C902E4" w:rsidRPr="00FE3C59" w14:paraId="04EC071D" w14:textId="77777777" w:rsidTr="003C72E1">
        <w:tc>
          <w:tcPr>
            <w:tcW w:w="1043" w:type="dxa"/>
          </w:tcPr>
          <w:p w14:paraId="08DF7220" w14:textId="7A0A5503" w:rsidR="00C902E4" w:rsidRPr="00FE3C59" w:rsidRDefault="00714E02" w:rsidP="003C72E1">
            <w:pPr>
              <w:pStyle w:val="BodyText"/>
              <w:spacing w:before="120" w:after="120"/>
              <w:rPr>
                <w:rFonts w:ascii="Times New Roman" w:hAnsi="Times New Roman" w:cs="Times New Roman"/>
                <w:lang w:val="en-GB"/>
              </w:rPr>
            </w:pPr>
            <w:r>
              <w:rPr>
                <w:rFonts w:ascii="Times New Roman" w:hAnsi="Times New Roman" w:cs="Times New Roman"/>
                <w:lang w:val="en-GB"/>
              </w:rPr>
              <w:t>0040</w:t>
            </w:r>
          </w:p>
        </w:tc>
        <w:tc>
          <w:tcPr>
            <w:tcW w:w="7973" w:type="dxa"/>
          </w:tcPr>
          <w:p w14:paraId="2B9E2288" w14:textId="051E717A" w:rsidR="00480F80" w:rsidRPr="00FE3C59" w:rsidRDefault="00480F80" w:rsidP="00480F80">
            <w:pPr>
              <w:pStyle w:val="BodyText"/>
              <w:spacing w:before="120" w:after="120"/>
              <w:rPr>
                <w:rFonts w:ascii="Times New Roman" w:hAnsi="Times New Roman" w:cs="Times New Roman"/>
                <w:b/>
                <w:u w:val="single"/>
                <w:lang w:val="en-GB"/>
              </w:rPr>
            </w:pPr>
            <w:r w:rsidRPr="00C902E4">
              <w:rPr>
                <w:rFonts w:ascii="Times New Roman" w:hAnsi="Times New Roman" w:cs="Times New Roman"/>
                <w:b/>
                <w:u w:val="single"/>
                <w:lang w:val="en-GB"/>
              </w:rPr>
              <w:t>Stress period considered for calculations as of the reference date</w:t>
            </w:r>
            <w:r w:rsidR="00E94C60">
              <w:rPr>
                <w:rFonts w:ascii="Times New Roman" w:hAnsi="Times New Roman" w:cs="Times New Roman"/>
                <w:b/>
                <w:u w:val="single"/>
                <w:lang w:val="en-GB"/>
              </w:rPr>
              <w:t xml:space="preserve"> </w:t>
            </w:r>
            <w:r w:rsidR="007734FC">
              <w:rPr>
                <w:rFonts w:ascii="Times New Roman" w:hAnsi="Times New Roman" w:cs="Times New Roman"/>
                <w:b/>
                <w:u w:val="single"/>
                <w:lang w:val="en-GB"/>
              </w:rPr>
              <w:t>–</w:t>
            </w:r>
            <w:r w:rsidR="00E94C60">
              <w:rPr>
                <w:rFonts w:ascii="Times New Roman" w:hAnsi="Times New Roman" w:cs="Times New Roman"/>
                <w:b/>
                <w:u w:val="single"/>
                <w:lang w:val="en-GB"/>
              </w:rPr>
              <w:t xml:space="preserve"> </w:t>
            </w:r>
            <w:r w:rsidR="007734FC">
              <w:rPr>
                <w:rFonts w:ascii="Times New Roman" w:hAnsi="Times New Roman" w:cs="Times New Roman"/>
                <w:b/>
                <w:u w:val="single"/>
                <w:lang w:val="en-GB"/>
              </w:rPr>
              <w:t xml:space="preserve">First </w:t>
            </w:r>
            <w:r w:rsidR="00185CFA" w:rsidRPr="00185CFA">
              <w:rPr>
                <w:rFonts w:ascii="Times New Roman" w:hAnsi="Times New Roman" w:cs="Times New Roman"/>
                <w:b/>
                <w:u w:val="single"/>
                <w:lang w:val="en-GB"/>
              </w:rPr>
              <w:t>date as of which the stress period was used in the calculation of the measure</w:t>
            </w:r>
            <w:r w:rsidR="007734FC">
              <w:rPr>
                <w:rFonts w:ascii="Times New Roman" w:hAnsi="Times New Roman" w:cs="Times New Roman"/>
                <w:b/>
                <w:u w:val="single"/>
                <w:lang w:val="en-GB"/>
              </w:rPr>
              <w:t xml:space="preserve"> </w:t>
            </w:r>
          </w:p>
          <w:p w14:paraId="14A34E78" w14:textId="46A5C296" w:rsidR="00C902E4" w:rsidRDefault="005F3182" w:rsidP="00480F80">
            <w:pPr>
              <w:pStyle w:val="BodyText"/>
              <w:spacing w:before="120" w:after="120"/>
              <w:rPr>
                <w:rFonts w:ascii="Times New Roman" w:hAnsi="Times New Roman" w:cs="Times New Roman"/>
                <w:lang w:val="en-GB"/>
              </w:rPr>
            </w:pPr>
            <w:r>
              <w:rPr>
                <w:rFonts w:ascii="Times New Roman" w:hAnsi="Times New Roman" w:cs="Times New Roman"/>
                <w:lang w:val="en-GB"/>
              </w:rPr>
              <w:t xml:space="preserve">Article 8(4) of </w:t>
            </w:r>
            <w:r w:rsidR="00804AB9" w:rsidRPr="00804AB9">
              <w:rPr>
                <w:rFonts w:ascii="Times New Roman" w:hAnsi="Times New Roman" w:cs="Times New Roman"/>
                <w:lang w:val="en-GB"/>
              </w:rPr>
              <w:t>[RTS on SSRM]</w:t>
            </w:r>
          </w:p>
          <w:p w14:paraId="7F29E2BA" w14:textId="063C685C" w:rsidR="005F3182" w:rsidRPr="00C902E4" w:rsidRDefault="002F4B50" w:rsidP="00480F80">
            <w:pPr>
              <w:pStyle w:val="BodyText"/>
              <w:spacing w:before="120" w:after="120"/>
              <w:rPr>
                <w:rFonts w:ascii="Times New Roman" w:hAnsi="Times New Roman" w:cs="Times New Roman"/>
                <w:b/>
                <w:u w:val="single"/>
                <w:lang w:val="en-GB"/>
              </w:rPr>
            </w:pPr>
            <w:r w:rsidRPr="00992D8C">
              <w:rPr>
                <w:rFonts w:ascii="Times New Roman" w:hAnsi="Times New Roman" w:cs="Times New Roman"/>
                <w:lang w:val="en-GB"/>
              </w:rPr>
              <w:t xml:space="preserve">Institutions shall indicate the date </w:t>
            </w:r>
            <w:r>
              <w:rPr>
                <w:rFonts w:ascii="Times New Roman" w:hAnsi="Times New Roman" w:cs="Times New Roman"/>
                <w:lang w:val="en-GB"/>
              </w:rPr>
              <w:t xml:space="preserve">corresponding to </w:t>
            </w:r>
            <w:r w:rsidR="443DB982" w:rsidRPr="74423B4F">
              <w:rPr>
                <w:rFonts w:ascii="Times New Roman" w:hAnsi="Times New Roman" w:cs="Times New Roman"/>
                <w:lang w:val="en-GB"/>
              </w:rPr>
              <w:t>the</w:t>
            </w:r>
            <w:r w:rsidR="76DF8632" w:rsidRPr="74423B4F">
              <w:rPr>
                <w:rFonts w:ascii="Times New Roman" w:hAnsi="Times New Roman" w:cs="Times New Roman"/>
                <w:lang w:val="en-GB"/>
              </w:rPr>
              <w:t xml:space="preserve"> </w:t>
            </w:r>
            <w:r>
              <w:rPr>
                <w:rFonts w:ascii="Times New Roman" w:hAnsi="Times New Roman" w:cs="Times New Roman"/>
                <w:lang w:val="en-GB"/>
              </w:rPr>
              <w:t xml:space="preserve">first day of the </w:t>
            </w:r>
            <w:r w:rsidR="003F6E75">
              <w:rPr>
                <w:rFonts w:ascii="Times New Roman" w:hAnsi="Times New Roman" w:cs="Times New Roman"/>
                <w:lang w:val="en-GB"/>
              </w:rPr>
              <w:t>three months period ending with the reference date (re</w:t>
            </w:r>
            <w:r w:rsidR="008061FD">
              <w:rPr>
                <w:rFonts w:ascii="Times New Roman" w:hAnsi="Times New Roman" w:cs="Times New Roman"/>
                <w:lang w:val="en-GB"/>
              </w:rPr>
              <w:t>ference</w:t>
            </w:r>
            <w:r w:rsidR="003F6E75">
              <w:rPr>
                <w:rFonts w:ascii="Times New Roman" w:hAnsi="Times New Roman" w:cs="Times New Roman"/>
                <w:lang w:val="en-GB"/>
              </w:rPr>
              <w:t xml:space="preserve"> period) where </w:t>
            </w:r>
            <w:r w:rsidR="000E601B">
              <w:rPr>
                <w:rFonts w:ascii="Times New Roman" w:hAnsi="Times New Roman" w:cs="Times New Roman"/>
                <w:lang w:val="en-GB"/>
              </w:rPr>
              <w:t>they took</w:t>
            </w:r>
            <w:r w:rsidR="003F6E75">
              <w:rPr>
                <w:rFonts w:ascii="Times New Roman" w:hAnsi="Times New Roman" w:cs="Times New Roman"/>
                <w:lang w:val="en-GB"/>
              </w:rPr>
              <w:t xml:space="preserve"> the same</w:t>
            </w:r>
            <w:r w:rsidRPr="00992D8C">
              <w:rPr>
                <w:rFonts w:ascii="Times New Roman" w:hAnsi="Times New Roman" w:cs="Times New Roman"/>
                <w:lang w:val="en-GB"/>
              </w:rPr>
              <w:t xml:space="preserve"> stress period </w:t>
            </w:r>
            <w:r w:rsidR="003F6E75">
              <w:rPr>
                <w:rFonts w:ascii="Times New Roman" w:hAnsi="Times New Roman" w:cs="Times New Roman"/>
                <w:lang w:val="en-GB"/>
              </w:rPr>
              <w:t xml:space="preserve">into account </w:t>
            </w:r>
            <w:r w:rsidR="000E601B">
              <w:rPr>
                <w:rFonts w:ascii="Times New Roman" w:hAnsi="Times New Roman" w:cs="Times New Roman"/>
                <w:lang w:val="en-GB"/>
              </w:rPr>
              <w:t xml:space="preserve">for </w:t>
            </w:r>
            <w:r>
              <w:rPr>
                <w:rFonts w:ascii="Times New Roman" w:hAnsi="Times New Roman" w:cs="Times New Roman"/>
                <w:lang w:val="en-GB"/>
              </w:rPr>
              <w:t>the</w:t>
            </w:r>
            <w:r w:rsidRPr="00992D8C">
              <w:rPr>
                <w:rFonts w:ascii="Times New Roman" w:hAnsi="Times New Roman" w:cs="Times New Roman"/>
                <w:lang w:val="en-GB"/>
              </w:rPr>
              <w:t xml:space="preserve"> calculation of the </w:t>
            </w:r>
            <w:r w:rsidRPr="00FA5892">
              <w:rPr>
                <w:rFonts w:ascii="Times New Roman" w:hAnsi="Times New Roman" w:cs="Times New Roman"/>
                <w:lang w:val="en-GB"/>
              </w:rPr>
              <w:t>expected shortfall and stress scenario risk measures, respectively</w:t>
            </w:r>
            <w:r w:rsidR="000E601B">
              <w:rPr>
                <w:rFonts w:ascii="Times New Roman" w:hAnsi="Times New Roman" w:cs="Times New Roman"/>
                <w:lang w:val="en-GB"/>
              </w:rPr>
              <w:t>, as they did on the reference date.</w:t>
            </w:r>
          </w:p>
        </w:tc>
      </w:tr>
      <w:tr w:rsidR="00480F80" w:rsidRPr="00FE3C59" w14:paraId="74B0F1F9" w14:textId="77777777" w:rsidTr="003C72E1">
        <w:tc>
          <w:tcPr>
            <w:tcW w:w="1043" w:type="dxa"/>
          </w:tcPr>
          <w:p w14:paraId="622E92BB" w14:textId="36695E10" w:rsidR="00480F80" w:rsidRPr="00FE3C59" w:rsidRDefault="00714E02" w:rsidP="003C72E1">
            <w:pPr>
              <w:pStyle w:val="BodyText"/>
              <w:spacing w:before="120" w:after="120"/>
              <w:rPr>
                <w:rFonts w:ascii="Times New Roman" w:hAnsi="Times New Roman" w:cs="Times New Roman"/>
                <w:lang w:val="en-GB"/>
              </w:rPr>
            </w:pPr>
            <w:r>
              <w:rPr>
                <w:rFonts w:ascii="Times New Roman" w:hAnsi="Times New Roman" w:cs="Times New Roman"/>
                <w:lang w:val="en-GB"/>
              </w:rPr>
              <w:t>0050</w:t>
            </w:r>
          </w:p>
        </w:tc>
        <w:tc>
          <w:tcPr>
            <w:tcW w:w="7973" w:type="dxa"/>
          </w:tcPr>
          <w:p w14:paraId="433FCE39" w14:textId="7100B68C" w:rsidR="00480F80" w:rsidRPr="00FE3C59" w:rsidRDefault="000C6FEF" w:rsidP="00480F80">
            <w:pPr>
              <w:pStyle w:val="BodyText"/>
              <w:spacing w:before="120" w:after="120"/>
              <w:rPr>
                <w:rFonts w:ascii="Times New Roman" w:hAnsi="Times New Roman" w:cs="Times New Roman"/>
                <w:b/>
                <w:u w:val="single"/>
                <w:lang w:val="en-GB"/>
              </w:rPr>
            </w:pPr>
            <w:r w:rsidRPr="000C6FEF">
              <w:rPr>
                <w:rFonts w:ascii="Times New Roman" w:hAnsi="Times New Roman" w:cs="Times New Roman"/>
                <w:b/>
                <w:u w:val="single"/>
                <w:lang w:val="en-GB"/>
              </w:rPr>
              <w:t>Number of reviews of the stress period during the reference period</w:t>
            </w:r>
          </w:p>
          <w:p w14:paraId="4C27DC34" w14:textId="49200312" w:rsidR="00480F80" w:rsidRDefault="000C6FEF" w:rsidP="00480F80">
            <w:pPr>
              <w:pStyle w:val="BodyText"/>
              <w:spacing w:before="120" w:after="120"/>
              <w:rPr>
                <w:rFonts w:ascii="Times New Roman" w:hAnsi="Times New Roman" w:cs="Times New Roman"/>
                <w:lang w:val="en-GB"/>
              </w:rPr>
            </w:pPr>
            <w:r>
              <w:rPr>
                <w:rFonts w:ascii="Times New Roman" w:hAnsi="Times New Roman" w:cs="Times New Roman"/>
                <w:lang w:val="en-GB"/>
              </w:rPr>
              <w:t xml:space="preserve">Article 8(4) of </w:t>
            </w:r>
            <w:r w:rsidR="00804AB9" w:rsidRPr="00804AB9">
              <w:rPr>
                <w:rFonts w:ascii="Times New Roman" w:hAnsi="Times New Roman" w:cs="Times New Roman"/>
                <w:lang w:val="en-GB"/>
              </w:rPr>
              <w:t>[RTS on SSRM]</w:t>
            </w:r>
          </w:p>
          <w:p w14:paraId="2FC005F2" w14:textId="44DE6317" w:rsidR="000C6FEF" w:rsidRPr="00C902E4" w:rsidRDefault="008F1D15" w:rsidP="00857F90">
            <w:pPr>
              <w:pStyle w:val="BodyText"/>
              <w:spacing w:before="120" w:after="120"/>
              <w:rPr>
                <w:rFonts w:ascii="Times New Roman" w:hAnsi="Times New Roman" w:cs="Times New Roman"/>
                <w:b/>
                <w:u w:val="single"/>
                <w:lang w:val="en-GB"/>
              </w:rPr>
            </w:pPr>
            <w:r w:rsidRPr="008F1D15">
              <w:rPr>
                <w:rFonts w:ascii="Times New Roman" w:hAnsi="Times New Roman" w:cs="Times New Roman"/>
                <w:lang w:val="en-GB"/>
              </w:rPr>
              <w:lastRenderedPageBreak/>
              <w:t xml:space="preserve">Institutions shall indicate the number of </w:t>
            </w:r>
            <w:r w:rsidR="00857F90">
              <w:rPr>
                <w:rFonts w:ascii="Times New Roman" w:hAnsi="Times New Roman" w:cs="Times New Roman"/>
                <w:lang w:val="en-GB"/>
              </w:rPr>
              <w:t xml:space="preserve">times they </w:t>
            </w:r>
            <w:r w:rsidRPr="008F1D15">
              <w:rPr>
                <w:rFonts w:ascii="Times New Roman" w:hAnsi="Times New Roman" w:cs="Times New Roman"/>
                <w:lang w:val="en-GB"/>
              </w:rPr>
              <w:t>review</w:t>
            </w:r>
            <w:r w:rsidR="00857F90">
              <w:rPr>
                <w:rFonts w:ascii="Times New Roman" w:hAnsi="Times New Roman" w:cs="Times New Roman"/>
                <w:lang w:val="en-GB"/>
              </w:rPr>
              <w:t xml:space="preserve">ed </w:t>
            </w:r>
            <w:r w:rsidRPr="008F1D15">
              <w:rPr>
                <w:rFonts w:ascii="Times New Roman" w:hAnsi="Times New Roman" w:cs="Times New Roman"/>
                <w:lang w:val="en-GB"/>
              </w:rPr>
              <w:t xml:space="preserve">the selection of the stress period </w:t>
            </w:r>
            <w:r w:rsidR="0062343A">
              <w:rPr>
                <w:rFonts w:ascii="Times New Roman" w:hAnsi="Times New Roman" w:cs="Times New Roman"/>
                <w:lang w:val="en-GB"/>
              </w:rPr>
              <w:t>taken into account in the</w:t>
            </w:r>
            <w:r w:rsidR="0062343A" w:rsidRPr="00992D8C">
              <w:rPr>
                <w:rFonts w:ascii="Times New Roman" w:hAnsi="Times New Roman" w:cs="Times New Roman"/>
                <w:lang w:val="en-GB"/>
              </w:rPr>
              <w:t xml:space="preserve"> calculation of the </w:t>
            </w:r>
            <w:r w:rsidR="0062343A" w:rsidRPr="00FA5892">
              <w:rPr>
                <w:rFonts w:ascii="Times New Roman" w:hAnsi="Times New Roman" w:cs="Times New Roman"/>
                <w:lang w:val="en-GB"/>
              </w:rPr>
              <w:t>expected shortfall and stress scenario risk measures, respectively</w:t>
            </w:r>
            <w:r w:rsidR="00857F90">
              <w:rPr>
                <w:rFonts w:ascii="Times New Roman" w:hAnsi="Times New Roman" w:cs="Times New Roman"/>
                <w:lang w:val="en-GB"/>
              </w:rPr>
              <w:t xml:space="preserve">, </w:t>
            </w:r>
            <w:r w:rsidRPr="008F1D15">
              <w:rPr>
                <w:rFonts w:ascii="Times New Roman" w:hAnsi="Times New Roman" w:cs="Times New Roman"/>
                <w:lang w:val="en-GB"/>
              </w:rPr>
              <w:t>during the reference period</w:t>
            </w:r>
            <w:r w:rsidR="00857F90">
              <w:rPr>
                <w:rFonts w:ascii="Times New Roman" w:hAnsi="Times New Roman" w:cs="Times New Roman"/>
                <w:lang w:val="en-GB"/>
              </w:rPr>
              <w:t>.</w:t>
            </w:r>
          </w:p>
        </w:tc>
      </w:tr>
      <w:tr w:rsidR="00480F80" w:rsidRPr="00FE3C59" w14:paraId="721D7D24" w14:textId="77777777" w:rsidTr="003C72E1">
        <w:tc>
          <w:tcPr>
            <w:tcW w:w="1043" w:type="dxa"/>
          </w:tcPr>
          <w:p w14:paraId="49265DDD" w14:textId="0AFA5D8B" w:rsidR="00480F80" w:rsidRPr="00FE3C59" w:rsidRDefault="00714E02" w:rsidP="003C72E1">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0060</w:t>
            </w:r>
          </w:p>
        </w:tc>
        <w:tc>
          <w:tcPr>
            <w:tcW w:w="7973" w:type="dxa"/>
          </w:tcPr>
          <w:p w14:paraId="4F84CB2E" w14:textId="77777777" w:rsidR="00480F80" w:rsidRDefault="000C6FEF" w:rsidP="00480F80">
            <w:pPr>
              <w:pStyle w:val="BodyText"/>
              <w:spacing w:before="120" w:after="120"/>
              <w:rPr>
                <w:rFonts w:ascii="Times New Roman" w:hAnsi="Times New Roman" w:cs="Times New Roman"/>
                <w:b/>
                <w:u w:val="single"/>
                <w:lang w:val="en-GB"/>
              </w:rPr>
            </w:pPr>
            <w:r w:rsidRPr="000C6FEF">
              <w:rPr>
                <w:rFonts w:ascii="Times New Roman" w:hAnsi="Times New Roman" w:cs="Times New Roman"/>
                <w:b/>
                <w:u w:val="single"/>
                <w:lang w:val="en-GB"/>
              </w:rPr>
              <w:t xml:space="preserve">Comments </w:t>
            </w:r>
          </w:p>
          <w:p w14:paraId="5FEBBF79" w14:textId="452DCD03" w:rsidR="001800C5" w:rsidRPr="00C902E4" w:rsidRDefault="001800C5" w:rsidP="00480F80">
            <w:pPr>
              <w:pStyle w:val="BodyText"/>
              <w:spacing w:before="120" w:after="120"/>
              <w:rPr>
                <w:rFonts w:ascii="Times New Roman" w:hAnsi="Times New Roman" w:cs="Times New Roman"/>
                <w:b/>
                <w:u w:val="single"/>
                <w:lang w:val="en-GB"/>
              </w:rPr>
            </w:pPr>
            <w:r w:rsidRPr="001800C5">
              <w:rPr>
                <w:rFonts w:ascii="Times New Roman" w:hAnsi="Times New Roman" w:cs="Times New Roman"/>
                <w:lang w:val="en-GB"/>
              </w:rPr>
              <w:t xml:space="preserve">Institutions may </w:t>
            </w:r>
            <w:r w:rsidR="00B4731E">
              <w:rPr>
                <w:rFonts w:ascii="Times New Roman" w:hAnsi="Times New Roman" w:cs="Times New Roman"/>
                <w:lang w:val="en-GB"/>
              </w:rPr>
              <w:t xml:space="preserve">provide further information </w:t>
            </w:r>
            <w:r w:rsidR="0090256C">
              <w:rPr>
                <w:rFonts w:ascii="Times New Roman" w:hAnsi="Times New Roman" w:cs="Times New Roman"/>
                <w:lang w:val="en-GB"/>
              </w:rPr>
              <w:t xml:space="preserve">on the stress periods selected for the calculation </w:t>
            </w:r>
            <w:r w:rsidR="0090256C" w:rsidRPr="00992D8C">
              <w:rPr>
                <w:rFonts w:ascii="Times New Roman" w:hAnsi="Times New Roman" w:cs="Times New Roman"/>
                <w:lang w:val="en-GB"/>
              </w:rPr>
              <w:t xml:space="preserve">of the </w:t>
            </w:r>
            <w:r w:rsidR="0090256C" w:rsidRPr="00FA5892">
              <w:rPr>
                <w:rFonts w:ascii="Times New Roman" w:hAnsi="Times New Roman" w:cs="Times New Roman"/>
                <w:lang w:val="en-GB"/>
              </w:rPr>
              <w:t>expected shortfall and stress scenario risk measures, respectively</w:t>
            </w:r>
            <w:r w:rsidR="0090256C">
              <w:rPr>
                <w:rFonts w:ascii="Times New Roman" w:hAnsi="Times New Roman" w:cs="Times New Roman"/>
                <w:lang w:val="en-GB"/>
              </w:rPr>
              <w:t xml:space="preserve">, </w:t>
            </w:r>
            <w:r w:rsidR="003C492F">
              <w:rPr>
                <w:rFonts w:ascii="Times New Roman" w:hAnsi="Times New Roman" w:cs="Times New Roman"/>
                <w:lang w:val="en-GB"/>
              </w:rPr>
              <w:t>and explain any of the information provided in columns 0010 to 0050.</w:t>
            </w:r>
          </w:p>
        </w:tc>
      </w:tr>
    </w:tbl>
    <w:p w14:paraId="57A749AE" w14:textId="77777777" w:rsidR="005B42F7" w:rsidRDefault="005B42F7" w:rsidP="005B42F7">
      <w:pPr>
        <w:pStyle w:val="body"/>
      </w:pPr>
    </w:p>
    <w:tbl>
      <w:tblPr>
        <w:tblStyle w:val="TableGrid"/>
        <w:tblW w:w="0" w:type="auto"/>
        <w:tblLook w:val="04A0" w:firstRow="1" w:lastRow="0" w:firstColumn="1" w:lastColumn="0" w:noHBand="0" w:noVBand="1"/>
      </w:tblPr>
      <w:tblGrid>
        <w:gridCol w:w="1043"/>
        <w:gridCol w:w="7973"/>
      </w:tblGrid>
      <w:tr w:rsidR="005B42F7" w:rsidRPr="00FE3C59" w14:paraId="52E19B10" w14:textId="77777777" w:rsidTr="003C72E1">
        <w:tc>
          <w:tcPr>
            <w:tcW w:w="1043" w:type="dxa"/>
            <w:shd w:val="clear" w:color="auto" w:fill="BFBFBF" w:themeFill="background1" w:themeFillShade="BF"/>
          </w:tcPr>
          <w:p w14:paraId="02E7540C" w14:textId="3F0361F4" w:rsidR="005B42F7" w:rsidRPr="00FE3C59" w:rsidRDefault="00F030B7" w:rsidP="003C72E1">
            <w:pPr>
              <w:pStyle w:val="BodyText"/>
              <w:spacing w:before="120" w:after="120"/>
              <w:rPr>
                <w:rFonts w:ascii="Times New Roman" w:hAnsi="Times New Roman" w:cs="Times New Roman"/>
                <w:b/>
                <w:lang w:val="en-GB"/>
              </w:rPr>
            </w:pPr>
            <w:r>
              <w:rPr>
                <w:rFonts w:ascii="Times New Roman" w:hAnsi="Times New Roman" w:cs="Times New Roman"/>
                <w:b/>
                <w:lang w:val="en-GB"/>
              </w:rPr>
              <w:t>Row</w:t>
            </w:r>
          </w:p>
        </w:tc>
        <w:tc>
          <w:tcPr>
            <w:tcW w:w="7973" w:type="dxa"/>
            <w:shd w:val="clear" w:color="auto" w:fill="BFBFBF" w:themeFill="background1" w:themeFillShade="BF"/>
          </w:tcPr>
          <w:p w14:paraId="7F900375" w14:textId="77777777" w:rsidR="005B42F7" w:rsidRPr="00FE3C59" w:rsidRDefault="005B42F7" w:rsidP="003C72E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5B42F7" w:rsidRPr="00FE3C59" w14:paraId="35ACAD86" w14:textId="77777777" w:rsidTr="003C72E1">
        <w:tc>
          <w:tcPr>
            <w:tcW w:w="1043" w:type="dxa"/>
          </w:tcPr>
          <w:p w14:paraId="34069373" w14:textId="49A10D6C" w:rsidR="005B42F7" w:rsidRPr="00FE3C59" w:rsidRDefault="00F030B7" w:rsidP="003C72E1">
            <w:pPr>
              <w:pStyle w:val="BodyText"/>
              <w:spacing w:before="120" w:after="120"/>
              <w:rPr>
                <w:rFonts w:ascii="Times New Roman" w:hAnsi="Times New Roman" w:cs="Times New Roman"/>
                <w:lang w:val="en-GB"/>
              </w:rPr>
            </w:pPr>
            <w:r>
              <w:rPr>
                <w:rFonts w:ascii="Times New Roman" w:hAnsi="Times New Roman" w:cs="Times New Roman"/>
                <w:lang w:val="en-GB"/>
              </w:rPr>
              <w:t>0010</w:t>
            </w:r>
          </w:p>
        </w:tc>
        <w:tc>
          <w:tcPr>
            <w:tcW w:w="7973" w:type="dxa"/>
          </w:tcPr>
          <w:p w14:paraId="347989EA" w14:textId="0A52FA80" w:rsidR="005B42F7" w:rsidRPr="00475DAB" w:rsidRDefault="00F030B7" w:rsidP="00475DAB">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 xml:space="preserve">Expected shortfall measure: </w:t>
            </w:r>
            <w:r w:rsidR="00475DAB">
              <w:rPr>
                <w:rFonts w:ascii="Times New Roman" w:hAnsi="Times New Roman" w:cs="Times New Roman"/>
                <w:b/>
                <w:u w:val="single"/>
                <w:lang w:val="en-GB"/>
              </w:rPr>
              <w:t>All modellable risk factors</w:t>
            </w:r>
          </w:p>
        </w:tc>
      </w:tr>
      <w:tr w:rsidR="005B42F7" w:rsidRPr="00FE3C59" w14:paraId="5F36196B" w14:textId="77777777" w:rsidTr="003C72E1">
        <w:tc>
          <w:tcPr>
            <w:tcW w:w="1043" w:type="dxa"/>
          </w:tcPr>
          <w:p w14:paraId="3C89CD83" w14:textId="47DC24ED" w:rsidR="005B42F7" w:rsidRPr="00FE3C59" w:rsidRDefault="005B42F7" w:rsidP="003C72E1">
            <w:pPr>
              <w:pStyle w:val="BodyText"/>
              <w:spacing w:before="120" w:after="120"/>
              <w:rPr>
                <w:rFonts w:ascii="Times New Roman" w:hAnsi="Times New Roman" w:cs="Times New Roman"/>
                <w:lang w:val="en-GB"/>
              </w:rPr>
            </w:pPr>
            <w:r>
              <w:rPr>
                <w:rFonts w:ascii="Times New Roman" w:hAnsi="Times New Roman" w:cs="Times New Roman"/>
                <w:lang w:val="en-GB"/>
              </w:rPr>
              <w:t>00</w:t>
            </w:r>
            <w:r w:rsidR="00475DAB">
              <w:rPr>
                <w:rFonts w:ascii="Times New Roman" w:hAnsi="Times New Roman" w:cs="Times New Roman"/>
                <w:lang w:val="en-GB"/>
              </w:rPr>
              <w:t>2</w:t>
            </w:r>
            <w:r>
              <w:rPr>
                <w:rFonts w:ascii="Times New Roman" w:hAnsi="Times New Roman" w:cs="Times New Roman"/>
                <w:lang w:val="en-GB"/>
              </w:rPr>
              <w:t>0</w:t>
            </w:r>
            <w:r w:rsidR="00475DAB">
              <w:rPr>
                <w:rFonts w:ascii="Times New Roman" w:hAnsi="Times New Roman" w:cs="Times New Roman"/>
                <w:lang w:val="en-GB"/>
              </w:rPr>
              <w:t xml:space="preserve"> – 0060</w:t>
            </w:r>
          </w:p>
        </w:tc>
        <w:tc>
          <w:tcPr>
            <w:tcW w:w="7973" w:type="dxa"/>
          </w:tcPr>
          <w:p w14:paraId="0D9E00A5" w14:textId="612FC31C" w:rsidR="005B42F7" w:rsidRPr="00FE3C59" w:rsidRDefault="00475DAB" w:rsidP="003C72E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Stress scenario risk measure</w:t>
            </w:r>
          </w:p>
          <w:p w14:paraId="018B7C8F" w14:textId="3E7CC0A4" w:rsidR="005B42F7" w:rsidRPr="00C902E4" w:rsidRDefault="005B42F7" w:rsidP="003C72E1">
            <w:pPr>
              <w:pStyle w:val="BodyText"/>
              <w:spacing w:before="120" w:after="120"/>
              <w:rPr>
                <w:rFonts w:ascii="Times New Roman" w:hAnsi="Times New Roman" w:cs="Times New Roman"/>
                <w:b/>
                <w:u w:val="single"/>
                <w:lang w:val="en-GB"/>
              </w:rPr>
            </w:pPr>
          </w:p>
        </w:tc>
      </w:tr>
      <w:tr w:rsidR="00F671B1" w:rsidRPr="00FE3C59" w14:paraId="4C471EB2" w14:textId="77777777" w:rsidTr="003C72E1">
        <w:tc>
          <w:tcPr>
            <w:tcW w:w="1043" w:type="dxa"/>
          </w:tcPr>
          <w:p w14:paraId="1867795F" w14:textId="73CF5DD3" w:rsidR="00F671B1" w:rsidRDefault="00F671B1" w:rsidP="003C72E1">
            <w:pPr>
              <w:pStyle w:val="BodyText"/>
              <w:spacing w:before="120" w:after="120"/>
              <w:rPr>
                <w:rFonts w:ascii="Times New Roman" w:hAnsi="Times New Roman" w:cs="Times New Roman"/>
                <w:lang w:val="en-GB"/>
              </w:rPr>
            </w:pPr>
            <w:r>
              <w:rPr>
                <w:rFonts w:ascii="Times New Roman" w:hAnsi="Times New Roman" w:cs="Times New Roman"/>
                <w:lang w:val="en-GB"/>
              </w:rPr>
              <w:t>0020</w:t>
            </w:r>
          </w:p>
        </w:tc>
        <w:tc>
          <w:tcPr>
            <w:tcW w:w="7973" w:type="dxa"/>
          </w:tcPr>
          <w:p w14:paraId="6A260DBA" w14:textId="77777777" w:rsidR="00F671B1" w:rsidRDefault="00F671B1" w:rsidP="00F671B1">
            <w:pPr>
              <w:pStyle w:val="BodyText"/>
              <w:spacing w:before="120" w:after="120"/>
              <w:rPr>
                <w:rFonts w:ascii="Times New Roman" w:hAnsi="Times New Roman" w:cs="Times New Roman"/>
                <w:b/>
                <w:u w:val="single"/>
                <w:lang w:val="en-GB"/>
              </w:rPr>
            </w:pPr>
            <w:r w:rsidRPr="000C6FEF">
              <w:rPr>
                <w:rFonts w:ascii="Times New Roman" w:hAnsi="Times New Roman" w:cs="Times New Roman"/>
                <w:b/>
                <w:u w:val="single"/>
                <w:lang w:val="en-GB"/>
              </w:rPr>
              <w:t xml:space="preserve">Comments </w:t>
            </w:r>
          </w:p>
          <w:p w14:paraId="54A8014F" w14:textId="50E989DC" w:rsidR="00F671B1" w:rsidRDefault="00F671B1" w:rsidP="00F671B1">
            <w:pPr>
              <w:pStyle w:val="BodyText"/>
              <w:spacing w:before="120" w:after="120"/>
              <w:rPr>
                <w:rFonts w:ascii="Times New Roman" w:hAnsi="Times New Roman" w:cs="Times New Roman"/>
                <w:b/>
                <w:u w:val="single"/>
                <w:lang w:val="en-GB"/>
              </w:rPr>
            </w:pPr>
            <w:r w:rsidRPr="001800C5">
              <w:rPr>
                <w:rFonts w:ascii="Times New Roman" w:hAnsi="Times New Roman" w:cs="Times New Roman"/>
                <w:lang w:val="en-GB"/>
              </w:rPr>
              <w:t xml:space="preserve">Institutions may </w:t>
            </w:r>
            <w:r>
              <w:rPr>
                <w:rFonts w:ascii="Times New Roman" w:hAnsi="Times New Roman" w:cs="Times New Roman"/>
                <w:lang w:val="en-GB"/>
              </w:rPr>
              <w:t xml:space="preserve">provide further information on the stress periods selected for the calculation </w:t>
            </w:r>
            <w:r w:rsidRPr="00992D8C">
              <w:rPr>
                <w:rFonts w:ascii="Times New Roman" w:hAnsi="Times New Roman" w:cs="Times New Roman"/>
                <w:lang w:val="en-GB"/>
              </w:rPr>
              <w:t xml:space="preserve">of the </w:t>
            </w:r>
            <w:r w:rsidRPr="00FA5892">
              <w:rPr>
                <w:rFonts w:ascii="Times New Roman" w:hAnsi="Times New Roman" w:cs="Times New Roman"/>
                <w:lang w:val="en-GB"/>
              </w:rPr>
              <w:t>expected shortfall and stress scenario risk measures, respectively</w:t>
            </w:r>
            <w:r>
              <w:rPr>
                <w:rFonts w:ascii="Times New Roman" w:hAnsi="Times New Roman" w:cs="Times New Roman"/>
                <w:lang w:val="en-GB"/>
              </w:rPr>
              <w:t>, and explain any of the information provided in columns 0010 to 0050.</w:t>
            </w:r>
          </w:p>
        </w:tc>
      </w:tr>
      <w:tr w:rsidR="00F671B1" w:rsidRPr="00FE3C59" w14:paraId="26E8A9CD" w14:textId="77777777" w:rsidTr="003C72E1">
        <w:tc>
          <w:tcPr>
            <w:tcW w:w="1043" w:type="dxa"/>
          </w:tcPr>
          <w:p w14:paraId="0CF78F1F" w14:textId="74379170" w:rsidR="00F671B1" w:rsidRPr="00B45A9D" w:rsidRDefault="00F671B1" w:rsidP="003C72E1">
            <w:pPr>
              <w:pStyle w:val="BodyText"/>
              <w:spacing w:before="120" w:after="120"/>
              <w:rPr>
                <w:rFonts w:ascii="Times New Roman" w:hAnsi="Times New Roman" w:cs="Times New Roman"/>
                <w:highlight w:val="yellow"/>
                <w:lang w:val="en-GB"/>
              </w:rPr>
            </w:pPr>
            <w:r w:rsidRPr="00B45A9D">
              <w:rPr>
                <w:rFonts w:ascii="Times New Roman" w:hAnsi="Times New Roman" w:cs="Times New Roman"/>
                <w:highlight w:val="yellow"/>
                <w:lang w:val="en-GB"/>
              </w:rPr>
              <w:t>0025</w:t>
            </w:r>
          </w:p>
        </w:tc>
        <w:tc>
          <w:tcPr>
            <w:tcW w:w="7973" w:type="dxa"/>
          </w:tcPr>
          <w:p w14:paraId="18FF9A4C" w14:textId="77777777" w:rsidR="00532B58" w:rsidRPr="00B45A9D" w:rsidRDefault="00532B58" w:rsidP="00F671B1">
            <w:pPr>
              <w:pStyle w:val="BodyText"/>
              <w:spacing w:before="120" w:after="120"/>
              <w:rPr>
                <w:rFonts w:ascii="Times New Roman" w:hAnsi="Times New Roman" w:cs="Times New Roman"/>
                <w:b/>
                <w:highlight w:val="yellow"/>
                <w:u w:val="single"/>
                <w:lang w:val="en-GB"/>
              </w:rPr>
            </w:pPr>
            <w:r w:rsidRPr="00B45A9D">
              <w:rPr>
                <w:rFonts w:ascii="Times New Roman" w:hAnsi="Times New Roman" w:cs="Times New Roman"/>
                <w:b/>
                <w:highlight w:val="yellow"/>
                <w:u w:val="single"/>
                <w:lang w:val="en-GB"/>
              </w:rPr>
              <w:t>Interest rate (internal risk transfer desk)</w:t>
            </w:r>
          </w:p>
          <w:p w14:paraId="103A47FF" w14:textId="4F87A3B5" w:rsidR="00F671B1" w:rsidRPr="00B45A9D" w:rsidRDefault="005F2609" w:rsidP="00F671B1">
            <w:pPr>
              <w:pStyle w:val="BodyText"/>
              <w:spacing w:before="120" w:after="120"/>
              <w:rPr>
                <w:rFonts w:ascii="Times New Roman" w:hAnsi="Times New Roman" w:cs="Times New Roman"/>
                <w:b/>
                <w:highlight w:val="yellow"/>
                <w:u w:val="single"/>
                <w:lang w:val="en-GB"/>
              </w:rPr>
            </w:pPr>
            <w:r w:rsidRPr="00B45A9D">
              <w:rPr>
                <w:rFonts w:ascii="Times New Roman" w:hAnsi="Times New Roman" w:cs="Times New Roman"/>
                <w:highlight w:val="yellow"/>
                <w:lang w:val="en-GB"/>
              </w:rPr>
              <w:t>Where institutions establish a</w:t>
            </w:r>
            <w:r w:rsidR="00C359A6" w:rsidRPr="00B45A9D">
              <w:rPr>
                <w:rFonts w:ascii="Times New Roman" w:hAnsi="Times New Roman" w:cs="Times New Roman"/>
                <w:highlight w:val="yellow"/>
                <w:lang w:val="en-GB"/>
              </w:rPr>
              <w:t xml:space="preserve"> trading desk dedicated to the management of internal risk transfers in accordance with Article </w:t>
            </w:r>
            <w:r w:rsidR="00CD2FFB" w:rsidRPr="00B45A9D">
              <w:rPr>
                <w:rFonts w:ascii="Times New Roman" w:hAnsi="Times New Roman" w:cs="Times New Roman"/>
                <w:highlight w:val="yellow"/>
                <w:lang w:val="en-GB"/>
              </w:rPr>
              <w:t xml:space="preserve">106(5), point (b), of Regulation (EU) No 575/2013, </w:t>
            </w:r>
            <w:r w:rsidR="000F0AED" w:rsidRPr="00B45A9D">
              <w:rPr>
                <w:rFonts w:ascii="Times New Roman" w:hAnsi="Times New Roman" w:cs="Times New Roman"/>
                <w:highlight w:val="yellow"/>
                <w:lang w:val="en-GB"/>
              </w:rPr>
              <w:t>information on the stress perio</w:t>
            </w:r>
            <w:r w:rsidR="00B45A9D" w:rsidRPr="00B45A9D">
              <w:rPr>
                <w:rFonts w:ascii="Times New Roman" w:hAnsi="Times New Roman" w:cs="Times New Roman"/>
                <w:highlight w:val="yellow"/>
                <w:lang w:val="en-GB"/>
              </w:rPr>
              <w:t>d</w:t>
            </w:r>
            <w:r w:rsidR="000F0AED" w:rsidRPr="00B45A9D">
              <w:rPr>
                <w:rFonts w:ascii="Times New Roman" w:hAnsi="Times New Roman" w:cs="Times New Roman"/>
                <w:highlight w:val="yellow"/>
                <w:lang w:val="en-GB"/>
              </w:rPr>
              <w:t>s tak</w:t>
            </w:r>
            <w:r w:rsidR="00B45A9D" w:rsidRPr="00B45A9D">
              <w:rPr>
                <w:rFonts w:ascii="Times New Roman" w:hAnsi="Times New Roman" w:cs="Times New Roman"/>
                <w:highlight w:val="yellow"/>
                <w:lang w:val="en-GB"/>
              </w:rPr>
              <w:t>e</w:t>
            </w:r>
            <w:r w:rsidR="000F0AED" w:rsidRPr="00B45A9D">
              <w:rPr>
                <w:rFonts w:ascii="Times New Roman" w:hAnsi="Times New Roman" w:cs="Times New Roman"/>
                <w:highlight w:val="yellow"/>
                <w:lang w:val="en-GB"/>
              </w:rPr>
              <w:t xml:space="preserve">n into consideration for the calculation of the </w:t>
            </w:r>
            <w:r w:rsidR="00B45A9D" w:rsidRPr="00B45A9D">
              <w:rPr>
                <w:rFonts w:ascii="Times New Roman" w:hAnsi="Times New Roman" w:cs="Times New Roman"/>
                <w:highlight w:val="yellow"/>
                <w:lang w:val="en-GB"/>
              </w:rPr>
              <w:t>stress scenario risk measure for the positions allocated to that trading desk shall be reported in this row.</w:t>
            </w:r>
          </w:p>
        </w:tc>
      </w:tr>
      <w:tr w:rsidR="00F671B1" w:rsidRPr="00FE3C59" w14:paraId="482BFC65" w14:textId="77777777" w:rsidTr="003C72E1">
        <w:tc>
          <w:tcPr>
            <w:tcW w:w="1043" w:type="dxa"/>
          </w:tcPr>
          <w:p w14:paraId="0A3175FC" w14:textId="47B8E509" w:rsidR="00F671B1" w:rsidRDefault="00F671B1" w:rsidP="003C72E1">
            <w:pPr>
              <w:pStyle w:val="BodyText"/>
              <w:spacing w:before="120" w:after="120"/>
              <w:rPr>
                <w:rFonts w:ascii="Times New Roman" w:hAnsi="Times New Roman" w:cs="Times New Roman"/>
                <w:lang w:val="en-GB"/>
              </w:rPr>
            </w:pPr>
            <w:r>
              <w:rPr>
                <w:rFonts w:ascii="Times New Roman" w:hAnsi="Times New Roman" w:cs="Times New Roman"/>
                <w:lang w:val="en-GB"/>
              </w:rPr>
              <w:t>0030</w:t>
            </w:r>
          </w:p>
        </w:tc>
        <w:tc>
          <w:tcPr>
            <w:tcW w:w="7973" w:type="dxa"/>
          </w:tcPr>
          <w:p w14:paraId="2687F0C2" w14:textId="6C2A2D8E" w:rsidR="00F671B1" w:rsidRPr="000C6FEF" w:rsidRDefault="00E4754C" w:rsidP="00F671B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Credit spread</w:t>
            </w:r>
            <w:r w:rsidR="00F671B1" w:rsidRPr="000C6FEF">
              <w:rPr>
                <w:rFonts w:ascii="Times New Roman" w:hAnsi="Times New Roman" w:cs="Times New Roman"/>
                <w:b/>
                <w:u w:val="single"/>
                <w:lang w:val="en-GB"/>
              </w:rPr>
              <w:t xml:space="preserve"> </w:t>
            </w:r>
          </w:p>
        </w:tc>
      </w:tr>
      <w:tr w:rsidR="00F671B1" w:rsidRPr="00FE3C59" w14:paraId="1BB5BDD0" w14:textId="77777777" w:rsidTr="003C72E1">
        <w:tc>
          <w:tcPr>
            <w:tcW w:w="1043" w:type="dxa"/>
          </w:tcPr>
          <w:p w14:paraId="68E051D9" w14:textId="094A10FB" w:rsidR="00F671B1" w:rsidRDefault="00F671B1" w:rsidP="003C72E1">
            <w:pPr>
              <w:pStyle w:val="BodyText"/>
              <w:spacing w:before="120" w:after="120"/>
              <w:rPr>
                <w:rFonts w:ascii="Times New Roman" w:hAnsi="Times New Roman" w:cs="Times New Roman"/>
                <w:lang w:val="en-GB"/>
              </w:rPr>
            </w:pPr>
            <w:r>
              <w:rPr>
                <w:rFonts w:ascii="Times New Roman" w:hAnsi="Times New Roman" w:cs="Times New Roman"/>
                <w:lang w:val="en-GB"/>
              </w:rPr>
              <w:t>0040</w:t>
            </w:r>
          </w:p>
        </w:tc>
        <w:tc>
          <w:tcPr>
            <w:tcW w:w="7973" w:type="dxa"/>
          </w:tcPr>
          <w:p w14:paraId="00B0DA5C" w14:textId="1FFD9F5C" w:rsidR="00F671B1" w:rsidRPr="000C6FEF" w:rsidRDefault="00F671B1" w:rsidP="00F671B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Equity</w:t>
            </w:r>
          </w:p>
        </w:tc>
      </w:tr>
      <w:tr w:rsidR="00F671B1" w:rsidRPr="00FE3C59" w14:paraId="0143826B" w14:textId="77777777" w:rsidTr="003C72E1">
        <w:tc>
          <w:tcPr>
            <w:tcW w:w="1043" w:type="dxa"/>
          </w:tcPr>
          <w:p w14:paraId="3918313F" w14:textId="0D77F832" w:rsidR="00F671B1" w:rsidRDefault="00F671B1" w:rsidP="003C72E1">
            <w:pPr>
              <w:pStyle w:val="BodyText"/>
              <w:spacing w:before="120" w:after="120"/>
              <w:rPr>
                <w:rFonts w:ascii="Times New Roman" w:hAnsi="Times New Roman" w:cs="Times New Roman"/>
                <w:lang w:val="en-GB"/>
              </w:rPr>
            </w:pPr>
            <w:r>
              <w:rPr>
                <w:rFonts w:ascii="Times New Roman" w:hAnsi="Times New Roman" w:cs="Times New Roman"/>
                <w:lang w:val="en-GB"/>
              </w:rPr>
              <w:t>0050</w:t>
            </w:r>
          </w:p>
        </w:tc>
        <w:tc>
          <w:tcPr>
            <w:tcW w:w="7973" w:type="dxa"/>
          </w:tcPr>
          <w:p w14:paraId="70261D6B" w14:textId="2659AC8F" w:rsidR="00F671B1" w:rsidRPr="000C6FEF" w:rsidRDefault="00F671B1" w:rsidP="00F671B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Foreign exchange</w:t>
            </w:r>
          </w:p>
        </w:tc>
      </w:tr>
      <w:tr w:rsidR="00F671B1" w:rsidRPr="00FE3C59" w14:paraId="0ADD7C74" w14:textId="77777777" w:rsidTr="003C72E1">
        <w:tc>
          <w:tcPr>
            <w:tcW w:w="1043" w:type="dxa"/>
          </w:tcPr>
          <w:p w14:paraId="5517B21A" w14:textId="4F39E372" w:rsidR="00F671B1" w:rsidRDefault="00F671B1" w:rsidP="003C72E1">
            <w:pPr>
              <w:pStyle w:val="BodyText"/>
              <w:spacing w:before="120" w:after="120"/>
              <w:rPr>
                <w:rFonts w:ascii="Times New Roman" w:hAnsi="Times New Roman" w:cs="Times New Roman"/>
                <w:lang w:val="en-GB"/>
              </w:rPr>
            </w:pPr>
            <w:r>
              <w:rPr>
                <w:rFonts w:ascii="Times New Roman" w:hAnsi="Times New Roman" w:cs="Times New Roman"/>
                <w:lang w:val="en-GB"/>
              </w:rPr>
              <w:t>0060</w:t>
            </w:r>
          </w:p>
        </w:tc>
        <w:tc>
          <w:tcPr>
            <w:tcW w:w="7973" w:type="dxa"/>
          </w:tcPr>
          <w:p w14:paraId="091878C3" w14:textId="754CF7B7" w:rsidR="00F671B1" w:rsidRPr="000C6FEF" w:rsidRDefault="00F671B1" w:rsidP="00F671B1">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Commodity</w:t>
            </w:r>
          </w:p>
        </w:tc>
      </w:tr>
    </w:tbl>
    <w:p w14:paraId="0C950C42" w14:textId="77777777" w:rsidR="005B42F7" w:rsidRPr="005B42F7" w:rsidRDefault="005B42F7" w:rsidP="005B42F7">
      <w:pPr>
        <w:pStyle w:val="body"/>
        <w:rPr>
          <w:lang w:val="en-GB"/>
        </w:rPr>
      </w:pPr>
    </w:p>
    <w:p w14:paraId="59FAB1E6" w14:textId="47C285D5"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3.3 C 96.02: Daily risk measures (MKR IMA DRM)</w:t>
      </w:r>
    </w:p>
    <w:p w14:paraId="01879CD3"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3.3.1 General remarks</w:t>
      </w:r>
    </w:p>
    <w:p w14:paraId="4A97FD14" w14:textId="1EB85401" w:rsidR="00B530B5" w:rsidRPr="00FE3C59" w:rsidRDefault="6270B300" w:rsidP="00320C52">
      <w:pPr>
        <w:pStyle w:val="InstructionsText2"/>
        <w:numPr>
          <w:ilvl w:val="0"/>
          <w:numId w:val="57"/>
        </w:numPr>
      </w:pPr>
      <w:r w:rsidRPr="00FE3C59">
        <w:t xml:space="preserve">The template MKR IMA DRM shall be used to provide information on the daily Expected shortfall risk measure and the daily stress scenario risk measure, </w:t>
      </w:r>
      <w:r w:rsidRPr="00FE3C59">
        <w:lastRenderedPageBreak/>
        <w:t xml:space="preserve">calculated in accordance with Articles 325bb of Regulation (EU) No 575/2013, as well as the most recent default risk charge, calculated on a weekly basis or more frequently in accordance with Article 325bn of that Regulation. </w:t>
      </w:r>
    </w:p>
    <w:p w14:paraId="43D4CB79" w14:textId="38E08B46" w:rsidR="00B530B5" w:rsidRPr="00FE3C59" w:rsidRDefault="00B530B5" w:rsidP="00320C52">
      <w:pPr>
        <w:pStyle w:val="InstructionsText2"/>
        <w:numPr>
          <w:ilvl w:val="0"/>
          <w:numId w:val="57"/>
        </w:numPr>
      </w:pPr>
      <w:r w:rsidRPr="00FE3C59">
        <w:t>The information provided in this template shall cover the three-month period ending with the reference date of the report (</w:t>
      </w:r>
      <w:r w:rsidR="006C5062">
        <w:t>reference period</w:t>
      </w:r>
      <w:r w:rsidRPr="00FE3C59">
        <w:t>).</w:t>
      </w:r>
    </w:p>
    <w:p w14:paraId="558EB2C7" w14:textId="77777777" w:rsidR="00B530B5" w:rsidRPr="00FE3C59" w:rsidRDefault="00B530B5" w:rsidP="00320C52">
      <w:pPr>
        <w:pStyle w:val="InstructionsText2"/>
        <w:numPr>
          <w:ilvl w:val="0"/>
          <w:numId w:val="57"/>
        </w:numPr>
      </w:pPr>
      <w:r w:rsidRPr="00FE3C59">
        <w:t>The date t reported in column 0010 of this template serves as row identifier and shall be unique for every row in the template.</w:t>
      </w:r>
    </w:p>
    <w:p w14:paraId="5E6D639E"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3.3.2 Instructions concerning specific positions</w:t>
      </w:r>
    </w:p>
    <w:tbl>
      <w:tblPr>
        <w:tblStyle w:val="TableGrid"/>
        <w:tblW w:w="0" w:type="auto"/>
        <w:tblLook w:val="04A0" w:firstRow="1" w:lastRow="0" w:firstColumn="1" w:lastColumn="0" w:noHBand="0" w:noVBand="1"/>
      </w:tblPr>
      <w:tblGrid>
        <w:gridCol w:w="1043"/>
        <w:gridCol w:w="7973"/>
      </w:tblGrid>
      <w:tr w:rsidR="00B530B5" w:rsidRPr="00FE3C59" w14:paraId="0148DEC4" w14:textId="77777777">
        <w:tc>
          <w:tcPr>
            <w:tcW w:w="1043" w:type="dxa"/>
            <w:shd w:val="clear" w:color="auto" w:fill="BFBFBF" w:themeFill="background1" w:themeFillShade="BF"/>
          </w:tcPr>
          <w:p w14:paraId="259390BF"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2924BBE4"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6DD6D60E" w14:textId="77777777">
        <w:tc>
          <w:tcPr>
            <w:tcW w:w="1043" w:type="dxa"/>
          </w:tcPr>
          <w:p w14:paraId="6396BCD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vAlign w:val="bottom"/>
          </w:tcPr>
          <w:p w14:paraId="28D8B5A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Date (t)</w:t>
            </w:r>
          </w:p>
          <w:p w14:paraId="1CBD38D6"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Institutions shall provide data for any business day in the quarter the report refers to, where at least one of the measures is calculated.</w:t>
            </w:r>
          </w:p>
          <w:tbl>
            <w:tblPr>
              <w:tblStyle w:val="TableGrid"/>
              <w:tblW w:w="0" w:type="auto"/>
              <w:tblLook w:val="04A0" w:firstRow="1" w:lastRow="0" w:firstColumn="1" w:lastColumn="0" w:noHBand="0" w:noVBand="1"/>
            </w:tblPr>
            <w:tblGrid>
              <w:gridCol w:w="7747"/>
            </w:tblGrid>
            <w:tr w:rsidR="00B530B5" w:rsidRPr="00FE3C59" w14:paraId="42C347E0" w14:textId="77777777">
              <w:tc>
                <w:tcPr>
                  <w:tcW w:w="7747" w:type="dxa"/>
                </w:tcPr>
                <w:p w14:paraId="223A1E92" w14:textId="77777777" w:rsidR="00B530B5" w:rsidRPr="00FE3C59" w:rsidRDefault="00B530B5">
                  <w:pPr>
                    <w:pStyle w:val="body"/>
                    <w:rPr>
                      <w:rFonts w:ascii="Times New Roman" w:hAnsi="Times New Roman" w:cs="Times New Roman"/>
                      <w:b/>
                      <w:bCs/>
                      <w:u w:val="single"/>
                    </w:rPr>
                  </w:pPr>
                  <w:r w:rsidRPr="00FE3C59">
                    <w:rPr>
                      <w:rFonts w:ascii="Times New Roman" w:hAnsi="Times New Roman" w:cs="Times New Roman"/>
                      <w:b/>
                      <w:bCs/>
                      <w:u w:val="single"/>
                    </w:rPr>
                    <w:t>Explanatory text for consultation purposes</w:t>
                  </w:r>
                </w:p>
                <w:p w14:paraId="2AB37CB0" w14:textId="77777777" w:rsidR="00B530B5" w:rsidRPr="00FE3C59" w:rsidRDefault="00B530B5">
                  <w:pPr>
                    <w:pStyle w:val="body"/>
                    <w:rPr>
                      <w:rFonts w:ascii="Times New Roman" w:hAnsi="Times New Roman" w:cs="Times New Roman"/>
                    </w:rPr>
                  </w:pPr>
                  <w:r w:rsidRPr="00FE3C59">
                    <w:rPr>
                      <w:rFonts w:ascii="Times New Roman" w:hAnsi="Times New Roman" w:cs="Times New Roman"/>
                    </w:rPr>
                    <w:t xml:space="preserve">In principle, institutions are expected to provide daily data for Expected shortfall risk measure and stress scenario risk measure, as well as weekly or more frequent data for the default risk charge. Thus, the data in this template should cover any business day of the quarter in question. However, there may be cases where the institution has to determine the risk measures (or one of the risk measures) only with a lower frequency – for example, the frequency of the determination of the Expected Shortfall risk measure can be reduced to weekly (see </w:t>
                  </w:r>
                  <w:bookmarkStart w:id="39" w:name="_Hlk119935140"/>
                  <w:r w:rsidRPr="00FE3C59">
                    <w:rPr>
                      <w:rFonts w:ascii="Times New Roman" w:hAnsi="Times New Roman" w:cs="Times New Roman"/>
                    </w:rPr>
                    <w:t>Article325bb(4) CRR</w:t>
                  </w:r>
                  <w:bookmarkEnd w:id="39"/>
                  <w:r w:rsidRPr="00FE3C59">
                    <w:rPr>
                      <w:rFonts w:ascii="Times New Roman" w:hAnsi="Times New Roman" w:cs="Times New Roman"/>
                    </w:rPr>
                    <w:t>). In that case, dates where none of the risk measures are calculated, or they are calculated only for internal purposes and are not considered in the normal course of the calculation of the own funds requirements (on any relevant date), should be left out.</w:t>
                  </w:r>
                </w:p>
              </w:tc>
            </w:tr>
          </w:tbl>
          <w:p w14:paraId="58A93158" w14:textId="77777777" w:rsidR="00B530B5" w:rsidRPr="00FE3C59" w:rsidRDefault="00B530B5">
            <w:pPr>
              <w:pStyle w:val="body"/>
              <w:rPr>
                <w:rFonts w:ascii="Times New Roman" w:hAnsi="Times New Roman" w:cs="Times New Roman"/>
                <w:lang w:val="en-GB"/>
              </w:rPr>
            </w:pPr>
            <w:r w:rsidRPr="00FE3C59">
              <w:rPr>
                <w:rFonts w:ascii="Times New Roman" w:hAnsi="Times New Roman" w:cs="Times New Roman"/>
              </w:rPr>
              <w:t>This is a row identifier which shall be unique for each row in the template.</w:t>
            </w:r>
          </w:p>
        </w:tc>
      </w:tr>
      <w:tr w:rsidR="00B530B5" w:rsidRPr="00FE3C59" w14:paraId="243E8D02" w14:textId="77777777">
        <w:tc>
          <w:tcPr>
            <w:tcW w:w="1043" w:type="dxa"/>
          </w:tcPr>
          <w:p w14:paraId="65DED62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vAlign w:val="bottom"/>
          </w:tcPr>
          <w:p w14:paraId="30CAE57F"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Expected shortfall risk measure (ES</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lang w:val="en-GB"/>
              </w:rPr>
              <w:t>)</w:t>
            </w:r>
          </w:p>
          <w:p w14:paraId="72D3039D"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bCs/>
                <w:lang w:val="en-GB"/>
              </w:rPr>
              <w:t>Article 325ba(1), point (a)(i), of Regulation (EU) No 575/2013</w:t>
            </w:r>
          </w:p>
        </w:tc>
      </w:tr>
      <w:tr w:rsidR="00B530B5" w:rsidRPr="00FE3C59" w14:paraId="1608DAD6" w14:textId="77777777">
        <w:tc>
          <w:tcPr>
            <w:tcW w:w="1043" w:type="dxa"/>
          </w:tcPr>
          <w:p w14:paraId="0EB439A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vAlign w:val="bottom"/>
          </w:tcPr>
          <w:p w14:paraId="331490C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Stress scenario risk measure (SS</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lang w:val="en-GB"/>
              </w:rPr>
              <w:t>)</w:t>
            </w:r>
          </w:p>
          <w:p w14:paraId="3703560C"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bCs/>
                <w:lang w:val="en-GB"/>
              </w:rPr>
              <w:t>Article 325ba(1), point (a)(ii), of Regulation (EU) No 575/2013</w:t>
            </w:r>
          </w:p>
        </w:tc>
      </w:tr>
      <w:tr w:rsidR="00B530B5" w:rsidRPr="00FE3C59" w14:paraId="5CBDF835" w14:textId="77777777">
        <w:tc>
          <w:tcPr>
            <w:tcW w:w="1043" w:type="dxa"/>
          </w:tcPr>
          <w:p w14:paraId="6CBFFA5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vAlign w:val="bottom"/>
          </w:tcPr>
          <w:p w14:paraId="1BF4AB96"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Default risk charge (DRC</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lang w:val="en-GB"/>
              </w:rPr>
              <w:t>)</w:t>
            </w:r>
          </w:p>
          <w:p w14:paraId="14675F41"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bCs/>
                <w:lang w:val="en-GB"/>
              </w:rPr>
              <w:t>Article 325ba(2), point (a), of Regulation (EU) No 575/2013</w:t>
            </w:r>
          </w:p>
        </w:tc>
      </w:tr>
    </w:tbl>
    <w:p w14:paraId="2577EDEC"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lastRenderedPageBreak/>
        <w:t>3.4</w:t>
      </w:r>
      <w:r w:rsidRPr="00FE3C59">
        <w:rPr>
          <w:rFonts w:ascii="Times New Roman" w:hAnsi="Times New Roman" w:cs="Times New Roman"/>
          <w:sz w:val="24"/>
          <w:u w:val="none"/>
          <w:lang w:val="en-GB"/>
        </w:rPr>
        <w:tab/>
        <w:t>C 96.03: Partial expected shortfalls (MKR IMA PES)</w:t>
      </w:r>
    </w:p>
    <w:p w14:paraId="04EF3335"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3.4.1 General remarks</w:t>
      </w:r>
    </w:p>
    <w:p w14:paraId="678C1BC5" w14:textId="77777777" w:rsidR="00B530B5" w:rsidRPr="00FE3C59" w:rsidRDefault="00B530B5" w:rsidP="00253413">
      <w:pPr>
        <w:pStyle w:val="InstructionsText2"/>
        <w:numPr>
          <w:ilvl w:val="0"/>
          <w:numId w:val="57"/>
        </w:numPr>
      </w:pPr>
      <w:r w:rsidRPr="00FE3C59">
        <w:t>The template MKR IMA ES shall be used to provide day-by-day information on certain inputs to the calculation of the Expected Shortfall risk measure in accordance with Article 325bb of Regulation (EU) No 575/2013.</w:t>
      </w:r>
    </w:p>
    <w:p w14:paraId="05123228" w14:textId="0E6A9B1A" w:rsidR="00B530B5" w:rsidRPr="00FE3C59" w:rsidRDefault="00B530B5" w:rsidP="00253413">
      <w:pPr>
        <w:pStyle w:val="InstructionsText2"/>
        <w:numPr>
          <w:ilvl w:val="0"/>
          <w:numId w:val="57"/>
        </w:numPr>
      </w:pPr>
      <w:r w:rsidRPr="00FE3C59">
        <w:t>The information provided in this template shall cover the three-month period ending with the reference date of the report (</w:t>
      </w:r>
      <w:r w:rsidR="006C5062">
        <w:t>reference period</w:t>
      </w:r>
      <w:r w:rsidRPr="00FE3C59">
        <w:t>).</w:t>
      </w:r>
    </w:p>
    <w:p w14:paraId="261AD6FD" w14:textId="77777777" w:rsidR="00B530B5" w:rsidRPr="00FE3C59" w:rsidRDefault="00B530B5" w:rsidP="00253413">
      <w:pPr>
        <w:pStyle w:val="InstructionsText2"/>
        <w:numPr>
          <w:ilvl w:val="0"/>
          <w:numId w:val="57"/>
        </w:numPr>
      </w:pPr>
      <w:r w:rsidRPr="00FE3C59">
        <w:t>The combination of the broad category of risk factors (column 0010) and the date t (column 0020) serves as row identifier and shall be unique for every row in the template.</w:t>
      </w:r>
    </w:p>
    <w:p w14:paraId="6EB67310"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3.4.2 Instructions concerning specific positions</w:t>
      </w:r>
    </w:p>
    <w:tbl>
      <w:tblPr>
        <w:tblStyle w:val="TableGrid"/>
        <w:tblW w:w="0" w:type="auto"/>
        <w:tblLook w:val="04A0" w:firstRow="1" w:lastRow="0" w:firstColumn="1" w:lastColumn="0" w:noHBand="0" w:noVBand="1"/>
      </w:tblPr>
      <w:tblGrid>
        <w:gridCol w:w="1043"/>
        <w:gridCol w:w="7973"/>
      </w:tblGrid>
      <w:tr w:rsidR="00B530B5" w:rsidRPr="00FE3C59" w14:paraId="7FF41C58" w14:textId="77777777" w:rsidTr="00157901">
        <w:tc>
          <w:tcPr>
            <w:tcW w:w="1043" w:type="dxa"/>
            <w:shd w:val="clear" w:color="auto" w:fill="BFBFBF" w:themeFill="background1" w:themeFillShade="BF"/>
          </w:tcPr>
          <w:p w14:paraId="68690DC5"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21421A35"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7DE66CCD" w14:textId="77777777" w:rsidTr="00157901">
        <w:tc>
          <w:tcPr>
            <w:tcW w:w="1043" w:type="dxa"/>
          </w:tcPr>
          <w:p w14:paraId="52F06BE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6C687A92"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Scope of risk factors included in calculation </w:t>
            </w:r>
          </w:p>
          <w:p w14:paraId="7F332454"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Articles 325bb and 325bd, Table 2, first column, of Regulation (EU) No 575/2013</w:t>
            </w:r>
          </w:p>
          <w:p w14:paraId="68059CEE"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The value reported shall be one of the following ones:</w:t>
            </w:r>
          </w:p>
          <w:p w14:paraId="3A623E63" w14:textId="77777777" w:rsidR="00B530B5" w:rsidRPr="00FE3C59" w:rsidRDefault="00B530B5" w:rsidP="00157901">
            <w:pPr>
              <w:pStyle w:val="BodyText"/>
              <w:numPr>
                <w:ilvl w:val="0"/>
                <w:numId w:val="27"/>
              </w:numPr>
              <w:spacing w:after="120" w:line="288" w:lineRule="auto"/>
              <w:ind w:left="357" w:hanging="357"/>
              <w:rPr>
                <w:rFonts w:ascii="Times New Roman" w:hAnsi="Times New Roman" w:cs="Times New Roman"/>
                <w:lang w:val="en-GB"/>
              </w:rPr>
            </w:pPr>
            <w:r w:rsidRPr="00FE3C59">
              <w:rPr>
                <w:rFonts w:ascii="Times New Roman" w:hAnsi="Times New Roman" w:cs="Times New Roman"/>
                <w:lang w:val="en-GB"/>
              </w:rPr>
              <w:t>Risk factors of all broad categories of market risk</w:t>
            </w:r>
            <w:r w:rsidRPr="00FE3C59">
              <w:rPr>
                <w:rFonts w:ascii="Times New Roman" w:hAnsi="Times New Roman" w:cs="Times New Roman"/>
                <w:lang w:val="en-GB"/>
              </w:rPr>
              <w:br/>
              <w:t>This value shall be used, where a risk measure is calculated at the level of the overall portfolio, and not at the level of a broad category of risk.</w:t>
            </w:r>
          </w:p>
          <w:p w14:paraId="66003354" w14:textId="77777777" w:rsidR="00B530B5" w:rsidRPr="00FE3C59" w:rsidRDefault="00B530B5" w:rsidP="00157901">
            <w:pPr>
              <w:pStyle w:val="BodyText"/>
              <w:numPr>
                <w:ilvl w:val="0"/>
                <w:numId w:val="27"/>
              </w:numPr>
              <w:spacing w:after="120" w:line="288" w:lineRule="auto"/>
              <w:ind w:left="357" w:hanging="357"/>
              <w:rPr>
                <w:rFonts w:ascii="Times New Roman" w:hAnsi="Times New Roman" w:cs="Times New Roman"/>
                <w:lang w:val="en-GB"/>
              </w:rPr>
            </w:pPr>
            <w:r w:rsidRPr="00FE3C59">
              <w:rPr>
                <w:rFonts w:ascii="Times New Roman" w:hAnsi="Times New Roman" w:cs="Times New Roman"/>
                <w:lang w:val="en-GB"/>
              </w:rPr>
              <w:t>Risk factors of the interest rate risk category</w:t>
            </w:r>
          </w:p>
          <w:p w14:paraId="30BE15C7" w14:textId="77777777" w:rsidR="00B530B5" w:rsidRPr="00FE3C59" w:rsidRDefault="00B530B5" w:rsidP="00157901">
            <w:pPr>
              <w:pStyle w:val="BodyText"/>
              <w:numPr>
                <w:ilvl w:val="0"/>
                <w:numId w:val="27"/>
              </w:numPr>
              <w:spacing w:after="120" w:line="288" w:lineRule="auto"/>
              <w:ind w:left="357" w:hanging="357"/>
              <w:rPr>
                <w:rFonts w:ascii="Times New Roman" w:hAnsi="Times New Roman" w:cs="Times New Roman"/>
                <w:lang w:val="en-GB"/>
              </w:rPr>
            </w:pPr>
            <w:r w:rsidRPr="00FE3C59">
              <w:rPr>
                <w:rFonts w:ascii="Times New Roman" w:hAnsi="Times New Roman" w:cs="Times New Roman"/>
                <w:lang w:val="en-GB"/>
              </w:rPr>
              <w:t>Risk factors of the credit spread risk category</w:t>
            </w:r>
          </w:p>
          <w:p w14:paraId="07563B3A" w14:textId="77777777" w:rsidR="00B530B5" w:rsidRPr="00FE3C59" w:rsidRDefault="00B530B5" w:rsidP="00157901">
            <w:pPr>
              <w:pStyle w:val="BodyText"/>
              <w:numPr>
                <w:ilvl w:val="0"/>
                <w:numId w:val="27"/>
              </w:numPr>
              <w:spacing w:after="120" w:line="288" w:lineRule="auto"/>
              <w:ind w:left="357" w:hanging="357"/>
              <w:rPr>
                <w:rFonts w:ascii="Times New Roman" w:hAnsi="Times New Roman" w:cs="Times New Roman"/>
                <w:lang w:val="en-GB"/>
              </w:rPr>
            </w:pPr>
            <w:r w:rsidRPr="00FE3C59">
              <w:rPr>
                <w:rFonts w:ascii="Times New Roman" w:hAnsi="Times New Roman" w:cs="Times New Roman"/>
                <w:lang w:val="en-GB"/>
              </w:rPr>
              <w:t>Risk factors of the equity risk category</w:t>
            </w:r>
          </w:p>
          <w:p w14:paraId="122AE1EF" w14:textId="77777777" w:rsidR="00B530B5" w:rsidRPr="00FE3C59" w:rsidRDefault="00B530B5" w:rsidP="00157901">
            <w:pPr>
              <w:pStyle w:val="BodyText"/>
              <w:numPr>
                <w:ilvl w:val="0"/>
                <w:numId w:val="27"/>
              </w:numPr>
              <w:spacing w:after="120" w:line="288" w:lineRule="auto"/>
              <w:ind w:left="357" w:hanging="357"/>
              <w:rPr>
                <w:rFonts w:ascii="Times New Roman" w:hAnsi="Times New Roman" w:cs="Times New Roman"/>
                <w:lang w:val="en-GB"/>
              </w:rPr>
            </w:pPr>
            <w:r w:rsidRPr="00FE3C59">
              <w:rPr>
                <w:rFonts w:ascii="Times New Roman" w:hAnsi="Times New Roman" w:cs="Times New Roman"/>
                <w:lang w:val="en-GB"/>
              </w:rPr>
              <w:t>Risk factors of the foreign exchange risk category</w:t>
            </w:r>
          </w:p>
          <w:p w14:paraId="122A5AB4" w14:textId="77777777" w:rsidR="00B530B5" w:rsidRPr="00FE3C59" w:rsidRDefault="00B530B5" w:rsidP="00157901">
            <w:pPr>
              <w:pStyle w:val="BodyText"/>
              <w:numPr>
                <w:ilvl w:val="0"/>
                <w:numId w:val="27"/>
              </w:numPr>
              <w:spacing w:after="120" w:line="288" w:lineRule="auto"/>
              <w:ind w:left="357" w:hanging="357"/>
              <w:rPr>
                <w:rFonts w:ascii="Times New Roman" w:hAnsi="Times New Roman" w:cs="Times New Roman"/>
                <w:lang w:val="en-GB"/>
              </w:rPr>
            </w:pPr>
            <w:r w:rsidRPr="00FE3C59">
              <w:rPr>
                <w:rFonts w:ascii="Times New Roman" w:hAnsi="Times New Roman" w:cs="Times New Roman"/>
                <w:lang w:val="en-GB"/>
              </w:rPr>
              <w:t>Risk factors of the commodity risk category</w:t>
            </w:r>
          </w:p>
        </w:tc>
      </w:tr>
      <w:tr w:rsidR="00B530B5" w:rsidRPr="00FE3C59" w14:paraId="052F8E94" w14:textId="77777777" w:rsidTr="00157901">
        <w:tc>
          <w:tcPr>
            <w:tcW w:w="1043" w:type="dxa"/>
          </w:tcPr>
          <w:p w14:paraId="0BE8E44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0089DED9"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Date (t)</w:t>
            </w:r>
          </w:p>
          <w:p w14:paraId="4436CBA7"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Institutions shall provide data for any business day in the quarter the report refers to, where the measures are calculated.</w:t>
            </w:r>
          </w:p>
        </w:tc>
      </w:tr>
      <w:tr w:rsidR="00B530B5" w:rsidRPr="00FE3C59" w14:paraId="33956496" w14:textId="77777777" w:rsidTr="00157901">
        <w:tc>
          <w:tcPr>
            <w:tcW w:w="1043" w:type="dxa"/>
          </w:tcPr>
          <w:p w14:paraId="0C7D789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0030-0220</w:t>
            </w:r>
          </w:p>
        </w:tc>
        <w:tc>
          <w:tcPr>
            <w:tcW w:w="7973" w:type="dxa"/>
          </w:tcPr>
          <w:p w14:paraId="448814DE"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Inputs to the calculation of the expected shortfall measure</w:t>
            </w:r>
          </w:p>
        </w:tc>
      </w:tr>
      <w:tr w:rsidR="00B530B5" w:rsidRPr="00FE3C59" w14:paraId="57A19014" w14:textId="77777777" w:rsidTr="00157901">
        <w:tc>
          <w:tcPr>
            <w:tcW w:w="1043" w:type="dxa"/>
          </w:tcPr>
          <w:p w14:paraId="0540A377"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0030-0200</w:t>
            </w:r>
          </w:p>
        </w:tc>
        <w:tc>
          <w:tcPr>
            <w:tcW w:w="7973" w:type="dxa"/>
          </w:tcPr>
          <w:p w14:paraId="1BCBBEF6"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Partial expected shortfall measures</w:t>
            </w:r>
          </w:p>
          <w:p w14:paraId="726995B7"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Article 325bb and 325bc</w:t>
            </w:r>
            <w:r w:rsidRPr="00FE3C59">
              <w:rPr>
                <w:rFonts w:ascii="Times New Roman" w:hAnsi="Times New Roman" w:cs="Times New Roman"/>
                <w:bCs/>
                <w:lang w:val="en-GB"/>
              </w:rPr>
              <w:t xml:space="preserve"> of Regulation (EU) No 575/2013</w:t>
            </w:r>
          </w:p>
        </w:tc>
      </w:tr>
      <w:tr w:rsidR="00B530B5" w:rsidRPr="00FE3C59" w14:paraId="78075F51" w14:textId="77777777" w:rsidTr="00157901">
        <w:tc>
          <w:tcPr>
            <w:tcW w:w="1043" w:type="dxa"/>
          </w:tcPr>
          <w:p w14:paraId="6C21402E"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0030-0080</w:t>
            </w:r>
          </w:p>
        </w:tc>
        <w:tc>
          <w:tcPr>
            <w:tcW w:w="7973" w:type="dxa"/>
          </w:tcPr>
          <w:p w14:paraId="52A81AA6"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Current scenario (RC)</w:t>
            </w:r>
          </w:p>
          <w:p w14:paraId="1613288D"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lastRenderedPageBreak/>
              <w:t>Articles 325bb and 325bc(1) and (3)</w:t>
            </w:r>
            <w:r w:rsidRPr="00FE3C59">
              <w:rPr>
                <w:rFonts w:ascii="Times New Roman" w:hAnsi="Times New Roman" w:cs="Times New Roman"/>
                <w:bCs/>
                <w:lang w:val="en-GB"/>
              </w:rPr>
              <w:t xml:space="preserve"> of Regulation (EU) No 575/2013</w:t>
            </w:r>
          </w:p>
        </w:tc>
      </w:tr>
      <w:tr w:rsidR="00B530B5" w:rsidRPr="00FE3C59" w14:paraId="2DB8BA11" w14:textId="77777777" w:rsidTr="00157901">
        <w:tc>
          <w:tcPr>
            <w:tcW w:w="1043" w:type="dxa"/>
          </w:tcPr>
          <w:p w14:paraId="4DE0AC2C"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0030</w:t>
            </w:r>
          </w:p>
        </w:tc>
        <w:tc>
          <w:tcPr>
            <w:tcW w:w="7973" w:type="dxa"/>
          </w:tcPr>
          <w:p w14:paraId="3F39F6AA"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Current scenario (RC):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(T)</w:t>
            </w:r>
          </w:p>
        </w:tc>
      </w:tr>
      <w:tr w:rsidR="00B530B5" w:rsidRPr="00FE3C59" w14:paraId="0752A281" w14:textId="77777777" w:rsidTr="00157901">
        <w:tc>
          <w:tcPr>
            <w:tcW w:w="1043" w:type="dxa"/>
          </w:tcPr>
          <w:p w14:paraId="22C6DDA4"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4231B0A6"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Current scenario (RC):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(T,2)</w:t>
            </w:r>
            <w:r w:rsidRPr="008735E0">
              <w:rPr>
                <w:rFonts w:ascii="Times New Roman" w:hAnsi="Times New Roman" w:cs="Times New Roman"/>
                <w:b/>
                <w:u w:val="single"/>
                <w:lang w:val="en-GB"/>
              </w:rPr>
              <w:t xml:space="preserve"> </w:t>
            </w:r>
          </w:p>
        </w:tc>
      </w:tr>
      <w:tr w:rsidR="00B530B5" w:rsidRPr="00FE3C59" w14:paraId="37CE81A4" w14:textId="77777777" w:rsidTr="00157901">
        <w:tc>
          <w:tcPr>
            <w:tcW w:w="1043" w:type="dxa"/>
          </w:tcPr>
          <w:p w14:paraId="0830EC4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tcPr>
          <w:p w14:paraId="57E64413"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Current scenario (RC):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 xml:space="preserve">(T,3) </w:t>
            </w:r>
          </w:p>
        </w:tc>
      </w:tr>
      <w:tr w:rsidR="00B530B5" w:rsidRPr="00FE3C59" w14:paraId="6418261A" w14:textId="77777777" w:rsidTr="00157901">
        <w:tc>
          <w:tcPr>
            <w:tcW w:w="1043" w:type="dxa"/>
          </w:tcPr>
          <w:p w14:paraId="08504A4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0B3DFCCE"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Current scenario (RC):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(T,4)</w:t>
            </w:r>
            <w:r w:rsidRPr="008735E0">
              <w:rPr>
                <w:rFonts w:ascii="Times New Roman" w:hAnsi="Times New Roman" w:cs="Times New Roman"/>
                <w:b/>
                <w:u w:val="single"/>
                <w:lang w:val="en-GB"/>
              </w:rPr>
              <w:t xml:space="preserve"> </w:t>
            </w:r>
          </w:p>
        </w:tc>
      </w:tr>
      <w:tr w:rsidR="00B530B5" w:rsidRPr="00FE3C59" w14:paraId="3544E840" w14:textId="77777777" w:rsidTr="00157901">
        <w:tc>
          <w:tcPr>
            <w:tcW w:w="1043" w:type="dxa"/>
          </w:tcPr>
          <w:p w14:paraId="0D7AA74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Pr>
          <w:p w14:paraId="35706E51"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Current scenario (RC):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(T,5)</w:t>
            </w:r>
            <w:r w:rsidRPr="008735E0">
              <w:rPr>
                <w:rFonts w:ascii="Times New Roman" w:hAnsi="Times New Roman" w:cs="Times New Roman"/>
                <w:b/>
                <w:u w:val="single"/>
                <w:lang w:val="en-GB"/>
              </w:rPr>
              <w:t xml:space="preserve"> </w:t>
            </w:r>
          </w:p>
        </w:tc>
      </w:tr>
      <w:tr w:rsidR="00B530B5" w:rsidRPr="00FE3C59" w14:paraId="0ACD0E20" w14:textId="77777777" w:rsidTr="00157901">
        <w:tc>
          <w:tcPr>
            <w:tcW w:w="1043" w:type="dxa"/>
          </w:tcPr>
          <w:p w14:paraId="2F8EBC63"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tcPr>
          <w:p w14:paraId="11DDF357"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Current scenario (RC): PES</w:t>
            </w:r>
            <w:r w:rsidRPr="008735E0">
              <w:rPr>
                <w:rFonts w:ascii="Times New Roman" w:hAnsi="Times New Roman" w:cs="Times New Roman"/>
                <w:b/>
                <w:u w:val="single"/>
                <w:lang w:val="en-GB"/>
              </w:rPr>
              <w:t>t</w:t>
            </w:r>
          </w:p>
        </w:tc>
      </w:tr>
      <w:tr w:rsidR="00B530B5" w:rsidRPr="00FE3C59" w14:paraId="6BACB228" w14:textId="77777777" w:rsidTr="00157901">
        <w:tc>
          <w:tcPr>
            <w:tcW w:w="1043" w:type="dxa"/>
          </w:tcPr>
          <w:p w14:paraId="77A399F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0090-0140</w:t>
            </w:r>
          </w:p>
        </w:tc>
        <w:tc>
          <w:tcPr>
            <w:tcW w:w="7973" w:type="dxa"/>
          </w:tcPr>
          <w:p w14:paraId="5A56AFB6"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Full set of risk factors – Current scenario (FC)</w:t>
            </w:r>
          </w:p>
          <w:p w14:paraId="4A9FB341"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Articles 325bb and 325bc(1) and (4)</w:t>
            </w:r>
            <w:r w:rsidRPr="00FE3C59">
              <w:rPr>
                <w:rFonts w:ascii="Times New Roman" w:hAnsi="Times New Roman" w:cs="Times New Roman"/>
                <w:bCs/>
                <w:lang w:val="en-GB"/>
              </w:rPr>
              <w:t xml:space="preserve"> of Regulation (EU) No 575/2013</w:t>
            </w:r>
          </w:p>
        </w:tc>
      </w:tr>
      <w:tr w:rsidR="00B530B5" w:rsidRPr="00FE3C59" w14:paraId="395C3911" w14:textId="77777777" w:rsidTr="00157901">
        <w:tc>
          <w:tcPr>
            <w:tcW w:w="1043" w:type="dxa"/>
          </w:tcPr>
          <w:p w14:paraId="5B3B97CC"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tcPr>
          <w:p w14:paraId="183B6346"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Full set of risk factors – Current scenario (FC):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 xml:space="preserve">(T) </w:t>
            </w:r>
          </w:p>
        </w:tc>
      </w:tr>
      <w:tr w:rsidR="00B530B5" w:rsidRPr="00FE3C59" w14:paraId="2BA30191" w14:textId="77777777" w:rsidTr="00157901">
        <w:tc>
          <w:tcPr>
            <w:tcW w:w="1043" w:type="dxa"/>
          </w:tcPr>
          <w:p w14:paraId="22060357"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tcPr>
          <w:p w14:paraId="5BBAE2FE"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Full set of risk factors – Current scenario (FC):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(T,2)</w:t>
            </w:r>
          </w:p>
        </w:tc>
      </w:tr>
      <w:tr w:rsidR="00B530B5" w:rsidRPr="00FE3C59" w14:paraId="5B575145" w14:textId="77777777" w:rsidTr="00157901">
        <w:tc>
          <w:tcPr>
            <w:tcW w:w="1043" w:type="dxa"/>
          </w:tcPr>
          <w:p w14:paraId="277FE29B"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tcPr>
          <w:p w14:paraId="7025205C"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Full set of risk factors – Current scenario (FC):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(T,3)</w:t>
            </w:r>
          </w:p>
        </w:tc>
      </w:tr>
      <w:tr w:rsidR="00B530B5" w:rsidRPr="00FE3C59" w14:paraId="24F24D9C" w14:textId="77777777" w:rsidTr="00157901">
        <w:tc>
          <w:tcPr>
            <w:tcW w:w="1043" w:type="dxa"/>
          </w:tcPr>
          <w:p w14:paraId="3FD5BAF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73" w:type="dxa"/>
          </w:tcPr>
          <w:p w14:paraId="0572ECC7"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Full set of risk factors – Current scenario (FC):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(T,4)</w:t>
            </w:r>
          </w:p>
        </w:tc>
      </w:tr>
      <w:tr w:rsidR="00B530B5" w:rsidRPr="00FE3C59" w14:paraId="4CC2EC8F" w14:textId="77777777" w:rsidTr="00157901">
        <w:tc>
          <w:tcPr>
            <w:tcW w:w="1043" w:type="dxa"/>
          </w:tcPr>
          <w:p w14:paraId="7E981FC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73" w:type="dxa"/>
          </w:tcPr>
          <w:p w14:paraId="2D08FC47"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Full set of risk factors – Current scenario (FC):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(T,5)</w:t>
            </w:r>
          </w:p>
        </w:tc>
      </w:tr>
      <w:tr w:rsidR="00B530B5" w:rsidRPr="00FE3C59" w14:paraId="3E5F6D2B" w14:textId="77777777" w:rsidTr="00157901">
        <w:tc>
          <w:tcPr>
            <w:tcW w:w="1043" w:type="dxa"/>
          </w:tcPr>
          <w:p w14:paraId="6CFA0FB3"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973" w:type="dxa"/>
          </w:tcPr>
          <w:p w14:paraId="5039397E"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Full set of risk factors – Current scenario (FC): PES</w:t>
            </w:r>
            <w:r w:rsidRPr="008735E0">
              <w:rPr>
                <w:rFonts w:ascii="Times New Roman" w:hAnsi="Times New Roman" w:cs="Times New Roman"/>
                <w:b/>
                <w:u w:val="single"/>
                <w:lang w:val="en-GB"/>
              </w:rPr>
              <w:t>t</w:t>
            </w:r>
          </w:p>
        </w:tc>
      </w:tr>
      <w:tr w:rsidR="00B530B5" w:rsidRPr="00FE3C59" w14:paraId="5BCA96C5" w14:textId="77777777" w:rsidTr="00157901">
        <w:tc>
          <w:tcPr>
            <w:tcW w:w="1043" w:type="dxa"/>
          </w:tcPr>
          <w:p w14:paraId="6DEBCEA7"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0150-0200</w:t>
            </w:r>
          </w:p>
        </w:tc>
        <w:tc>
          <w:tcPr>
            <w:tcW w:w="7973" w:type="dxa"/>
          </w:tcPr>
          <w:p w14:paraId="0A63DA2D"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Stressed scenario (RS)</w:t>
            </w:r>
          </w:p>
          <w:p w14:paraId="33B5AD6A"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Articles 325bb and 325bc(1) and (2)</w:t>
            </w:r>
            <w:r w:rsidRPr="00FE3C59">
              <w:rPr>
                <w:rFonts w:ascii="Times New Roman" w:hAnsi="Times New Roman" w:cs="Times New Roman"/>
                <w:bCs/>
                <w:lang w:val="en-GB"/>
              </w:rPr>
              <w:t xml:space="preserve"> of Regulation (EU) No 575/2013</w:t>
            </w:r>
          </w:p>
        </w:tc>
      </w:tr>
      <w:tr w:rsidR="00B530B5" w:rsidRPr="00FE3C59" w14:paraId="68D4A230" w14:textId="77777777" w:rsidTr="00157901">
        <w:tc>
          <w:tcPr>
            <w:tcW w:w="1043" w:type="dxa"/>
          </w:tcPr>
          <w:p w14:paraId="0606E68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973" w:type="dxa"/>
          </w:tcPr>
          <w:p w14:paraId="51C760AD"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Stressed scenario (RS):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(T)</w:t>
            </w:r>
          </w:p>
        </w:tc>
      </w:tr>
      <w:tr w:rsidR="00B530B5" w:rsidRPr="00FE3C59" w14:paraId="61BB30DF" w14:textId="77777777" w:rsidTr="00157901">
        <w:tc>
          <w:tcPr>
            <w:tcW w:w="1043" w:type="dxa"/>
          </w:tcPr>
          <w:p w14:paraId="405F075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73" w:type="dxa"/>
          </w:tcPr>
          <w:p w14:paraId="18AA8BA0"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Stressed scenario (RS):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(T,2)</w:t>
            </w:r>
          </w:p>
        </w:tc>
      </w:tr>
      <w:tr w:rsidR="00B530B5" w:rsidRPr="00FE3C59" w14:paraId="3099462B" w14:textId="77777777" w:rsidTr="00157901">
        <w:tc>
          <w:tcPr>
            <w:tcW w:w="1043" w:type="dxa"/>
          </w:tcPr>
          <w:p w14:paraId="654EBA3E"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0170</w:t>
            </w:r>
          </w:p>
        </w:tc>
        <w:tc>
          <w:tcPr>
            <w:tcW w:w="7973" w:type="dxa"/>
          </w:tcPr>
          <w:p w14:paraId="184BD78F"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Stressed scenario (RS):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(T,3)</w:t>
            </w:r>
          </w:p>
        </w:tc>
      </w:tr>
      <w:tr w:rsidR="00B530B5" w:rsidRPr="00FE3C59" w14:paraId="16F84C18" w14:textId="77777777" w:rsidTr="00157901">
        <w:tc>
          <w:tcPr>
            <w:tcW w:w="1043" w:type="dxa"/>
          </w:tcPr>
          <w:p w14:paraId="0325A27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973" w:type="dxa"/>
          </w:tcPr>
          <w:p w14:paraId="55D63D3E"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Stressed scenario (RS):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(T,4)</w:t>
            </w:r>
          </w:p>
        </w:tc>
      </w:tr>
      <w:tr w:rsidR="00B530B5" w:rsidRPr="00FE3C59" w14:paraId="6B7E0F67" w14:textId="77777777" w:rsidTr="00157901">
        <w:tc>
          <w:tcPr>
            <w:tcW w:w="1043" w:type="dxa"/>
          </w:tcPr>
          <w:p w14:paraId="4E8BF3A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73" w:type="dxa"/>
          </w:tcPr>
          <w:p w14:paraId="6A0F640C"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Stressed scenario (RS): PES</w:t>
            </w:r>
            <w:r w:rsidRPr="008735E0">
              <w:rPr>
                <w:rFonts w:ascii="Times New Roman" w:hAnsi="Times New Roman" w:cs="Times New Roman"/>
                <w:b/>
                <w:u w:val="single"/>
                <w:lang w:val="en-GB"/>
              </w:rPr>
              <w:t>t</w:t>
            </w:r>
            <w:r w:rsidRPr="00FE3C59">
              <w:rPr>
                <w:rFonts w:ascii="Times New Roman" w:hAnsi="Times New Roman" w:cs="Times New Roman"/>
                <w:b/>
                <w:u w:val="single"/>
                <w:lang w:val="en-GB"/>
              </w:rPr>
              <w:t>(T,5)</w:t>
            </w:r>
          </w:p>
        </w:tc>
      </w:tr>
      <w:tr w:rsidR="00B530B5" w:rsidRPr="00FE3C59" w14:paraId="1C837FDA" w14:textId="77777777" w:rsidTr="00157901">
        <w:tc>
          <w:tcPr>
            <w:tcW w:w="1043" w:type="dxa"/>
          </w:tcPr>
          <w:p w14:paraId="5E21C39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73" w:type="dxa"/>
          </w:tcPr>
          <w:p w14:paraId="5059B50C" w14:textId="77777777" w:rsidR="00B530B5" w:rsidRPr="008735E0"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Reduced set of risk factors – Stressed scenario (RS): PES</w:t>
            </w:r>
            <w:r w:rsidRPr="008735E0">
              <w:rPr>
                <w:rFonts w:ascii="Times New Roman" w:hAnsi="Times New Roman" w:cs="Times New Roman"/>
                <w:b/>
                <w:u w:val="single"/>
                <w:lang w:val="en-GB"/>
              </w:rPr>
              <w:t>t</w:t>
            </w:r>
          </w:p>
        </w:tc>
      </w:tr>
      <w:tr w:rsidR="00B530B5" w:rsidRPr="00FE3C59" w14:paraId="12BB9C8E" w14:textId="77777777" w:rsidTr="00157901">
        <w:tc>
          <w:tcPr>
            <w:tcW w:w="1043" w:type="dxa"/>
          </w:tcPr>
          <w:p w14:paraId="7BCC96A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73" w:type="dxa"/>
          </w:tcPr>
          <w:p w14:paraId="72BC50F1"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PES</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FC</w:t>
            </w:r>
            <w:r w:rsidRPr="00FE3C59">
              <w:rPr>
                <w:rFonts w:ascii="Times New Roman" w:hAnsi="Times New Roman" w:cs="Times New Roman"/>
                <w:b/>
                <w:u w:val="single"/>
                <w:lang w:val="en-GB"/>
              </w:rPr>
              <w:t>/PES</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RC</w:t>
            </w:r>
          </w:p>
          <w:p w14:paraId="3D7A2A75"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Articles 325bb and 325bc</w:t>
            </w:r>
            <w:r w:rsidRPr="00FE3C59">
              <w:rPr>
                <w:rFonts w:ascii="Times New Roman" w:hAnsi="Times New Roman" w:cs="Times New Roman"/>
                <w:bCs/>
                <w:lang w:val="en-GB"/>
              </w:rPr>
              <w:t xml:space="preserve"> of Regulation (EU) No 575/2013</w:t>
            </w:r>
          </w:p>
        </w:tc>
      </w:tr>
      <w:tr w:rsidR="00B530B5" w:rsidRPr="00FE3C59" w14:paraId="304D642B" w14:textId="77777777" w:rsidTr="00157901">
        <w:tc>
          <w:tcPr>
            <w:tcW w:w="1043" w:type="dxa"/>
          </w:tcPr>
          <w:p w14:paraId="4271A317"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0220</w:t>
            </w:r>
          </w:p>
        </w:tc>
        <w:tc>
          <w:tcPr>
            <w:tcW w:w="7973" w:type="dxa"/>
          </w:tcPr>
          <w:p w14:paraId="1C8A8957" w14:textId="77777777" w:rsidR="00B530B5" w:rsidRPr="00FE3C59" w:rsidRDefault="00B530B5" w:rsidP="0015790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Unconstrained expected shortfall (UES</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lang w:val="en-GB"/>
              </w:rPr>
              <w:t>)</w:t>
            </w:r>
          </w:p>
          <w:p w14:paraId="09C39C3C" w14:textId="77777777" w:rsidR="00B530B5" w:rsidRPr="00FE3C59" w:rsidRDefault="00B530B5" w:rsidP="00157901">
            <w:pPr>
              <w:pStyle w:val="BodyText"/>
              <w:spacing w:after="120"/>
              <w:rPr>
                <w:rFonts w:ascii="Times New Roman" w:hAnsi="Times New Roman" w:cs="Times New Roman"/>
                <w:lang w:val="en-GB"/>
              </w:rPr>
            </w:pPr>
            <w:r w:rsidRPr="00FE3C59">
              <w:rPr>
                <w:rFonts w:ascii="Times New Roman" w:hAnsi="Times New Roman" w:cs="Times New Roman"/>
                <w:lang w:val="en-GB"/>
              </w:rPr>
              <w:t>Articles 325bb and 325bc</w:t>
            </w:r>
            <w:r w:rsidRPr="00FE3C59">
              <w:rPr>
                <w:rFonts w:ascii="Times New Roman" w:hAnsi="Times New Roman" w:cs="Times New Roman"/>
                <w:bCs/>
                <w:lang w:val="en-GB"/>
              </w:rPr>
              <w:t xml:space="preserve"> of Regulation (EU) No 575/2013</w:t>
            </w:r>
          </w:p>
        </w:tc>
      </w:tr>
    </w:tbl>
    <w:p w14:paraId="76F784C6"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lastRenderedPageBreak/>
        <w:t>3.5 Backtesting and profit and loss attribution test</w:t>
      </w:r>
    </w:p>
    <w:p w14:paraId="10AD90A0"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3.5.1</w:t>
      </w:r>
      <w:r w:rsidRPr="00FE3C59">
        <w:rPr>
          <w:rFonts w:ascii="Times New Roman" w:hAnsi="Times New Roman" w:cs="Times New Roman"/>
          <w:sz w:val="24"/>
          <w:u w:val="none"/>
          <w:lang w:val="en-GB"/>
        </w:rPr>
        <w:tab/>
        <w:t>C 96.04.1: Backtesting at institution level (MKR IMA BTI)</w:t>
      </w:r>
    </w:p>
    <w:p w14:paraId="6D9204CB"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3.5.1.1 General remarks</w:t>
      </w:r>
    </w:p>
    <w:p w14:paraId="15CEC234" w14:textId="77777777" w:rsidR="00B530B5" w:rsidRPr="00FE3C59" w:rsidRDefault="00B530B5" w:rsidP="00253413">
      <w:pPr>
        <w:pStyle w:val="InstructionsText2"/>
        <w:numPr>
          <w:ilvl w:val="0"/>
          <w:numId w:val="57"/>
        </w:numPr>
      </w:pPr>
      <w:r w:rsidRPr="00FE3C59">
        <w:t>The template MKR IMA BTI shall be used to provide information on the results of the backtesting at institution level, which are considered for the determination of the quantitative add-on to the multiplication factor m</w:t>
      </w:r>
      <w:r w:rsidRPr="00FE3C59">
        <w:rPr>
          <w:vertAlign w:val="subscript"/>
        </w:rPr>
        <w:t>c</w:t>
      </w:r>
      <w:r w:rsidRPr="00FE3C59">
        <w:t xml:space="preserve">. </w:t>
      </w:r>
    </w:p>
    <w:p w14:paraId="37FD1271" w14:textId="13C18533" w:rsidR="00B530B5" w:rsidRPr="00FE3C59" w:rsidRDefault="00B530B5" w:rsidP="00253413">
      <w:pPr>
        <w:pStyle w:val="InstructionsText2"/>
        <w:numPr>
          <w:ilvl w:val="0"/>
          <w:numId w:val="57"/>
        </w:numPr>
      </w:pPr>
      <w:r w:rsidRPr="00FE3C59">
        <w:t>The information provided in this template shall cover the three-month period ending with the reference date of the report (</w:t>
      </w:r>
      <w:r w:rsidR="006C5062">
        <w:t>reference period</w:t>
      </w:r>
      <w:r w:rsidRPr="00FE3C59">
        <w:t>).</w:t>
      </w:r>
    </w:p>
    <w:p w14:paraId="02B952D2" w14:textId="77777777" w:rsidR="00B530B5" w:rsidRPr="00FE3C59" w:rsidRDefault="00B530B5" w:rsidP="00253413">
      <w:pPr>
        <w:pStyle w:val="InstructionsText2"/>
        <w:numPr>
          <w:ilvl w:val="0"/>
          <w:numId w:val="57"/>
        </w:numPr>
      </w:pPr>
      <w:r w:rsidRPr="00FE3C59">
        <w:t>The date t reported in column 0010 of this template serves as row identifier and shall be unique for every row in the template.</w:t>
      </w:r>
    </w:p>
    <w:p w14:paraId="1AAAE6A2"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3.5.2 Instructions concerning specific positions</w:t>
      </w:r>
    </w:p>
    <w:tbl>
      <w:tblPr>
        <w:tblStyle w:val="TableGrid"/>
        <w:tblW w:w="0" w:type="auto"/>
        <w:tblLook w:val="04A0" w:firstRow="1" w:lastRow="0" w:firstColumn="1" w:lastColumn="0" w:noHBand="0" w:noVBand="1"/>
      </w:tblPr>
      <w:tblGrid>
        <w:gridCol w:w="1043"/>
        <w:gridCol w:w="7973"/>
      </w:tblGrid>
      <w:tr w:rsidR="00B530B5" w:rsidRPr="00FE3C59" w14:paraId="154C57C5" w14:textId="77777777" w:rsidTr="005154BB">
        <w:tc>
          <w:tcPr>
            <w:tcW w:w="1043" w:type="dxa"/>
            <w:shd w:val="clear" w:color="auto" w:fill="BFBFBF" w:themeFill="background1" w:themeFillShade="BF"/>
          </w:tcPr>
          <w:p w14:paraId="295E8C01" w14:textId="77777777" w:rsidR="00B530B5" w:rsidRPr="00FE3C59" w:rsidRDefault="00B530B5" w:rsidP="005154BB">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2B2DC0DB" w14:textId="77777777" w:rsidR="00B530B5" w:rsidRPr="00FE3C59" w:rsidRDefault="00B530B5" w:rsidP="005154BB">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2A119C4C" w14:textId="77777777" w:rsidTr="005154BB">
        <w:tc>
          <w:tcPr>
            <w:tcW w:w="1043" w:type="dxa"/>
          </w:tcPr>
          <w:p w14:paraId="2CCFDB9D"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3D28CE9B"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Date (t)</w:t>
            </w:r>
          </w:p>
          <w:p w14:paraId="618AEF77"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Institutions shall provide data for any business day in the quarter the report refers to.</w:t>
            </w:r>
          </w:p>
        </w:tc>
      </w:tr>
      <w:tr w:rsidR="00B530B5" w:rsidRPr="00FE3C59" w14:paraId="0F1B3C15" w14:textId="77777777" w:rsidTr="005154BB">
        <w:tc>
          <w:tcPr>
            <w:tcW w:w="1043" w:type="dxa"/>
          </w:tcPr>
          <w:p w14:paraId="00A5D0F3"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744DBCBC"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Value at risk (1 day holding period, 99% confidence interval) (VaR</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(99%,1d)</w:t>
            </w:r>
            <w:r w:rsidRPr="00FE3C59">
              <w:rPr>
                <w:rFonts w:ascii="Times New Roman" w:hAnsi="Times New Roman" w:cs="Times New Roman"/>
                <w:b/>
                <w:u w:val="single"/>
                <w:lang w:val="en-GB"/>
              </w:rPr>
              <w:t>)</w:t>
            </w:r>
          </w:p>
          <w:p w14:paraId="654E7CEB"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Article 325bf(6)</w:t>
            </w:r>
            <w:r w:rsidRPr="00FE3C59">
              <w:rPr>
                <w:rFonts w:ascii="Times New Roman" w:hAnsi="Times New Roman" w:cs="Times New Roman"/>
                <w:bCs/>
                <w:lang w:val="en-GB"/>
              </w:rPr>
              <w:t xml:space="preserve"> of Regulation (EU) No 575/2013</w:t>
            </w:r>
          </w:p>
        </w:tc>
      </w:tr>
      <w:tr w:rsidR="00B530B5" w:rsidRPr="00FE3C59" w14:paraId="5AD27DCF" w14:textId="77777777" w:rsidTr="005154BB">
        <w:tc>
          <w:tcPr>
            <w:tcW w:w="1043" w:type="dxa"/>
          </w:tcPr>
          <w:p w14:paraId="22DCBD02"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094BC53B"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Expected shortfall (1 day holding period, 99% confidence interval) (ES</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(99%,1d)</w:t>
            </w:r>
            <w:r w:rsidRPr="00FE3C59">
              <w:rPr>
                <w:rFonts w:ascii="Times New Roman" w:hAnsi="Times New Roman" w:cs="Times New Roman"/>
                <w:b/>
                <w:u w:val="single"/>
                <w:lang w:val="en-GB"/>
              </w:rPr>
              <w:t>)</w:t>
            </w:r>
          </w:p>
          <w:p w14:paraId="3ADA1132"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The Expected shortfall over a 1-day period with a 99% confidence interval, using the P&amp;Ls used by the institution to determine the Value at Risk number referred to in Article 325bf(6)</w:t>
            </w:r>
            <w:r w:rsidRPr="00FE3C59">
              <w:rPr>
                <w:rFonts w:ascii="Times New Roman" w:hAnsi="Times New Roman" w:cs="Times New Roman"/>
                <w:bCs/>
                <w:lang w:val="en-GB"/>
              </w:rPr>
              <w:t xml:space="preserve"> of Regulation (EU) No 575/2013 shall be reported.</w:t>
            </w:r>
          </w:p>
        </w:tc>
      </w:tr>
      <w:tr w:rsidR="00B530B5" w:rsidRPr="00FE3C59" w14:paraId="36058817" w14:textId="77777777" w:rsidTr="005154BB">
        <w:tc>
          <w:tcPr>
            <w:tcW w:w="1043" w:type="dxa"/>
          </w:tcPr>
          <w:p w14:paraId="58315573"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77A80227"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Actual profit (+) or loss (-) (APL)</w:t>
            </w:r>
          </w:p>
          <w:p w14:paraId="03678928"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 xml:space="preserve">Article 325bf(4) and (6) </w:t>
            </w:r>
            <w:r w:rsidRPr="00FE3C59">
              <w:rPr>
                <w:rFonts w:ascii="Times New Roman" w:hAnsi="Times New Roman" w:cs="Times New Roman"/>
                <w:bCs/>
                <w:lang w:val="en-GB"/>
              </w:rPr>
              <w:t>of Regulation (EU) No 575/2013</w:t>
            </w:r>
            <w:r w:rsidRPr="00FE3C59">
              <w:rPr>
                <w:rFonts w:ascii="Times New Roman" w:hAnsi="Times New Roman" w:cs="Times New Roman"/>
                <w:lang w:val="en-GB"/>
              </w:rPr>
              <w:t>, Article 2 of Regulation (EU) 2022/2059</w:t>
            </w:r>
          </w:p>
        </w:tc>
      </w:tr>
      <w:tr w:rsidR="00B530B5" w:rsidRPr="00FE3C59" w14:paraId="662C1576" w14:textId="77777777" w:rsidTr="005154BB">
        <w:tc>
          <w:tcPr>
            <w:tcW w:w="1043" w:type="dxa"/>
          </w:tcPr>
          <w:p w14:paraId="0D42BBEA"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tcPr>
          <w:p w14:paraId="542FC684"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APL: p-Value</w:t>
            </w:r>
          </w:p>
          <w:p w14:paraId="47DF8CDF" w14:textId="6F475713" w:rsidR="00B530B5" w:rsidRPr="00FE3C59" w:rsidRDefault="00B530B5" w:rsidP="005154BB">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The p-Value</w:t>
            </w:r>
            <w:r w:rsidR="00AF286E">
              <w:rPr>
                <w:rFonts w:ascii="Times New Roman" w:hAnsi="Times New Roman" w:cs="Times New Roman"/>
                <w:lang w:val="en-GB"/>
              </w:rPr>
              <w:t xml:space="preserve"> </w:t>
            </w:r>
            <w:r w:rsidR="00AA798A">
              <w:rPr>
                <w:rFonts w:ascii="Times New Roman" w:hAnsi="Times New Roman" w:cs="Times New Roman"/>
                <w:lang w:val="en-GB"/>
              </w:rPr>
              <w:t>shall be</w:t>
            </w:r>
            <w:r w:rsidR="00AF286E">
              <w:rPr>
                <w:rFonts w:ascii="Times New Roman" w:hAnsi="Times New Roman" w:cs="Times New Roman"/>
                <w:lang w:val="en-GB"/>
              </w:rPr>
              <w:t xml:space="preserve"> determined</w:t>
            </w:r>
            <w:r w:rsidRPr="00FE3C59">
              <w:rPr>
                <w:rFonts w:ascii="Times New Roman" w:hAnsi="Times New Roman" w:cs="Times New Roman"/>
                <w:lang w:val="en-GB"/>
              </w:rPr>
              <w:t xml:space="preserve"> as the probability of obtaining an APL result</w:t>
            </w:r>
            <w:r w:rsidR="00BA18A1">
              <w:rPr>
                <w:rFonts w:ascii="Times New Roman" w:hAnsi="Times New Roman" w:cs="Times New Roman"/>
                <w:lang w:val="en-GB"/>
              </w:rPr>
              <w:t xml:space="preserve"> that is</w:t>
            </w:r>
            <w:r w:rsidRPr="00FE3C59">
              <w:rPr>
                <w:rFonts w:ascii="Times New Roman" w:hAnsi="Times New Roman" w:cs="Times New Roman"/>
                <w:lang w:val="en-GB"/>
              </w:rPr>
              <w:t xml:space="preserve"> at least as low as the one on that date t under the assumption that the APL is the distribution used to determine the Value at Risk number referred to in Article 325bf(1) of Regulation (EU) No 575/2013.</w:t>
            </w:r>
          </w:p>
        </w:tc>
      </w:tr>
      <w:tr w:rsidR="00B530B5" w:rsidRPr="00FE3C59" w14:paraId="5452F696" w14:textId="77777777" w:rsidTr="005154BB">
        <w:tc>
          <w:tcPr>
            <w:tcW w:w="1043" w:type="dxa"/>
          </w:tcPr>
          <w:p w14:paraId="44403086"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6D926AA8"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Hypothetical profit (+) or loss (-) (HPL)</w:t>
            </w:r>
          </w:p>
          <w:p w14:paraId="2512910A"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Article 325bf(4) and (6)</w:t>
            </w:r>
            <w:r w:rsidRPr="00FE3C59">
              <w:rPr>
                <w:rFonts w:ascii="Times New Roman" w:hAnsi="Times New Roman" w:cs="Times New Roman"/>
                <w:bCs/>
                <w:lang w:val="en-GB"/>
              </w:rPr>
              <w:t xml:space="preserve"> of Regulation (EU) No 575/2013</w:t>
            </w:r>
            <w:r w:rsidRPr="00FE3C59">
              <w:rPr>
                <w:rFonts w:ascii="Times New Roman" w:hAnsi="Times New Roman" w:cs="Times New Roman"/>
                <w:lang w:val="en-GB"/>
              </w:rPr>
              <w:t>, Article 4 of Regulation (EU) 2022/2059</w:t>
            </w:r>
          </w:p>
        </w:tc>
      </w:tr>
      <w:tr w:rsidR="00B530B5" w:rsidRPr="00FE3C59" w14:paraId="4624EC41" w14:textId="77777777" w:rsidTr="005154BB">
        <w:tc>
          <w:tcPr>
            <w:tcW w:w="1043" w:type="dxa"/>
          </w:tcPr>
          <w:p w14:paraId="0DCABD0D"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0070</w:t>
            </w:r>
          </w:p>
        </w:tc>
        <w:tc>
          <w:tcPr>
            <w:tcW w:w="7973" w:type="dxa"/>
          </w:tcPr>
          <w:p w14:paraId="35C3460F"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HPL: p-Value</w:t>
            </w:r>
          </w:p>
          <w:p w14:paraId="1F6378FB" w14:textId="46F99D95" w:rsidR="00B530B5" w:rsidRPr="00FE3C59" w:rsidRDefault="00B530B5" w:rsidP="005154BB">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 xml:space="preserve">The p-Value shall be </w:t>
            </w:r>
            <w:r w:rsidR="00AA798A">
              <w:rPr>
                <w:rFonts w:ascii="Times New Roman" w:hAnsi="Times New Roman" w:cs="Times New Roman"/>
                <w:lang w:val="en-GB"/>
              </w:rPr>
              <w:t>determined</w:t>
            </w:r>
            <w:r w:rsidRPr="00FE3C59">
              <w:rPr>
                <w:rFonts w:ascii="Times New Roman" w:hAnsi="Times New Roman" w:cs="Times New Roman"/>
                <w:lang w:val="en-GB"/>
              </w:rPr>
              <w:t xml:space="preserve"> as the probability of obtaining an HPL result</w:t>
            </w:r>
            <w:r w:rsidR="00D75438">
              <w:rPr>
                <w:rFonts w:ascii="Times New Roman" w:hAnsi="Times New Roman" w:cs="Times New Roman"/>
                <w:lang w:val="en-GB"/>
              </w:rPr>
              <w:t xml:space="preserve"> that is</w:t>
            </w:r>
            <w:r w:rsidRPr="00FE3C59">
              <w:rPr>
                <w:rFonts w:ascii="Times New Roman" w:hAnsi="Times New Roman" w:cs="Times New Roman"/>
                <w:lang w:val="en-GB"/>
              </w:rPr>
              <w:t xml:space="preserve"> at least as low as the one on that date t under the assumption that the HPL is the distribution used to determine the Value at Risk number referred to in Article 325bf(1) of Regulation (EU) No 575/2013.</w:t>
            </w:r>
          </w:p>
        </w:tc>
      </w:tr>
      <w:tr w:rsidR="00B530B5" w:rsidRPr="00FE3C59" w14:paraId="2228182A" w14:textId="77777777" w:rsidTr="005154BB">
        <w:tc>
          <w:tcPr>
            <w:tcW w:w="1043" w:type="dxa"/>
          </w:tcPr>
          <w:p w14:paraId="118866DD"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0080-0090</w:t>
            </w:r>
          </w:p>
        </w:tc>
        <w:tc>
          <w:tcPr>
            <w:tcW w:w="7973" w:type="dxa"/>
          </w:tcPr>
          <w:p w14:paraId="38DED951"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w:t>
            </w:r>
          </w:p>
          <w:p w14:paraId="5843D8A2" w14:textId="77777777" w:rsidR="00B530B5" w:rsidRPr="00FE3C59" w:rsidRDefault="00B530B5" w:rsidP="005154BB">
            <w:pPr>
              <w:pStyle w:val="BodyText"/>
              <w:spacing w:after="120"/>
              <w:rPr>
                <w:rFonts w:ascii="Times New Roman" w:hAnsi="Times New Roman" w:cs="Times New Roman"/>
                <w:bCs/>
                <w:lang w:val="en-GB"/>
              </w:rPr>
            </w:pPr>
            <w:r w:rsidRPr="00FE3C59">
              <w:rPr>
                <w:rFonts w:ascii="Times New Roman" w:hAnsi="Times New Roman" w:cs="Times New Roman"/>
                <w:lang w:val="en-GB"/>
              </w:rPr>
              <w:t>Article 325bf(4) and (6)</w:t>
            </w:r>
            <w:r w:rsidRPr="00FE3C59">
              <w:rPr>
                <w:rFonts w:ascii="Times New Roman" w:hAnsi="Times New Roman" w:cs="Times New Roman"/>
                <w:bCs/>
                <w:lang w:val="en-GB"/>
              </w:rPr>
              <w:t xml:space="preserve"> of Regulation (EU) No 575/2013</w:t>
            </w:r>
          </w:p>
          <w:p w14:paraId="3DDAA162"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‘Constitutes overshooting’ shall be indicated, where the observation for the date t constitutes an overshooting in the sense of Article 325bf(6),</w:t>
            </w:r>
            <w:r w:rsidRPr="00FE3C59">
              <w:rPr>
                <w:rFonts w:ascii="Times New Roman" w:hAnsi="Times New Roman" w:cs="Times New Roman"/>
                <w:bCs/>
                <w:lang w:val="en-GB"/>
              </w:rPr>
              <w:t xml:space="preserve"> first subparagraph,</w:t>
            </w:r>
            <w:r w:rsidRPr="00FE3C59">
              <w:rPr>
                <w:rFonts w:ascii="Times New Roman" w:hAnsi="Times New Roman" w:cs="Times New Roman"/>
                <w:lang w:val="en-GB"/>
              </w:rPr>
              <w:t xml:space="preserve"> point (a), or Article 325bf(4), point (c), of Regulation (EU) No 575/2013. O</w:t>
            </w:r>
            <w:r w:rsidRPr="00FE3C59">
              <w:rPr>
                <w:rFonts w:ascii="Times New Roman" w:hAnsi="Times New Roman" w:cs="Times New Roman"/>
                <w:bCs/>
                <w:lang w:val="en-GB"/>
              </w:rPr>
              <w:t>vershootings within the meaning of Article 325bf(4), point (c), of Regulation (EU) No 575/2013 shall be reported as overshootings both on the basis of the APL and the HPL.</w:t>
            </w:r>
            <w:r w:rsidRPr="00FE3C59">
              <w:rPr>
                <w:rFonts w:ascii="Times New Roman" w:hAnsi="Times New Roman" w:cs="Times New Roman"/>
                <w:lang w:val="en-GB"/>
              </w:rPr>
              <w:t xml:space="preserve"> </w:t>
            </w:r>
          </w:p>
          <w:p w14:paraId="076E00F9"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‘Does not constitute overshooting’ shall be indicated otherwise.</w:t>
            </w:r>
          </w:p>
        </w:tc>
      </w:tr>
      <w:tr w:rsidR="00B530B5" w:rsidRPr="00FE3C59" w14:paraId="779AB351" w14:textId="77777777" w:rsidTr="005154BB">
        <w:tc>
          <w:tcPr>
            <w:tcW w:w="1043" w:type="dxa"/>
          </w:tcPr>
          <w:p w14:paraId="7733D693"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tcPr>
          <w:p w14:paraId="1ABBC502"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 – APL</w:t>
            </w:r>
          </w:p>
          <w:p w14:paraId="30819E17" w14:textId="77777777" w:rsidR="00B530B5" w:rsidRPr="00FE3C59" w:rsidRDefault="00B530B5" w:rsidP="005154BB">
            <w:pPr>
              <w:pStyle w:val="BodyText"/>
              <w:spacing w:after="120"/>
              <w:rPr>
                <w:rFonts w:ascii="Times New Roman" w:hAnsi="Times New Roman" w:cs="Times New Roman"/>
                <w:bCs/>
                <w:lang w:val="en-GB"/>
              </w:rPr>
            </w:pPr>
            <w:r w:rsidRPr="00FE3C59">
              <w:rPr>
                <w:rFonts w:ascii="Times New Roman" w:hAnsi="Times New Roman" w:cs="Times New Roman"/>
                <w:lang w:val="en-GB"/>
              </w:rPr>
              <w:t>Articles 325bf(4), point (b) and (c), and (6),</w:t>
            </w:r>
            <w:r w:rsidRPr="00FE3C59">
              <w:rPr>
                <w:rFonts w:ascii="Times New Roman" w:hAnsi="Times New Roman" w:cs="Times New Roman"/>
                <w:bCs/>
                <w:lang w:val="en-GB"/>
              </w:rPr>
              <w:t xml:space="preserve"> of Regulation (EU) No 575/2013</w:t>
            </w:r>
          </w:p>
        </w:tc>
      </w:tr>
      <w:tr w:rsidR="00B530B5" w:rsidRPr="00FE3C59" w14:paraId="6444EFF1" w14:textId="77777777" w:rsidTr="005154BB">
        <w:tc>
          <w:tcPr>
            <w:tcW w:w="1043" w:type="dxa"/>
          </w:tcPr>
          <w:p w14:paraId="04DE17E6"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tcPr>
          <w:p w14:paraId="57479491"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 – HPL</w:t>
            </w:r>
          </w:p>
          <w:p w14:paraId="701B597C"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Article 325bf(4), points (a) and (c), and (6)</w:t>
            </w:r>
            <w:r w:rsidRPr="00FE3C59">
              <w:rPr>
                <w:rFonts w:ascii="Times New Roman" w:hAnsi="Times New Roman" w:cs="Times New Roman"/>
                <w:bCs/>
                <w:lang w:val="en-GB"/>
              </w:rPr>
              <w:t xml:space="preserve"> of Regulation (EU) No 575/2013</w:t>
            </w:r>
          </w:p>
        </w:tc>
      </w:tr>
      <w:tr w:rsidR="00B530B5" w:rsidRPr="00FE3C59" w14:paraId="7B9D3AF6" w14:textId="77777777" w:rsidTr="005154BB">
        <w:tc>
          <w:tcPr>
            <w:tcW w:w="1043" w:type="dxa"/>
          </w:tcPr>
          <w:p w14:paraId="43B5E12B"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0100-0110</w:t>
            </w:r>
          </w:p>
        </w:tc>
        <w:tc>
          <w:tcPr>
            <w:tcW w:w="7973" w:type="dxa"/>
          </w:tcPr>
          <w:p w14:paraId="338C08B0" w14:textId="77777777" w:rsidR="00B530B5" w:rsidRPr="00FE3C59"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Excluded overshootings </w:t>
            </w:r>
          </w:p>
          <w:p w14:paraId="1E360827" w14:textId="77777777" w:rsidR="00B530B5" w:rsidRPr="00FE3C59" w:rsidRDefault="00B530B5" w:rsidP="005154BB">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325bf(8) of Regulation (EU) No 575/2013</w:t>
            </w:r>
          </w:p>
          <w:p w14:paraId="19E38D32" w14:textId="77777777" w:rsidR="00B530B5" w:rsidRPr="00FE3C59" w:rsidRDefault="6270B300"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‘Does not constitute overshooting’ shall be reported, where no overshooting was identified for the date t.</w:t>
            </w:r>
          </w:p>
          <w:p w14:paraId="49AC8683" w14:textId="77777777" w:rsidR="00B530B5" w:rsidRPr="00FE3C59" w:rsidRDefault="00B530B5" w:rsidP="005154BB">
            <w:pPr>
              <w:pStyle w:val="BodyText"/>
              <w:spacing w:after="120"/>
              <w:rPr>
                <w:rFonts w:ascii="Times New Roman" w:hAnsi="Times New Roman" w:cs="Times New Roman"/>
                <w:lang w:val="en-GB"/>
              </w:rPr>
            </w:pPr>
            <w:r w:rsidRPr="00FE3C59">
              <w:rPr>
                <w:rFonts w:ascii="Times New Roman" w:hAnsi="Times New Roman" w:cs="Times New Roman"/>
                <w:lang w:val="en-GB"/>
              </w:rPr>
              <w:t>‘Overshooting excluded’ shall be indicated, where the competent authority permitted the institution not to count an overshooting in accordance with Article 325bf(8)</w:t>
            </w:r>
            <w:r w:rsidRPr="00FE3C59">
              <w:rPr>
                <w:rFonts w:ascii="Times New Roman" w:hAnsi="Times New Roman" w:cs="Times New Roman"/>
                <w:bCs/>
                <w:lang w:val="en-GB"/>
              </w:rPr>
              <w:t xml:space="preserve"> of Regulation (EU) No 575/2013.</w:t>
            </w:r>
          </w:p>
          <w:p w14:paraId="7AB13723" w14:textId="77777777" w:rsidR="00B530B5" w:rsidRPr="00FE3C59" w:rsidRDefault="00B530B5" w:rsidP="005154BB">
            <w:pPr>
              <w:pStyle w:val="Tabelleninhalt"/>
              <w:spacing w:after="120"/>
              <w:rPr>
                <w:rFonts w:ascii="Times New Roman" w:hAnsi="Times New Roman" w:cs="Times New Roman"/>
                <w:lang w:val="en-GB"/>
              </w:rPr>
            </w:pPr>
            <w:r w:rsidRPr="00FE3C59">
              <w:rPr>
                <w:rFonts w:ascii="Times New Roman" w:hAnsi="Times New Roman" w:cs="Times New Roman"/>
                <w:lang w:val="en-GB"/>
              </w:rPr>
              <w:t>‘Overshooting not excluded’ shall be indicated otherwise.</w:t>
            </w:r>
          </w:p>
        </w:tc>
      </w:tr>
      <w:tr w:rsidR="00B530B5" w:rsidRPr="00FE3C59" w14:paraId="72A5A1CA" w14:textId="77777777" w:rsidTr="005154BB">
        <w:tc>
          <w:tcPr>
            <w:tcW w:w="1043" w:type="dxa"/>
          </w:tcPr>
          <w:p w14:paraId="59EBFC4E"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tcPr>
          <w:p w14:paraId="4D3B2FCD" w14:textId="77777777" w:rsidR="00B530B5" w:rsidRPr="008735E0"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Excluded overshootings: APL</w:t>
            </w:r>
          </w:p>
        </w:tc>
      </w:tr>
      <w:tr w:rsidR="00B530B5" w:rsidRPr="00FE3C59" w14:paraId="62801C80" w14:textId="77777777" w:rsidTr="005154BB">
        <w:tc>
          <w:tcPr>
            <w:tcW w:w="1043" w:type="dxa"/>
          </w:tcPr>
          <w:p w14:paraId="573CA5D0" w14:textId="77777777" w:rsidR="00B530B5" w:rsidRPr="00FE3C59" w:rsidRDefault="00B530B5" w:rsidP="005154BB">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73" w:type="dxa"/>
          </w:tcPr>
          <w:p w14:paraId="4CB1F7E6" w14:textId="77777777" w:rsidR="00B530B5" w:rsidRPr="008735E0" w:rsidRDefault="00B530B5" w:rsidP="005154BB">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Excluded overshootings: HPL</w:t>
            </w:r>
          </w:p>
        </w:tc>
      </w:tr>
    </w:tbl>
    <w:p w14:paraId="0B02C7AC" w14:textId="48A2F543"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3.5.2</w:t>
      </w:r>
      <w:r w:rsidRPr="00FE3C59">
        <w:rPr>
          <w:rFonts w:ascii="Times New Roman" w:hAnsi="Times New Roman" w:cs="Times New Roman"/>
          <w:sz w:val="24"/>
          <w:u w:val="none"/>
          <w:lang w:val="en-GB"/>
        </w:rPr>
        <w:tab/>
        <w:t>C 96.04.2: Back</w:t>
      </w:r>
      <w:r w:rsidR="004D4495">
        <w:rPr>
          <w:rFonts w:ascii="Times New Roman" w:hAnsi="Times New Roman" w:cs="Times New Roman"/>
          <w:sz w:val="24"/>
          <w:u w:val="none"/>
          <w:lang w:val="en-GB"/>
        </w:rPr>
        <w:t>-</w:t>
      </w:r>
      <w:r w:rsidRPr="00FE3C59">
        <w:rPr>
          <w:rFonts w:ascii="Times New Roman" w:hAnsi="Times New Roman" w:cs="Times New Roman"/>
          <w:sz w:val="24"/>
          <w:u w:val="none"/>
          <w:lang w:val="en-GB"/>
        </w:rPr>
        <w:t>testing at trading desk level and profit and loss attribution test (PLAT) (MKR IMA BTTD)</w:t>
      </w:r>
    </w:p>
    <w:p w14:paraId="04B2BD2C"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3.5.2.1 General remarks</w:t>
      </w:r>
    </w:p>
    <w:p w14:paraId="580FF07D" w14:textId="60709E11" w:rsidR="00B530B5" w:rsidRPr="00FE3C59" w:rsidRDefault="00B530B5" w:rsidP="00253413">
      <w:pPr>
        <w:pStyle w:val="InstructionsText2"/>
        <w:numPr>
          <w:ilvl w:val="0"/>
          <w:numId w:val="57"/>
        </w:numPr>
      </w:pPr>
      <w:r w:rsidRPr="00FE3C59">
        <w:t>The template MKR IMA BTTD shall be used to provide information on the results of the back</w:t>
      </w:r>
      <w:r w:rsidR="005D4925">
        <w:t>-</w:t>
      </w:r>
      <w:r w:rsidRPr="00FE3C59">
        <w:t xml:space="preserve">testing at the level of the trading desk, which are considered for the purposes of Article 325bf(1) to (4) of Regulation (EU) No 575/2013. </w:t>
      </w:r>
    </w:p>
    <w:p w14:paraId="7689CB64" w14:textId="15C58477" w:rsidR="00B530B5" w:rsidRPr="00FE3C59" w:rsidRDefault="00B530B5" w:rsidP="00253413">
      <w:pPr>
        <w:pStyle w:val="InstructionsText2"/>
        <w:numPr>
          <w:ilvl w:val="0"/>
          <w:numId w:val="57"/>
        </w:numPr>
      </w:pPr>
      <w:r w:rsidRPr="00FE3C59">
        <w:lastRenderedPageBreak/>
        <w:t>The information provided in this template shall cover the three-month period ending with the reference date of the report (</w:t>
      </w:r>
      <w:r w:rsidR="006C5062">
        <w:t>reference period</w:t>
      </w:r>
      <w:r w:rsidRPr="00FE3C59">
        <w:t>).</w:t>
      </w:r>
    </w:p>
    <w:p w14:paraId="1F4CAF52" w14:textId="77777777" w:rsidR="00B530B5" w:rsidRPr="00FE3C59" w:rsidRDefault="00B530B5" w:rsidP="00253413">
      <w:pPr>
        <w:pStyle w:val="InstructionsText2"/>
        <w:numPr>
          <w:ilvl w:val="0"/>
          <w:numId w:val="57"/>
        </w:numPr>
      </w:pPr>
      <w:r w:rsidRPr="00FE3C59">
        <w:t>The combination of the trading desk ID (column 0010) and the date t (column 0020) serves as row identifier and shall be unique for every row in the template.</w:t>
      </w:r>
    </w:p>
    <w:p w14:paraId="5BEE9728"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3.5.2.2 Instructions concerning specific positions</w:t>
      </w:r>
    </w:p>
    <w:tbl>
      <w:tblPr>
        <w:tblStyle w:val="TableGrid"/>
        <w:tblW w:w="0" w:type="auto"/>
        <w:tblLook w:val="04A0" w:firstRow="1" w:lastRow="0" w:firstColumn="1" w:lastColumn="0" w:noHBand="0" w:noVBand="1"/>
      </w:tblPr>
      <w:tblGrid>
        <w:gridCol w:w="1256"/>
        <w:gridCol w:w="7760"/>
      </w:tblGrid>
      <w:tr w:rsidR="00B530B5" w:rsidRPr="00FE3C59" w14:paraId="4A03FFA8" w14:textId="77777777" w:rsidTr="001C2F65">
        <w:tc>
          <w:tcPr>
            <w:tcW w:w="1256" w:type="dxa"/>
            <w:shd w:val="clear" w:color="auto" w:fill="BFBFBF" w:themeFill="background1" w:themeFillShade="BF"/>
          </w:tcPr>
          <w:p w14:paraId="6B29C67A"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760" w:type="dxa"/>
            <w:shd w:val="clear" w:color="auto" w:fill="BFBFBF" w:themeFill="background1" w:themeFillShade="BF"/>
          </w:tcPr>
          <w:p w14:paraId="3CB01435"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763F773C" w14:textId="77777777" w:rsidTr="001C2F65">
        <w:tc>
          <w:tcPr>
            <w:tcW w:w="1256" w:type="dxa"/>
          </w:tcPr>
          <w:p w14:paraId="1673B80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760" w:type="dxa"/>
            <w:vAlign w:val="bottom"/>
          </w:tcPr>
          <w:p w14:paraId="7067E93D"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Trading desk ID</w:t>
            </w:r>
          </w:p>
          <w:p w14:paraId="5D6BBD4C"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Internal, alpha-numerical code assigned by the institution to identify the trading desk. The trading desk ID shall be used consistently across reports, templates and over time.</w:t>
            </w:r>
          </w:p>
          <w:p w14:paraId="0949FB6F" w14:textId="26AADF6F"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Institutions shall report information on every trading desk, where the competent authority granted the permission to calculate the own funds requirements for the portfolio of all positions assigned to that trading desks by using their alternative internal model approach. All desks included in the scope of the permission shall be reported, irrespective of whether the institution applies the alternative standardised approach or the alternative internal model approach as of the reference date.</w:t>
            </w:r>
          </w:p>
        </w:tc>
      </w:tr>
      <w:tr w:rsidR="00B530B5" w:rsidRPr="00FE3C59" w14:paraId="2F4F3909" w14:textId="77777777" w:rsidTr="001C2F65">
        <w:tc>
          <w:tcPr>
            <w:tcW w:w="1256" w:type="dxa"/>
          </w:tcPr>
          <w:p w14:paraId="7BCE358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760" w:type="dxa"/>
            <w:vAlign w:val="bottom"/>
          </w:tcPr>
          <w:p w14:paraId="30E94CB2"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Date (t)</w:t>
            </w:r>
          </w:p>
          <w:p w14:paraId="013026DA"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Institutions shall provide data for any business day in the quarter the report refers to.</w:t>
            </w:r>
          </w:p>
        </w:tc>
      </w:tr>
      <w:tr w:rsidR="00B530B5" w:rsidRPr="00FE3C59" w14:paraId="0B544939" w14:textId="77777777" w:rsidTr="001C2F65">
        <w:tc>
          <w:tcPr>
            <w:tcW w:w="1256" w:type="dxa"/>
          </w:tcPr>
          <w:p w14:paraId="0D4BDED2"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760" w:type="dxa"/>
            <w:vAlign w:val="bottom"/>
          </w:tcPr>
          <w:p w14:paraId="32AFE762"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Value at risk (1 day holding period, 99% confidence interval) (VaR</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lang w:val="en-GB"/>
              </w:rPr>
              <w:t>(99%,1d))</w:t>
            </w:r>
          </w:p>
          <w:p w14:paraId="214C6891"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325bf(1) to (4)</w:t>
            </w:r>
            <w:r w:rsidRPr="00FE3C59">
              <w:rPr>
                <w:rFonts w:ascii="Times New Roman" w:hAnsi="Times New Roman" w:cs="Times New Roman"/>
                <w:bCs/>
                <w:lang w:val="en-GB"/>
              </w:rPr>
              <w:t xml:space="preserve"> of Regulation (EU) No 575/2013</w:t>
            </w:r>
          </w:p>
        </w:tc>
      </w:tr>
      <w:tr w:rsidR="00B530B5" w:rsidRPr="00FE3C59" w14:paraId="5922E103" w14:textId="77777777" w:rsidTr="001C2F65">
        <w:tc>
          <w:tcPr>
            <w:tcW w:w="1256" w:type="dxa"/>
          </w:tcPr>
          <w:p w14:paraId="3B89D6E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760" w:type="dxa"/>
            <w:vAlign w:val="bottom"/>
          </w:tcPr>
          <w:p w14:paraId="320721AB"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Value at risk (1 day holding period, 97.5% confidence interval) (VaR</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(97.5%,1d)</w:t>
            </w:r>
            <w:r w:rsidRPr="00FE3C59">
              <w:rPr>
                <w:rFonts w:ascii="Times New Roman" w:hAnsi="Times New Roman" w:cs="Times New Roman"/>
                <w:b/>
                <w:u w:val="single"/>
                <w:lang w:val="en-GB"/>
              </w:rPr>
              <w:t>)</w:t>
            </w:r>
          </w:p>
          <w:p w14:paraId="56A37DED"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325bf(1) to (4)</w:t>
            </w:r>
            <w:r w:rsidRPr="00FE3C59">
              <w:rPr>
                <w:rFonts w:ascii="Times New Roman" w:hAnsi="Times New Roman" w:cs="Times New Roman"/>
                <w:bCs/>
                <w:lang w:val="en-GB"/>
              </w:rPr>
              <w:t xml:space="preserve"> of Regulation (EU) No 575/2013</w:t>
            </w:r>
          </w:p>
        </w:tc>
      </w:tr>
      <w:tr w:rsidR="00B530B5" w:rsidRPr="00FE3C59" w14:paraId="3C680D0C" w14:textId="77777777" w:rsidTr="001C2F65">
        <w:tc>
          <w:tcPr>
            <w:tcW w:w="1256" w:type="dxa"/>
          </w:tcPr>
          <w:p w14:paraId="2A1F09DB"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760" w:type="dxa"/>
            <w:vAlign w:val="bottom"/>
          </w:tcPr>
          <w:p w14:paraId="03C9E144"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Expected shortfall (1 day holding period, 99% confidence interval) (ES</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(99%,1d)</w:t>
            </w:r>
            <w:r w:rsidRPr="00FE3C59">
              <w:rPr>
                <w:rFonts w:ascii="Times New Roman" w:hAnsi="Times New Roman" w:cs="Times New Roman"/>
                <w:b/>
                <w:u w:val="single"/>
                <w:lang w:val="en-GB"/>
              </w:rPr>
              <w:t>)</w:t>
            </w:r>
          </w:p>
          <w:p w14:paraId="72D3A4D9"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The Expected shortfall over a 1-day period with a 99% confidence interval, using the P&amp;Ls used by the institution to determine the Value at Risk number referred to in Article 325bf(1) </w:t>
            </w:r>
            <w:r w:rsidRPr="00FE3C59">
              <w:rPr>
                <w:rFonts w:ascii="Times New Roman" w:hAnsi="Times New Roman" w:cs="Times New Roman"/>
                <w:bCs/>
                <w:lang w:val="en-GB"/>
              </w:rPr>
              <w:t>of Regulation (EU) No 575/2013, shall be reported.</w:t>
            </w:r>
          </w:p>
        </w:tc>
      </w:tr>
      <w:tr w:rsidR="00B530B5" w:rsidRPr="00FE3C59" w14:paraId="2FCED2F4" w14:textId="77777777" w:rsidTr="001C2F65">
        <w:tc>
          <w:tcPr>
            <w:tcW w:w="1256" w:type="dxa"/>
          </w:tcPr>
          <w:p w14:paraId="7EC954B4"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760" w:type="dxa"/>
            <w:vAlign w:val="bottom"/>
          </w:tcPr>
          <w:p w14:paraId="0CC38B4F"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Expected shortfall (1 day holding period, 97.5% confidence interval) (ES</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(97.5%,1d)</w:t>
            </w:r>
            <w:r w:rsidRPr="00FE3C59">
              <w:rPr>
                <w:rFonts w:ascii="Times New Roman" w:hAnsi="Times New Roman" w:cs="Times New Roman"/>
                <w:b/>
                <w:u w:val="single"/>
                <w:lang w:val="en-GB"/>
              </w:rPr>
              <w:t>)</w:t>
            </w:r>
          </w:p>
          <w:p w14:paraId="44C40A60"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The Expected shortfall over a 1-day period with a 97.5% confidence interval, using the P&amp;Ls used by the institution to determine the Value at Risk number referred to in Article 325bf(1) </w:t>
            </w:r>
            <w:r w:rsidRPr="00FE3C59">
              <w:rPr>
                <w:rFonts w:ascii="Times New Roman" w:hAnsi="Times New Roman" w:cs="Times New Roman"/>
                <w:bCs/>
                <w:lang w:val="en-GB"/>
              </w:rPr>
              <w:t>of Regulation (EU) No 575/2013, shall be reported.</w:t>
            </w:r>
          </w:p>
        </w:tc>
      </w:tr>
      <w:tr w:rsidR="00B530B5" w:rsidRPr="00FE3C59" w14:paraId="2D8FAE2B" w14:textId="77777777" w:rsidTr="001C2F65">
        <w:tc>
          <w:tcPr>
            <w:tcW w:w="1256" w:type="dxa"/>
          </w:tcPr>
          <w:p w14:paraId="2C7F987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0070</w:t>
            </w:r>
          </w:p>
        </w:tc>
        <w:tc>
          <w:tcPr>
            <w:tcW w:w="7760" w:type="dxa"/>
            <w:vAlign w:val="bottom"/>
          </w:tcPr>
          <w:p w14:paraId="360894B9"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Actual profit (+) or loss (-) (APL)</w:t>
            </w:r>
          </w:p>
          <w:p w14:paraId="023E5D58"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325bf(2) and (3)</w:t>
            </w:r>
            <w:r w:rsidRPr="00FE3C59">
              <w:rPr>
                <w:rFonts w:ascii="Times New Roman" w:hAnsi="Times New Roman" w:cs="Times New Roman"/>
                <w:bCs/>
                <w:lang w:val="en-GB"/>
              </w:rPr>
              <w:t xml:space="preserve"> of Regulation (EU) No 575/2013</w:t>
            </w:r>
          </w:p>
        </w:tc>
      </w:tr>
      <w:tr w:rsidR="00B530B5" w:rsidRPr="00FE3C59" w14:paraId="6F292BA2" w14:textId="77777777" w:rsidTr="001C2F65">
        <w:tc>
          <w:tcPr>
            <w:tcW w:w="1256" w:type="dxa"/>
          </w:tcPr>
          <w:p w14:paraId="7C19801C"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760" w:type="dxa"/>
            <w:vAlign w:val="bottom"/>
          </w:tcPr>
          <w:p w14:paraId="7954B6DE"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APL: p-Value</w:t>
            </w:r>
          </w:p>
          <w:p w14:paraId="41F856DD" w14:textId="50791D8F"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The p-Value shall be </w:t>
            </w:r>
            <w:r w:rsidR="00AA798A">
              <w:rPr>
                <w:rFonts w:ascii="Times New Roman" w:hAnsi="Times New Roman" w:cs="Times New Roman"/>
                <w:lang w:val="en-GB"/>
              </w:rPr>
              <w:t>determined</w:t>
            </w:r>
            <w:r w:rsidRPr="00FE3C59">
              <w:rPr>
                <w:rFonts w:ascii="Times New Roman" w:hAnsi="Times New Roman" w:cs="Times New Roman"/>
                <w:lang w:val="en-GB"/>
              </w:rPr>
              <w:t xml:space="preserve"> as</w:t>
            </w:r>
            <w:r w:rsidRPr="00FE3C59" w:rsidDel="00300717">
              <w:rPr>
                <w:rFonts w:ascii="Times New Roman" w:hAnsi="Times New Roman" w:cs="Times New Roman"/>
                <w:lang w:val="en-GB"/>
              </w:rPr>
              <w:t xml:space="preserve"> the </w:t>
            </w:r>
            <w:r w:rsidRPr="00FE3C59">
              <w:rPr>
                <w:rFonts w:ascii="Times New Roman" w:hAnsi="Times New Roman" w:cs="Times New Roman"/>
                <w:lang w:val="en-GB"/>
              </w:rPr>
              <w:t>probability of obtaining an APL result at least as low as the one on that date t under the assumption that the APL</w:t>
            </w:r>
            <w:r w:rsidRPr="00FE3C59" w:rsidDel="00300717">
              <w:rPr>
                <w:rFonts w:ascii="Times New Roman" w:hAnsi="Times New Roman" w:cs="Times New Roman"/>
                <w:lang w:val="en-GB"/>
              </w:rPr>
              <w:t xml:space="preserve"> is the</w:t>
            </w:r>
            <w:r w:rsidRPr="00FE3C59">
              <w:rPr>
                <w:rFonts w:ascii="Times New Roman" w:hAnsi="Times New Roman" w:cs="Times New Roman"/>
                <w:lang w:val="en-GB"/>
              </w:rPr>
              <w:t xml:space="preserve"> distribution used to determine the Value at Risk number referred to in Article 325bf(1) of Regulation (EU) No 575/2013.</w:t>
            </w:r>
          </w:p>
        </w:tc>
      </w:tr>
      <w:tr w:rsidR="00B530B5" w:rsidRPr="00FE3C59" w14:paraId="06576AF3" w14:textId="77777777" w:rsidTr="001C2F65">
        <w:tc>
          <w:tcPr>
            <w:tcW w:w="1256" w:type="dxa"/>
          </w:tcPr>
          <w:p w14:paraId="197BCD6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760" w:type="dxa"/>
            <w:vAlign w:val="bottom"/>
          </w:tcPr>
          <w:p w14:paraId="3D83C375"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Hypothetical profit (+) or loss (-) (HPL)</w:t>
            </w:r>
          </w:p>
          <w:p w14:paraId="02EE2D95"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325bf(2) and (3) of Regulation (EU) No 575/2013</w:t>
            </w:r>
          </w:p>
        </w:tc>
      </w:tr>
      <w:tr w:rsidR="00B530B5" w:rsidRPr="00FE3C59" w14:paraId="21C3BE69" w14:textId="77777777" w:rsidTr="001C2F65">
        <w:tc>
          <w:tcPr>
            <w:tcW w:w="1256" w:type="dxa"/>
          </w:tcPr>
          <w:p w14:paraId="62AE9A22"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760" w:type="dxa"/>
            <w:vAlign w:val="bottom"/>
          </w:tcPr>
          <w:p w14:paraId="5F5C017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HPL: p-Value</w:t>
            </w:r>
          </w:p>
          <w:p w14:paraId="67B18EE4" w14:textId="07C4BEF0"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The p-Value shall be </w:t>
            </w:r>
            <w:r w:rsidR="00AA798A">
              <w:rPr>
                <w:rFonts w:ascii="Times New Roman" w:hAnsi="Times New Roman" w:cs="Times New Roman"/>
                <w:lang w:val="en-GB"/>
              </w:rPr>
              <w:t>determined</w:t>
            </w:r>
            <w:r w:rsidRPr="00FE3C59">
              <w:rPr>
                <w:rFonts w:ascii="Times New Roman" w:hAnsi="Times New Roman" w:cs="Times New Roman"/>
                <w:lang w:val="en-GB"/>
              </w:rPr>
              <w:t xml:space="preserve"> as</w:t>
            </w:r>
            <w:r w:rsidRPr="00FE3C59" w:rsidDel="00300717">
              <w:rPr>
                <w:rFonts w:ascii="Times New Roman" w:hAnsi="Times New Roman" w:cs="Times New Roman"/>
                <w:lang w:val="en-GB"/>
              </w:rPr>
              <w:t xml:space="preserve"> the </w:t>
            </w:r>
            <w:r w:rsidRPr="00FE3C59">
              <w:rPr>
                <w:rFonts w:ascii="Times New Roman" w:hAnsi="Times New Roman" w:cs="Times New Roman"/>
                <w:lang w:val="en-GB"/>
              </w:rPr>
              <w:t>probability of obtaining an HPL result at least as low as the one on that date t under the assumption that the HPL</w:t>
            </w:r>
            <w:r w:rsidRPr="00FE3C59" w:rsidDel="00300717">
              <w:rPr>
                <w:rFonts w:ascii="Times New Roman" w:hAnsi="Times New Roman" w:cs="Times New Roman"/>
                <w:lang w:val="en-GB"/>
              </w:rPr>
              <w:t xml:space="preserve"> is the</w:t>
            </w:r>
            <w:r w:rsidRPr="00FE3C59">
              <w:rPr>
                <w:rFonts w:ascii="Times New Roman" w:hAnsi="Times New Roman" w:cs="Times New Roman"/>
                <w:lang w:val="en-GB"/>
              </w:rPr>
              <w:t xml:space="preserve"> distribution used to determine the Value at Risk number referred to in Article 325bf(1) of Regulation (EU) No 575/2013.</w:t>
            </w:r>
          </w:p>
        </w:tc>
      </w:tr>
      <w:tr w:rsidR="00B530B5" w:rsidRPr="00FE3C59" w14:paraId="70D76C21" w14:textId="77777777" w:rsidTr="001C2F65">
        <w:tc>
          <w:tcPr>
            <w:tcW w:w="1256" w:type="dxa"/>
          </w:tcPr>
          <w:p w14:paraId="6D6C861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760" w:type="dxa"/>
            <w:vAlign w:val="bottom"/>
          </w:tcPr>
          <w:p w14:paraId="776189FB"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Risk-theoretical profit (+) or loss (-) (RTPL)</w:t>
            </w:r>
          </w:p>
          <w:p w14:paraId="73F749CE"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325bg </w:t>
            </w:r>
            <w:r w:rsidRPr="00FE3C59">
              <w:rPr>
                <w:rFonts w:ascii="Times New Roman" w:hAnsi="Times New Roman" w:cs="Times New Roman"/>
                <w:bCs/>
                <w:lang w:val="en-GB"/>
              </w:rPr>
              <w:t>of Regulation (EU) No 575/2013</w:t>
            </w:r>
            <w:r w:rsidRPr="00FE3C59">
              <w:rPr>
                <w:rFonts w:ascii="Times New Roman" w:hAnsi="Times New Roman" w:cs="Times New Roman"/>
                <w:lang w:val="en-GB"/>
              </w:rPr>
              <w:t>, Articles 6, 12 and 14 of Regulation (EU) 2022/2059</w:t>
            </w:r>
          </w:p>
        </w:tc>
      </w:tr>
      <w:tr w:rsidR="00B530B5" w:rsidRPr="00FE3C59" w14:paraId="1D1A96CF" w14:textId="77777777" w:rsidTr="001C2F65">
        <w:tc>
          <w:tcPr>
            <w:tcW w:w="1256" w:type="dxa"/>
          </w:tcPr>
          <w:p w14:paraId="135C176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Pr="00157901">
              <w:rPr>
                <w:rFonts w:ascii="Times New Roman" w:hAnsi="Times New Roman" w:cs="Times New Roman"/>
                <w:lang w:val="en-GB"/>
              </w:rPr>
              <w:t>120</w:t>
            </w:r>
          </w:p>
        </w:tc>
        <w:tc>
          <w:tcPr>
            <w:tcW w:w="7760" w:type="dxa"/>
            <w:vAlign w:val="bottom"/>
          </w:tcPr>
          <w:p w14:paraId="4EFB06DD"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RTPL: p-Value</w:t>
            </w:r>
          </w:p>
          <w:p w14:paraId="0F431F75" w14:textId="358F5D2B"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 xml:space="preserve">The p-Value shall be </w:t>
            </w:r>
            <w:r w:rsidR="00AA798A">
              <w:rPr>
                <w:rFonts w:ascii="Times New Roman" w:hAnsi="Times New Roman" w:cs="Times New Roman"/>
                <w:lang w:val="en-GB"/>
              </w:rPr>
              <w:t>determined</w:t>
            </w:r>
            <w:r w:rsidRPr="00FE3C59">
              <w:rPr>
                <w:rFonts w:ascii="Times New Roman" w:hAnsi="Times New Roman" w:cs="Times New Roman"/>
                <w:lang w:val="en-GB"/>
              </w:rPr>
              <w:t xml:space="preserve"> as</w:t>
            </w:r>
            <w:r w:rsidRPr="00FE3C59" w:rsidDel="00300717">
              <w:rPr>
                <w:rFonts w:ascii="Times New Roman" w:hAnsi="Times New Roman" w:cs="Times New Roman"/>
                <w:lang w:val="en-GB"/>
              </w:rPr>
              <w:t xml:space="preserve"> the </w:t>
            </w:r>
            <w:r w:rsidRPr="00FE3C59">
              <w:rPr>
                <w:rFonts w:ascii="Times New Roman" w:hAnsi="Times New Roman" w:cs="Times New Roman"/>
                <w:lang w:val="en-GB"/>
              </w:rPr>
              <w:t>probability of obtaining an RTPL result at least as low as the one on that date t under the assumption that the RTPL</w:t>
            </w:r>
            <w:r w:rsidRPr="00FE3C59" w:rsidDel="00300717">
              <w:rPr>
                <w:rFonts w:ascii="Times New Roman" w:hAnsi="Times New Roman" w:cs="Times New Roman"/>
                <w:lang w:val="en-GB"/>
              </w:rPr>
              <w:t xml:space="preserve"> is the</w:t>
            </w:r>
            <w:r w:rsidRPr="00FE3C59">
              <w:rPr>
                <w:rFonts w:ascii="Times New Roman" w:hAnsi="Times New Roman" w:cs="Times New Roman"/>
                <w:lang w:val="en-GB"/>
              </w:rPr>
              <w:t xml:space="preserve"> distribution used to determine the Value at Risk number referred to in Article 325bf(1) of Regulation (EU) No 575/2013.</w:t>
            </w:r>
          </w:p>
        </w:tc>
      </w:tr>
      <w:tr w:rsidR="00B530B5" w:rsidRPr="00FE3C59" w14:paraId="6AC30FDF" w14:textId="77777777" w:rsidTr="001C2F65">
        <w:tc>
          <w:tcPr>
            <w:tcW w:w="1256" w:type="dxa"/>
          </w:tcPr>
          <w:p w14:paraId="20184BBB" w14:textId="0B67DFA0"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0130-01</w:t>
            </w:r>
            <w:r w:rsidR="009924D6" w:rsidRPr="00FE3C59">
              <w:rPr>
                <w:rFonts w:ascii="Times New Roman" w:hAnsi="Times New Roman" w:cs="Times New Roman"/>
                <w:lang w:val="en-GB"/>
              </w:rPr>
              <w:t>6</w:t>
            </w:r>
            <w:r w:rsidRPr="00FE3C59">
              <w:rPr>
                <w:rFonts w:ascii="Times New Roman" w:hAnsi="Times New Roman" w:cs="Times New Roman"/>
                <w:lang w:val="en-GB"/>
              </w:rPr>
              <w:t>0</w:t>
            </w:r>
          </w:p>
        </w:tc>
        <w:tc>
          <w:tcPr>
            <w:tcW w:w="7760" w:type="dxa"/>
            <w:vAlign w:val="bottom"/>
          </w:tcPr>
          <w:p w14:paraId="5F1E182D"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w:t>
            </w:r>
          </w:p>
          <w:p w14:paraId="20926EFC"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lang w:val="en-GB"/>
              </w:rPr>
              <w:t>Article 325bf(1) to (4)</w:t>
            </w:r>
            <w:r w:rsidRPr="00FE3C59">
              <w:rPr>
                <w:rFonts w:ascii="Times New Roman" w:hAnsi="Times New Roman" w:cs="Times New Roman"/>
                <w:bCs/>
                <w:lang w:val="en-GB"/>
              </w:rPr>
              <w:t xml:space="preserve"> of Regulation (EU) No 575/2013</w:t>
            </w:r>
          </w:p>
          <w:p w14:paraId="2CB87DF5" w14:textId="7A3666BB"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‘Constitutes overshooting’ shall be indicated, where the observation for the date t constitutes an overshooting in the sense of Article 325bf(1), point (a), or 325bf(4), point (c), of Regulation (EU) No 575/2013. O</w:t>
            </w:r>
            <w:r w:rsidRPr="00FE3C59">
              <w:rPr>
                <w:rFonts w:ascii="Times New Roman" w:hAnsi="Times New Roman" w:cs="Times New Roman"/>
                <w:bCs/>
                <w:lang w:val="en-GB"/>
              </w:rPr>
              <w:t>vershootings within the meaning of Article 325bf(4), point (c), of Regulation (EU) No 575/2013 shall be reported as overshootings both on the basis of the APL and the HPL</w:t>
            </w:r>
            <w:r w:rsidR="003306B1" w:rsidRPr="00FE3C59">
              <w:rPr>
                <w:rFonts w:ascii="Times New Roman" w:hAnsi="Times New Roman" w:cs="Times New Roman"/>
                <w:bCs/>
                <w:lang w:val="en-GB"/>
              </w:rPr>
              <w:t xml:space="preserve">, and both </w:t>
            </w:r>
            <w:r w:rsidR="004907EB" w:rsidRPr="00FE3C59">
              <w:rPr>
                <w:rFonts w:ascii="Times New Roman" w:hAnsi="Times New Roman" w:cs="Times New Roman"/>
                <w:bCs/>
                <w:lang w:val="en-GB"/>
              </w:rPr>
              <w:t>against the 97.5%- and the 99%-VaR</w:t>
            </w:r>
            <w:r w:rsidRPr="00FE3C59">
              <w:rPr>
                <w:rFonts w:ascii="Times New Roman" w:hAnsi="Times New Roman" w:cs="Times New Roman"/>
                <w:bCs/>
                <w:lang w:val="en-GB"/>
              </w:rPr>
              <w:t>.</w:t>
            </w:r>
            <w:r w:rsidRPr="00FE3C59">
              <w:rPr>
                <w:rFonts w:ascii="Times New Roman" w:hAnsi="Times New Roman" w:cs="Times New Roman"/>
                <w:lang w:val="en-GB"/>
              </w:rPr>
              <w:t xml:space="preserve"> </w:t>
            </w:r>
          </w:p>
          <w:p w14:paraId="3CC4F3A0"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‘Does not constitute overshooting’ shall be indicated otherwise.</w:t>
            </w:r>
          </w:p>
        </w:tc>
      </w:tr>
      <w:tr w:rsidR="00B530B5" w:rsidRPr="00FE3C59" w14:paraId="76DA30BC" w14:textId="77777777" w:rsidTr="001C2F65">
        <w:tc>
          <w:tcPr>
            <w:tcW w:w="1256" w:type="dxa"/>
          </w:tcPr>
          <w:p w14:paraId="5844DA8B" w14:textId="66A29588"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r w:rsidR="004907EB" w:rsidRPr="00FE3C59">
              <w:rPr>
                <w:rFonts w:ascii="Times New Roman" w:hAnsi="Times New Roman" w:cs="Times New Roman"/>
                <w:lang w:val="en-GB"/>
              </w:rPr>
              <w:t>-0140</w:t>
            </w:r>
          </w:p>
        </w:tc>
        <w:tc>
          <w:tcPr>
            <w:tcW w:w="7760" w:type="dxa"/>
            <w:vAlign w:val="bottom"/>
          </w:tcPr>
          <w:p w14:paraId="6480DBFD" w14:textId="2AFAC37C"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Overshooting </w:t>
            </w:r>
            <w:r w:rsidR="00CB7CBF"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APL</w:t>
            </w:r>
          </w:p>
          <w:p w14:paraId="3E845C6A"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325bf(1) to (3) and (4), point (b) and (c),</w:t>
            </w:r>
            <w:r w:rsidRPr="00FE3C59">
              <w:rPr>
                <w:rFonts w:ascii="Times New Roman" w:hAnsi="Times New Roman" w:cs="Times New Roman"/>
                <w:bCs/>
                <w:lang w:val="en-GB"/>
              </w:rPr>
              <w:t xml:space="preserve"> of Regulation (EU) No 575/2013</w:t>
            </w:r>
          </w:p>
        </w:tc>
      </w:tr>
      <w:tr w:rsidR="004907EB" w:rsidRPr="00FE3C59" w14:paraId="087ECB74" w14:textId="77777777" w:rsidTr="001C2F65">
        <w:tc>
          <w:tcPr>
            <w:tcW w:w="1256" w:type="dxa"/>
          </w:tcPr>
          <w:p w14:paraId="31F770FF" w14:textId="495B7695" w:rsidR="004907EB" w:rsidRPr="00FE3C59" w:rsidRDefault="004907EB"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760" w:type="dxa"/>
            <w:vAlign w:val="bottom"/>
          </w:tcPr>
          <w:p w14:paraId="7CB6B65B" w14:textId="28DF08F7" w:rsidR="004907EB" w:rsidRPr="00FE3C59" w:rsidRDefault="004907EB"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w:t>
            </w:r>
            <w:r w:rsidR="004A4229"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APL</w:t>
            </w:r>
            <w:r w:rsidR="00CB7CBF" w:rsidRPr="00FE3C59">
              <w:rPr>
                <w:rFonts w:ascii="Times New Roman" w:hAnsi="Times New Roman" w:cs="Times New Roman"/>
                <w:b/>
                <w:u w:val="single"/>
                <w:lang w:val="en-GB"/>
              </w:rPr>
              <w:t xml:space="preserve"> </w:t>
            </w:r>
            <w:r w:rsidR="00802570"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w:t>
            </w:r>
            <w:r w:rsidR="00AF4E5B" w:rsidRPr="00FE3C59">
              <w:rPr>
                <w:rFonts w:ascii="Times New Roman" w:hAnsi="Times New Roman" w:cs="Times New Roman"/>
                <w:b/>
                <w:u w:val="single"/>
                <w:lang w:val="en-GB"/>
              </w:rPr>
              <w:t>VaR</w:t>
            </w:r>
            <w:r w:rsidR="00AF4E5B" w:rsidRPr="00FE3C59">
              <w:rPr>
                <w:rFonts w:ascii="Times New Roman" w:hAnsi="Times New Roman" w:cs="Times New Roman"/>
                <w:b/>
                <w:u w:val="single"/>
                <w:vertAlign w:val="subscript"/>
                <w:lang w:val="en-GB"/>
              </w:rPr>
              <w:t>t</w:t>
            </w:r>
            <w:r w:rsidR="00AF4E5B" w:rsidRPr="00FE3C59">
              <w:rPr>
                <w:rFonts w:ascii="Times New Roman" w:hAnsi="Times New Roman" w:cs="Times New Roman"/>
                <w:b/>
                <w:u w:val="single"/>
                <w:vertAlign w:val="superscript"/>
                <w:lang w:val="en-GB"/>
              </w:rPr>
              <w:t>(99%,1d)</w:t>
            </w:r>
          </w:p>
        </w:tc>
      </w:tr>
      <w:tr w:rsidR="004907EB" w:rsidRPr="00FE3C59" w14:paraId="6A6C8EB4" w14:textId="77777777" w:rsidTr="001C2F65">
        <w:tc>
          <w:tcPr>
            <w:tcW w:w="1256" w:type="dxa"/>
          </w:tcPr>
          <w:p w14:paraId="138EF033" w14:textId="40C47058" w:rsidR="004907EB" w:rsidRPr="00FE3C59" w:rsidRDefault="004907EB"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1C2F65" w:rsidRPr="00FE3C59">
              <w:rPr>
                <w:rFonts w:ascii="Times New Roman" w:hAnsi="Times New Roman" w:cs="Times New Roman"/>
                <w:lang w:val="en-GB"/>
              </w:rPr>
              <w:t>4</w:t>
            </w:r>
            <w:r w:rsidRPr="00FE3C59">
              <w:rPr>
                <w:rFonts w:ascii="Times New Roman" w:hAnsi="Times New Roman" w:cs="Times New Roman"/>
                <w:lang w:val="en-GB"/>
              </w:rPr>
              <w:t>0</w:t>
            </w:r>
          </w:p>
        </w:tc>
        <w:tc>
          <w:tcPr>
            <w:tcW w:w="7760" w:type="dxa"/>
            <w:vAlign w:val="bottom"/>
          </w:tcPr>
          <w:p w14:paraId="6DA1920A" w14:textId="3FEF23AA" w:rsidR="004907EB" w:rsidRPr="00FE3C59" w:rsidRDefault="004907EB"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w:t>
            </w:r>
            <w:r w:rsidR="004A4229" w:rsidRPr="00FE3C59">
              <w:rPr>
                <w:rFonts w:ascii="Times New Roman" w:hAnsi="Times New Roman" w:cs="Times New Roman"/>
                <w:b/>
                <w:u w:val="single"/>
                <w:lang w:val="en-GB"/>
              </w:rPr>
              <w:t>:</w:t>
            </w:r>
            <w:r w:rsidRPr="00FE3C59">
              <w:rPr>
                <w:rFonts w:ascii="Times New Roman" w:hAnsi="Times New Roman" w:cs="Times New Roman"/>
                <w:b/>
                <w:u w:val="single"/>
                <w:lang w:val="en-GB"/>
              </w:rPr>
              <w:t xml:space="preserve"> APL</w:t>
            </w:r>
            <w:r w:rsidR="00CB7CBF" w:rsidRPr="00FE3C59">
              <w:rPr>
                <w:rFonts w:ascii="Times New Roman" w:hAnsi="Times New Roman" w:cs="Times New Roman"/>
                <w:b/>
                <w:u w:val="single"/>
                <w:lang w:val="en-GB"/>
              </w:rPr>
              <w:t xml:space="preserve"> </w:t>
            </w:r>
            <w:r w:rsidR="00802570" w:rsidRPr="00FE3C59">
              <w:rPr>
                <w:rFonts w:ascii="Times New Roman" w:hAnsi="Times New Roman" w:cs="Times New Roman"/>
                <w:b/>
                <w:u w:val="single"/>
                <w:lang w:val="en-GB"/>
              </w:rPr>
              <w:t>– VaR</w:t>
            </w:r>
            <w:r w:rsidR="00802570" w:rsidRPr="00FE3C59">
              <w:rPr>
                <w:rFonts w:ascii="Times New Roman" w:hAnsi="Times New Roman" w:cs="Times New Roman"/>
                <w:b/>
                <w:u w:val="single"/>
                <w:vertAlign w:val="subscript"/>
                <w:lang w:val="en-GB"/>
              </w:rPr>
              <w:t>t</w:t>
            </w:r>
            <w:r w:rsidR="00802570" w:rsidRPr="00FE3C59">
              <w:rPr>
                <w:rFonts w:ascii="Times New Roman" w:hAnsi="Times New Roman" w:cs="Times New Roman"/>
                <w:b/>
                <w:u w:val="single"/>
                <w:vertAlign w:val="superscript"/>
                <w:lang w:val="en-GB"/>
              </w:rPr>
              <w:t>(97.5%,1d)</w:t>
            </w:r>
          </w:p>
        </w:tc>
      </w:tr>
      <w:tr w:rsidR="00B530B5" w:rsidRPr="00FE3C59" w14:paraId="41361B78" w14:textId="77777777" w:rsidTr="001C2F65">
        <w:tc>
          <w:tcPr>
            <w:tcW w:w="1256" w:type="dxa"/>
          </w:tcPr>
          <w:p w14:paraId="2B8CA185" w14:textId="67584ABC" w:rsidR="00B530B5" w:rsidRPr="00FE3C59" w:rsidRDefault="001C2F6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0150-0160</w:t>
            </w:r>
          </w:p>
        </w:tc>
        <w:tc>
          <w:tcPr>
            <w:tcW w:w="7760" w:type="dxa"/>
            <w:vAlign w:val="bottom"/>
          </w:tcPr>
          <w:p w14:paraId="4D1D43A8" w14:textId="46267566"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Overshooting </w:t>
            </w:r>
            <w:r w:rsidR="004A4229"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HPL</w:t>
            </w:r>
          </w:p>
          <w:p w14:paraId="76B963C9"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325bf(1) to (3) and (4), points (a) and (c),</w:t>
            </w:r>
            <w:r w:rsidRPr="00FE3C59">
              <w:rPr>
                <w:rFonts w:ascii="Times New Roman" w:hAnsi="Times New Roman" w:cs="Times New Roman"/>
                <w:bCs/>
                <w:lang w:val="en-GB"/>
              </w:rPr>
              <w:t xml:space="preserve"> of Regulation (EU) No 575/2013</w:t>
            </w:r>
          </w:p>
        </w:tc>
      </w:tr>
      <w:tr w:rsidR="001C2F65" w:rsidRPr="00FE3C59" w14:paraId="07F70740" w14:textId="77777777" w:rsidTr="001C2F65">
        <w:tc>
          <w:tcPr>
            <w:tcW w:w="1256" w:type="dxa"/>
          </w:tcPr>
          <w:p w14:paraId="49CEE7FB" w14:textId="39D79851" w:rsidR="001C2F65" w:rsidRPr="00FE3C59" w:rsidRDefault="001C2F6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760" w:type="dxa"/>
            <w:vAlign w:val="bottom"/>
          </w:tcPr>
          <w:p w14:paraId="21A6682B" w14:textId="459AA2C5" w:rsidR="001C2F65" w:rsidRPr="00FE3C59" w:rsidRDefault="001C2F6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w:t>
            </w:r>
            <w:r w:rsidR="004A4229"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HPL – VaR</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(99%,1d)</w:t>
            </w:r>
          </w:p>
        </w:tc>
      </w:tr>
      <w:tr w:rsidR="001C2F65" w:rsidRPr="00FE3C59" w14:paraId="7DDFBBDA" w14:textId="77777777" w:rsidTr="001C2F65">
        <w:tc>
          <w:tcPr>
            <w:tcW w:w="1256" w:type="dxa"/>
          </w:tcPr>
          <w:p w14:paraId="2ADDDC9F" w14:textId="337AB332" w:rsidR="001C2F65" w:rsidRPr="00FE3C59" w:rsidRDefault="001C2F6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760" w:type="dxa"/>
            <w:vAlign w:val="bottom"/>
          </w:tcPr>
          <w:p w14:paraId="1C658659" w14:textId="3277B23A" w:rsidR="001C2F65" w:rsidRPr="00FE3C59" w:rsidRDefault="001C2F6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Overshooting</w:t>
            </w:r>
            <w:r w:rsidR="004A4229" w:rsidRPr="00FE3C59">
              <w:rPr>
                <w:rFonts w:ascii="Times New Roman" w:hAnsi="Times New Roman" w:cs="Times New Roman"/>
                <w:b/>
                <w:u w:val="single"/>
                <w:lang w:val="en-GB"/>
              </w:rPr>
              <w:t xml:space="preserve">: </w:t>
            </w:r>
            <w:r w:rsidRPr="00FE3C59">
              <w:rPr>
                <w:rFonts w:ascii="Times New Roman" w:hAnsi="Times New Roman" w:cs="Times New Roman"/>
                <w:b/>
                <w:u w:val="single"/>
                <w:lang w:val="en-GB"/>
              </w:rPr>
              <w:t>HPL – VaR</w:t>
            </w:r>
            <w:r w:rsidRPr="00FE3C59">
              <w:rPr>
                <w:rFonts w:ascii="Times New Roman" w:hAnsi="Times New Roman" w:cs="Times New Roman"/>
                <w:b/>
                <w:u w:val="single"/>
                <w:vertAlign w:val="subscript"/>
                <w:lang w:val="en-GB"/>
              </w:rPr>
              <w:t>t</w:t>
            </w:r>
            <w:r w:rsidRPr="00FE3C59">
              <w:rPr>
                <w:rFonts w:ascii="Times New Roman" w:hAnsi="Times New Roman" w:cs="Times New Roman"/>
                <w:b/>
                <w:u w:val="single"/>
                <w:vertAlign w:val="superscript"/>
                <w:lang w:val="en-GB"/>
              </w:rPr>
              <w:t>(97.5%,1d)</w:t>
            </w:r>
          </w:p>
        </w:tc>
      </w:tr>
      <w:tr w:rsidR="00B530B5" w:rsidRPr="00FE3C59" w14:paraId="23199FDB" w14:textId="77777777" w:rsidTr="001C2F65">
        <w:tc>
          <w:tcPr>
            <w:tcW w:w="1256" w:type="dxa"/>
          </w:tcPr>
          <w:p w14:paraId="53C89166" w14:textId="6528D84F"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4A4229" w:rsidRPr="00FE3C59">
              <w:rPr>
                <w:rFonts w:ascii="Times New Roman" w:hAnsi="Times New Roman" w:cs="Times New Roman"/>
                <w:lang w:val="en-GB"/>
              </w:rPr>
              <w:t>7</w:t>
            </w:r>
            <w:r w:rsidRPr="00FE3C59">
              <w:rPr>
                <w:rFonts w:ascii="Times New Roman" w:hAnsi="Times New Roman" w:cs="Times New Roman"/>
                <w:lang w:val="en-GB"/>
              </w:rPr>
              <w:t>0-0</w:t>
            </w:r>
            <w:r w:rsidR="004A4229" w:rsidRPr="00FE3C59">
              <w:rPr>
                <w:rFonts w:ascii="Times New Roman" w:hAnsi="Times New Roman" w:cs="Times New Roman"/>
                <w:lang w:val="en-GB"/>
              </w:rPr>
              <w:t>20</w:t>
            </w:r>
            <w:r w:rsidRPr="00FE3C59">
              <w:rPr>
                <w:rFonts w:ascii="Times New Roman" w:hAnsi="Times New Roman" w:cs="Times New Roman"/>
                <w:lang w:val="en-GB"/>
              </w:rPr>
              <w:t>0</w:t>
            </w:r>
          </w:p>
        </w:tc>
        <w:tc>
          <w:tcPr>
            <w:tcW w:w="7760" w:type="dxa"/>
            <w:vAlign w:val="bottom"/>
          </w:tcPr>
          <w:p w14:paraId="507EE8D8"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
                <w:u w:val="single"/>
                <w:lang w:val="en-GB"/>
              </w:rPr>
              <w:t>Excluded overshootings</w:t>
            </w:r>
          </w:p>
          <w:p w14:paraId="2FB78ACD"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lang w:val="en-GB"/>
              </w:rPr>
              <w:t>Article 325bf(8)</w:t>
            </w:r>
            <w:r w:rsidRPr="00FE3C59">
              <w:rPr>
                <w:rFonts w:ascii="Times New Roman" w:hAnsi="Times New Roman" w:cs="Times New Roman"/>
                <w:bCs/>
                <w:lang w:val="en-GB"/>
              </w:rPr>
              <w:t xml:space="preserve"> of Regulation (EU) No 575/2013</w:t>
            </w:r>
          </w:p>
          <w:p w14:paraId="2F549644" w14:textId="77777777" w:rsidR="00B530B5" w:rsidRPr="00FE3C59" w:rsidRDefault="00B530B5">
            <w:pPr>
              <w:pStyle w:val="BodyText"/>
              <w:spacing w:after="120"/>
              <w:rPr>
                <w:rFonts w:ascii="Times New Roman" w:hAnsi="Times New Roman" w:cs="Times New Roman"/>
                <w:lang w:val="en-GB"/>
              </w:rPr>
            </w:pPr>
            <w:r w:rsidRPr="00FE3C59">
              <w:rPr>
                <w:rFonts w:ascii="Times New Roman" w:hAnsi="Times New Roman" w:cs="Times New Roman"/>
                <w:lang w:val="en-GB"/>
              </w:rPr>
              <w:t>‘Does not constitute overshooting’ shall be reported, where no overshooting was identified for the date t.</w:t>
            </w:r>
          </w:p>
          <w:p w14:paraId="5B158698" w14:textId="77777777" w:rsidR="00B530B5" w:rsidRPr="00FE3C59" w:rsidRDefault="00B530B5">
            <w:pPr>
              <w:pStyle w:val="BodyText"/>
              <w:spacing w:after="120"/>
              <w:rPr>
                <w:rFonts w:ascii="Times New Roman" w:hAnsi="Times New Roman" w:cs="Times New Roman"/>
                <w:lang w:val="en-GB"/>
              </w:rPr>
            </w:pPr>
            <w:r w:rsidRPr="00FE3C59">
              <w:rPr>
                <w:rFonts w:ascii="Times New Roman" w:hAnsi="Times New Roman" w:cs="Times New Roman"/>
                <w:lang w:val="en-GB"/>
              </w:rPr>
              <w:t>‘Overshooting excluded’ shall be indicated, where the competent authority permitted the institution not to count an overshooting in accordance with Article 325bf(8)</w:t>
            </w:r>
            <w:r w:rsidRPr="00FE3C59">
              <w:rPr>
                <w:rFonts w:ascii="Times New Roman" w:hAnsi="Times New Roman" w:cs="Times New Roman"/>
                <w:bCs/>
                <w:lang w:val="en-GB"/>
              </w:rPr>
              <w:t xml:space="preserve"> of Regulation (EU) No 575/2013.</w:t>
            </w:r>
          </w:p>
          <w:p w14:paraId="63D95187"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‘Overshooting not excluded’ shall be indicated otherwise.</w:t>
            </w:r>
          </w:p>
        </w:tc>
      </w:tr>
      <w:tr w:rsidR="00B530B5" w:rsidRPr="00FE3C59" w14:paraId="3FA8A61F" w14:textId="77777777" w:rsidTr="001C2F65">
        <w:tc>
          <w:tcPr>
            <w:tcW w:w="1256" w:type="dxa"/>
          </w:tcPr>
          <w:p w14:paraId="2916590B" w14:textId="6AFF435C"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D87B90" w:rsidRPr="00FE3C59">
              <w:rPr>
                <w:rFonts w:ascii="Times New Roman" w:hAnsi="Times New Roman" w:cs="Times New Roman"/>
                <w:lang w:val="en-GB"/>
              </w:rPr>
              <w:t>7</w:t>
            </w:r>
            <w:r w:rsidRPr="00FE3C59">
              <w:rPr>
                <w:rFonts w:ascii="Times New Roman" w:hAnsi="Times New Roman" w:cs="Times New Roman"/>
                <w:lang w:val="en-GB"/>
              </w:rPr>
              <w:t>0</w:t>
            </w:r>
            <w:r w:rsidR="00D87B90" w:rsidRPr="00FE3C59">
              <w:rPr>
                <w:rFonts w:ascii="Times New Roman" w:hAnsi="Times New Roman" w:cs="Times New Roman"/>
                <w:lang w:val="en-GB"/>
              </w:rPr>
              <w:t>-0180</w:t>
            </w:r>
          </w:p>
        </w:tc>
        <w:tc>
          <w:tcPr>
            <w:tcW w:w="7760" w:type="dxa"/>
            <w:vAlign w:val="bottom"/>
          </w:tcPr>
          <w:p w14:paraId="5962D595" w14:textId="77777777" w:rsidR="00B530B5" w:rsidRPr="00FE3C59" w:rsidRDefault="00B530B5" w:rsidP="008735E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Excluded overshootings: APL</w:t>
            </w:r>
          </w:p>
        </w:tc>
      </w:tr>
      <w:tr w:rsidR="004A4229" w:rsidRPr="00FE3C59" w14:paraId="5273D730" w14:textId="77777777">
        <w:tc>
          <w:tcPr>
            <w:tcW w:w="1256" w:type="dxa"/>
          </w:tcPr>
          <w:p w14:paraId="795C53CC" w14:textId="01BBE3AB" w:rsidR="004A4229" w:rsidRPr="00FE3C59" w:rsidRDefault="004A4229"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D87B90" w:rsidRPr="00FE3C59">
              <w:rPr>
                <w:rFonts w:ascii="Times New Roman" w:hAnsi="Times New Roman" w:cs="Times New Roman"/>
                <w:lang w:val="en-GB"/>
              </w:rPr>
              <w:t>7</w:t>
            </w:r>
            <w:r w:rsidRPr="00FE3C59">
              <w:rPr>
                <w:rFonts w:ascii="Times New Roman" w:hAnsi="Times New Roman" w:cs="Times New Roman"/>
                <w:lang w:val="en-GB"/>
              </w:rPr>
              <w:t>0</w:t>
            </w:r>
          </w:p>
        </w:tc>
        <w:tc>
          <w:tcPr>
            <w:tcW w:w="7760" w:type="dxa"/>
            <w:vAlign w:val="bottom"/>
          </w:tcPr>
          <w:p w14:paraId="6607C094" w14:textId="6E26C064" w:rsidR="004A4229" w:rsidRPr="00FE3C59" w:rsidRDefault="00D87B90"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Excluded o</w:t>
            </w:r>
            <w:r w:rsidR="004A4229" w:rsidRPr="00FE3C59">
              <w:rPr>
                <w:rFonts w:ascii="Times New Roman" w:hAnsi="Times New Roman" w:cs="Times New Roman"/>
                <w:b/>
                <w:u w:val="single"/>
                <w:lang w:val="en-GB"/>
              </w:rPr>
              <w:t>vershooting: APL – VaR</w:t>
            </w:r>
            <w:r w:rsidR="004A4229" w:rsidRPr="00FE3C59">
              <w:rPr>
                <w:rFonts w:ascii="Times New Roman" w:hAnsi="Times New Roman" w:cs="Times New Roman"/>
                <w:b/>
                <w:u w:val="single"/>
                <w:vertAlign w:val="subscript"/>
                <w:lang w:val="en-GB"/>
              </w:rPr>
              <w:t>t</w:t>
            </w:r>
            <w:r w:rsidR="004A4229" w:rsidRPr="00FE3C59">
              <w:rPr>
                <w:rFonts w:ascii="Times New Roman" w:hAnsi="Times New Roman" w:cs="Times New Roman"/>
                <w:b/>
                <w:u w:val="single"/>
                <w:vertAlign w:val="superscript"/>
                <w:lang w:val="en-GB"/>
              </w:rPr>
              <w:t>(99%,1d)</w:t>
            </w:r>
          </w:p>
        </w:tc>
      </w:tr>
      <w:tr w:rsidR="004A4229" w:rsidRPr="00FE3C59" w14:paraId="5D2363CD" w14:textId="77777777">
        <w:tc>
          <w:tcPr>
            <w:tcW w:w="1256" w:type="dxa"/>
          </w:tcPr>
          <w:p w14:paraId="41133C15" w14:textId="09AC41AE" w:rsidR="004A4229" w:rsidRPr="00FE3C59" w:rsidRDefault="004A4229"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D87B90" w:rsidRPr="00FE3C59">
              <w:rPr>
                <w:rFonts w:ascii="Times New Roman" w:hAnsi="Times New Roman" w:cs="Times New Roman"/>
                <w:lang w:val="en-GB"/>
              </w:rPr>
              <w:t>8</w:t>
            </w:r>
            <w:r w:rsidRPr="00FE3C59">
              <w:rPr>
                <w:rFonts w:ascii="Times New Roman" w:hAnsi="Times New Roman" w:cs="Times New Roman"/>
                <w:lang w:val="en-GB"/>
              </w:rPr>
              <w:t>0</w:t>
            </w:r>
          </w:p>
        </w:tc>
        <w:tc>
          <w:tcPr>
            <w:tcW w:w="7760" w:type="dxa"/>
            <w:vAlign w:val="bottom"/>
          </w:tcPr>
          <w:p w14:paraId="19F4BDD5" w14:textId="7F728CC1" w:rsidR="004A4229" w:rsidRPr="00FE3C59" w:rsidRDefault="00D87B90"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Excluded overshooting</w:t>
            </w:r>
            <w:r w:rsidR="004A4229" w:rsidRPr="00FE3C59">
              <w:rPr>
                <w:rFonts w:ascii="Times New Roman" w:hAnsi="Times New Roman" w:cs="Times New Roman"/>
                <w:b/>
                <w:u w:val="single"/>
                <w:lang w:val="en-GB"/>
              </w:rPr>
              <w:t>: APL – VaR</w:t>
            </w:r>
            <w:r w:rsidR="004A4229" w:rsidRPr="00FE3C59">
              <w:rPr>
                <w:rFonts w:ascii="Times New Roman" w:hAnsi="Times New Roman" w:cs="Times New Roman"/>
                <w:b/>
                <w:u w:val="single"/>
                <w:vertAlign w:val="subscript"/>
                <w:lang w:val="en-GB"/>
              </w:rPr>
              <w:t>t</w:t>
            </w:r>
            <w:r w:rsidR="004A4229" w:rsidRPr="00FE3C59">
              <w:rPr>
                <w:rFonts w:ascii="Times New Roman" w:hAnsi="Times New Roman" w:cs="Times New Roman"/>
                <w:b/>
                <w:u w:val="single"/>
                <w:vertAlign w:val="superscript"/>
                <w:lang w:val="en-GB"/>
              </w:rPr>
              <w:t>(97.5%,1d)</w:t>
            </w:r>
          </w:p>
        </w:tc>
      </w:tr>
      <w:tr w:rsidR="00B530B5" w:rsidRPr="00FE3C59" w14:paraId="35AE951A" w14:textId="77777777" w:rsidTr="001C2F65">
        <w:tc>
          <w:tcPr>
            <w:tcW w:w="1256" w:type="dxa"/>
          </w:tcPr>
          <w:p w14:paraId="43F9C9CE" w14:textId="5DC81981"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w:t>
            </w:r>
            <w:r w:rsidR="00D87B90" w:rsidRPr="00FE3C59">
              <w:rPr>
                <w:rFonts w:ascii="Times New Roman" w:hAnsi="Times New Roman" w:cs="Times New Roman"/>
                <w:lang w:val="en-GB"/>
              </w:rPr>
              <w:t>9</w:t>
            </w:r>
            <w:r w:rsidRPr="00FE3C59">
              <w:rPr>
                <w:rFonts w:ascii="Times New Roman" w:hAnsi="Times New Roman" w:cs="Times New Roman"/>
                <w:lang w:val="en-GB"/>
              </w:rPr>
              <w:t>0</w:t>
            </w:r>
            <w:r w:rsidR="00D87B90" w:rsidRPr="00FE3C59">
              <w:rPr>
                <w:rFonts w:ascii="Times New Roman" w:hAnsi="Times New Roman" w:cs="Times New Roman"/>
                <w:lang w:val="en-GB"/>
              </w:rPr>
              <w:t>-0200</w:t>
            </w:r>
          </w:p>
        </w:tc>
        <w:tc>
          <w:tcPr>
            <w:tcW w:w="7760" w:type="dxa"/>
            <w:vAlign w:val="bottom"/>
          </w:tcPr>
          <w:p w14:paraId="60BFB5CE" w14:textId="77777777" w:rsidR="00B530B5" w:rsidRPr="00FE3C59" w:rsidRDefault="00B530B5" w:rsidP="008735E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Excluded overshootings: HPL</w:t>
            </w:r>
          </w:p>
        </w:tc>
      </w:tr>
      <w:tr w:rsidR="004A4229" w:rsidRPr="00FE3C59" w14:paraId="5183AEF1" w14:textId="77777777">
        <w:tc>
          <w:tcPr>
            <w:tcW w:w="1256" w:type="dxa"/>
          </w:tcPr>
          <w:p w14:paraId="347CED20" w14:textId="040828FE" w:rsidR="004A4229" w:rsidRPr="00FE3C59" w:rsidRDefault="004A4229"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D87B90" w:rsidRPr="00FE3C59">
              <w:rPr>
                <w:rFonts w:ascii="Times New Roman" w:hAnsi="Times New Roman" w:cs="Times New Roman"/>
                <w:lang w:val="en-GB"/>
              </w:rPr>
              <w:t>19</w:t>
            </w:r>
            <w:r w:rsidRPr="00FE3C59">
              <w:rPr>
                <w:rFonts w:ascii="Times New Roman" w:hAnsi="Times New Roman" w:cs="Times New Roman"/>
                <w:lang w:val="en-GB"/>
              </w:rPr>
              <w:t>0</w:t>
            </w:r>
          </w:p>
        </w:tc>
        <w:tc>
          <w:tcPr>
            <w:tcW w:w="7760" w:type="dxa"/>
            <w:vAlign w:val="bottom"/>
          </w:tcPr>
          <w:p w14:paraId="37A1B403" w14:textId="6C935681" w:rsidR="004A4229" w:rsidRPr="00FE3C59" w:rsidRDefault="00D87B90"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Excluded overshooting</w:t>
            </w:r>
            <w:r w:rsidR="004A4229" w:rsidRPr="00FE3C59">
              <w:rPr>
                <w:rFonts w:ascii="Times New Roman" w:hAnsi="Times New Roman" w:cs="Times New Roman"/>
                <w:b/>
                <w:u w:val="single"/>
                <w:lang w:val="en-GB"/>
              </w:rPr>
              <w:t>: HPL – VaR</w:t>
            </w:r>
            <w:r w:rsidR="004A4229" w:rsidRPr="00FE3C59">
              <w:rPr>
                <w:rFonts w:ascii="Times New Roman" w:hAnsi="Times New Roman" w:cs="Times New Roman"/>
                <w:b/>
                <w:u w:val="single"/>
                <w:vertAlign w:val="subscript"/>
                <w:lang w:val="en-GB"/>
              </w:rPr>
              <w:t>t</w:t>
            </w:r>
            <w:r w:rsidR="004A4229" w:rsidRPr="00FE3C59">
              <w:rPr>
                <w:rFonts w:ascii="Times New Roman" w:hAnsi="Times New Roman" w:cs="Times New Roman"/>
                <w:b/>
                <w:u w:val="single"/>
                <w:vertAlign w:val="superscript"/>
                <w:lang w:val="en-GB"/>
              </w:rPr>
              <w:t>(99%,1d)</w:t>
            </w:r>
          </w:p>
        </w:tc>
      </w:tr>
      <w:tr w:rsidR="004A4229" w:rsidRPr="00FE3C59" w14:paraId="6BE087D1" w14:textId="77777777">
        <w:tc>
          <w:tcPr>
            <w:tcW w:w="1256" w:type="dxa"/>
          </w:tcPr>
          <w:p w14:paraId="43DB3F99" w14:textId="7E6E24DC" w:rsidR="004A4229" w:rsidRPr="00FE3C59" w:rsidRDefault="004A4229"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w:t>
            </w:r>
            <w:r w:rsidR="00D87B90" w:rsidRPr="00FE3C59">
              <w:rPr>
                <w:rFonts w:ascii="Times New Roman" w:hAnsi="Times New Roman" w:cs="Times New Roman"/>
                <w:lang w:val="en-GB"/>
              </w:rPr>
              <w:t>20</w:t>
            </w:r>
            <w:r w:rsidRPr="00FE3C59">
              <w:rPr>
                <w:rFonts w:ascii="Times New Roman" w:hAnsi="Times New Roman" w:cs="Times New Roman"/>
                <w:lang w:val="en-GB"/>
              </w:rPr>
              <w:t>0</w:t>
            </w:r>
          </w:p>
        </w:tc>
        <w:tc>
          <w:tcPr>
            <w:tcW w:w="7760" w:type="dxa"/>
            <w:vAlign w:val="bottom"/>
          </w:tcPr>
          <w:p w14:paraId="4D23A793" w14:textId="202B2DFE" w:rsidR="004A4229" w:rsidRPr="00FE3C59" w:rsidRDefault="00D87B90"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Excluded overshooting</w:t>
            </w:r>
            <w:r w:rsidR="004A4229" w:rsidRPr="00FE3C59">
              <w:rPr>
                <w:rFonts w:ascii="Times New Roman" w:hAnsi="Times New Roman" w:cs="Times New Roman"/>
                <w:b/>
                <w:u w:val="single"/>
                <w:lang w:val="en-GB"/>
              </w:rPr>
              <w:t>: HPL – VaR</w:t>
            </w:r>
            <w:r w:rsidR="004A4229" w:rsidRPr="00FE3C59">
              <w:rPr>
                <w:rFonts w:ascii="Times New Roman" w:hAnsi="Times New Roman" w:cs="Times New Roman"/>
                <w:b/>
                <w:u w:val="single"/>
                <w:vertAlign w:val="subscript"/>
                <w:lang w:val="en-GB"/>
              </w:rPr>
              <w:t>t</w:t>
            </w:r>
            <w:r w:rsidR="004A4229" w:rsidRPr="00FE3C59">
              <w:rPr>
                <w:rFonts w:ascii="Times New Roman" w:hAnsi="Times New Roman" w:cs="Times New Roman"/>
                <w:b/>
                <w:u w:val="single"/>
                <w:vertAlign w:val="superscript"/>
                <w:lang w:val="en-GB"/>
              </w:rPr>
              <w:t>(97.5%,1d)</w:t>
            </w:r>
          </w:p>
        </w:tc>
      </w:tr>
    </w:tbl>
    <w:p w14:paraId="1D6532B1"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3.6 Stress scenario risk measure</w:t>
      </w:r>
    </w:p>
    <w:p w14:paraId="4E566E31"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3.6.1</w:t>
      </w:r>
      <w:r w:rsidRPr="00FE3C59">
        <w:rPr>
          <w:rFonts w:ascii="Times New Roman" w:hAnsi="Times New Roman" w:cs="Times New Roman"/>
          <w:sz w:val="24"/>
          <w:u w:val="none"/>
          <w:lang w:val="en-GB"/>
        </w:rPr>
        <w:tab/>
        <w:t>C 96.05.1: Stress scenario risk measure (SSRM) - Own funds requirements (MKR IMA SSRM1)</w:t>
      </w:r>
    </w:p>
    <w:p w14:paraId="64CE28FD"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3.6.1.1 General remarks</w:t>
      </w:r>
    </w:p>
    <w:p w14:paraId="54074DEC" w14:textId="77777777" w:rsidR="00B530B5" w:rsidRPr="00FE3C59" w:rsidRDefault="00B530B5" w:rsidP="00253413">
      <w:pPr>
        <w:pStyle w:val="InstructionsText2"/>
        <w:numPr>
          <w:ilvl w:val="0"/>
          <w:numId w:val="57"/>
        </w:numPr>
      </w:pPr>
      <w:r w:rsidRPr="00FE3C59">
        <w:t>The template MKR IMA SSRM1 shall be used to provide information on the calculation of the own funds requirements for non-modellable risk factors, i.e. the stress scenario risk measure.</w:t>
      </w:r>
    </w:p>
    <w:p w14:paraId="374532AC"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3.6.1.2 Instructions concerning specific positions</w:t>
      </w:r>
    </w:p>
    <w:tbl>
      <w:tblPr>
        <w:tblStyle w:val="TableGrid"/>
        <w:tblW w:w="0" w:type="auto"/>
        <w:tblLook w:val="04A0" w:firstRow="1" w:lastRow="0" w:firstColumn="1" w:lastColumn="0" w:noHBand="0" w:noVBand="1"/>
      </w:tblPr>
      <w:tblGrid>
        <w:gridCol w:w="1043"/>
        <w:gridCol w:w="7973"/>
      </w:tblGrid>
      <w:tr w:rsidR="00B530B5" w:rsidRPr="00FE3C59" w14:paraId="41FBCC39" w14:textId="77777777">
        <w:tc>
          <w:tcPr>
            <w:tcW w:w="1043" w:type="dxa"/>
            <w:shd w:val="clear" w:color="auto" w:fill="BFBFBF" w:themeFill="background1" w:themeFillShade="BF"/>
          </w:tcPr>
          <w:p w14:paraId="74B5C573"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7C64CC3A"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50BE97E2" w14:textId="77777777">
        <w:tc>
          <w:tcPr>
            <w:tcW w:w="1043" w:type="dxa"/>
          </w:tcPr>
          <w:p w14:paraId="73D689FC"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0010-0040</w:t>
            </w:r>
          </w:p>
        </w:tc>
        <w:tc>
          <w:tcPr>
            <w:tcW w:w="7973" w:type="dxa"/>
          </w:tcPr>
          <w:p w14:paraId="08787C3D"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Sum of rescaled stress scenario risk measures (∑RSS)</w:t>
            </w:r>
          </w:p>
          <w:p w14:paraId="1142F506" w14:textId="07B52118"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The sum of all the rescaled stress scenario risk measures RSS, calculated in accordance with Article 12(1) of </w:t>
            </w:r>
            <w:r w:rsidR="00804AB9" w:rsidRPr="00804AB9">
              <w:rPr>
                <w:rFonts w:ascii="Times New Roman" w:hAnsi="Times New Roman" w:cs="Times New Roman"/>
                <w:lang w:val="en-GB"/>
              </w:rPr>
              <w:t>[RTS on SSRM]</w:t>
            </w:r>
            <w:r w:rsidRPr="00804AB9">
              <w:rPr>
                <w:rFonts w:ascii="Times New Roman" w:hAnsi="Times New Roman" w:cs="Times New Roman"/>
                <w:lang w:val="en-GB"/>
              </w:rPr>
              <w:t>,</w:t>
            </w:r>
            <w:r w:rsidRPr="00FE3C59">
              <w:rPr>
                <w:rFonts w:ascii="Times New Roman" w:hAnsi="Times New Roman" w:cs="Times New Roman"/>
                <w:lang w:val="en-GB"/>
              </w:rPr>
              <w:t xml:space="preserve"> shall be reported.</w:t>
            </w:r>
          </w:p>
        </w:tc>
      </w:tr>
      <w:tr w:rsidR="00B530B5" w:rsidRPr="00FE3C59" w14:paraId="2FEB0934" w14:textId="77777777">
        <w:tc>
          <w:tcPr>
            <w:tcW w:w="1043" w:type="dxa"/>
          </w:tcPr>
          <w:p w14:paraId="3AD5957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0010-0020</w:t>
            </w:r>
          </w:p>
        </w:tc>
        <w:tc>
          <w:tcPr>
            <w:tcW w:w="7973" w:type="dxa"/>
          </w:tcPr>
          <w:p w14:paraId="2ED4B4D4"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SSRM at risk factor level</w:t>
            </w:r>
          </w:p>
          <w:p w14:paraId="3129E961" w14:textId="350E3CC9"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Set of non-modellable risk factors for which the stress scenario risk measure is computed at risk factor level, as the institution does not make use of the derogation of Article 11 of </w:t>
            </w:r>
            <w:r w:rsidR="00804AB9" w:rsidRPr="00804AB9">
              <w:rPr>
                <w:rFonts w:ascii="Times New Roman" w:hAnsi="Times New Roman" w:cs="Times New Roman"/>
                <w:lang w:val="en-GB"/>
              </w:rPr>
              <w:t>[</w:t>
            </w:r>
            <w:r w:rsidRPr="00804AB9">
              <w:rPr>
                <w:rFonts w:ascii="Times New Roman" w:hAnsi="Times New Roman" w:cs="Times New Roman"/>
                <w:lang w:val="en-GB"/>
              </w:rPr>
              <w:t>RTS on SSRM</w:t>
            </w:r>
            <w:r w:rsidR="00804AB9" w:rsidRPr="00804AB9">
              <w:rPr>
                <w:rFonts w:ascii="Times New Roman" w:hAnsi="Times New Roman" w:cs="Times New Roman"/>
                <w:lang w:val="en-GB"/>
              </w:rPr>
              <w:t>]</w:t>
            </w:r>
          </w:p>
        </w:tc>
      </w:tr>
      <w:tr w:rsidR="00B530B5" w:rsidRPr="00FE3C59" w14:paraId="1F629190" w14:textId="77777777">
        <w:tc>
          <w:tcPr>
            <w:tcW w:w="1043" w:type="dxa"/>
          </w:tcPr>
          <w:p w14:paraId="66CCD6F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Pr>
          <w:p w14:paraId="5B60DCF0"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Parameter for curve or surface</w:t>
            </w:r>
          </w:p>
          <w:p w14:paraId="2E08B709"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Set of non-modellable risk factors that are parameters of a curve or a surface, where the assessment of the ability to model that risk factor was performed in accordance with Article 6 of Regulation (EU) 2022/2060</w:t>
            </w:r>
          </w:p>
        </w:tc>
      </w:tr>
      <w:tr w:rsidR="00B530B5" w:rsidRPr="00FE3C59" w14:paraId="08112FF9" w14:textId="77777777">
        <w:tc>
          <w:tcPr>
            <w:tcW w:w="1043" w:type="dxa"/>
          </w:tcPr>
          <w:p w14:paraId="23770B1E"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73" w:type="dxa"/>
          </w:tcPr>
          <w:p w14:paraId="28F25484"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Not parameter for curve or surface</w:t>
            </w:r>
          </w:p>
          <w:p w14:paraId="73A124E4"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Set of non-modellable risk factors that are not parameters of a curve or a surface, where the assessment of the ability to model that risk factor was not performed in accordance with Article 6 of Regulation (EU) 2022/2060</w:t>
            </w:r>
          </w:p>
        </w:tc>
      </w:tr>
      <w:tr w:rsidR="00B530B5" w:rsidRPr="00FE3C59" w14:paraId="1E148378" w14:textId="77777777">
        <w:tc>
          <w:tcPr>
            <w:tcW w:w="1043" w:type="dxa"/>
          </w:tcPr>
          <w:p w14:paraId="166A21B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Pr>
          <w:p w14:paraId="009C8DE1"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SSRM at bucket level</w:t>
            </w:r>
          </w:p>
          <w:p w14:paraId="10FB91C9" w14:textId="3F43A733"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Set of non-modellable risk factors for which the stress scenario risk measure is calculated at standardised bucket level in accordance with Article 11 of </w:t>
            </w:r>
            <w:r w:rsidR="00804AB9" w:rsidRPr="00804AB9">
              <w:rPr>
                <w:rFonts w:ascii="Times New Roman" w:hAnsi="Times New Roman" w:cs="Times New Roman"/>
                <w:lang w:val="en-GB"/>
              </w:rPr>
              <w:t>[RTS on SSRM]</w:t>
            </w:r>
          </w:p>
        </w:tc>
      </w:tr>
      <w:tr w:rsidR="00B530B5" w:rsidRPr="00FE3C59" w14:paraId="1F4B2C11" w14:textId="77777777">
        <w:tc>
          <w:tcPr>
            <w:tcW w:w="1043" w:type="dxa"/>
          </w:tcPr>
          <w:p w14:paraId="1404617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tcPr>
          <w:p w14:paraId="47E10A0B" w14:textId="16F67B28" w:rsidR="00B530B5" w:rsidRPr="00A204EE" w:rsidRDefault="00B530B5" w:rsidP="00A204E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Total</w:t>
            </w:r>
          </w:p>
        </w:tc>
      </w:tr>
      <w:tr w:rsidR="00B530B5" w:rsidRPr="00FE3C59" w14:paraId="6424B62C" w14:textId="77777777">
        <w:tc>
          <w:tcPr>
            <w:tcW w:w="1043" w:type="dxa"/>
          </w:tcPr>
          <w:p w14:paraId="21E63EB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0050-0080</w:t>
            </w:r>
          </w:p>
        </w:tc>
        <w:tc>
          <w:tcPr>
            <w:tcW w:w="7973" w:type="dxa"/>
          </w:tcPr>
          <w:p w14:paraId="1901220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Aggregate rescaled stress scenario risk measure (∑RSS</w:t>
            </w:r>
            <w:r w:rsidRPr="00FE3C59">
              <w:rPr>
                <w:rFonts w:ascii="Times New Roman" w:hAnsi="Times New Roman" w:cs="Times New Roman"/>
                <w:b/>
                <w:u w:val="single"/>
                <w:vertAlign w:val="superscript"/>
                <w:lang w:val="en-GB"/>
              </w:rPr>
              <w:t>2</w:t>
            </w:r>
            <w:r w:rsidRPr="00FE3C59">
              <w:rPr>
                <w:rFonts w:ascii="Times New Roman" w:hAnsi="Times New Roman" w:cs="Times New Roman"/>
                <w:b/>
                <w:u w:val="single"/>
                <w:lang w:val="en-GB"/>
              </w:rPr>
              <w:t>)</w:t>
            </w:r>
          </w:p>
          <w:p w14:paraId="5B83A383" w14:textId="472A5394"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The sum of squares of all the rescaled stress scenario risk measures RSS, calculated in accordance with Article 12(1) </w:t>
            </w:r>
            <w:r w:rsidRPr="00804AB9">
              <w:rPr>
                <w:rFonts w:ascii="Times New Roman" w:hAnsi="Times New Roman" w:cs="Times New Roman"/>
                <w:lang w:val="en-GB"/>
              </w:rPr>
              <w:t xml:space="preserve">of </w:t>
            </w:r>
            <w:r w:rsidR="00804AB9" w:rsidRPr="00804AB9">
              <w:rPr>
                <w:rFonts w:ascii="Times New Roman" w:hAnsi="Times New Roman" w:cs="Times New Roman"/>
                <w:lang w:val="en-GB"/>
              </w:rPr>
              <w:t>[RTS on SSRM]</w:t>
            </w:r>
            <w:r w:rsidRPr="00804AB9">
              <w:rPr>
                <w:rFonts w:ascii="Times New Roman" w:hAnsi="Times New Roman" w:cs="Times New Roman"/>
                <w:lang w:val="en-GB"/>
              </w:rPr>
              <w:t>, shall</w:t>
            </w:r>
            <w:r w:rsidRPr="00FE3C59">
              <w:rPr>
                <w:rFonts w:ascii="Times New Roman" w:hAnsi="Times New Roman" w:cs="Times New Roman"/>
                <w:lang w:val="en-GB"/>
              </w:rPr>
              <w:t xml:space="preserve"> be reported</w:t>
            </w:r>
          </w:p>
        </w:tc>
      </w:tr>
      <w:tr w:rsidR="00B530B5" w:rsidRPr="00FE3C59" w14:paraId="46412CD3" w14:textId="77777777">
        <w:tc>
          <w:tcPr>
            <w:tcW w:w="1043" w:type="dxa"/>
          </w:tcPr>
          <w:p w14:paraId="6F6DB12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0050-0060</w:t>
            </w:r>
          </w:p>
        </w:tc>
        <w:tc>
          <w:tcPr>
            <w:tcW w:w="7973" w:type="dxa"/>
          </w:tcPr>
          <w:p w14:paraId="5E3289C6"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SSRM at risk factor level</w:t>
            </w:r>
          </w:p>
          <w:p w14:paraId="53DC51F6" w14:textId="37D9B16D"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Set of non-modellable risk factors for which the stress scenario risk measure is computed at risk factor level (i.e. where the institution does not make use of the derogation of Article 11 </w:t>
            </w:r>
            <w:r w:rsidRPr="00804AB9">
              <w:rPr>
                <w:rFonts w:ascii="Times New Roman" w:hAnsi="Times New Roman" w:cs="Times New Roman"/>
                <w:lang w:val="en-GB"/>
              </w:rPr>
              <w:t xml:space="preserve">of </w:t>
            </w:r>
            <w:r w:rsidR="00804AB9" w:rsidRPr="00804AB9">
              <w:rPr>
                <w:rFonts w:ascii="Times New Roman" w:hAnsi="Times New Roman" w:cs="Times New Roman"/>
                <w:lang w:val="en-GB"/>
              </w:rPr>
              <w:t>[RTS on SSRM]</w:t>
            </w:r>
            <w:r w:rsidRPr="00804AB9">
              <w:rPr>
                <w:rFonts w:ascii="Times New Roman" w:hAnsi="Times New Roman" w:cs="Times New Roman"/>
                <w:lang w:val="en-GB"/>
              </w:rPr>
              <w:t>)</w:t>
            </w:r>
          </w:p>
        </w:tc>
      </w:tr>
      <w:tr w:rsidR="00B530B5" w:rsidRPr="00FE3C59" w14:paraId="4474F067" w14:textId="77777777">
        <w:tc>
          <w:tcPr>
            <w:tcW w:w="1043" w:type="dxa"/>
          </w:tcPr>
          <w:p w14:paraId="4D61680E"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tcPr>
          <w:p w14:paraId="2CE1ACE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Parameter for curve or surface</w:t>
            </w:r>
          </w:p>
          <w:p w14:paraId="68B35FF4"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Set of non-modellable risk factors that are parameters of a curve or a surface whose modellability has been assessed in accordance with Article 6 of Regulation (EU) 2022/2060</w:t>
            </w:r>
          </w:p>
        </w:tc>
      </w:tr>
      <w:tr w:rsidR="00B530B5" w:rsidRPr="00FE3C59" w14:paraId="06B77C83" w14:textId="77777777">
        <w:tc>
          <w:tcPr>
            <w:tcW w:w="1043" w:type="dxa"/>
          </w:tcPr>
          <w:p w14:paraId="55377450"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4B75F32F"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Not parameter for curve or surface</w:t>
            </w:r>
          </w:p>
          <w:p w14:paraId="06FF2EEA"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Set of non-modellable risk factors that are not parameters of a curve or a surface whose modellability has not been assessed in accordance with Article 6 of Regulation (EU) 2022/2060</w:t>
            </w:r>
          </w:p>
        </w:tc>
      </w:tr>
      <w:tr w:rsidR="00B530B5" w:rsidRPr="00FE3C59" w14:paraId="4EDDE8E5" w14:textId="77777777">
        <w:tc>
          <w:tcPr>
            <w:tcW w:w="1043" w:type="dxa"/>
          </w:tcPr>
          <w:p w14:paraId="4830553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Pr>
          <w:p w14:paraId="01426F49"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SSRM at bucket level</w:t>
            </w:r>
          </w:p>
          <w:p w14:paraId="6CB3F57F" w14:textId="6BA95694"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Set of non-modellable risk factors for which the stress scenario risk measure is calculated at standardised bucket level in accordance with Article 11 of </w:t>
            </w:r>
            <w:r w:rsidR="00804AB9" w:rsidRPr="00804AB9">
              <w:rPr>
                <w:rFonts w:ascii="Times New Roman" w:hAnsi="Times New Roman" w:cs="Times New Roman"/>
                <w:lang w:val="en-GB"/>
              </w:rPr>
              <w:t>[RTS on SSRM]</w:t>
            </w:r>
          </w:p>
        </w:tc>
      </w:tr>
      <w:tr w:rsidR="00B530B5" w:rsidRPr="00FE3C59" w14:paraId="60CC6DA9" w14:textId="77777777">
        <w:tc>
          <w:tcPr>
            <w:tcW w:w="1043" w:type="dxa"/>
          </w:tcPr>
          <w:p w14:paraId="323C83D1"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0080</w:t>
            </w:r>
          </w:p>
        </w:tc>
        <w:tc>
          <w:tcPr>
            <w:tcW w:w="7973" w:type="dxa"/>
          </w:tcPr>
          <w:p w14:paraId="5699AE9C" w14:textId="77777777" w:rsidR="00B530B5" w:rsidRPr="00FE3C59" w:rsidRDefault="00B530B5" w:rsidP="008735E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Total</w:t>
            </w:r>
          </w:p>
        </w:tc>
      </w:tr>
      <w:tr w:rsidR="00B530B5" w:rsidRPr="00FE3C59" w14:paraId="0680E6A1" w14:textId="77777777">
        <w:tc>
          <w:tcPr>
            <w:tcW w:w="1043" w:type="dxa"/>
          </w:tcPr>
          <w:p w14:paraId="1D97E82E"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tcPr>
          <w:p w14:paraId="67B2E2E2"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Aggregate stress scenario risk measure</w:t>
            </w:r>
          </w:p>
          <w:p w14:paraId="54B6DE74" w14:textId="656D6299"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Aggregate stress scenario risk measure as calculated in accordance with Article 12(2) </w:t>
            </w:r>
            <w:r w:rsidR="00804AB9" w:rsidRPr="00804AB9">
              <w:rPr>
                <w:rFonts w:ascii="Times New Roman" w:hAnsi="Times New Roman" w:cs="Times New Roman"/>
                <w:lang w:val="en-GB"/>
              </w:rPr>
              <w:t>[RTS on SSRM]</w:t>
            </w:r>
          </w:p>
        </w:tc>
      </w:tr>
    </w:tbl>
    <w:p w14:paraId="1A1C63D7" w14:textId="77777777" w:rsidR="00B530B5" w:rsidRPr="00FE3C59" w:rsidRDefault="00B530B5" w:rsidP="00A204EE">
      <w:pPr>
        <w:pStyle w:val="NoSpacing"/>
      </w:pPr>
    </w:p>
    <w:tbl>
      <w:tblPr>
        <w:tblStyle w:val="TableGrid"/>
        <w:tblW w:w="0" w:type="auto"/>
        <w:tblLook w:val="04A0" w:firstRow="1" w:lastRow="0" w:firstColumn="1" w:lastColumn="0" w:noHBand="0" w:noVBand="1"/>
      </w:tblPr>
      <w:tblGrid>
        <w:gridCol w:w="1063"/>
        <w:gridCol w:w="7953"/>
      </w:tblGrid>
      <w:tr w:rsidR="00B530B5" w:rsidRPr="00FE3C59" w14:paraId="2A4CF27F" w14:textId="77777777">
        <w:tc>
          <w:tcPr>
            <w:tcW w:w="1063" w:type="dxa"/>
            <w:shd w:val="clear" w:color="auto" w:fill="BFBFBF" w:themeFill="background1" w:themeFillShade="BF"/>
          </w:tcPr>
          <w:p w14:paraId="4E2EEF2B"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799A2A12"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22D3A2F3" w14:textId="77777777">
        <w:tc>
          <w:tcPr>
            <w:tcW w:w="1063" w:type="dxa"/>
          </w:tcPr>
          <w:p w14:paraId="64FFB2A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53" w:type="dxa"/>
            <w:vAlign w:val="bottom"/>
          </w:tcPr>
          <w:p w14:paraId="40757334"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Total</w:t>
            </w:r>
          </w:p>
          <w:p w14:paraId="74D1771E" w14:textId="4C6BB52B"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325bd, Table 2, </w:t>
            </w:r>
            <w:r w:rsidRPr="00FE3C59">
              <w:rPr>
                <w:rFonts w:ascii="Times New Roman" w:hAnsi="Times New Roman" w:cs="Times New Roman"/>
                <w:bCs/>
                <w:lang w:val="en-GB"/>
              </w:rPr>
              <w:t xml:space="preserve">of Regulation (EU) No 575/2013, and </w:t>
            </w:r>
            <w:r w:rsidR="00804AB9" w:rsidRPr="00804AB9">
              <w:rPr>
                <w:rFonts w:ascii="Times New Roman" w:hAnsi="Times New Roman" w:cs="Times New Roman"/>
                <w:lang w:val="en-GB"/>
              </w:rPr>
              <w:t>[RTS on SSRM]</w:t>
            </w:r>
          </w:p>
        </w:tc>
      </w:tr>
      <w:tr w:rsidR="00B530B5" w:rsidRPr="00FE3C59" w14:paraId="05C45F50" w14:textId="77777777">
        <w:tc>
          <w:tcPr>
            <w:tcW w:w="1063" w:type="dxa"/>
          </w:tcPr>
          <w:p w14:paraId="2C1F113B"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w:t>
            </w:r>
          </w:p>
        </w:tc>
        <w:tc>
          <w:tcPr>
            <w:tcW w:w="7953" w:type="dxa"/>
            <w:vAlign w:val="bottom"/>
          </w:tcPr>
          <w:p w14:paraId="3EE4CCD1"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w:t>
            </w:r>
          </w:p>
          <w:p w14:paraId="6A92333B"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325bd, Table 2, </w:t>
            </w:r>
            <w:r w:rsidRPr="00FE3C59">
              <w:rPr>
                <w:rFonts w:ascii="Times New Roman" w:hAnsi="Times New Roman" w:cs="Times New Roman"/>
                <w:bCs/>
                <w:lang w:val="en-GB"/>
              </w:rPr>
              <w:t xml:space="preserve">of Regulation (EU) No 575/2013 </w:t>
            </w:r>
          </w:p>
        </w:tc>
      </w:tr>
      <w:tr w:rsidR="00B530B5" w:rsidRPr="00FE3C59" w14:paraId="1EFA3E9C" w14:textId="77777777">
        <w:tc>
          <w:tcPr>
            <w:tcW w:w="1063" w:type="dxa"/>
          </w:tcPr>
          <w:p w14:paraId="598943B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53" w:type="dxa"/>
            <w:vAlign w:val="bottom"/>
          </w:tcPr>
          <w:p w14:paraId="01F7EAE0"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Most liquid currencies and domestic currency</w:t>
            </w:r>
          </w:p>
        </w:tc>
      </w:tr>
      <w:tr w:rsidR="00B530B5" w:rsidRPr="00FE3C59" w14:paraId="2EC0EFDA" w14:textId="77777777">
        <w:tc>
          <w:tcPr>
            <w:tcW w:w="1063" w:type="dxa"/>
          </w:tcPr>
          <w:p w14:paraId="0140B91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53" w:type="dxa"/>
            <w:vAlign w:val="bottom"/>
          </w:tcPr>
          <w:p w14:paraId="2B09B712"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Other currencies</w:t>
            </w:r>
          </w:p>
        </w:tc>
      </w:tr>
      <w:tr w:rsidR="00B530B5" w:rsidRPr="00FE3C59" w14:paraId="42474715" w14:textId="77777777">
        <w:tc>
          <w:tcPr>
            <w:tcW w:w="1063" w:type="dxa"/>
          </w:tcPr>
          <w:p w14:paraId="3ABE5A0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53" w:type="dxa"/>
            <w:vAlign w:val="bottom"/>
          </w:tcPr>
          <w:p w14:paraId="33904F84"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Volatility</w:t>
            </w:r>
          </w:p>
        </w:tc>
      </w:tr>
      <w:tr w:rsidR="00B530B5" w:rsidRPr="00FE3C59" w14:paraId="67942675" w14:textId="77777777">
        <w:tc>
          <w:tcPr>
            <w:tcW w:w="1063" w:type="dxa"/>
          </w:tcPr>
          <w:p w14:paraId="437EB91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53" w:type="dxa"/>
            <w:vAlign w:val="bottom"/>
          </w:tcPr>
          <w:p w14:paraId="6F8F4D44"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risk – Other types</w:t>
            </w:r>
          </w:p>
        </w:tc>
      </w:tr>
      <w:tr w:rsidR="00B530B5" w:rsidRPr="00FE3C59" w14:paraId="108C7A56" w14:textId="77777777">
        <w:tc>
          <w:tcPr>
            <w:tcW w:w="1063" w:type="dxa"/>
          </w:tcPr>
          <w:p w14:paraId="399440F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53" w:type="dxa"/>
            <w:vAlign w:val="bottom"/>
          </w:tcPr>
          <w:p w14:paraId="078D94EF"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w:t>
            </w:r>
          </w:p>
          <w:p w14:paraId="5D974DB1" w14:textId="5F523294"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325bd </w:t>
            </w:r>
            <w:r w:rsidRPr="00FE3C59">
              <w:rPr>
                <w:rFonts w:ascii="Times New Roman" w:hAnsi="Times New Roman" w:cs="Times New Roman"/>
                <w:bCs/>
                <w:lang w:val="en-GB"/>
              </w:rPr>
              <w:t xml:space="preserve">of Regulation (EU) No 575/2013 in conjunction with </w:t>
            </w:r>
            <w:r w:rsidRPr="00FE3C59">
              <w:rPr>
                <w:rFonts w:ascii="Times New Roman" w:hAnsi="Times New Roman" w:cs="Times New Roman"/>
                <w:lang w:val="en-GB"/>
              </w:rPr>
              <w:t xml:space="preserve">Article 12(3) of </w:t>
            </w:r>
            <w:r w:rsidR="00804AB9" w:rsidRPr="00804AB9">
              <w:rPr>
                <w:rFonts w:ascii="Times New Roman" w:hAnsi="Times New Roman" w:cs="Times New Roman"/>
                <w:lang w:val="en-GB"/>
              </w:rPr>
              <w:t>[RTS on SSRM]</w:t>
            </w:r>
          </w:p>
        </w:tc>
      </w:tr>
      <w:tr w:rsidR="00B530B5" w:rsidRPr="00FE3C59" w14:paraId="2C49E321" w14:textId="77777777">
        <w:tc>
          <w:tcPr>
            <w:tcW w:w="1063" w:type="dxa"/>
          </w:tcPr>
          <w:p w14:paraId="783DF27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53" w:type="dxa"/>
            <w:vAlign w:val="bottom"/>
          </w:tcPr>
          <w:p w14:paraId="7B8B5BB3"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Central government, including central banks, of Member States</w:t>
            </w:r>
          </w:p>
        </w:tc>
      </w:tr>
      <w:tr w:rsidR="00B530B5" w:rsidRPr="00FE3C59" w14:paraId="3CD7EB14" w14:textId="77777777">
        <w:tc>
          <w:tcPr>
            <w:tcW w:w="1063" w:type="dxa"/>
          </w:tcPr>
          <w:p w14:paraId="299B41A1"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53" w:type="dxa"/>
            <w:vAlign w:val="bottom"/>
          </w:tcPr>
          <w:p w14:paraId="443192C2"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Covered bonds issued by credit institutions in Member States (Investment Grade)</w:t>
            </w:r>
          </w:p>
        </w:tc>
      </w:tr>
      <w:tr w:rsidR="00B530B5" w:rsidRPr="00FE3C59" w14:paraId="20E054C5" w14:textId="77777777">
        <w:tc>
          <w:tcPr>
            <w:tcW w:w="1063" w:type="dxa"/>
          </w:tcPr>
          <w:p w14:paraId="4262267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53" w:type="dxa"/>
            <w:vAlign w:val="bottom"/>
          </w:tcPr>
          <w:p w14:paraId="4A6BB3DF"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Sovereign (Investment grade)</w:t>
            </w:r>
          </w:p>
        </w:tc>
      </w:tr>
      <w:tr w:rsidR="00B530B5" w:rsidRPr="00FE3C59" w14:paraId="7AF84EFC" w14:textId="77777777">
        <w:tc>
          <w:tcPr>
            <w:tcW w:w="1063" w:type="dxa"/>
          </w:tcPr>
          <w:p w14:paraId="5920CC7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w:t>
            </w:r>
          </w:p>
        </w:tc>
        <w:tc>
          <w:tcPr>
            <w:tcW w:w="7953" w:type="dxa"/>
            <w:vAlign w:val="bottom"/>
          </w:tcPr>
          <w:p w14:paraId="5A514607"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Sovereign (High yield)</w:t>
            </w:r>
          </w:p>
        </w:tc>
      </w:tr>
      <w:tr w:rsidR="00B530B5" w:rsidRPr="00FE3C59" w14:paraId="7648A2A7" w14:textId="77777777">
        <w:tc>
          <w:tcPr>
            <w:tcW w:w="1063" w:type="dxa"/>
          </w:tcPr>
          <w:p w14:paraId="22FB0E9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0120</w:t>
            </w:r>
          </w:p>
        </w:tc>
        <w:tc>
          <w:tcPr>
            <w:tcW w:w="7953" w:type="dxa"/>
            <w:vAlign w:val="bottom"/>
          </w:tcPr>
          <w:p w14:paraId="146B5FD8"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Corporate (Investment grade)</w:t>
            </w:r>
          </w:p>
        </w:tc>
      </w:tr>
      <w:tr w:rsidR="00B530B5" w:rsidRPr="00FE3C59" w14:paraId="50FB694E" w14:textId="77777777">
        <w:tc>
          <w:tcPr>
            <w:tcW w:w="1063" w:type="dxa"/>
          </w:tcPr>
          <w:p w14:paraId="5B94E1EB"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0130</w:t>
            </w:r>
          </w:p>
        </w:tc>
        <w:tc>
          <w:tcPr>
            <w:tcW w:w="7953" w:type="dxa"/>
            <w:vAlign w:val="bottom"/>
          </w:tcPr>
          <w:p w14:paraId="79ABDAF2"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Corporate (High yield)</w:t>
            </w:r>
          </w:p>
        </w:tc>
      </w:tr>
      <w:tr w:rsidR="00B530B5" w:rsidRPr="00FE3C59" w14:paraId="6E1E6783" w14:textId="77777777">
        <w:tc>
          <w:tcPr>
            <w:tcW w:w="1063" w:type="dxa"/>
          </w:tcPr>
          <w:p w14:paraId="5803A4A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0140</w:t>
            </w:r>
          </w:p>
        </w:tc>
        <w:tc>
          <w:tcPr>
            <w:tcW w:w="7953" w:type="dxa"/>
            <w:vAlign w:val="bottom"/>
          </w:tcPr>
          <w:p w14:paraId="1ED1B521"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Volatility</w:t>
            </w:r>
          </w:p>
        </w:tc>
      </w:tr>
      <w:tr w:rsidR="00B530B5" w:rsidRPr="00FE3C59" w14:paraId="731396C3" w14:textId="77777777">
        <w:tc>
          <w:tcPr>
            <w:tcW w:w="1063" w:type="dxa"/>
          </w:tcPr>
          <w:p w14:paraId="1F75F31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0150</w:t>
            </w:r>
          </w:p>
        </w:tc>
        <w:tc>
          <w:tcPr>
            <w:tcW w:w="7953" w:type="dxa"/>
            <w:vAlign w:val="bottom"/>
          </w:tcPr>
          <w:p w14:paraId="0AFBA5C8"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idiosyncratic – Other types</w:t>
            </w:r>
          </w:p>
        </w:tc>
      </w:tr>
      <w:tr w:rsidR="00B530B5" w:rsidRPr="00FE3C59" w14:paraId="17AF2CFC" w14:textId="77777777">
        <w:tc>
          <w:tcPr>
            <w:tcW w:w="1063" w:type="dxa"/>
          </w:tcPr>
          <w:p w14:paraId="518B9E04"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0160</w:t>
            </w:r>
          </w:p>
        </w:tc>
        <w:tc>
          <w:tcPr>
            <w:tcW w:w="7953" w:type="dxa"/>
            <w:vAlign w:val="bottom"/>
          </w:tcPr>
          <w:p w14:paraId="7439DDEF"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w:t>
            </w:r>
          </w:p>
          <w:p w14:paraId="6B041BE6" w14:textId="0279C986"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325bd </w:t>
            </w:r>
            <w:r w:rsidRPr="00FE3C59">
              <w:rPr>
                <w:rFonts w:ascii="Times New Roman" w:hAnsi="Times New Roman" w:cs="Times New Roman"/>
                <w:bCs/>
                <w:lang w:val="en-GB"/>
              </w:rPr>
              <w:t xml:space="preserve">of Regulation (EU) No 575/2013 in conjunction with </w:t>
            </w:r>
            <w:r w:rsidRPr="00FE3C59">
              <w:rPr>
                <w:rFonts w:ascii="Times New Roman" w:hAnsi="Times New Roman" w:cs="Times New Roman"/>
                <w:lang w:val="en-GB"/>
              </w:rPr>
              <w:t xml:space="preserve">Article 12(3) of </w:t>
            </w:r>
            <w:r w:rsidR="00804AB9" w:rsidRPr="00804AB9">
              <w:rPr>
                <w:rFonts w:ascii="Times New Roman" w:hAnsi="Times New Roman" w:cs="Times New Roman"/>
                <w:lang w:val="en-GB"/>
              </w:rPr>
              <w:t>[RTS on SSRM]</w:t>
            </w:r>
          </w:p>
        </w:tc>
      </w:tr>
      <w:tr w:rsidR="00B530B5" w:rsidRPr="00FE3C59" w14:paraId="2581D188" w14:textId="77777777">
        <w:tc>
          <w:tcPr>
            <w:tcW w:w="1063" w:type="dxa"/>
          </w:tcPr>
          <w:p w14:paraId="365D7EB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0170</w:t>
            </w:r>
          </w:p>
        </w:tc>
        <w:tc>
          <w:tcPr>
            <w:tcW w:w="7953" w:type="dxa"/>
            <w:vAlign w:val="bottom"/>
          </w:tcPr>
          <w:p w14:paraId="3BD2EAAD"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Central government, including central banks, of Member States</w:t>
            </w:r>
          </w:p>
        </w:tc>
      </w:tr>
      <w:tr w:rsidR="00B530B5" w:rsidRPr="00FE3C59" w14:paraId="24BC9EF8" w14:textId="77777777">
        <w:tc>
          <w:tcPr>
            <w:tcW w:w="1063" w:type="dxa"/>
          </w:tcPr>
          <w:p w14:paraId="00500A5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w:t>
            </w:r>
          </w:p>
        </w:tc>
        <w:tc>
          <w:tcPr>
            <w:tcW w:w="7953" w:type="dxa"/>
            <w:vAlign w:val="bottom"/>
          </w:tcPr>
          <w:p w14:paraId="19A9DE2A"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Covered bonds issued by credit institutions in Member States (Investment Grade)</w:t>
            </w:r>
          </w:p>
        </w:tc>
      </w:tr>
      <w:tr w:rsidR="00B530B5" w:rsidRPr="00FE3C59" w14:paraId="20CDBC3D" w14:textId="77777777">
        <w:tc>
          <w:tcPr>
            <w:tcW w:w="1063" w:type="dxa"/>
          </w:tcPr>
          <w:p w14:paraId="732B4A4B"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0190</w:t>
            </w:r>
          </w:p>
        </w:tc>
        <w:tc>
          <w:tcPr>
            <w:tcW w:w="7953" w:type="dxa"/>
            <w:vAlign w:val="bottom"/>
          </w:tcPr>
          <w:p w14:paraId="5ECE061F"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Sovereign (Investment grade)</w:t>
            </w:r>
          </w:p>
        </w:tc>
      </w:tr>
      <w:tr w:rsidR="00B530B5" w:rsidRPr="00FE3C59" w14:paraId="28133612" w14:textId="77777777">
        <w:tc>
          <w:tcPr>
            <w:tcW w:w="1063" w:type="dxa"/>
          </w:tcPr>
          <w:p w14:paraId="0FBB35F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0200</w:t>
            </w:r>
          </w:p>
        </w:tc>
        <w:tc>
          <w:tcPr>
            <w:tcW w:w="7953" w:type="dxa"/>
            <w:vAlign w:val="bottom"/>
          </w:tcPr>
          <w:p w14:paraId="1C133634"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Sovereign (High yield)</w:t>
            </w:r>
          </w:p>
        </w:tc>
      </w:tr>
      <w:tr w:rsidR="00B530B5" w:rsidRPr="00FE3C59" w14:paraId="416FAEFC" w14:textId="77777777">
        <w:tc>
          <w:tcPr>
            <w:tcW w:w="1063" w:type="dxa"/>
          </w:tcPr>
          <w:p w14:paraId="040E0777"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0210</w:t>
            </w:r>
          </w:p>
        </w:tc>
        <w:tc>
          <w:tcPr>
            <w:tcW w:w="7953" w:type="dxa"/>
            <w:vAlign w:val="bottom"/>
          </w:tcPr>
          <w:p w14:paraId="2941192D"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Corporate (Investment grade)</w:t>
            </w:r>
          </w:p>
        </w:tc>
      </w:tr>
      <w:tr w:rsidR="00B530B5" w:rsidRPr="00FE3C59" w14:paraId="2A60A27B" w14:textId="77777777">
        <w:tc>
          <w:tcPr>
            <w:tcW w:w="1063" w:type="dxa"/>
          </w:tcPr>
          <w:p w14:paraId="7498D901"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0220</w:t>
            </w:r>
          </w:p>
        </w:tc>
        <w:tc>
          <w:tcPr>
            <w:tcW w:w="7953" w:type="dxa"/>
            <w:vAlign w:val="bottom"/>
          </w:tcPr>
          <w:p w14:paraId="26C9E4F0"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Corporate (High yield)</w:t>
            </w:r>
          </w:p>
        </w:tc>
      </w:tr>
      <w:tr w:rsidR="00B530B5" w:rsidRPr="00FE3C59" w14:paraId="13A045D9" w14:textId="77777777">
        <w:tc>
          <w:tcPr>
            <w:tcW w:w="1063" w:type="dxa"/>
          </w:tcPr>
          <w:p w14:paraId="5846139C"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0230</w:t>
            </w:r>
          </w:p>
        </w:tc>
        <w:tc>
          <w:tcPr>
            <w:tcW w:w="7953" w:type="dxa"/>
            <w:vAlign w:val="bottom"/>
          </w:tcPr>
          <w:p w14:paraId="136B3A17"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Volatility</w:t>
            </w:r>
          </w:p>
        </w:tc>
      </w:tr>
      <w:tr w:rsidR="00B530B5" w:rsidRPr="00FE3C59" w14:paraId="4D3A50AD" w14:textId="77777777">
        <w:tc>
          <w:tcPr>
            <w:tcW w:w="1063" w:type="dxa"/>
          </w:tcPr>
          <w:p w14:paraId="06A43FD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0240</w:t>
            </w:r>
          </w:p>
        </w:tc>
        <w:tc>
          <w:tcPr>
            <w:tcW w:w="7953" w:type="dxa"/>
            <w:vAlign w:val="bottom"/>
          </w:tcPr>
          <w:p w14:paraId="6632FDAA"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 risk, non–idiosyncratic – Other types</w:t>
            </w:r>
          </w:p>
        </w:tc>
      </w:tr>
      <w:tr w:rsidR="00B530B5" w:rsidRPr="00FE3C59" w14:paraId="4342CD80" w14:textId="77777777">
        <w:tc>
          <w:tcPr>
            <w:tcW w:w="1063" w:type="dxa"/>
          </w:tcPr>
          <w:p w14:paraId="5135E89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0250</w:t>
            </w:r>
          </w:p>
        </w:tc>
        <w:tc>
          <w:tcPr>
            <w:tcW w:w="7953" w:type="dxa"/>
            <w:vAlign w:val="bottom"/>
          </w:tcPr>
          <w:p w14:paraId="1C28F0B4"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idiosyncratic</w:t>
            </w:r>
          </w:p>
          <w:p w14:paraId="69A6E8ED" w14:textId="233125EB"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325bd, Table 2,</w:t>
            </w:r>
            <w:r w:rsidRPr="00FE3C59">
              <w:rPr>
                <w:rFonts w:ascii="Times New Roman" w:hAnsi="Times New Roman" w:cs="Times New Roman"/>
                <w:bCs/>
                <w:lang w:val="en-GB"/>
              </w:rPr>
              <w:t xml:space="preserve"> of Regulation (EU) No 575/2013</w:t>
            </w:r>
            <w:r w:rsidRPr="00FE3C59">
              <w:rPr>
                <w:rFonts w:ascii="Times New Roman" w:hAnsi="Times New Roman" w:cs="Times New Roman"/>
                <w:lang w:val="en-GB"/>
              </w:rPr>
              <w:t xml:space="preserve"> in conjunction with Article 12(4) of </w:t>
            </w:r>
            <w:r w:rsidR="00804AB9" w:rsidRPr="00804AB9">
              <w:rPr>
                <w:rFonts w:ascii="Times New Roman" w:hAnsi="Times New Roman" w:cs="Times New Roman"/>
                <w:lang w:val="en-GB"/>
              </w:rPr>
              <w:t>[RTS on SSRM]</w:t>
            </w:r>
          </w:p>
        </w:tc>
      </w:tr>
      <w:tr w:rsidR="00B530B5" w:rsidRPr="00FE3C59" w14:paraId="0A53646D" w14:textId="77777777">
        <w:tc>
          <w:tcPr>
            <w:tcW w:w="1063" w:type="dxa"/>
          </w:tcPr>
          <w:p w14:paraId="74D27593"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0260</w:t>
            </w:r>
          </w:p>
        </w:tc>
        <w:tc>
          <w:tcPr>
            <w:tcW w:w="7953" w:type="dxa"/>
            <w:vAlign w:val="bottom"/>
          </w:tcPr>
          <w:p w14:paraId="48F56C95"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idiosyncratic – Equity price (Large market capitalisation)</w:t>
            </w:r>
          </w:p>
        </w:tc>
      </w:tr>
      <w:tr w:rsidR="00B530B5" w:rsidRPr="00FE3C59" w14:paraId="37F0DE71" w14:textId="77777777">
        <w:tc>
          <w:tcPr>
            <w:tcW w:w="1063" w:type="dxa"/>
          </w:tcPr>
          <w:p w14:paraId="3C406A5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0270</w:t>
            </w:r>
          </w:p>
        </w:tc>
        <w:tc>
          <w:tcPr>
            <w:tcW w:w="7953" w:type="dxa"/>
            <w:vAlign w:val="bottom"/>
          </w:tcPr>
          <w:p w14:paraId="0E3C3CB0"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idiosyncratic – Equity price (Small market capitalisation)</w:t>
            </w:r>
          </w:p>
        </w:tc>
      </w:tr>
      <w:tr w:rsidR="00B530B5" w:rsidRPr="00FE3C59" w14:paraId="0DEA560A" w14:textId="77777777">
        <w:tc>
          <w:tcPr>
            <w:tcW w:w="1063" w:type="dxa"/>
          </w:tcPr>
          <w:p w14:paraId="2E9258D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0280</w:t>
            </w:r>
          </w:p>
        </w:tc>
        <w:tc>
          <w:tcPr>
            <w:tcW w:w="7953" w:type="dxa"/>
            <w:vAlign w:val="bottom"/>
          </w:tcPr>
          <w:p w14:paraId="3F67D886"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idiosyncratic – Volatility (Large market capitalisation)</w:t>
            </w:r>
          </w:p>
        </w:tc>
      </w:tr>
      <w:tr w:rsidR="00B530B5" w:rsidRPr="00FE3C59" w14:paraId="21E337AB" w14:textId="77777777">
        <w:tc>
          <w:tcPr>
            <w:tcW w:w="1063" w:type="dxa"/>
          </w:tcPr>
          <w:p w14:paraId="71F36A70"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0290</w:t>
            </w:r>
          </w:p>
        </w:tc>
        <w:tc>
          <w:tcPr>
            <w:tcW w:w="7953" w:type="dxa"/>
            <w:vAlign w:val="bottom"/>
          </w:tcPr>
          <w:p w14:paraId="22473C5B"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idiosyncratic – Volatility (Small market capitalisation)</w:t>
            </w:r>
          </w:p>
        </w:tc>
      </w:tr>
      <w:tr w:rsidR="00B530B5" w:rsidRPr="00FE3C59" w14:paraId="77934974" w14:textId="77777777">
        <w:tc>
          <w:tcPr>
            <w:tcW w:w="1063" w:type="dxa"/>
          </w:tcPr>
          <w:p w14:paraId="24DB4EF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0300</w:t>
            </w:r>
          </w:p>
        </w:tc>
        <w:tc>
          <w:tcPr>
            <w:tcW w:w="7953" w:type="dxa"/>
            <w:vAlign w:val="bottom"/>
          </w:tcPr>
          <w:p w14:paraId="0C71749C"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idiosyncratic – Other types</w:t>
            </w:r>
          </w:p>
        </w:tc>
      </w:tr>
      <w:tr w:rsidR="00B530B5" w:rsidRPr="00FE3C59" w14:paraId="0C452FDA" w14:textId="77777777">
        <w:tc>
          <w:tcPr>
            <w:tcW w:w="1063" w:type="dxa"/>
          </w:tcPr>
          <w:p w14:paraId="6875DD9A"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0310</w:t>
            </w:r>
          </w:p>
        </w:tc>
        <w:tc>
          <w:tcPr>
            <w:tcW w:w="7953" w:type="dxa"/>
            <w:vAlign w:val="bottom"/>
          </w:tcPr>
          <w:p w14:paraId="0CC33D88"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non-idiosyncratic</w:t>
            </w:r>
          </w:p>
          <w:p w14:paraId="391C430E" w14:textId="1FB968AB"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325bd, Table 2,</w:t>
            </w:r>
            <w:r w:rsidRPr="00FE3C59">
              <w:rPr>
                <w:rFonts w:ascii="Times New Roman" w:hAnsi="Times New Roman" w:cs="Times New Roman"/>
                <w:bCs/>
                <w:lang w:val="en-GB"/>
              </w:rPr>
              <w:t xml:space="preserve"> of Regulation (EU) No 575/2013</w:t>
            </w:r>
            <w:r w:rsidRPr="00FE3C59">
              <w:rPr>
                <w:rFonts w:ascii="Times New Roman" w:hAnsi="Times New Roman" w:cs="Times New Roman"/>
                <w:lang w:val="en-GB"/>
              </w:rPr>
              <w:t xml:space="preserve"> in conjunction with Article 12(4) of </w:t>
            </w:r>
            <w:r w:rsidR="00804AB9" w:rsidRPr="00804AB9">
              <w:rPr>
                <w:rFonts w:ascii="Times New Roman" w:hAnsi="Times New Roman" w:cs="Times New Roman"/>
                <w:lang w:val="en-GB"/>
              </w:rPr>
              <w:t>[RTS on SSRM]</w:t>
            </w:r>
          </w:p>
        </w:tc>
      </w:tr>
      <w:tr w:rsidR="00B530B5" w:rsidRPr="00FE3C59" w14:paraId="43E2CEAB" w14:textId="77777777">
        <w:tc>
          <w:tcPr>
            <w:tcW w:w="1063" w:type="dxa"/>
          </w:tcPr>
          <w:p w14:paraId="554987C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0320</w:t>
            </w:r>
          </w:p>
        </w:tc>
        <w:tc>
          <w:tcPr>
            <w:tcW w:w="7953" w:type="dxa"/>
            <w:vAlign w:val="bottom"/>
          </w:tcPr>
          <w:p w14:paraId="00EA9F02"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non-idiosyncratic – Equity price (Large market capitalisation)</w:t>
            </w:r>
          </w:p>
        </w:tc>
      </w:tr>
      <w:tr w:rsidR="00B530B5" w:rsidRPr="00FE3C59" w14:paraId="204B66EE" w14:textId="77777777">
        <w:tc>
          <w:tcPr>
            <w:tcW w:w="1063" w:type="dxa"/>
          </w:tcPr>
          <w:p w14:paraId="6F1F3FC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0330</w:t>
            </w:r>
          </w:p>
        </w:tc>
        <w:tc>
          <w:tcPr>
            <w:tcW w:w="7953" w:type="dxa"/>
            <w:vAlign w:val="bottom"/>
          </w:tcPr>
          <w:p w14:paraId="1CDE8971"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non-idiosyncratic – Equity price (Small market capitalisation)</w:t>
            </w:r>
          </w:p>
        </w:tc>
      </w:tr>
      <w:tr w:rsidR="00B530B5" w:rsidRPr="00FE3C59" w14:paraId="6E6A379D" w14:textId="77777777">
        <w:tc>
          <w:tcPr>
            <w:tcW w:w="1063" w:type="dxa"/>
          </w:tcPr>
          <w:p w14:paraId="07B878C1"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0340</w:t>
            </w:r>
          </w:p>
        </w:tc>
        <w:tc>
          <w:tcPr>
            <w:tcW w:w="7953" w:type="dxa"/>
            <w:vAlign w:val="bottom"/>
          </w:tcPr>
          <w:p w14:paraId="4AFD31BF"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non-idiosyncratic – Volatility (Large market capitalisation)</w:t>
            </w:r>
          </w:p>
        </w:tc>
      </w:tr>
      <w:tr w:rsidR="00B530B5" w:rsidRPr="00FE3C59" w14:paraId="1BCDB324" w14:textId="77777777">
        <w:tc>
          <w:tcPr>
            <w:tcW w:w="1063" w:type="dxa"/>
          </w:tcPr>
          <w:p w14:paraId="7BE469F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0350</w:t>
            </w:r>
          </w:p>
        </w:tc>
        <w:tc>
          <w:tcPr>
            <w:tcW w:w="7953" w:type="dxa"/>
            <w:vAlign w:val="bottom"/>
          </w:tcPr>
          <w:p w14:paraId="04C1D9D0"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non-idiosyncratic – Volatility (Small market capitalisation</w:t>
            </w:r>
            <w:r w:rsidRPr="008735E0">
              <w:rPr>
                <w:rFonts w:ascii="Times New Roman" w:hAnsi="Times New Roman" w:cs="Times New Roman"/>
                <w:b/>
                <w:u w:val="single"/>
                <w:lang w:val="en-GB"/>
              </w:rPr>
              <w:t>)</w:t>
            </w:r>
          </w:p>
        </w:tc>
      </w:tr>
      <w:tr w:rsidR="00B530B5" w:rsidRPr="00FE3C59" w14:paraId="4A83CD5D" w14:textId="77777777">
        <w:tc>
          <w:tcPr>
            <w:tcW w:w="1063" w:type="dxa"/>
          </w:tcPr>
          <w:p w14:paraId="3D5E36DB"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0360</w:t>
            </w:r>
          </w:p>
        </w:tc>
        <w:tc>
          <w:tcPr>
            <w:tcW w:w="7953" w:type="dxa"/>
            <w:vAlign w:val="bottom"/>
          </w:tcPr>
          <w:p w14:paraId="626B5409"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 risk, non-idiosyncratic – Other types</w:t>
            </w:r>
          </w:p>
        </w:tc>
      </w:tr>
      <w:tr w:rsidR="00B530B5" w:rsidRPr="00FE3C59" w14:paraId="36A2ED26" w14:textId="77777777">
        <w:tc>
          <w:tcPr>
            <w:tcW w:w="1063" w:type="dxa"/>
          </w:tcPr>
          <w:p w14:paraId="3D6A386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0370</w:t>
            </w:r>
          </w:p>
        </w:tc>
        <w:tc>
          <w:tcPr>
            <w:tcW w:w="7953" w:type="dxa"/>
            <w:vAlign w:val="bottom"/>
          </w:tcPr>
          <w:p w14:paraId="2F03D763"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w:t>
            </w:r>
          </w:p>
          <w:p w14:paraId="416ABB5E"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325bd , Table 2, </w:t>
            </w:r>
            <w:r w:rsidRPr="00FE3C59">
              <w:rPr>
                <w:rFonts w:ascii="Times New Roman" w:hAnsi="Times New Roman" w:cs="Times New Roman"/>
                <w:bCs/>
                <w:lang w:val="en-GB"/>
              </w:rPr>
              <w:t xml:space="preserve">of Regulation (EU) No 575/2013 </w:t>
            </w:r>
          </w:p>
        </w:tc>
      </w:tr>
      <w:tr w:rsidR="00B530B5" w:rsidRPr="00FE3C59" w14:paraId="3B6F74DD" w14:textId="77777777">
        <w:tc>
          <w:tcPr>
            <w:tcW w:w="1063" w:type="dxa"/>
          </w:tcPr>
          <w:p w14:paraId="2370A924"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0380</w:t>
            </w:r>
          </w:p>
        </w:tc>
        <w:tc>
          <w:tcPr>
            <w:tcW w:w="7953" w:type="dxa"/>
            <w:vAlign w:val="bottom"/>
          </w:tcPr>
          <w:p w14:paraId="341597DB"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Most liquid currency pairs</w:t>
            </w:r>
          </w:p>
        </w:tc>
      </w:tr>
      <w:tr w:rsidR="00B530B5" w:rsidRPr="00FE3C59" w14:paraId="2AAB3C26" w14:textId="77777777">
        <w:tc>
          <w:tcPr>
            <w:tcW w:w="1063" w:type="dxa"/>
          </w:tcPr>
          <w:p w14:paraId="3DE326FD"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0390</w:t>
            </w:r>
          </w:p>
        </w:tc>
        <w:tc>
          <w:tcPr>
            <w:tcW w:w="7953" w:type="dxa"/>
            <w:vAlign w:val="bottom"/>
          </w:tcPr>
          <w:p w14:paraId="4E5B968B"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Other currency pairs</w:t>
            </w:r>
          </w:p>
        </w:tc>
      </w:tr>
      <w:tr w:rsidR="00B530B5" w:rsidRPr="00FE3C59" w14:paraId="30F06411" w14:textId="77777777">
        <w:tc>
          <w:tcPr>
            <w:tcW w:w="1063" w:type="dxa"/>
          </w:tcPr>
          <w:p w14:paraId="062F35A1"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0400</w:t>
            </w:r>
          </w:p>
        </w:tc>
        <w:tc>
          <w:tcPr>
            <w:tcW w:w="7953" w:type="dxa"/>
            <w:vAlign w:val="bottom"/>
          </w:tcPr>
          <w:p w14:paraId="5C292153"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Volatility</w:t>
            </w:r>
          </w:p>
        </w:tc>
      </w:tr>
      <w:tr w:rsidR="00B530B5" w:rsidRPr="00FE3C59" w14:paraId="6D589D3B" w14:textId="77777777">
        <w:tc>
          <w:tcPr>
            <w:tcW w:w="1063" w:type="dxa"/>
          </w:tcPr>
          <w:p w14:paraId="113B9DC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0410</w:t>
            </w:r>
          </w:p>
        </w:tc>
        <w:tc>
          <w:tcPr>
            <w:tcW w:w="7953" w:type="dxa"/>
            <w:vAlign w:val="bottom"/>
          </w:tcPr>
          <w:p w14:paraId="37204DE2"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risk – Other types</w:t>
            </w:r>
          </w:p>
        </w:tc>
      </w:tr>
      <w:tr w:rsidR="00B530B5" w:rsidRPr="00FE3C59" w14:paraId="6299C22A" w14:textId="77777777">
        <w:tc>
          <w:tcPr>
            <w:tcW w:w="1063" w:type="dxa"/>
          </w:tcPr>
          <w:p w14:paraId="7B94E13B"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0420</w:t>
            </w:r>
          </w:p>
        </w:tc>
        <w:tc>
          <w:tcPr>
            <w:tcW w:w="7953" w:type="dxa"/>
            <w:vAlign w:val="bottom"/>
          </w:tcPr>
          <w:p w14:paraId="19919DEE"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w:t>
            </w:r>
          </w:p>
          <w:p w14:paraId="026472EE"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325bd, Table 2, of Regulation (EU) No 575/2013</w:t>
            </w:r>
          </w:p>
        </w:tc>
      </w:tr>
      <w:tr w:rsidR="00B530B5" w:rsidRPr="00FE3C59" w14:paraId="77AFFBF8" w14:textId="77777777">
        <w:tc>
          <w:tcPr>
            <w:tcW w:w="1063" w:type="dxa"/>
          </w:tcPr>
          <w:p w14:paraId="3FBABDD2"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0430</w:t>
            </w:r>
          </w:p>
        </w:tc>
        <w:tc>
          <w:tcPr>
            <w:tcW w:w="7953" w:type="dxa"/>
            <w:vAlign w:val="bottom"/>
          </w:tcPr>
          <w:p w14:paraId="7A10F5BB"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Energy price and carbon emissions price</w:t>
            </w:r>
          </w:p>
        </w:tc>
      </w:tr>
      <w:tr w:rsidR="00B530B5" w:rsidRPr="00FE3C59" w14:paraId="292EBCBA" w14:textId="77777777">
        <w:tc>
          <w:tcPr>
            <w:tcW w:w="1063" w:type="dxa"/>
          </w:tcPr>
          <w:p w14:paraId="35624EC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0440</w:t>
            </w:r>
          </w:p>
        </w:tc>
        <w:tc>
          <w:tcPr>
            <w:tcW w:w="7953" w:type="dxa"/>
            <w:vAlign w:val="bottom"/>
          </w:tcPr>
          <w:p w14:paraId="17761C77"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Precious metal price and non-ferrous metal price</w:t>
            </w:r>
          </w:p>
        </w:tc>
      </w:tr>
      <w:tr w:rsidR="00B530B5" w:rsidRPr="00FE3C59" w14:paraId="6F58B0D4" w14:textId="77777777">
        <w:tc>
          <w:tcPr>
            <w:tcW w:w="1063" w:type="dxa"/>
          </w:tcPr>
          <w:p w14:paraId="010AE79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0450</w:t>
            </w:r>
          </w:p>
        </w:tc>
        <w:tc>
          <w:tcPr>
            <w:tcW w:w="7953" w:type="dxa"/>
            <w:vAlign w:val="bottom"/>
          </w:tcPr>
          <w:p w14:paraId="1A63524A"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Other commodity prices</w:t>
            </w:r>
          </w:p>
        </w:tc>
      </w:tr>
      <w:tr w:rsidR="00B530B5" w:rsidRPr="00FE3C59" w14:paraId="5324FC99" w14:textId="77777777">
        <w:tc>
          <w:tcPr>
            <w:tcW w:w="1063" w:type="dxa"/>
          </w:tcPr>
          <w:p w14:paraId="3884B974"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0460</w:t>
            </w:r>
          </w:p>
        </w:tc>
        <w:tc>
          <w:tcPr>
            <w:tcW w:w="7953" w:type="dxa"/>
            <w:vAlign w:val="bottom"/>
          </w:tcPr>
          <w:p w14:paraId="56CB5FBF"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Energy volatility and carbon emissions volatility</w:t>
            </w:r>
          </w:p>
        </w:tc>
      </w:tr>
      <w:tr w:rsidR="00B530B5" w:rsidRPr="00FE3C59" w14:paraId="073F09C0" w14:textId="77777777">
        <w:tc>
          <w:tcPr>
            <w:tcW w:w="1063" w:type="dxa"/>
          </w:tcPr>
          <w:p w14:paraId="4CFB6E1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0470</w:t>
            </w:r>
          </w:p>
        </w:tc>
        <w:tc>
          <w:tcPr>
            <w:tcW w:w="7953" w:type="dxa"/>
            <w:vAlign w:val="bottom"/>
          </w:tcPr>
          <w:p w14:paraId="64BB79DD"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Precious metal volatility and non-ferrous metal volatility</w:t>
            </w:r>
          </w:p>
        </w:tc>
      </w:tr>
      <w:tr w:rsidR="00B530B5" w:rsidRPr="00FE3C59" w14:paraId="00E88AB0" w14:textId="77777777">
        <w:tc>
          <w:tcPr>
            <w:tcW w:w="1063" w:type="dxa"/>
          </w:tcPr>
          <w:p w14:paraId="1865C4E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0480</w:t>
            </w:r>
          </w:p>
        </w:tc>
        <w:tc>
          <w:tcPr>
            <w:tcW w:w="7953" w:type="dxa"/>
            <w:vAlign w:val="bottom"/>
          </w:tcPr>
          <w:p w14:paraId="133F5D3C"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Other commodity volatilities</w:t>
            </w:r>
          </w:p>
        </w:tc>
      </w:tr>
      <w:tr w:rsidR="00B530B5" w:rsidRPr="00FE3C59" w14:paraId="5C38F6E9" w14:textId="77777777">
        <w:tc>
          <w:tcPr>
            <w:tcW w:w="1063" w:type="dxa"/>
          </w:tcPr>
          <w:p w14:paraId="741D24C7"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0490</w:t>
            </w:r>
          </w:p>
        </w:tc>
        <w:tc>
          <w:tcPr>
            <w:tcW w:w="7953" w:type="dxa"/>
            <w:vAlign w:val="bottom"/>
          </w:tcPr>
          <w:p w14:paraId="1D18D1E5"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Commodity risk – Other types</w:t>
            </w:r>
          </w:p>
        </w:tc>
      </w:tr>
    </w:tbl>
    <w:p w14:paraId="15CB7F7C"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3.6.2</w:t>
      </w:r>
      <w:r w:rsidRPr="00FE3C59">
        <w:rPr>
          <w:rFonts w:ascii="Times New Roman" w:hAnsi="Times New Roman" w:cs="Times New Roman"/>
          <w:sz w:val="24"/>
          <w:u w:val="none"/>
          <w:lang w:val="en-GB"/>
        </w:rPr>
        <w:tab/>
        <w:t>C 96.05.2: Stress scenario risk measure (SSRM) – Number of risk factors by SSRM method (MKR IMA SSRM2)</w:t>
      </w:r>
    </w:p>
    <w:p w14:paraId="3AE67A22"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3.6.2.1 General remarks</w:t>
      </w:r>
    </w:p>
    <w:p w14:paraId="36E84C22" w14:textId="77777777" w:rsidR="00B530B5" w:rsidRPr="00FE3C59" w:rsidRDefault="00B530B5" w:rsidP="00253413">
      <w:pPr>
        <w:pStyle w:val="InstructionsText2"/>
        <w:numPr>
          <w:ilvl w:val="0"/>
          <w:numId w:val="57"/>
        </w:numPr>
      </w:pPr>
      <w:r w:rsidRPr="00FE3C59">
        <w:t>The template MKR IMA SSRM2 shall be used to provide information on the number of non-modellable risk factors, broken down by the method used to determine the Stress scenario risk measures.</w:t>
      </w:r>
    </w:p>
    <w:p w14:paraId="08BD8FC5"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3.1.2 Instructions concerning specific positions</w:t>
      </w:r>
    </w:p>
    <w:tbl>
      <w:tblPr>
        <w:tblStyle w:val="TableGrid"/>
        <w:tblW w:w="0" w:type="auto"/>
        <w:tblLook w:val="04A0" w:firstRow="1" w:lastRow="0" w:firstColumn="1" w:lastColumn="0" w:noHBand="0" w:noVBand="1"/>
      </w:tblPr>
      <w:tblGrid>
        <w:gridCol w:w="1043"/>
        <w:gridCol w:w="7973"/>
      </w:tblGrid>
      <w:tr w:rsidR="00B530B5" w:rsidRPr="00FE3C59" w14:paraId="5C9CDEF7" w14:textId="77777777">
        <w:tc>
          <w:tcPr>
            <w:tcW w:w="1043" w:type="dxa"/>
            <w:shd w:val="clear" w:color="auto" w:fill="BFBFBF" w:themeFill="background1" w:themeFillShade="BF"/>
          </w:tcPr>
          <w:p w14:paraId="6B411CC1"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3BF90E0D"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3768D48D" w14:textId="77777777">
        <w:tc>
          <w:tcPr>
            <w:tcW w:w="1043" w:type="dxa"/>
          </w:tcPr>
          <w:p w14:paraId="09228632"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0010-0040</w:t>
            </w:r>
          </w:p>
        </w:tc>
        <w:tc>
          <w:tcPr>
            <w:tcW w:w="7973" w:type="dxa"/>
          </w:tcPr>
          <w:p w14:paraId="0C82E530"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Non-modellable risk factors (NMRF)</w:t>
            </w:r>
          </w:p>
          <w:p w14:paraId="149F1EAF"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Information on risk factors that are considered non-modellable on the basis of the assessment made in accordance with Article 325be of Regulation (EU) No 575/2013 in conjunction with Regulation (EU) 2022/2060</w:t>
            </w:r>
          </w:p>
        </w:tc>
      </w:tr>
      <w:tr w:rsidR="00B530B5" w:rsidRPr="00FE3C59" w14:paraId="2E83AAB1" w14:textId="77777777">
        <w:tc>
          <w:tcPr>
            <w:tcW w:w="1043" w:type="dxa"/>
          </w:tcPr>
          <w:p w14:paraId="4BAEE8C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0010-0020</w:t>
            </w:r>
          </w:p>
        </w:tc>
        <w:tc>
          <w:tcPr>
            <w:tcW w:w="7973" w:type="dxa"/>
            <w:vAlign w:val="bottom"/>
          </w:tcPr>
          <w:p w14:paraId="102620E6"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SSRM at risk factor level</w:t>
            </w:r>
          </w:p>
          <w:p w14:paraId="21C8C6E9" w14:textId="0AED6C0F"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Set of non-modellable risk factors for which the stress scenario risk measure is computed at risk factor level, as the institution does not make use of the derogation of Article 11 of </w:t>
            </w:r>
            <w:r w:rsidR="00804AB9" w:rsidRPr="00804AB9">
              <w:rPr>
                <w:rFonts w:ascii="Times New Roman" w:hAnsi="Times New Roman" w:cs="Times New Roman"/>
                <w:lang w:val="en-GB"/>
              </w:rPr>
              <w:t>[RTS on SSRM]</w:t>
            </w:r>
          </w:p>
        </w:tc>
      </w:tr>
      <w:tr w:rsidR="00B530B5" w:rsidRPr="00FE3C59" w14:paraId="12D16B8F" w14:textId="77777777">
        <w:tc>
          <w:tcPr>
            <w:tcW w:w="1043" w:type="dxa"/>
          </w:tcPr>
          <w:p w14:paraId="0C381E2C"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vAlign w:val="bottom"/>
          </w:tcPr>
          <w:p w14:paraId="5FEA379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Number of risk factors: Parameter for curve or surface</w:t>
            </w:r>
          </w:p>
          <w:p w14:paraId="376402EF"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lastRenderedPageBreak/>
              <w:t>Set of non-modellable risk factors that are parameters of a curve or a surface, where the assessment of the ability to model that risk factor was performed in accordance with Article 6 of Regulation (EU) 2022/2060</w:t>
            </w:r>
          </w:p>
        </w:tc>
      </w:tr>
      <w:tr w:rsidR="00B530B5" w:rsidRPr="00FE3C59" w14:paraId="78D5496E" w14:textId="77777777">
        <w:tc>
          <w:tcPr>
            <w:tcW w:w="1043" w:type="dxa"/>
          </w:tcPr>
          <w:p w14:paraId="0718138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0020</w:t>
            </w:r>
          </w:p>
        </w:tc>
        <w:tc>
          <w:tcPr>
            <w:tcW w:w="7973" w:type="dxa"/>
            <w:vAlign w:val="bottom"/>
          </w:tcPr>
          <w:p w14:paraId="41B2264B"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Number of risk factors: Not parameter for curve or surface</w:t>
            </w:r>
          </w:p>
          <w:p w14:paraId="6A73D593"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Set of non-modellable risk factors that are not parameters of a curve or a surface, where the assessment of the ability to model that risk factor was not performed in accordance with Article 6 of Regulation (EU) 2022/2060</w:t>
            </w:r>
          </w:p>
        </w:tc>
      </w:tr>
      <w:tr w:rsidR="00B530B5" w:rsidRPr="00FE3C59" w14:paraId="23B3EC86" w14:textId="77777777">
        <w:tc>
          <w:tcPr>
            <w:tcW w:w="1043" w:type="dxa"/>
          </w:tcPr>
          <w:p w14:paraId="296F09C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vAlign w:val="bottom"/>
          </w:tcPr>
          <w:p w14:paraId="23D70B36"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SSRM at bucket level – Number of buckets</w:t>
            </w:r>
          </w:p>
          <w:p w14:paraId="0BD5CA06" w14:textId="199EA10A"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Set of non-modellable risk factors for which the stress scenario risk measure is calculated at standardised bucket level in accordance with Article 11 of </w:t>
            </w:r>
            <w:r w:rsidR="00804AB9" w:rsidRPr="00804AB9">
              <w:rPr>
                <w:rFonts w:ascii="Times New Roman" w:hAnsi="Times New Roman" w:cs="Times New Roman"/>
                <w:lang w:val="en-GB"/>
              </w:rPr>
              <w:t>[RTS on SSRM]</w:t>
            </w:r>
          </w:p>
        </w:tc>
      </w:tr>
      <w:tr w:rsidR="00B530B5" w:rsidRPr="00FE3C59" w14:paraId="7E9B6A50" w14:textId="77777777">
        <w:tc>
          <w:tcPr>
            <w:tcW w:w="1043" w:type="dxa"/>
          </w:tcPr>
          <w:p w14:paraId="488587D4"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w:t>
            </w:r>
          </w:p>
        </w:tc>
        <w:tc>
          <w:tcPr>
            <w:tcW w:w="7973" w:type="dxa"/>
            <w:vAlign w:val="bottom"/>
          </w:tcPr>
          <w:p w14:paraId="45B89DDE"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Total number of non-modellable risk factors</w:t>
            </w:r>
          </w:p>
          <w:p w14:paraId="568D1CEC"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The number reported in this column shall be the number of the risk factors for which the stress scenario risk measure is calculated at risk factor level, plus the number of buckets, where stress scenario risk measure is calculated at standardised bucket level.</w:t>
            </w:r>
          </w:p>
        </w:tc>
      </w:tr>
    </w:tbl>
    <w:p w14:paraId="2B4A8470" w14:textId="77777777" w:rsidR="00B530B5" w:rsidRPr="00FE3C59" w:rsidRDefault="00B530B5" w:rsidP="00A204EE">
      <w:pPr>
        <w:pStyle w:val="NoSpacing"/>
      </w:pPr>
    </w:p>
    <w:tbl>
      <w:tblPr>
        <w:tblStyle w:val="TableGrid"/>
        <w:tblW w:w="0" w:type="auto"/>
        <w:tblLook w:val="04A0" w:firstRow="1" w:lastRow="0" w:firstColumn="1" w:lastColumn="0" w:noHBand="0" w:noVBand="1"/>
      </w:tblPr>
      <w:tblGrid>
        <w:gridCol w:w="1063"/>
        <w:gridCol w:w="7953"/>
      </w:tblGrid>
      <w:tr w:rsidR="00B530B5" w:rsidRPr="00FE3C59" w14:paraId="5AAC75EB" w14:textId="77777777">
        <w:tc>
          <w:tcPr>
            <w:tcW w:w="1063" w:type="dxa"/>
            <w:shd w:val="clear" w:color="auto" w:fill="BFBFBF" w:themeFill="background1" w:themeFillShade="BF"/>
          </w:tcPr>
          <w:p w14:paraId="64C77C73"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53FE37B8"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686C808B" w14:textId="77777777">
        <w:tc>
          <w:tcPr>
            <w:tcW w:w="1063" w:type="dxa"/>
          </w:tcPr>
          <w:p w14:paraId="25349DAD"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0010</w:t>
            </w:r>
          </w:p>
        </w:tc>
        <w:tc>
          <w:tcPr>
            <w:tcW w:w="7953" w:type="dxa"/>
          </w:tcPr>
          <w:p w14:paraId="6E91BF80"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All methods</w:t>
            </w:r>
          </w:p>
        </w:tc>
      </w:tr>
      <w:tr w:rsidR="00B530B5" w:rsidRPr="00FE3C59" w14:paraId="18CEA78F" w14:textId="77777777">
        <w:tc>
          <w:tcPr>
            <w:tcW w:w="1063" w:type="dxa"/>
          </w:tcPr>
          <w:p w14:paraId="258C35D4"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0020</w:t>
            </w:r>
          </w:p>
        </w:tc>
        <w:tc>
          <w:tcPr>
            <w:tcW w:w="7953" w:type="dxa"/>
          </w:tcPr>
          <w:p w14:paraId="0EF9DDFC"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Direct method</w:t>
            </w:r>
          </w:p>
          <w:p w14:paraId="22C5C977" w14:textId="649F4F0F"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Articles 1(2) and 2(2) of </w:t>
            </w:r>
            <w:r w:rsidR="00804AB9" w:rsidRPr="00804AB9">
              <w:rPr>
                <w:rFonts w:ascii="Times New Roman" w:hAnsi="Times New Roman" w:cs="Times New Roman"/>
                <w:bCs/>
                <w:lang w:val="en-GB"/>
              </w:rPr>
              <w:t>[RTS on SSRM]</w:t>
            </w:r>
          </w:p>
        </w:tc>
      </w:tr>
      <w:tr w:rsidR="00B530B5" w:rsidRPr="00FE3C59" w14:paraId="73DC10C5" w14:textId="77777777">
        <w:tc>
          <w:tcPr>
            <w:tcW w:w="1063" w:type="dxa"/>
          </w:tcPr>
          <w:p w14:paraId="4AFEDDCF"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0030</w:t>
            </w:r>
          </w:p>
        </w:tc>
        <w:tc>
          <w:tcPr>
            <w:tcW w:w="7953" w:type="dxa"/>
          </w:tcPr>
          <w:p w14:paraId="2E902544"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Step-wise method – Historical method</w:t>
            </w:r>
          </w:p>
          <w:p w14:paraId="6AF27E16" w14:textId="3CC90385"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Articles 1(4), point (b)(i), and 2(4), point (b)(i), of </w:t>
            </w:r>
            <w:r w:rsidR="00804AB9" w:rsidRPr="00804AB9">
              <w:rPr>
                <w:rFonts w:ascii="Times New Roman" w:hAnsi="Times New Roman" w:cs="Times New Roman"/>
                <w:bCs/>
                <w:lang w:val="en-GB"/>
              </w:rPr>
              <w:t>[RTS on SSRM]</w:t>
            </w:r>
          </w:p>
        </w:tc>
      </w:tr>
      <w:tr w:rsidR="00B530B5" w:rsidRPr="00FE3C59" w14:paraId="41E7B566" w14:textId="77777777">
        <w:tc>
          <w:tcPr>
            <w:tcW w:w="1063" w:type="dxa"/>
          </w:tcPr>
          <w:p w14:paraId="5C7C3C4B"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0040</w:t>
            </w:r>
          </w:p>
        </w:tc>
        <w:tc>
          <w:tcPr>
            <w:tcW w:w="7953" w:type="dxa"/>
          </w:tcPr>
          <w:p w14:paraId="2521E449"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Step-wise method – Asymmetrical sigma method</w:t>
            </w:r>
          </w:p>
          <w:p w14:paraId="203F9299" w14:textId="32738AAB"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Articles 1(4), point (b)(ii), and 2(4), point (b)(ii), of </w:t>
            </w:r>
            <w:r w:rsidR="00804AB9" w:rsidRPr="00804AB9">
              <w:rPr>
                <w:rFonts w:ascii="Times New Roman" w:hAnsi="Times New Roman" w:cs="Times New Roman"/>
                <w:bCs/>
                <w:lang w:val="en-GB"/>
              </w:rPr>
              <w:t>[RTS on SSRM]</w:t>
            </w:r>
          </w:p>
        </w:tc>
      </w:tr>
      <w:tr w:rsidR="00B530B5" w:rsidRPr="00FE3C59" w14:paraId="0860F7D1" w14:textId="77777777">
        <w:tc>
          <w:tcPr>
            <w:tcW w:w="1063" w:type="dxa"/>
          </w:tcPr>
          <w:p w14:paraId="7126DE45"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0050</w:t>
            </w:r>
          </w:p>
        </w:tc>
        <w:tc>
          <w:tcPr>
            <w:tcW w:w="7953" w:type="dxa"/>
          </w:tcPr>
          <w:p w14:paraId="7B2A038F"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Step-wise method – Fallback method</w:t>
            </w:r>
          </w:p>
          <w:p w14:paraId="15D786F4" w14:textId="0D2584C4"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Articles 1(4), point (b)(iii), and 2(4), point (b)(iii), of </w:t>
            </w:r>
            <w:r w:rsidR="00804AB9" w:rsidRPr="00804AB9">
              <w:rPr>
                <w:rFonts w:ascii="Times New Roman" w:hAnsi="Times New Roman" w:cs="Times New Roman"/>
                <w:bCs/>
                <w:lang w:val="en-GB"/>
              </w:rPr>
              <w:t>[RTS on SSRM]</w:t>
            </w:r>
          </w:p>
        </w:tc>
      </w:tr>
      <w:tr w:rsidR="00B530B5" w:rsidRPr="00FE3C59" w14:paraId="1363FB3D" w14:textId="77777777">
        <w:tc>
          <w:tcPr>
            <w:tcW w:w="1063" w:type="dxa"/>
          </w:tcPr>
          <w:p w14:paraId="0B0FB0BF"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0060</w:t>
            </w:r>
          </w:p>
        </w:tc>
        <w:tc>
          <w:tcPr>
            <w:tcW w:w="7953" w:type="dxa"/>
          </w:tcPr>
          <w:p w14:paraId="73FC3C1E"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Maximum loss approach</w:t>
            </w:r>
          </w:p>
          <w:p w14:paraId="2E9B3599" w14:textId="3C512CDD"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Article 10 of </w:t>
            </w:r>
            <w:r w:rsidR="00804AB9" w:rsidRPr="00804AB9">
              <w:rPr>
                <w:rFonts w:ascii="Times New Roman" w:hAnsi="Times New Roman" w:cs="Times New Roman"/>
                <w:bCs/>
                <w:lang w:val="en-GB"/>
              </w:rPr>
              <w:t>[RTS on SSRM]</w:t>
            </w:r>
          </w:p>
        </w:tc>
      </w:tr>
    </w:tbl>
    <w:p w14:paraId="1A42A21A"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3.7</w:t>
      </w:r>
      <w:r w:rsidRPr="00FE3C59">
        <w:rPr>
          <w:rFonts w:ascii="Times New Roman" w:hAnsi="Times New Roman" w:cs="Times New Roman"/>
          <w:sz w:val="24"/>
          <w:u w:val="none"/>
          <w:lang w:val="en-GB"/>
        </w:rPr>
        <w:tab/>
        <w:t>C 97.00: Trading desk structure (MKR IMA TDS)</w:t>
      </w:r>
    </w:p>
    <w:p w14:paraId="095171E0"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3.7.1 General remarks</w:t>
      </w:r>
    </w:p>
    <w:p w14:paraId="148A5B38" w14:textId="20EEBC14" w:rsidR="00B530B5" w:rsidRPr="00FE3C59" w:rsidRDefault="00B530B5" w:rsidP="00253413">
      <w:pPr>
        <w:pStyle w:val="InstructionsText2"/>
        <w:numPr>
          <w:ilvl w:val="0"/>
          <w:numId w:val="57"/>
        </w:numPr>
      </w:pPr>
      <w:r w:rsidRPr="00FE3C59">
        <w:t xml:space="preserve">The template MKR IMA TDS shall be used to provide detailed information on every trading desk included in the scope of the permission to use the alternative internal model approach granted by the competent authority, including </w:t>
      </w:r>
      <w:r w:rsidRPr="00FE3C59">
        <w:lastRenderedPageBreak/>
        <w:t>information on the result of the back-testing and the profit and loss-attribution tests, the own funds requirements determined in accordance with A-SA and A-IMA and the main types of risks and instruments traded on that desk.</w:t>
      </w:r>
    </w:p>
    <w:p w14:paraId="1ADA39B4" w14:textId="77777777" w:rsidR="00B530B5" w:rsidRPr="00FE3C59" w:rsidRDefault="00B530B5" w:rsidP="00253413">
      <w:pPr>
        <w:pStyle w:val="InstructionsText2"/>
        <w:numPr>
          <w:ilvl w:val="0"/>
          <w:numId w:val="57"/>
        </w:numPr>
      </w:pPr>
      <w:r w:rsidRPr="00FE3C59">
        <w:t>The trading desk ID (column 0020) serves as row identifier and shall be unique for every row in the template.</w:t>
      </w:r>
    </w:p>
    <w:p w14:paraId="40E4775F"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3.7.2 Instructions concerning specific positions</w:t>
      </w:r>
    </w:p>
    <w:tbl>
      <w:tblPr>
        <w:tblStyle w:val="TableGrid"/>
        <w:tblW w:w="0" w:type="auto"/>
        <w:tblLook w:val="04A0" w:firstRow="1" w:lastRow="0" w:firstColumn="1" w:lastColumn="0" w:noHBand="0" w:noVBand="1"/>
      </w:tblPr>
      <w:tblGrid>
        <w:gridCol w:w="1043"/>
        <w:gridCol w:w="7973"/>
      </w:tblGrid>
      <w:tr w:rsidR="00B530B5" w:rsidRPr="00FE3C59" w14:paraId="4BA07F21" w14:textId="77777777" w:rsidTr="3F965E88">
        <w:tc>
          <w:tcPr>
            <w:tcW w:w="1043" w:type="dxa"/>
            <w:shd w:val="clear" w:color="auto" w:fill="BFBFBF" w:themeFill="background1" w:themeFillShade="BF"/>
          </w:tcPr>
          <w:p w14:paraId="17C44E35"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60F900CC"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4A72938C" w14:textId="77777777" w:rsidTr="3F965E88">
        <w:tc>
          <w:tcPr>
            <w:tcW w:w="1043" w:type="dxa"/>
          </w:tcPr>
          <w:p w14:paraId="6739F9D7" w14:textId="77777777" w:rsidR="00B530B5" w:rsidRPr="00157901"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0010</w:t>
            </w:r>
          </w:p>
        </w:tc>
        <w:tc>
          <w:tcPr>
            <w:tcW w:w="7973" w:type="dxa"/>
          </w:tcPr>
          <w:p w14:paraId="363299AD"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Offsetting group</w:t>
            </w:r>
          </w:p>
          <w:p w14:paraId="4E3E6341" w14:textId="6EC50D29"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The offsetting group that the entity belongs to who manages the trading desk shall be indicated. The value reported shall be determined in accordance with the specifications in Part I, section 1.4 of this </w:t>
            </w:r>
            <w:r w:rsidR="00CE56F4">
              <w:rPr>
                <w:rFonts w:ascii="Times New Roman" w:hAnsi="Times New Roman" w:cs="Times New Roman"/>
                <w:bCs/>
                <w:lang w:val="en-GB"/>
              </w:rPr>
              <w:t>A</w:t>
            </w:r>
            <w:r w:rsidRPr="00FE3C59">
              <w:rPr>
                <w:rFonts w:ascii="Times New Roman" w:hAnsi="Times New Roman" w:cs="Times New Roman"/>
                <w:bCs/>
                <w:lang w:val="en-GB"/>
              </w:rPr>
              <w:t>nnex.</w:t>
            </w:r>
          </w:p>
        </w:tc>
      </w:tr>
      <w:tr w:rsidR="00B530B5" w:rsidRPr="00FE3C59" w14:paraId="6C08CC08" w14:textId="77777777" w:rsidTr="3F965E88">
        <w:tc>
          <w:tcPr>
            <w:tcW w:w="1043" w:type="dxa"/>
          </w:tcPr>
          <w:p w14:paraId="28934105"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0020</w:t>
            </w:r>
          </w:p>
        </w:tc>
        <w:tc>
          <w:tcPr>
            <w:tcW w:w="7973" w:type="dxa"/>
          </w:tcPr>
          <w:p w14:paraId="34322A8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Trading desk ID</w:t>
            </w:r>
          </w:p>
          <w:p w14:paraId="0395F1A8"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Internal, alpha-numerical code assigned by the institution to identify the trading desk. The trading desk ID shall be used consistently across reports, templates and over time.</w:t>
            </w:r>
          </w:p>
          <w:p w14:paraId="2A647C7F" w14:textId="53C61778" w:rsidR="00B530B5" w:rsidRPr="00FE3C59" w:rsidRDefault="6270B300" w:rsidP="3F965E88">
            <w:pPr>
              <w:pStyle w:val="Tabelleninhalt"/>
              <w:spacing w:after="120"/>
              <w:rPr>
                <w:rFonts w:ascii="Times New Roman" w:hAnsi="Times New Roman" w:cs="Times New Roman"/>
                <w:b/>
                <w:bCs/>
                <w:u w:val="single"/>
                <w:lang w:val="en-GB"/>
              </w:rPr>
            </w:pPr>
            <w:r w:rsidRPr="00FE3C59">
              <w:rPr>
                <w:rFonts w:ascii="Times New Roman" w:hAnsi="Times New Roman" w:cs="Times New Roman"/>
                <w:lang w:val="en-GB"/>
              </w:rPr>
              <w:t>Institutions shall report information on every trading desk, where the competent authority granted the permission to calculate the own funds requirements for the portfolio of all positions assigned to that trading desks by using their alternative internal model approach. All desks included in the scope of the permission shall be reported, irrespective of whether the institution applies the alternative standardised approach or the alternative internal model approach as of the reference date.</w:t>
            </w:r>
          </w:p>
        </w:tc>
      </w:tr>
      <w:tr w:rsidR="00B530B5" w:rsidRPr="00FE3C59" w14:paraId="4B477D89" w14:textId="77777777" w:rsidTr="3F965E88">
        <w:tc>
          <w:tcPr>
            <w:tcW w:w="1043" w:type="dxa"/>
          </w:tcPr>
          <w:p w14:paraId="28883C14"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0030</w:t>
            </w:r>
          </w:p>
        </w:tc>
        <w:tc>
          <w:tcPr>
            <w:tcW w:w="7973" w:type="dxa"/>
          </w:tcPr>
          <w:p w14:paraId="0D7597C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Trading desk name</w:t>
            </w:r>
          </w:p>
          <w:p w14:paraId="734C257F"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(Full) name assigned by the institution to identify the trading desk</w:t>
            </w:r>
          </w:p>
        </w:tc>
      </w:tr>
      <w:tr w:rsidR="00B530B5" w:rsidRPr="00FE3C59" w14:paraId="16418E8B" w14:textId="77777777" w:rsidTr="3F965E88">
        <w:tc>
          <w:tcPr>
            <w:tcW w:w="1043" w:type="dxa"/>
          </w:tcPr>
          <w:p w14:paraId="10A7C91D"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0040</w:t>
            </w:r>
          </w:p>
        </w:tc>
        <w:tc>
          <w:tcPr>
            <w:tcW w:w="7973" w:type="dxa"/>
          </w:tcPr>
          <w:p w14:paraId="0FDB16EF"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Approach for calculating own funds requirements for market risk applied</w:t>
            </w:r>
          </w:p>
          <w:p w14:paraId="630B878B"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The approach for calculating the own funds requirements for market risk applied as of the reference date shall be indicated. </w:t>
            </w:r>
          </w:p>
          <w:p w14:paraId="4C5BCC97"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The value reported shall be one of the following:</w:t>
            </w:r>
          </w:p>
          <w:p w14:paraId="78C4A8AD" w14:textId="717F3C7E" w:rsidR="00B530B5" w:rsidRPr="00FE3C59" w:rsidRDefault="00B530B5" w:rsidP="009E1E40">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Alternative Internal Model Approach (A-IMA)</w:t>
            </w:r>
          </w:p>
          <w:p w14:paraId="2B87DD4D" w14:textId="77777777" w:rsidR="00B530B5" w:rsidRPr="00FE3C59" w:rsidRDefault="00B530B5" w:rsidP="009E1E40">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Alternative Standardised Approach (A-SA)</w:t>
            </w:r>
          </w:p>
        </w:tc>
      </w:tr>
      <w:tr w:rsidR="00B530B5" w:rsidRPr="00FE3C59" w14:paraId="47F15D54" w14:textId="77777777" w:rsidTr="3F965E88">
        <w:tc>
          <w:tcPr>
            <w:tcW w:w="1043" w:type="dxa"/>
          </w:tcPr>
          <w:p w14:paraId="6C062D7B"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0050</w:t>
            </w:r>
          </w:p>
        </w:tc>
        <w:tc>
          <w:tcPr>
            <w:tcW w:w="7973" w:type="dxa"/>
          </w:tcPr>
          <w:p w14:paraId="440BB05C"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Classification of the desk (profit and loss attribution test)</w:t>
            </w:r>
          </w:p>
          <w:p w14:paraId="0F7989D3"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9 of Regulation (EU) 2022/2059</w:t>
            </w:r>
          </w:p>
          <w:p w14:paraId="44A9134F"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The value reported shall be one of the following:</w:t>
            </w:r>
          </w:p>
          <w:p w14:paraId="25568542" w14:textId="77777777" w:rsidR="00B530B5" w:rsidRPr="00FE3C59" w:rsidRDefault="00B530B5" w:rsidP="009E1E40">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Green zone desk,</w:t>
            </w:r>
          </w:p>
          <w:p w14:paraId="0342FA5D" w14:textId="77777777" w:rsidR="00B530B5" w:rsidRPr="00FE3C59" w:rsidRDefault="00B530B5" w:rsidP="009E1E40">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Yellow zone desk,</w:t>
            </w:r>
          </w:p>
          <w:p w14:paraId="3B8B7CE7" w14:textId="77777777" w:rsidR="00B530B5" w:rsidRPr="00FE3C59" w:rsidRDefault="00B530B5" w:rsidP="009E1E40">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Orange zone desk,</w:t>
            </w:r>
          </w:p>
          <w:p w14:paraId="71438FD2" w14:textId="77777777" w:rsidR="00B530B5" w:rsidRPr="00FE3C59" w:rsidRDefault="00B530B5" w:rsidP="009E1E40">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lastRenderedPageBreak/>
              <w:t>Red zone desk.</w:t>
            </w:r>
          </w:p>
        </w:tc>
      </w:tr>
      <w:tr w:rsidR="00B530B5" w:rsidRPr="00FE3C59" w14:paraId="1F46623C" w14:textId="77777777" w:rsidTr="3F965E88">
        <w:tc>
          <w:tcPr>
            <w:tcW w:w="1043" w:type="dxa"/>
          </w:tcPr>
          <w:p w14:paraId="11964B0A"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0060</w:t>
            </w:r>
          </w:p>
        </w:tc>
        <w:tc>
          <w:tcPr>
            <w:tcW w:w="7973" w:type="dxa"/>
          </w:tcPr>
          <w:p w14:paraId="4DC98B36" w14:textId="5B2C7F44" w:rsidR="00B530B5" w:rsidRPr="00FE3C59" w:rsidRDefault="6270B300" w:rsidP="008735E0">
            <w:pPr>
              <w:pStyle w:val="BodyText"/>
              <w:spacing w:before="120" w:after="120"/>
              <w:rPr>
                <w:rFonts w:ascii="Times New Roman" w:hAnsi="Times New Roman" w:cs="Times New Roman"/>
                <w:b/>
                <w:bCs/>
                <w:u w:val="single"/>
                <w:lang w:val="en-GB"/>
              </w:rPr>
            </w:pPr>
            <w:r w:rsidRPr="008735E0">
              <w:rPr>
                <w:rFonts w:ascii="Times New Roman" w:hAnsi="Times New Roman" w:cs="Times New Roman"/>
                <w:b/>
                <w:u w:val="single"/>
                <w:lang w:val="en-GB"/>
              </w:rPr>
              <w:t>Kolmogorov</w:t>
            </w:r>
            <w:r w:rsidRPr="00FE3C59">
              <w:rPr>
                <w:rFonts w:ascii="Times New Roman" w:hAnsi="Times New Roman" w:cs="Times New Roman"/>
                <w:b/>
                <w:bCs/>
                <w:u w:val="single"/>
                <w:lang w:val="en-GB"/>
              </w:rPr>
              <w:t>-Smirnov-</w:t>
            </w:r>
            <w:r w:rsidR="727194E2" w:rsidRPr="00FE3C59">
              <w:rPr>
                <w:rFonts w:ascii="Times New Roman" w:hAnsi="Times New Roman" w:cs="Times New Roman"/>
                <w:b/>
                <w:bCs/>
                <w:u w:val="single"/>
                <w:lang w:val="en-GB"/>
              </w:rPr>
              <w:t>c</w:t>
            </w:r>
            <w:r w:rsidRPr="00FE3C59">
              <w:rPr>
                <w:rFonts w:ascii="Times New Roman" w:hAnsi="Times New Roman" w:cs="Times New Roman"/>
                <w:b/>
                <w:bCs/>
                <w:u w:val="single"/>
                <w:lang w:val="en-GB"/>
              </w:rPr>
              <w:t>oefficient</w:t>
            </w:r>
          </w:p>
          <w:p w14:paraId="47EE6285"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Article 8 of Regulation (EU) 2022/2059</w:t>
            </w:r>
          </w:p>
        </w:tc>
      </w:tr>
      <w:tr w:rsidR="00B530B5" w:rsidRPr="00FE3C59" w14:paraId="19E960BA" w14:textId="77777777" w:rsidTr="3F965E88">
        <w:tc>
          <w:tcPr>
            <w:tcW w:w="1043" w:type="dxa"/>
          </w:tcPr>
          <w:p w14:paraId="6A334A12"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0070</w:t>
            </w:r>
          </w:p>
        </w:tc>
        <w:tc>
          <w:tcPr>
            <w:tcW w:w="7973" w:type="dxa"/>
          </w:tcPr>
          <w:p w14:paraId="4CAD902C" w14:textId="2FABC20D"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Spearman correlation</w:t>
            </w:r>
            <w:r w:rsidR="008A4690" w:rsidRPr="00FE3C59">
              <w:rPr>
                <w:rFonts w:ascii="Times New Roman" w:hAnsi="Times New Roman" w:cs="Times New Roman"/>
                <w:b/>
                <w:u w:val="single"/>
                <w:lang w:val="en-GB"/>
              </w:rPr>
              <w:t xml:space="preserve"> coefficient</w:t>
            </w:r>
          </w:p>
          <w:p w14:paraId="3980B696"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7 of Regulation (EU) 2022/2059</w:t>
            </w:r>
          </w:p>
        </w:tc>
      </w:tr>
      <w:tr w:rsidR="00B530B5" w:rsidRPr="00FE3C59" w14:paraId="1F57CEAF" w14:textId="77777777" w:rsidTr="3F965E88">
        <w:tc>
          <w:tcPr>
            <w:tcW w:w="1043" w:type="dxa"/>
          </w:tcPr>
          <w:p w14:paraId="293076F2"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0080</w:t>
            </w:r>
          </w:p>
        </w:tc>
        <w:tc>
          <w:tcPr>
            <w:tcW w:w="7973" w:type="dxa"/>
          </w:tcPr>
          <w:p w14:paraId="434FDE4E" w14:textId="13D3C6E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Passes trading desk back</w:t>
            </w:r>
            <w:r w:rsidR="006579EC">
              <w:rPr>
                <w:rFonts w:ascii="Times New Roman" w:hAnsi="Times New Roman" w:cs="Times New Roman"/>
                <w:b/>
                <w:u w:val="single"/>
                <w:lang w:val="en-GB"/>
              </w:rPr>
              <w:t>-</w:t>
            </w:r>
            <w:r w:rsidRPr="00FE3C59">
              <w:rPr>
                <w:rFonts w:ascii="Times New Roman" w:hAnsi="Times New Roman" w:cs="Times New Roman"/>
                <w:b/>
                <w:u w:val="single"/>
                <w:lang w:val="en-GB"/>
              </w:rPr>
              <w:t>testing requirements</w:t>
            </w:r>
          </w:p>
          <w:p w14:paraId="6A103F9C"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Article 325bf(3) of Regulation (EU) No 575/2013</w:t>
            </w:r>
          </w:p>
          <w:p w14:paraId="0C652562"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 xml:space="preserve">‘Passes back-testing requirements’ shall be indicated, where the trading desk is deemed to meet the back-testing requirements in accordance with Article 325bf(3) of Regulation (EU) No 575/2013. ‘Does not pass back-testing requirements’ shall be indicated otherwise. </w:t>
            </w:r>
          </w:p>
        </w:tc>
      </w:tr>
      <w:tr w:rsidR="00B530B5" w:rsidRPr="00FE3C59" w14:paraId="3E3F2A42" w14:textId="77777777" w:rsidTr="3F965E88">
        <w:tc>
          <w:tcPr>
            <w:tcW w:w="1043" w:type="dxa"/>
          </w:tcPr>
          <w:p w14:paraId="06A0DE41"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0090</w:t>
            </w:r>
          </w:p>
        </w:tc>
        <w:tc>
          <w:tcPr>
            <w:tcW w:w="7973" w:type="dxa"/>
          </w:tcPr>
          <w:p w14:paraId="647B0C73" w14:textId="19BCB70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Own funds requirements under the </w:t>
            </w:r>
            <w:r w:rsidR="00444B38" w:rsidRPr="00FE3C59">
              <w:rPr>
                <w:rFonts w:ascii="Times New Roman" w:hAnsi="Times New Roman" w:cs="Times New Roman"/>
                <w:b/>
                <w:u w:val="single"/>
                <w:lang w:val="en-GB"/>
              </w:rPr>
              <w:t xml:space="preserve">alternative </w:t>
            </w:r>
            <w:r w:rsidRPr="00FE3C59">
              <w:rPr>
                <w:rFonts w:ascii="Times New Roman" w:hAnsi="Times New Roman" w:cs="Times New Roman"/>
                <w:b/>
                <w:u w:val="single"/>
                <w:lang w:val="en-GB"/>
              </w:rPr>
              <w:t>standardised approach</w:t>
            </w:r>
          </w:p>
          <w:p w14:paraId="5F997164"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Institutions shall provide information on the own funds requirements calculated in accordance with the Alternative Standardised Approach for the portfolio of positions covered by each individual trading desk.</w:t>
            </w:r>
          </w:p>
          <w:p w14:paraId="1C9FEC76" w14:textId="3940AF2D"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 xml:space="preserve">Where all of the institution’s trading desks in scope of the permission to use the alternative internal model approach are green zone desks, this column can be left empty. </w:t>
            </w:r>
          </w:p>
        </w:tc>
      </w:tr>
      <w:tr w:rsidR="00B530B5" w:rsidRPr="00FE3C59" w14:paraId="2BF74037" w14:textId="77777777" w:rsidTr="3F965E88">
        <w:tc>
          <w:tcPr>
            <w:tcW w:w="1043" w:type="dxa"/>
          </w:tcPr>
          <w:p w14:paraId="1844F315"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0100</w:t>
            </w:r>
          </w:p>
        </w:tc>
        <w:tc>
          <w:tcPr>
            <w:tcW w:w="7973" w:type="dxa"/>
          </w:tcPr>
          <w:p w14:paraId="282E1C96"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Desk trades in instruments subject to the default risk charge</w:t>
            </w:r>
          </w:p>
          <w:p w14:paraId="0C0B6390"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‘Trades instruments subject to default risk’ shall be indicated, where the instruments subject to the default charge are traded at the desk. ‘Does not trade instruments subject to default risk’ shall be indicated otherwise.</w:t>
            </w:r>
          </w:p>
        </w:tc>
      </w:tr>
      <w:tr w:rsidR="00B530B5" w:rsidRPr="00FE3C59" w14:paraId="2BA1D3A0" w14:textId="77777777" w:rsidTr="3F965E88">
        <w:tc>
          <w:tcPr>
            <w:tcW w:w="1043" w:type="dxa"/>
          </w:tcPr>
          <w:p w14:paraId="47673A9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0110-0170</w:t>
            </w:r>
          </w:p>
        </w:tc>
        <w:tc>
          <w:tcPr>
            <w:tcW w:w="7973" w:type="dxa"/>
          </w:tcPr>
          <w:p w14:paraId="5E3FD765" w14:textId="77777777" w:rsidR="00B530B5" w:rsidRPr="00FE3C59" w:rsidRDefault="00B530B5" w:rsidP="008735E0">
            <w:pPr>
              <w:pStyle w:val="BodyText"/>
              <w:spacing w:before="120" w:after="120"/>
              <w:rPr>
                <w:rFonts w:ascii="Times New Roman" w:hAnsi="Times New Roman" w:cs="Times New Roman"/>
                <w:lang w:val="en-GB"/>
              </w:rPr>
            </w:pPr>
            <w:r w:rsidRPr="00FE3C59">
              <w:rPr>
                <w:rFonts w:ascii="Times New Roman" w:hAnsi="Times New Roman" w:cs="Times New Roman"/>
                <w:b/>
                <w:u w:val="single"/>
                <w:lang w:val="en-GB"/>
              </w:rPr>
              <w:t>Main risk types for each trading desk (category)</w:t>
            </w:r>
          </w:p>
          <w:p w14:paraId="52373966" w14:textId="3F39D943"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Institutions shall indicate, whet</w:t>
            </w:r>
            <w:r w:rsidR="00134F73">
              <w:rPr>
                <w:rFonts w:ascii="Times New Roman" w:hAnsi="Times New Roman" w:cs="Times New Roman"/>
                <w:bCs/>
                <w:lang w:val="en-GB"/>
              </w:rPr>
              <w:t>h</w:t>
            </w:r>
            <w:r w:rsidRPr="00FE3C59">
              <w:rPr>
                <w:rFonts w:ascii="Times New Roman" w:hAnsi="Times New Roman" w:cs="Times New Roman"/>
                <w:bCs/>
                <w:lang w:val="en-GB"/>
              </w:rPr>
              <w:t>er the primary activities of the trading desk as defined in the trading strategy referred to in Article 104b of Regulation (EU) No 575/2013 include trading in the respective risk class.</w:t>
            </w:r>
          </w:p>
        </w:tc>
      </w:tr>
      <w:tr w:rsidR="00B530B5" w:rsidRPr="00FE3C59" w14:paraId="2C6564CE" w14:textId="77777777" w:rsidTr="3F965E88">
        <w:tc>
          <w:tcPr>
            <w:tcW w:w="1043" w:type="dxa"/>
          </w:tcPr>
          <w:p w14:paraId="7A40653B"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0110</w:t>
            </w:r>
          </w:p>
        </w:tc>
        <w:tc>
          <w:tcPr>
            <w:tcW w:w="7973" w:type="dxa"/>
          </w:tcPr>
          <w:p w14:paraId="13788CE9"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General interest rate</w:t>
            </w:r>
          </w:p>
          <w:p w14:paraId="12C27F85"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4AA2BF9F"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instruments subject to general interest rate risk</w:t>
            </w:r>
          </w:p>
          <w:p w14:paraId="609E1A57"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instruments subject to general interest rate risk</w:t>
            </w:r>
          </w:p>
        </w:tc>
      </w:tr>
      <w:tr w:rsidR="00B530B5" w:rsidRPr="00FE3C59" w14:paraId="22FCE00B" w14:textId="77777777" w:rsidTr="3F965E88">
        <w:tc>
          <w:tcPr>
            <w:tcW w:w="1043" w:type="dxa"/>
          </w:tcPr>
          <w:p w14:paraId="48D90D93"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0120</w:t>
            </w:r>
          </w:p>
        </w:tc>
        <w:tc>
          <w:tcPr>
            <w:tcW w:w="7973" w:type="dxa"/>
          </w:tcPr>
          <w:p w14:paraId="49EA98F8" w14:textId="77777777" w:rsidR="00B530B5" w:rsidRPr="00FE3C59" w:rsidRDefault="00B530B5" w:rsidP="00656CF1">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Equity</w:t>
            </w:r>
          </w:p>
          <w:p w14:paraId="47FB3065"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0A7C656A"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instruments subject to equity risk</w:t>
            </w:r>
          </w:p>
          <w:p w14:paraId="614B5B5D"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instruments subject to equity risk</w:t>
            </w:r>
          </w:p>
        </w:tc>
      </w:tr>
      <w:tr w:rsidR="00B530B5" w:rsidRPr="00FE3C59" w14:paraId="2AAC7F2A" w14:textId="77777777" w:rsidTr="3F965E88">
        <w:tc>
          <w:tcPr>
            <w:tcW w:w="1043" w:type="dxa"/>
          </w:tcPr>
          <w:p w14:paraId="5A2BD6FE"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0130</w:t>
            </w:r>
          </w:p>
        </w:tc>
        <w:tc>
          <w:tcPr>
            <w:tcW w:w="7973" w:type="dxa"/>
          </w:tcPr>
          <w:p w14:paraId="5EE3B5AC"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Commodities</w:t>
            </w:r>
          </w:p>
          <w:p w14:paraId="60BD7ACC"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lastRenderedPageBreak/>
              <w:t>One of the following two things shall be indicated:</w:t>
            </w:r>
          </w:p>
          <w:p w14:paraId="601CD2DA"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instruments subject to commodities risk</w:t>
            </w:r>
          </w:p>
          <w:p w14:paraId="4CD1E0DE"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instruments subject to commodities risk</w:t>
            </w:r>
          </w:p>
        </w:tc>
      </w:tr>
      <w:tr w:rsidR="00B530B5" w:rsidRPr="00FE3C59" w14:paraId="241CB3D8" w14:textId="77777777" w:rsidTr="3F965E88">
        <w:tc>
          <w:tcPr>
            <w:tcW w:w="1043" w:type="dxa"/>
          </w:tcPr>
          <w:p w14:paraId="369731EB"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0140</w:t>
            </w:r>
          </w:p>
        </w:tc>
        <w:tc>
          <w:tcPr>
            <w:tcW w:w="7973" w:type="dxa"/>
          </w:tcPr>
          <w:p w14:paraId="6162DF08"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Foreign exchange (FX)</w:t>
            </w:r>
          </w:p>
          <w:p w14:paraId="29132DDE"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5FD37011"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instruments subject to foreign exchange (FX) risk</w:t>
            </w:r>
          </w:p>
          <w:p w14:paraId="4D7F34E2"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instruments subject to foreign exchange (FX) risk</w:t>
            </w:r>
          </w:p>
        </w:tc>
      </w:tr>
      <w:tr w:rsidR="00B530B5" w:rsidRPr="00FE3C59" w14:paraId="60628420" w14:textId="77777777" w:rsidTr="3F965E88">
        <w:tc>
          <w:tcPr>
            <w:tcW w:w="1043" w:type="dxa"/>
          </w:tcPr>
          <w:p w14:paraId="7C2C34F7"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0150</w:t>
            </w:r>
          </w:p>
        </w:tc>
        <w:tc>
          <w:tcPr>
            <w:tcW w:w="7973" w:type="dxa"/>
          </w:tcPr>
          <w:p w14:paraId="46F8DD38"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spread</w:t>
            </w:r>
          </w:p>
          <w:p w14:paraId="544B7FFD"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6F79F429"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instruments subject to credit spread risk</w:t>
            </w:r>
          </w:p>
          <w:p w14:paraId="3498AE46"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instruments subject to credit spread risk</w:t>
            </w:r>
          </w:p>
        </w:tc>
      </w:tr>
      <w:tr w:rsidR="00B530B5" w:rsidRPr="00FE3C59" w14:paraId="1C3E46DB" w14:textId="77777777" w:rsidTr="3F965E88">
        <w:tc>
          <w:tcPr>
            <w:tcW w:w="1043" w:type="dxa"/>
          </w:tcPr>
          <w:p w14:paraId="3E73B184"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0160</w:t>
            </w:r>
          </w:p>
        </w:tc>
        <w:tc>
          <w:tcPr>
            <w:tcW w:w="7973" w:type="dxa"/>
          </w:tcPr>
          <w:p w14:paraId="776DF263"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risk types</w:t>
            </w:r>
          </w:p>
          <w:p w14:paraId="4FF8AD36"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1219C42A"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instruments subject to other types of risk</w:t>
            </w:r>
          </w:p>
          <w:p w14:paraId="0187470B"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instruments subject to other types of risk</w:t>
            </w:r>
          </w:p>
          <w:p w14:paraId="3DBD24EC"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Where the institution indicates that it trades instruments subject to other types of risk at the trading desk, it shall specify and explain the type(s) of risk in column 0170.</w:t>
            </w:r>
          </w:p>
        </w:tc>
      </w:tr>
      <w:tr w:rsidR="00B530B5" w:rsidRPr="00FE3C59" w14:paraId="1A7F157D" w14:textId="77777777" w:rsidTr="3F965E88">
        <w:tc>
          <w:tcPr>
            <w:tcW w:w="1043" w:type="dxa"/>
          </w:tcPr>
          <w:p w14:paraId="1C310BB0"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0170</w:t>
            </w:r>
          </w:p>
        </w:tc>
        <w:tc>
          <w:tcPr>
            <w:tcW w:w="7973" w:type="dxa"/>
          </w:tcPr>
          <w:p w14:paraId="209A276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risk types – Details</w:t>
            </w:r>
          </w:p>
          <w:p w14:paraId="54E619F8"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Where the institutions indicates in column 0160 that it trades instruments subject to other types of risk at the trading desk, it shall specify and explain the type(s) of risk.</w:t>
            </w:r>
          </w:p>
        </w:tc>
      </w:tr>
      <w:tr w:rsidR="00B530B5" w:rsidRPr="00FE3C59" w14:paraId="31991FFF" w14:textId="77777777" w:rsidTr="3F965E88">
        <w:tc>
          <w:tcPr>
            <w:tcW w:w="1043" w:type="dxa"/>
          </w:tcPr>
          <w:p w14:paraId="18682073"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0180-0290</w:t>
            </w:r>
          </w:p>
        </w:tc>
        <w:tc>
          <w:tcPr>
            <w:tcW w:w="7973" w:type="dxa"/>
          </w:tcPr>
          <w:p w14:paraId="6DB18C8E"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Main types of instruments traded by this desk (category)</w:t>
            </w:r>
          </w:p>
          <w:p w14:paraId="4F6A06F1"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Institutions shall indicate, whether the primary activities of the trading desk as defined in the trading strategy referred to in Article 104b of Regulation (EU) No 575/2013 include trading in instruments of the respective type at the trading desk.</w:t>
            </w:r>
          </w:p>
        </w:tc>
      </w:tr>
      <w:tr w:rsidR="00B530B5" w:rsidRPr="00FE3C59" w14:paraId="7146E3E3" w14:textId="77777777" w:rsidTr="3F965E88">
        <w:tc>
          <w:tcPr>
            <w:tcW w:w="1043" w:type="dxa"/>
          </w:tcPr>
          <w:p w14:paraId="5A6D484F"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0180</w:t>
            </w:r>
          </w:p>
        </w:tc>
        <w:tc>
          <w:tcPr>
            <w:tcW w:w="7973" w:type="dxa"/>
          </w:tcPr>
          <w:p w14:paraId="2D7BF443"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Cash</w:t>
            </w:r>
          </w:p>
          <w:p w14:paraId="075687F5"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1DAA7EC6"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cash instruments</w:t>
            </w:r>
          </w:p>
          <w:p w14:paraId="30CE3152"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No trade in cash instruments</w:t>
            </w:r>
          </w:p>
        </w:tc>
      </w:tr>
      <w:tr w:rsidR="00B530B5" w:rsidRPr="00FE3C59" w14:paraId="7320BDB5" w14:textId="77777777" w:rsidTr="3F965E88">
        <w:tc>
          <w:tcPr>
            <w:tcW w:w="1043" w:type="dxa"/>
          </w:tcPr>
          <w:p w14:paraId="47A17825"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0190</w:t>
            </w:r>
          </w:p>
        </w:tc>
        <w:tc>
          <w:tcPr>
            <w:tcW w:w="7973" w:type="dxa"/>
          </w:tcPr>
          <w:p w14:paraId="188B06E0"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Forwards</w:t>
            </w:r>
          </w:p>
          <w:p w14:paraId="28937447"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3BE08469"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forwards</w:t>
            </w:r>
          </w:p>
          <w:p w14:paraId="2F4487F6"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No trade in forwards</w:t>
            </w:r>
          </w:p>
        </w:tc>
      </w:tr>
      <w:tr w:rsidR="00B530B5" w:rsidRPr="00FE3C59" w14:paraId="3A4E689F" w14:textId="77777777" w:rsidTr="3F965E88">
        <w:tc>
          <w:tcPr>
            <w:tcW w:w="1043" w:type="dxa"/>
          </w:tcPr>
          <w:p w14:paraId="4A1AC4AF"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0200</w:t>
            </w:r>
          </w:p>
        </w:tc>
        <w:tc>
          <w:tcPr>
            <w:tcW w:w="7973" w:type="dxa"/>
          </w:tcPr>
          <w:p w14:paraId="7FF85832"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Futures</w:t>
            </w:r>
          </w:p>
          <w:p w14:paraId="755C6235"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743088C2"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futures</w:t>
            </w:r>
          </w:p>
          <w:p w14:paraId="04FB5DE9"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futures</w:t>
            </w:r>
          </w:p>
        </w:tc>
      </w:tr>
      <w:tr w:rsidR="00B530B5" w:rsidRPr="00FE3C59" w14:paraId="794A9D90" w14:textId="77777777" w:rsidTr="3F965E88">
        <w:tc>
          <w:tcPr>
            <w:tcW w:w="1043" w:type="dxa"/>
          </w:tcPr>
          <w:p w14:paraId="6D105F58"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0210</w:t>
            </w:r>
          </w:p>
        </w:tc>
        <w:tc>
          <w:tcPr>
            <w:tcW w:w="7973" w:type="dxa"/>
          </w:tcPr>
          <w:p w14:paraId="2826AD07"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Plain vanilla options</w:t>
            </w:r>
          </w:p>
          <w:p w14:paraId="6EC8BB55"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25C7AB42"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plain vanilla options</w:t>
            </w:r>
          </w:p>
          <w:p w14:paraId="7801D4B8"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plain vanilla options</w:t>
            </w:r>
          </w:p>
        </w:tc>
      </w:tr>
      <w:tr w:rsidR="00B530B5" w:rsidRPr="00FE3C59" w14:paraId="138C330A" w14:textId="77777777" w:rsidTr="3F965E88">
        <w:tc>
          <w:tcPr>
            <w:tcW w:w="1043" w:type="dxa"/>
          </w:tcPr>
          <w:p w14:paraId="3E8B8DEE"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0220</w:t>
            </w:r>
          </w:p>
        </w:tc>
        <w:tc>
          <w:tcPr>
            <w:tcW w:w="7973" w:type="dxa"/>
          </w:tcPr>
          <w:p w14:paraId="0AD0BD9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Complex options</w:t>
            </w:r>
          </w:p>
          <w:p w14:paraId="05068422"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6607AEE4"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complex options</w:t>
            </w:r>
          </w:p>
          <w:p w14:paraId="4FCD56EA"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complex options</w:t>
            </w:r>
          </w:p>
        </w:tc>
      </w:tr>
      <w:tr w:rsidR="00B530B5" w:rsidRPr="00FE3C59" w14:paraId="7D766A71" w14:textId="77777777" w:rsidTr="3F965E88">
        <w:tc>
          <w:tcPr>
            <w:tcW w:w="1043" w:type="dxa"/>
          </w:tcPr>
          <w:p w14:paraId="048ECCEB"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0230</w:t>
            </w:r>
          </w:p>
        </w:tc>
        <w:tc>
          <w:tcPr>
            <w:tcW w:w="7973" w:type="dxa"/>
          </w:tcPr>
          <w:p w14:paraId="75581561"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Asset-backed instruments</w:t>
            </w:r>
          </w:p>
          <w:p w14:paraId="4F392B6A"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5F43610A"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asset-backed instruments</w:t>
            </w:r>
          </w:p>
          <w:p w14:paraId="36EEAD2D"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asset-backed instruments</w:t>
            </w:r>
          </w:p>
        </w:tc>
      </w:tr>
      <w:tr w:rsidR="00B530B5" w:rsidRPr="00FE3C59" w14:paraId="70FF8807" w14:textId="77777777" w:rsidTr="3F965E88">
        <w:tc>
          <w:tcPr>
            <w:tcW w:w="1043" w:type="dxa"/>
          </w:tcPr>
          <w:p w14:paraId="42DE5BC0"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0240</w:t>
            </w:r>
          </w:p>
        </w:tc>
        <w:tc>
          <w:tcPr>
            <w:tcW w:w="7973" w:type="dxa"/>
          </w:tcPr>
          <w:p w14:paraId="6772A166"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Mortgage-backed securities</w:t>
            </w:r>
          </w:p>
          <w:p w14:paraId="33A6BF4A"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1F054FAE"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mortgage-backed securities</w:t>
            </w:r>
          </w:p>
          <w:p w14:paraId="29CE78DD"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mortgage-backed securities</w:t>
            </w:r>
          </w:p>
        </w:tc>
      </w:tr>
      <w:tr w:rsidR="00B530B5" w:rsidRPr="00FE3C59" w14:paraId="5B02B96D" w14:textId="77777777" w:rsidTr="3F965E88">
        <w:tc>
          <w:tcPr>
            <w:tcW w:w="1043" w:type="dxa"/>
          </w:tcPr>
          <w:p w14:paraId="16127B44"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0250</w:t>
            </w:r>
          </w:p>
        </w:tc>
        <w:tc>
          <w:tcPr>
            <w:tcW w:w="7973" w:type="dxa"/>
          </w:tcPr>
          <w:p w14:paraId="5E0FA9F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Interest rate swaps</w:t>
            </w:r>
          </w:p>
          <w:p w14:paraId="19F7F612"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58A7D0C0"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interest rate swaps</w:t>
            </w:r>
          </w:p>
          <w:p w14:paraId="39004924"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interest rate swaps</w:t>
            </w:r>
          </w:p>
        </w:tc>
      </w:tr>
      <w:tr w:rsidR="00B530B5" w:rsidRPr="00FE3C59" w14:paraId="0C07E472" w14:textId="77777777" w:rsidTr="3F965E88">
        <w:tc>
          <w:tcPr>
            <w:tcW w:w="1043" w:type="dxa"/>
          </w:tcPr>
          <w:p w14:paraId="12907227"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0260</w:t>
            </w:r>
          </w:p>
        </w:tc>
        <w:tc>
          <w:tcPr>
            <w:tcW w:w="7973" w:type="dxa"/>
          </w:tcPr>
          <w:p w14:paraId="4A77F6B1"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FX swaps</w:t>
            </w:r>
          </w:p>
          <w:p w14:paraId="773FCACD"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655406E4"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FX swaps</w:t>
            </w:r>
          </w:p>
          <w:p w14:paraId="639952BC"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FX swaps</w:t>
            </w:r>
          </w:p>
        </w:tc>
      </w:tr>
      <w:tr w:rsidR="00B530B5" w:rsidRPr="00FE3C59" w14:paraId="02D9359A" w14:textId="77777777" w:rsidTr="3F965E88">
        <w:tc>
          <w:tcPr>
            <w:tcW w:w="1043" w:type="dxa"/>
          </w:tcPr>
          <w:p w14:paraId="25D39D57"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0270</w:t>
            </w:r>
          </w:p>
        </w:tc>
        <w:tc>
          <w:tcPr>
            <w:tcW w:w="7973" w:type="dxa"/>
          </w:tcPr>
          <w:p w14:paraId="4247E7B9"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Credit default swaps</w:t>
            </w:r>
          </w:p>
          <w:p w14:paraId="5B918B3B"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79974D44"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credit default swaps</w:t>
            </w:r>
          </w:p>
          <w:p w14:paraId="3C7C2D0E"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credit default swaps</w:t>
            </w:r>
          </w:p>
        </w:tc>
      </w:tr>
      <w:tr w:rsidR="00B530B5" w:rsidRPr="00FE3C59" w14:paraId="240C5242" w14:textId="77777777" w:rsidTr="3F965E88">
        <w:tc>
          <w:tcPr>
            <w:tcW w:w="1043" w:type="dxa"/>
          </w:tcPr>
          <w:p w14:paraId="61E9FB4F"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0280</w:t>
            </w:r>
          </w:p>
        </w:tc>
        <w:tc>
          <w:tcPr>
            <w:tcW w:w="7973" w:type="dxa"/>
          </w:tcPr>
          <w:p w14:paraId="685ADF8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types of instruments</w:t>
            </w:r>
          </w:p>
          <w:p w14:paraId="013E99D0" w14:textId="77777777" w:rsidR="00B530B5" w:rsidRPr="00FE3C59" w:rsidRDefault="00B530B5">
            <w:pPr>
              <w:pStyle w:val="Tabelleninhalt"/>
              <w:spacing w:after="120"/>
              <w:rPr>
                <w:rFonts w:ascii="Times New Roman" w:hAnsi="Times New Roman" w:cs="Times New Roman"/>
                <w:bCs/>
                <w:lang w:val="en-GB"/>
              </w:rPr>
            </w:pPr>
            <w:r w:rsidRPr="00FE3C59">
              <w:rPr>
                <w:rFonts w:ascii="Times New Roman" w:hAnsi="Times New Roman" w:cs="Times New Roman"/>
                <w:bCs/>
                <w:lang w:val="en-GB"/>
              </w:rPr>
              <w:t>One of the following two things shall be indicated:</w:t>
            </w:r>
          </w:p>
          <w:p w14:paraId="599F6A85"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Cs/>
                <w:lang w:val="en-GB"/>
              </w:rPr>
            </w:pPr>
            <w:r w:rsidRPr="00FE3C59">
              <w:rPr>
                <w:rFonts w:ascii="Times New Roman" w:hAnsi="Times New Roman" w:cs="Times New Roman"/>
                <w:bCs/>
                <w:lang w:val="en-GB"/>
              </w:rPr>
              <w:t>Trade in other instruments</w:t>
            </w:r>
          </w:p>
          <w:p w14:paraId="53C665BB" w14:textId="77777777" w:rsidR="00B530B5" w:rsidRPr="00FE3C59" w:rsidRDefault="00B530B5" w:rsidP="004D3479">
            <w:pPr>
              <w:pStyle w:val="Tabelleninhalt"/>
              <w:numPr>
                <w:ilvl w:val="0"/>
                <w:numId w:val="27"/>
              </w:numPr>
              <w:suppressLineNumbers/>
              <w:spacing w:after="120"/>
              <w:ind w:left="357" w:hanging="357"/>
              <w:rPr>
                <w:rFonts w:ascii="Times New Roman" w:hAnsi="Times New Roman" w:cs="Times New Roman"/>
                <w:b/>
                <w:u w:val="single"/>
                <w:lang w:val="en-GB"/>
              </w:rPr>
            </w:pPr>
            <w:r w:rsidRPr="00FE3C59">
              <w:rPr>
                <w:rFonts w:ascii="Times New Roman" w:hAnsi="Times New Roman" w:cs="Times New Roman"/>
                <w:bCs/>
                <w:lang w:val="en-GB"/>
              </w:rPr>
              <w:t>No trade in other instruments.</w:t>
            </w:r>
          </w:p>
          <w:p w14:paraId="7D398E12"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Where the institution indicates that other types of instruments are being traded at the desk, it shall specify and explain the type of instrument in column 0290.</w:t>
            </w:r>
          </w:p>
        </w:tc>
      </w:tr>
      <w:tr w:rsidR="00B530B5" w:rsidRPr="00FE3C59" w14:paraId="16C39C16" w14:textId="77777777" w:rsidTr="3F965E88">
        <w:tc>
          <w:tcPr>
            <w:tcW w:w="1043" w:type="dxa"/>
          </w:tcPr>
          <w:p w14:paraId="07BC826D"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0290</w:t>
            </w:r>
          </w:p>
        </w:tc>
        <w:tc>
          <w:tcPr>
            <w:tcW w:w="7973" w:type="dxa"/>
          </w:tcPr>
          <w:p w14:paraId="65E437E8"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types of instruments – Details</w:t>
            </w:r>
          </w:p>
          <w:p w14:paraId="7F41B4D7"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Where the institution indicates that other types of instruments are being traded at the desk in column 0280, it shall specify and explain the type of instrument.</w:t>
            </w:r>
          </w:p>
        </w:tc>
      </w:tr>
      <w:tr w:rsidR="00B530B5" w:rsidRPr="00FE3C59" w14:paraId="6F682E29" w14:textId="77777777" w:rsidTr="3F965E88">
        <w:tc>
          <w:tcPr>
            <w:tcW w:w="1043" w:type="dxa"/>
          </w:tcPr>
          <w:p w14:paraId="6947B4C2"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0300</w:t>
            </w:r>
          </w:p>
        </w:tc>
        <w:tc>
          <w:tcPr>
            <w:tcW w:w="7973" w:type="dxa"/>
          </w:tcPr>
          <w:p w14:paraId="7EEE5C3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Description of trading desk activity</w:t>
            </w:r>
          </w:p>
          <w:p w14:paraId="1955108A"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hAnsi="Times New Roman" w:cs="Times New Roman"/>
                <w:bCs/>
                <w:lang w:val="en-GB"/>
              </w:rPr>
              <w:t>Institutions shall include in this cell at least a summary of the trading activities referred to in Article 104b of Regulation (EU) No 575/2013.</w:t>
            </w:r>
          </w:p>
        </w:tc>
      </w:tr>
    </w:tbl>
    <w:p w14:paraId="0ABFC54C" w14:textId="77777777" w:rsidR="00B530B5" w:rsidRPr="00FE3C59" w:rsidRDefault="00B530B5" w:rsidP="00B530B5">
      <w:pPr>
        <w:pStyle w:val="InstructionsText2"/>
        <w:ind w:left="0" w:firstLine="0"/>
      </w:pPr>
    </w:p>
    <w:p w14:paraId="7A00A562"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3.8</w:t>
      </w:r>
      <w:r w:rsidRPr="00FE3C59">
        <w:rPr>
          <w:rFonts w:ascii="Times New Roman" w:hAnsi="Times New Roman" w:cs="Times New Roman"/>
          <w:sz w:val="24"/>
          <w:u w:val="none"/>
          <w:lang w:val="en-GB"/>
        </w:rPr>
        <w:tab/>
        <w:t>Default risk charge</w:t>
      </w:r>
    </w:p>
    <w:p w14:paraId="05D5AA53"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3.8.1</w:t>
      </w:r>
      <w:r w:rsidRPr="00FE3C59">
        <w:rPr>
          <w:rFonts w:ascii="Times New Roman" w:hAnsi="Times New Roman" w:cs="Times New Roman"/>
          <w:sz w:val="24"/>
          <w:u w:val="none"/>
          <w:lang w:val="en-GB"/>
        </w:rPr>
        <w:tab/>
        <w:t>C 98.01.1: Default risk charge - Breakdown by probability of default (MKR IMA DRC1)</w:t>
      </w:r>
    </w:p>
    <w:p w14:paraId="70F3E03B"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3.8.1.1 General remarks</w:t>
      </w:r>
    </w:p>
    <w:p w14:paraId="56EE2C78" w14:textId="77777777" w:rsidR="00B530B5" w:rsidRPr="00FE3C59" w:rsidRDefault="00B530B5" w:rsidP="00253413">
      <w:pPr>
        <w:pStyle w:val="InstructionsText2"/>
        <w:numPr>
          <w:ilvl w:val="0"/>
          <w:numId w:val="57"/>
        </w:numPr>
      </w:pPr>
      <w:r w:rsidRPr="00FE3C59">
        <w:t>Template MKR IMA DRC1 shall be used to provide information about the losses, as calculated with the DRC model authorised by the competent authority, broken down by probability of default of the issuer.</w:t>
      </w:r>
    </w:p>
    <w:p w14:paraId="0A2CED4F"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3.8.1.2 Instructions concerning specific positions</w:t>
      </w:r>
    </w:p>
    <w:tbl>
      <w:tblPr>
        <w:tblStyle w:val="TableGrid"/>
        <w:tblW w:w="0" w:type="auto"/>
        <w:tblLook w:val="04A0" w:firstRow="1" w:lastRow="0" w:firstColumn="1" w:lastColumn="0" w:noHBand="0" w:noVBand="1"/>
      </w:tblPr>
      <w:tblGrid>
        <w:gridCol w:w="1043"/>
        <w:gridCol w:w="7973"/>
      </w:tblGrid>
      <w:tr w:rsidR="00B530B5" w:rsidRPr="00FE3C59" w14:paraId="2A0D9646" w14:textId="77777777" w:rsidTr="3F965E88">
        <w:tc>
          <w:tcPr>
            <w:tcW w:w="1043" w:type="dxa"/>
            <w:shd w:val="clear" w:color="auto" w:fill="BFBFBF" w:themeFill="background1" w:themeFillShade="BF"/>
          </w:tcPr>
          <w:p w14:paraId="7898B0E2"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14C6CF5B"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22D960E2" w14:textId="77777777" w:rsidTr="3F965E88">
        <w:tc>
          <w:tcPr>
            <w:tcW w:w="1043" w:type="dxa"/>
          </w:tcPr>
          <w:p w14:paraId="664AC874" w14:textId="20228B7E"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0010-01</w:t>
            </w:r>
            <w:r w:rsidR="00E055F8">
              <w:rPr>
                <w:rFonts w:ascii="Times New Roman" w:hAnsi="Times New Roman" w:cs="Times New Roman"/>
                <w:lang w:val="en-GB"/>
              </w:rPr>
              <w:t>0</w:t>
            </w:r>
            <w:r w:rsidRPr="00FE3C59">
              <w:rPr>
                <w:rFonts w:ascii="Times New Roman" w:hAnsi="Times New Roman" w:cs="Times New Roman"/>
                <w:lang w:val="en-GB"/>
              </w:rPr>
              <w:t>0</w:t>
            </w:r>
          </w:p>
        </w:tc>
        <w:tc>
          <w:tcPr>
            <w:tcW w:w="7973" w:type="dxa"/>
          </w:tcPr>
          <w:p w14:paraId="5DF8FFDA" w14:textId="1F0C55BF" w:rsidR="00B530B5" w:rsidRPr="00FE3C59" w:rsidRDefault="00F178B6" w:rsidP="008735E0">
            <w:pPr>
              <w:pStyle w:val="BodyText"/>
              <w:spacing w:before="120" w:after="120"/>
              <w:rPr>
                <w:rFonts w:ascii="Times New Roman" w:hAnsi="Times New Roman" w:cs="Times New Roman"/>
                <w:b/>
                <w:bCs/>
                <w:u w:val="single"/>
                <w:lang w:val="en-GB"/>
              </w:rPr>
            </w:pPr>
            <w:r>
              <w:rPr>
                <w:rFonts w:ascii="Times New Roman" w:hAnsi="Times New Roman" w:cs="Times New Roman"/>
                <w:b/>
                <w:u w:val="single"/>
                <w:lang w:val="en-GB"/>
              </w:rPr>
              <w:t>Gains</w:t>
            </w:r>
            <w:r w:rsidR="007C371F">
              <w:rPr>
                <w:rFonts w:ascii="Times New Roman" w:hAnsi="Times New Roman" w:cs="Times New Roman"/>
                <w:b/>
                <w:u w:val="single"/>
                <w:lang w:val="en-GB"/>
              </w:rPr>
              <w:t xml:space="preserve"> </w:t>
            </w:r>
            <w:r>
              <w:rPr>
                <w:rFonts w:ascii="Times New Roman" w:hAnsi="Times New Roman" w:cs="Times New Roman"/>
                <w:b/>
                <w:u w:val="single"/>
                <w:lang w:val="en-GB"/>
              </w:rPr>
              <w:t xml:space="preserve">(+) </w:t>
            </w:r>
            <w:r w:rsidR="007C371F">
              <w:rPr>
                <w:rFonts w:ascii="Times New Roman" w:hAnsi="Times New Roman" w:cs="Times New Roman"/>
                <w:b/>
                <w:u w:val="single"/>
                <w:lang w:val="en-GB"/>
              </w:rPr>
              <w:t>/ l</w:t>
            </w:r>
            <w:r w:rsidR="6270B300" w:rsidRPr="008735E0">
              <w:rPr>
                <w:rFonts w:ascii="Times New Roman" w:hAnsi="Times New Roman" w:cs="Times New Roman"/>
                <w:b/>
                <w:u w:val="single"/>
                <w:lang w:val="en-GB"/>
              </w:rPr>
              <w:t>osses</w:t>
            </w:r>
            <w:r>
              <w:rPr>
                <w:rFonts w:ascii="Times New Roman" w:hAnsi="Times New Roman" w:cs="Times New Roman"/>
                <w:b/>
                <w:u w:val="single"/>
                <w:lang w:val="en-GB"/>
              </w:rPr>
              <w:t xml:space="preserve"> (-)</w:t>
            </w:r>
            <w:r w:rsidR="6270B300" w:rsidRPr="00FE3C59">
              <w:rPr>
                <w:rFonts w:ascii="Times New Roman" w:hAnsi="Times New Roman" w:cs="Times New Roman"/>
                <w:b/>
                <w:bCs/>
                <w:u w:val="single"/>
                <w:lang w:val="en-GB"/>
              </w:rPr>
              <w:t>, as calculated using the DRC model, assuming the default of the issuer (JTD DRC) by PD of the issuer</w:t>
            </w:r>
          </w:p>
          <w:p w14:paraId="347C35BF" w14:textId="2CE51D79" w:rsidR="00B530B5" w:rsidRPr="00244EFC" w:rsidRDefault="6270B300">
            <w:pPr>
              <w:pStyle w:val="Tabelleninhalt"/>
              <w:spacing w:after="120"/>
              <w:rPr>
                <w:rFonts w:ascii="Times New Roman" w:eastAsia="Times New Roman" w:hAnsi="Times New Roman" w:cs="Times New Roman"/>
                <w:strike/>
                <w:lang w:val="en-GB" w:eastAsia="de-DE" w:bidi="ar-SA"/>
              </w:rPr>
            </w:pPr>
            <w:r w:rsidRPr="00FE3C59">
              <w:rPr>
                <w:rFonts w:ascii="Times New Roman" w:eastAsia="Times New Roman" w:hAnsi="Times New Roman" w:cs="Times New Roman"/>
                <w:lang w:val="en-GB" w:eastAsia="de-DE" w:bidi="ar-SA"/>
              </w:rPr>
              <w:t xml:space="preserve">The value reported shall reflect the losses, or Jump to default amount, calculated on the basis </w:t>
            </w:r>
            <w:r w:rsidRPr="00244EFC">
              <w:rPr>
                <w:rFonts w:ascii="Times New Roman" w:eastAsia="Times New Roman" w:hAnsi="Times New Roman" w:cs="Times New Roman"/>
                <w:lang w:val="en-GB" w:eastAsia="de-DE" w:bidi="ar-SA"/>
              </w:rPr>
              <w:t>of the institution’s DRC model</w:t>
            </w:r>
            <w:r w:rsidR="00C20606" w:rsidRPr="00244EFC">
              <w:rPr>
                <w:rFonts w:ascii="Times New Roman" w:eastAsia="Times New Roman" w:hAnsi="Times New Roman" w:cs="Times New Roman"/>
                <w:lang w:val="en-GB" w:eastAsia="de-DE" w:bidi="ar-SA"/>
              </w:rPr>
              <w:t>,</w:t>
            </w:r>
            <w:r w:rsidR="35139B41" w:rsidRPr="00244EFC">
              <w:rPr>
                <w:rFonts w:ascii="Times New Roman" w:eastAsia="Times New Roman" w:hAnsi="Times New Roman" w:cs="Times New Roman"/>
                <w:lang w:val="en-GB" w:eastAsia="de-DE" w:bidi="ar-SA"/>
              </w:rPr>
              <w:t xml:space="preserve"> upon </w:t>
            </w:r>
            <w:r w:rsidR="00781B32" w:rsidRPr="00244EFC">
              <w:rPr>
                <w:rFonts w:ascii="Times New Roman" w:eastAsia="Times New Roman" w:hAnsi="Times New Roman" w:cs="Times New Roman"/>
                <w:lang w:val="en-GB" w:eastAsia="de-DE" w:bidi="ar-SA"/>
              </w:rPr>
              <w:t xml:space="preserve">the default of the </w:t>
            </w:r>
            <w:r w:rsidR="35139B41" w:rsidRPr="00244EFC">
              <w:rPr>
                <w:rFonts w:ascii="Times New Roman" w:eastAsia="Times New Roman" w:hAnsi="Times New Roman" w:cs="Times New Roman"/>
                <w:lang w:val="en-GB" w:eastAsia="de-DE" w:bidi="ar-SA"/>
              </w:rPr>
              <w:t>issuer</w:t>
            </w:r>
            <w:r w:rsidR="00C20606" w:rsidRPr="00244EFC">
              <w:rPr>
                <w:rFonts w:ascii="Times New Roman" w:eastAsia="Times New Roman" w:hAnsi="Times New Roman" w:cs="Times New Roman"/>
                <w:lang w:val="en-GB" w:eastAsia="de-DE" w:bidi="ar-SA"/>
              </w:rPr>
              <w:t xml:space="preserve"> (JTD DRC)</w:t>
            </w:r>
            <w:r w:rsidRPr="00244EFC">
              <w:rPr>
                <w:rFonts w:ascii="Times New Roman" w:eastAsia="Times New Roman" w:hAnsi="Times New Roman" w:cs="Times New Roman"/>
                <w:lang w:val="en-GB" w:eastAsia="de-DE" w:bidi="ar-SA"/>
              </w:rPr>
              <w:t>.</w:t>
            </w:r>
          </w:p>
          <w:p w14:paraId="736FFC3A" w14:textId="0B2B6C81" w:rsidR="00FE435C" w:rsidRDefault="00B530B5">
            <w:pPr>
              <w:pStyle w:val="Tabelleninhalt"/>
              <w:spacing w:after="120"/>
              <w:rPr>
                <w:rFonts w:ascii="Times New Roman" w:hAnsi="Times New Roman" w:cs="Times New Roman"/>
                <w:lang w:val="en-GB"/>
              </w:rPr>
            </w:pPr>
            <w:r w:rsidRPr="00244EFC">
              <w:rPr>
                <w:rFonts w:ascii="Times New Roman" w:eastAsia="Times New Roman" w:hAnsi="Times New Roman" w:cs="Times New Roman"/>
                <w:lang w:val="en-GB" w:eastAsia="de-DE" w:bidi="ar-SA"/>
              </w:rPr>
              <w:t xml:space="preserve">Institutions shall determine the JTD DRC for each issuer separately. </w:t>
            </w:r>
            <w:r w:rsidRPr="00244EFC">
              <w:rPr>
                <w:rFonts w:ascii="Times New Roman" w:hAnsi="Times New Roman" w:cs="Times New Roman"/>
                <w:lang w:val="en-GB"/>
              </w:rPr>
              <w:t xml:space="preserve">Where an institution has long and short </w:t>
            </w:r>
            <w:r w:rsidR="005D7600">
              <w:rPr>
                <w:rFonts w:ascii="Times New Roman" w:hAnsi="Times New Roman" w:cs="Times New Roman"/>
                <w:lang w:val="en-GB"/>
              </w:rPr>
              <w:t>exposures</w:t>
            </w:r>
            <w:r w:rsidRPr="00244EFC">
              <w:rPr>
                <w:rFonts w:ascii="Times New Roman" w:hAnsi="Times New Roman" w:cs="Times New Roman"/>
                <w:lang w:val="en-GB"/>
              </w:rPr>
              <w:t xml:space="preserve"> towards the same issuer, it shall treat them as separate positions, and calculate the JTD DRC separately for the long </w:t>
            </w:r>
            <w:r w:rsidR="005D7600">
              <w:rPr>
                <w:rFonts w:ascii="Times New Roman" w:hAnsi="Times New Roman" w:cs="Times New Roman"/>
                <w:lang w:val="en-GB"/>
              </w:rPr>
              <w:t>exposure</w:t>
            </w:r>
            <w:r w:rsidRPr="00244EFC">
              <w:rPr>
                <w:rFonts w:ascii="Times New Roman" w:hAnsi="Times New Roman" w:cs="Times New Roman"/>
                <w:lang w:val="en-GB"/>
              </w:rPr>
              <w:t xml:space="preserve"> towards that issuer and the short </w:t>
            </w:r>
            <w:r w:rsidR="005D7600">
              <w:rPr>
                <w:rFonts w:ascii="Times New Roman" w:hAnsi="Times New Roman" w:cs="Times New Roman"/>
                <w:lang w:val="en-GB"/>
              </w:rPr>
              <w:t>exposure</w:t>
            </w:r>
            <w:r w:rsidRPr="00244EFC">
              <w:rPr>
                <w:rFonts w:ascii="Times New Roman" w:hAnsi="Times New Roman" w:cs="Times New Roman"/>
                <w:lang w:val="en-GB"/>
              </w:rPr>
              <w:t xml:space="preserve"> towards that issuer (gross JTD DRC amounts), respectively.</w:t>
            </w:r>
          </w:p>
          <w:p w14:paraId="37A53A88" w14:textId="77777777" w:rsidR="00B46C6C" w:rsidRDefault="006F1501">
            <w:pPr>
              <w:pStyle w:val="Tabelleninhalt"/>
              <w:spacing w:after="120"/>
              <w:rPr>
                <w:rFonts w:ascii="Times New Roman" w:hAnsi="Times New Roman" w:cs="Times New Roman"/>
                <w:lang w:val="en-GB"/>
              </w:rPr>
            </w:pPr>
            <w:r>
              <w:rPr>
                <w:rFonts w:ascii="Times New Roman" w:hAnsi="Times New Roman" w:cs="Times New Roman"/>
                <w:lang w:val="en-GB"/>
              </w:rPr>
              <w:t xml:space="preserve">Long and short </w:t>
            </w:r>
            <w:r w:rsidR="005D7600">
              <w:rPr>
                <w:rFonts w:ascii="Times New Roman" w:hAnsi="Times New Roman" w:cs="Times New Roman"/>
                <w:lang w:val="en-GB"/>
              </w:rPr>
              <w:t>exposure</w:t>
            </w:r>
            <w:r w:rsidR="004A110B">
              <w:rPr>
                <w:rFonts w:ascii="Times New Roman" w:hAnsi="Times New Roman" w:cs="Times New Roman"/>
                <w:lang w:val="en-GB"/>
              </w:rPr>
              <w:t xml:space="preserve">s are defined in Article 325v(1), points (a) and (b), of Regulation (EU) No 575/2013. </w:t>
            </w:r>
          </w:p>
          <w:p w14:paraId="0AFB67D2" w14:textId="07F1B0C6" w:rsidR="004869D0" w:rsidRPr="00244EFC" w:rsidRDefault="00B46C6C">
            <w:pPr>
              <w:pStyle w:val="Tabelleninhalt"/>
              <w:spacing w:after="120"/>
              <w:rPr>
                <w:rFonts w:ascii="Times New Roman" w:hAnsi="Times New Roman" w:cs="Times New Roman"/>
                <w:lang w:val="en-GB"/>
              </w:rPr>
            </w:pPr>
            <w:r>
              <w:rPr>
                <w:rFonts w:ascii="Times New Roman" w:hAnsi="Times New Roman" w:cs="Times New Roman"/>
                <w:lang w:val="en-GB"/>
              </w:rPr>
              <w:lastRenderedPageBreak/>
              <w:t>The JTD DRC of l</w:t>
            </w:r>
            <w:r w:rsidR="004A110B">
              <w:rPr>
                <w:rFonts w:ascii="Times New Roman" w:hAnsi="Times New Roman" w:cs="Times New Roman"/>
                <w:lang w:val="en-GB"/>
              </w:rPr>
              <w:t xml:space="preserve">ong exposures shall be reported with a </w:t>
            </w:r>
            <w:r>
              <w:rPr>
                <w:rFonts w:ascii="Times New Roman" w:hAnsi="Times New Roman" w:cs="Times New Roman"/>
                <w:lang w:val="en-GB"/>
              </w:rPr>
              <w:t xml:space="preserve">negative sign (loss), </w:t>
            </w:r>
            <w:r w:rsidR="00CB49D1">
              <w:rPr>
                <w:rFonts w:ascii="Times New Roman" w:hAnsi="Times New Roman" w:cs="Times New Roman"/>
                <w:lang w:val="en-GB"/>
              </w:rPr>
              <w:t xml:space="preserve">the JTD DRC of short </w:t>
            </w:r>
            <w:r>
              <w:rPr>
                <w:rFonts w:ascii="Times New Roman" w:hAnsi="Times New Roman" w:cs="Times New Roman"/>
                <w:lang w:val="en-GB"/>
              </w:rPr>
              <w:t>exposures shall</w:t>
            </w:r>
            <w:r w:rsidR="00CB49D1">
              <w:rPr>
                <w:rFonts w:ascii="Times New Roman" w:hAnsi="Times New Roman" w:cs="Times New Roman"/>
                <w:lang w:val="en-GB"/>
              </w:rPr>
              <w:t xml:space="preserve"> be reported with a positive sign (gain).</w:t>
            </w:r>
          </w:p>
          <w:p w14:paraId="14EB52EF" w14:textId="764506CA" w:rsidR="004757D3" w:rsidRPr="00FE3C59" w:rsidRDefault="00B530B5" w:rsidP="00F178B6">
            <w:pPr>
              <w:pStyle w:val="Tabelleninhalt"/>
              <w:spacing w:after="120"/>
              <w:rPr>
                <w:rFonts w:ascii="Times New Roman" w:hAnsi="Times New Roman" w:cs="Times New Roman"/>
                <w:b/>
                <w:u w:val="single"/>
                <w:lang w:val="en-GB"/>
              </w:rPr>
            </w:pPr>
            <w:r w:rsidRPr="00244EFC">
              <w:rPr>
                <w:rFonts w:ascii="Times New Roman" w:eastAsia="Times New Roman" w:hAnsi="Times New Roman" w:cs="Times New Roman"/>
                <w:lang w:val="en-GB" w:eastAsia="de-DE" w:bidi="ar-SA"/>
              </w:rPr>
              <w:t>The losses shall be allocated to one of the default probability-buckets based on the most recent default probability estimate available at the reference date for the issuer in question.</w:t>
            </w:r>
          </w:p>
        </w:tc>
      </w:tr>
      <w:tr w:rsidR="00B530B5" w:rsidRPr="00FE3C59" w14:paraId="20FC9D64" w14:textId="77777777" w:rsidTr="3F965E88">
        <w:tc>
          <w:tcPr>
            <w:tcW w:w="1043" w:type="dxa"/>
          </w:tcPr>
          <w:p w14:paraId="08669193"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0010</w:t>
            </w:r>
          </w:p>
        </w:tc>
        <w:tc>
          <w:tcPr>
            <w:tcW w:w="7973" w:type="dxa"/>
          </w:tcPr>
          <w:p w14:paraId="61EB7537"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Subject to floor – 3bp</w:t>
            </w:r>
          </w:p>
        </w:tc>
      </w:tr>
      <w:tr w:rsidR="00B530B5" w:rsidRPr="00FE3C59" w14:paraId="68C56411" w14:textId="77777777" w:rsidTr="3F965E88">
        <w:tc>
          <w:tcPr>
            <w:tcW w:w="1043" w:type="dxa"/>
          </w:tcPr>
          <w:p w14:paraId="162EDA13"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0020</w:t>
            </w:r>
          </w:p>
        </w:tc>
        <w:tc>
          <w:tcPr>
            <w:tcW w:w="7973" w:type="dxa"/>
          </w:tcPr>
          <w:p w14:paraId="1E70CF17"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3bp and lower than or 5 bp – (3bp, 5bp)</w:t>
            </w:r>
          </w:p>
        </w:tc>
      </w:tr>
      <w:tr w:rsidR="00B530B5" w:rsidRPr="00FE3C59" w14:paraId="31B45E40" w14:textId="77777777" w:rsidTr="3F965E88">
        <w:tc>
          <w:tcPr>
            <w:tcW w:w="1043" w:type="dxa"/>
          </w:tcPr>
          <w:p w14:paraId="779CE1A6"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0030</w:t>
            </w:r>
          </w:p>
        </w:tc>
        <w:tc>
          <w:tcPr>
            <w:tcW w:w="7973" w:type="dxa"/>
          </w:tcPr>
          <w:p w14:paraId="588998B6"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or equal to 5bp and lower than 10bp – [5bp, 10bp)</w:t>
            </w:r>
          </w:p>
        </w:tc>
      </w:tr>
      <w:tr w:rsidR="00B530B5" w:rsidRPr="00FE3C59" w14:paraId="4363AC7E" w14:textId="77777777" w:rsidTr="3F965E88">
        <w:tc>
          <w:tcPr>
            <w:tcW w:w="1043" w:type="dxa"/>
          </w:tcPr>
          <w:p w14:paraId="6F9098CF"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0040</w:t>
            </w:r>
          </w:p>
        </w:tc>
        <w:tc>
          <w:tcPr>
            <w:tcW w:w="7973" w:type="dxa"/>
          </w:tcPr>
          <w:p w14:paraId="19433C0E"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or equal to 10bp and lower than 20bp – [10bp, 20bp)</w:t>
            </w:r>
          </w:p>
        </w:tc>
      </w:tr>
      <w:tr w:rsidR="00B530B5" w:rsidRPr="00FE3C59" w14:paraId="624B0C59" w14:textId="77777777" w:rsidTr="3F965E88">
        <w:tc>
          <w:tcPr>
            <w:tcW w:w="1043" w:type="dxa"/>
          </w:tcPr>
          <w:p w14:paraId="61DD3B95"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0050</w:t>
            </w:r>
          </w:p>
        </w:tc>
        <w:tc>
          <w:tcPr>
            <w:tcW w:w="7973" w:type="dxa"/>
          </w:tcPr>
          <w:p w14:paraId="7F43ACD9"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or equal to 20bp and lower than 40bp – [20bp, 40bp)</w:t>
            </w:r>
          </w:p>
        </w:tc>
      </w:tr>
      <w:tr w:rsidR="00B530B5" w:rsidRPr="00FE3C59" w14:paraId="6F6E6B52" w14:textId="77777777" w:rsidTr="3F965E88">
        <w:tc>
          <w:tcPr>
            <w:tcW w:w="1043" w:type="dxa"/>
          </w:tcPr>
          <w:p w14:paraId="7425948F"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Pr>
          <w:p w14:paraId="60C1372C"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or equal to 40bp and lower than 1% – [40bp, 1%)</w:t>
            </w:r>
          </w:p>
        </w:tc>
      </w:tr>
      <w:tr w:rsidR="00B530B5" w:rsidRPr="00FE3C59" w14:paraId="1C52AF7C" w14:textId="77777777" w:rsidTr="3F965E88">
        <w:tc>
          <w:tcPr>
            <w:tcW w:w="1043" w:type="dxa"/>
          </w:tcPr>
          <w:p w14:paraId="7A182EE8"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0070</w:t>
            </w:r>
          </w:p>
        </w:tc>
        <w:tc>
          <w:tcPr>
            <w:tcW w:w="7973" w:type="dxa"/>
          </w:tcPr>
          <w:p w14:paraId="0CCC7FE2"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or equal to 1% and lower than 4% – [1%, 4%)</w:t>
            </w:r>
          </w:p>
        </w:tc>
      </w:tr>
      <w:tr w:rsidR="00B530B5" w:rsidRPr="00FE3C59" w14:paraId="669514B3" w14:textId="77777777" w:rsidTr="3F965E88">
        <w:tc>
          <w:tcPr>
            <w:tcW w:w="1043" w:type="dxa"/>
          </w:tcPr>
          <w:p w14:paraId="2B22EC3C"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0080</w:t>
            </w:r>
          </w:p>
        </w:tc>
        <w:tc>
          <w:tcPr>
            <w:tcW w:w="7973" w:type="dxa"/>
          </w:tcPr>
          <w:p w14:paraId="75CD7882" w14:textId="208839B3"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Higher than or equal to 4% and lower than 20% – </w:t>
            </w:r>
            <w:r w:rsidR="00C2004D" w:rsidRPr="00FE3C59">
              <w:rPr>
                <w:rFonts w:ascii="Times New Roman" w:hAnsi="Times New Roman" w:cs="Times New Roman"/>
                <w:b/>
                <w:u w:val="single"/>
                <w:lang w:val="en-GB"/>
              </w:rPr>
              <w:t>[</w:t>
            </w:r>
            <w:r w:rsidRPr="00FE3C59">
              <w:rPr>
                <w:rFonts w:ascii="Times New Roman" w:hAnsi="Times New Roman" w:cs="Times New Roman"/>
                <w:b/>
                <w:u w:val="single"/>
                <w:lang w:val="en-GB"/>
              </w:rPr>
              <w:t>4%, 20%</w:t>
            </w:r>
            <w:r w:rsidR="00C2004D">
              <w:rPr>
                <w:rFonts w:ascii="Times New Roman" w:hAnsi="Times New Roman" w:cs="Times New Roman"/>
                <w:b/>
                <w:u w:val="single"/>
                <w:lang w:val="en-GB"/>
              </w:rPr>
              <w:t>)</w:t>
            </w:r>
          </w:p>
        </w:tc>
      </w:tr>
      <w:tr w:rsidR="00B530B5" w:rsidRPr="00FE3C59" w14:paraId="31FFE033" w14:textId="77777777" w:rsidTr="3F965E88">
        <w:tc>
          <w:tcPr>
            <w:tcW w:w="1043" w:type="dxa"/>
          </w:tcPr>
          <w:p w14:paraId="00481270"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0090</w:t>
            </w:r>
          </w:p>
        </w:tc>
        <w:tc>
          <w:tcPr>
            <w:tcW w:w="7973" w:type="dxa"/>
          </w:tcPr>
          <w:p w14:paraId="67F80C61" w14:textId="52823539"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Higher than or equal to 20% and lower than 100% – </w:t>
            </w:r>
            <w:r w:rsidR="00C2004D" w:rsidRPr="00FE3C59">
              <w:rPr>
                <w:rFonts w:ascii="Times New Roman" w:hAnsi="Times New Roman" w:cs="Times New Roman"/>
                <w:b/>
                <w:u w:val="single"/>
                <w:lang w:val="en-GB"/>
              </w:rPr>
              <w:t>[</w:t>
            </w:r>
            <w:r w:rsidRPr="00FE3C59">
              <w:rPr>
                <w:rFonts w:ascii="Times New Roman" w:hAnsi="Times New Roman" w:cs="Times New Roman"/>
                <w:b/>
                <w:u w:val="single"/>
                <w:lang w:val="en-GB"/>
              </w:rPr>
              <w:t>20%–100</w:t>
            </w:r>
            <w:r w:rsidRPr="008735E0">
              <w:rPr>
                <w:rFonts w:ascii="Times New Roman" w:hAnsi="Times New Roman" w:cs="Times New Roman"/>
                <w:b/>
                <w:u w:val="single"/>
                <w:lang w:val="en-GB"/>
              </w:rPr>
              <w:t>%)</w:t>
            </w:r>
          </w:p>
        </w:tc>
      </w:tr>
      <w:tr w:rsidR="00B530B5" w:rsidRPr="00FE3C59" w14:paraId="71817B9E" w14:textId="77777777" w:rsidTr="3F965E88">
        <w:tc>
          <w:tcPr>
            <w:tcW w:w="1043" w:type="dxa"/>
          </w:tcPr>
          <w:p w14:paraId="4048C92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0100</w:t>
            </w:r>
          </w:p>
        </w:tc>
        <w:tc>
          <w:tcPr>
            <w:tcW w:w="7973" w:type="dxa"/>
          </w:tcPr>
          <w:p w14:paraId="435A126B"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Defaulted</w:t>
            </w:r>
          </w:p>
        </w:tc>
      </w:tr>
      <w:tr w:rsidR="00B530B5" w:rsidRPr="00FE3C59" w14:paraId="5EB2B97A" w14:textId="77777777" w:rsidTr="3F965E88">
        <w:tc>
          <w:tcPr>
            <w:tcW w:w="1043" w:type="dxa"/>
          </w:tcPr>
          <w:p w14:paraId="62819414" w14:textId="22D13A4E"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w:t>
            </w:r>
            <w:r w:rsidR="00FB6EBE">
              <w:rPr>
                <w:rFonts w:ascii="Times New Roman" w:hAnsi="Times New Roman" w:cs="Times New Roman"/>
                <w:lang w:val="en-GB"/>
              </w:rPr>
              <w:t>1</w:t>
            </w:r>
            <w:r w:rsidRPr="00157901">
              <w:rPr>
                <w:rFonts w:ascii="Times New Roman" w:hAnsi="Times New Roman" w:cs="Times New Roman"/>
                <w:lang w:val="en-GB"/>
              </w:rPr>
              <w:t>0</w:t>
            </w:r>
          </w:p>
        </w:tc>
        <w:tc>
          <w:tcPr>
            <w:tcW w:w="7973" w:type="dxa"/>
          </w:tcPr>
          <w:p w14:paraId="201ABC47"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Average default probability, weighted by JTD DRC</w:t>
            </w:r>
          </w:p>
          <w:p w14:paraId="47594684" w14:textId="77777777" w:rsidR="00791086" w:rsidRDefault="6270B300">
            <w:pPr>
              <w:pStyle w:val="Tabelleninhalt"/>
              <w:spacing w:after="120"/>
              <w:rPr>
                <w:rFonts w:ascii="Times New Roman" w:eastAsia="Times New Roman" w:hAnsi="Times New Roman" w:cs="Times New Roman"/>
                <w:lang w:val="en-GB" w:eastAsia="de-DE" w:bidi="ar-SA"/>
              </w:rPr>
            </w:pPr>
            <w:r w:rsidRPr="00FE3C59">
              <w:rPr>
                <w:rFonts w:ascii="Times New Roman" w:eastAsia="Times New Roman" w:hAnsi="Times New Roman" w:cs="Times New Roman"/>
                <w:lang w:val="en-GB" w:eastAsia="de-DE" w:bidi="ar-SA"/>
              </w:rPr>
              <w:t xml:space="preserve">Institutions shall report the weighted average of the default probability. </w:t>
            </w:r>
          </w:p>
          <w:p w14:paraId="2147E897" w14:textId="774221D2" w:rsidR="00B530B5" w:rsidRPr="007A5BB2" w:rsidRDefault="6270B300">
            <w:pPr>
              <w:pStyle w:val="Tabelleninhalt"/>
              <w:spacing w:after="120"/>
              <w:rPr>
                <w:rFonts w:ascii="Times New Roman" w:eastAsia="Times New Roman" w:hAnsi="Times New Roman" w:cs="Times New Roman"/>
                <w:lang w:val="en-GB" w:eastAsia="de-DE" w:bidi="ar-SA"/>
              </w:rPr>
            </w:pPr>
            <w:r w:rsidRPr="00FE3C59">
              <w:rPr>
                <w:rFonts w:ascii="Times New Roman" w:eastAsia="Times New Roman" w:hAnsi="Times New Roman" w:cs="Times New Roman"/>
                <w:lang w:val="en-GB" w:eastAsia="de-DE" w:bidi="ar-SA"/>
              </w:rPr>
              <w:t>The PDs</w:t>
            </w:r>
            <w:r w:rsidR="1523EB0C" w:rsidRPr="00FE3C59">
              <w:rPr>
                <w:rFonts w:ascii="Times New Roman" w:eastAsia="Times New Roman" w:hAnsi="Times New Roman" w:cs="Times New Roman"/>
                <w:lang w:val="en-GB" w:eastAsia="de-DE" w:bidi="ar-SA"/>
              </w:rPr>
              <w:t xml:space="preserve"> of an issuer</w:t>
            </w:r>
            <w:r w:rsidRPr="00FE3C59">
              <w:rPr>
                <w:rFonts w:ascii="Times New Roman" w:eastAsia="Times New Roman" w:hAnsi="Times New Roman" w:cs="Times New Roman"/>
                <w:lang w:val="en-GB" w:eastAsia="de-DE" w:bidi="ar-SA"/>
              </w:rPr>
              <w:t xml:space="preserve"> shall be weighted by the </w:t>
            </w:r>
            <w:r w:rsidR="00791086">
              <w:rPr>
                <w:rFonts w:ascii="Times New Roman" w:eastAsia="Times New Roman" w:hAnsi="Times New Roman" w:cs="Times New Roman"/>
                <w:lang w:val="en-GB" w:eastAsia="de-DE" w:bidi="ar-SA"/>
              </w:rPr>
              <w:t xml:space="preserve">sum of the </w:t>
            </w:r>
            <w:r w:rsidR="62C80080" w:rsidRPr="00FE3C59">
              <w:rPr>
                <w:rFonts w:ascii="Times New Roman" w:eastAsia="Times New Roman" w:hAnsi="Times New Roman" w:cs="Times New Roman"/>
                <w:lang w:val="en-GB" w:eastAsia="de-DE" w:bidi="ar-SA"/>
              </w:rPr>
              <w:t>absolute</w:t>
            </w:r>
            <w:r w:rsidR="000C574B">
              <w:rPr>
                <w:rFonts w:ascii="Times New Roman" w:eastAsia="Times New Roman" w:hAnsi="Times New Roman" w:cs="Times New Roman"/>
                <w:lang w:val="en-GB" w:eastAsia="de-DE" w:bidi="ar-SA"/>
              </w:rPr>
              <w:t xml:space="preserve"> value of the</w:t>
            </w:r>
            <w:r w:rsidR="62C80080" w:rsidRPr="00FE3C59">
              <w:rPr>
                <w:rFonts w:ascii="Times New Roman" w:eastAsia="Times New Roman" w:hAnsi="Times New Roman" w:cs="Times New Roman"/>
                <w:lang w:val="en-GB" w:eastAsia="de-DE" w:bidi="ar-SA"/>
              </w:rPr>
              <w:t xml:space="preserve"> </w:t>
            </w:r>
            <w:r w:rsidRPr="00FE3C59">
              <w:rPr>
                <w:rFonts w:ascii="Times New Roman" w:eastAsia="Times New Roman" w:hAnsi="Times New Roman" w:cs="Times New Roman"/>
                <w:lang w:val="en-GB" w:eastAsia="de-DE" w:bidi="ar-SA"/>
              </w:rPr>
              <w:t>JTD DRC</w:t>
            </w:r>
            <w:r w:rsidR="000C574B">
              <w:rPr>
                <w:rFonts w:ascii="Times New Roman" w:eastAsia="Times New Roman" w:hAnsi="Times New Roman" w:cs="Times New Roman"/>
                <w:lang w:val="en-GB" w:eastAsia="de-DE" w:bidi="ar-SA"/>
              </w:rPr>
              <w:t xml:space="preserve"> for long exposures and the </w:t>
            </w:r>
            <w:r w:rsidR="006E541A">
              <w:rPr>
                <w:rFonts w:ascii="Times New Roman" w:eastAsia="Times New Roman" w:hAnsi="Times New Roman" w:cs="Times New Roman"/>
                <w:lang w:val="en-GB" w:eastAsia="de-DE" w:bidi="ar-SA"/>
              </w:rPr>
              <w:t>absolute value of the JTD DRC for short exposures</w:t>
            </w:r>
            <w:r w:rsidR="009B0ABF">
              <w:rPr>
                <w:rFonts w:ascii="Times New Roman" w:eastAsia="Times New Roman" w:hAnsi="Times New Roman" w:cs="Times New Roman"/>
                <w:lang w:val="en-GB" w:eastAsia="de-DE" w:bidi="ar-SA"/>
              </w:rPr>
              <w:t xml:space="preserve"> to this issuer</w:t>
            </w:r>
            <w:r w:rsidR="007A5BB2">
              <w:rPr>
                <w:rFonts w:ascii="Times New Roman" w:eastAsia="Times New Roman" w:hAnsi="Times New Roman" w:cs="Times New Roman"/>
                <w:lang w:val="en-GB" w:eastAsia="de-DE" w:bidi="ar-SA"/>
              </w:rPr>
              <w:t xml:space="preserve">, normalised by the grand total </w:t>
            </w:r>
            <w:r w:rsidR="009B0ABF">
              <w:rPr>
                <w:rFonts w:ascii="Times New Roman" w:eastAsia="Times New Roman" w:hAnsi="Times New Roman" w:cs="Times New Roman"/>
                <w:lang w:val="en-GB" w:eastAsia="de-DE" w:bidi="ar-SA"/>
              </w:rPr>
              <w:t>of all those absolute values.</w:t>
            </w:r>
            <w:r w:rsidR="007A5BB2">
              <w:rPr>
                <w:rFonts w:ascii="Times New Roman" w:eastAsia="Times New Roman" w:hAnsi="Times New Roman" w:cs="Times New Roman"/>
                <w:lang w:val="en-GB" w:eastAsia="de-DE" w:bidi="ar-SA"/>
              </w:rPr>
              <w:t xml:space="preserve"> </w:t>
            </w:r>
          </w:p>
        </w:tc>
      </w:tr>
    </w:tbl>
    <w:p w14:paraId="21F7D9C4" w14:textId="77777777" w:rsidR="00B530B5" w:rsidRPr="00FE3C59" w:rsidRDefault="00B530B5" w:rsidP="001D0BA6">
      <w:pPr>
        <w:pStyle w:val="NoSpacing"/>
      </w:pPr>
    </w:p>
    <w:tbl>
      <w:tblPr>
        <w:tblStyle w:val="TableGrid"/>
        <w:tblW w:w="0" w:type="auto"/>
        <w:tblLook w:val="04A0" w:firstRow="1" w:lastRow="0" w:firstColumn="1" w:lastColumn="0" w:noHBand="0" w:noVBand="1"/>
      </w:tblPr>
      <w:tblGrid>
        <w:gridCol w:w="1063"/>
        <w:gridCol w:w="7953"/>
      </w:tblGrid>
      <w:tr w:rsidR="00B530B5" w:rsidRPr="00FE3C59" w14:paraId="31CCE827" w14:textId="77777777">
        <w:tc>
          <w:tcPr>
            <w:tcW w:w="1063" w:type="dxa"/>
            <w:shd w:val="clear" w:color="auto" w:fill="BFBFBF" w:themeFill="background1" w:themeFillShade="BF"/>
          </w:tcPr>
          <w:p w14:paraId="3C69EC06"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46908862"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1EFA61AB" w14:textId="77777777">
        <w:tc>
          <w:tcPr>
            <w:tcW w:w="1063" w:type="dxa"/>
          </w:tcPr>
          <w:p w14:paraId="1CF2DDC3"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0010</w:t>
            </w:r>
          </w:p>
        </w:tc>
        <w:tc>
          <w:tcPr>
            <w:tcW w:w="7953" w:type="dxa"/>
          </w:tcPr>
          <w:p w14:paraId="2C324128"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All issuer types – All positions</w:t>
            </w:r>
          </w:p>
        </w:tc>
      </w:tr>
      <w:tr w:rsidR="00B530B5" w:rsidRPr="00FE3C59" w14:paraId="6AAA5920" w14:textId="77777777">
        <w:trPr>
          <w:trHeight w:val="187"/>
        </w:trPr>
        <w:tc>
          <w:tcPr>
            <w:tcW w:w="1063" w:type="dxa"/>
          </w:tcPr>
          <w:p w14:paraId="06819133"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0020-0030</w:t>
            </w:r>
          </w:p>
        </w:tc>
        <w:tc>
          <w:tcPr>
            <w:tcW w:w="7953" w:type="dxa"/>
          </w:tcPr>
          <w:p w14:paraId="4E80D6AC" w14:textId="77777777" w:rsidR="00B530B5"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Central government, including central banks, of Member States – long/short</w:t>
            </w:r>
          </w:p>
          <w:p w14:paraId="33AC0E38" w14:textId="4A85A7B6" w:rsidR="006A7282" w:rsidRPr="00FE3C59" w:rsidRDefault="006A7282" w:rsidP="008735E0">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tc>
      </w:tr>
      <w:tr w:rsidR="00B530B5" w:rsidRPr="00FE3C59" w14:paraId="6DAF45E6" w14:textId="77777777">
        <w:tc>
          <w:tcPr>
            <w:tcW w:w="1063" w:type="dxa"/>
          </w:tcPr>
          <w:p w14:paraId="242A1836"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0040-0050</w:t>
            </w:r>
          </w:p>
        </w:tc>
        <w:tc>
          <w:tcPr>
            <w:tcW w:w="7953" w:type="dxa"/>
          </w:tcPr>
          <w:p w14:paraId="59905050" w14:textId="77777777" w:rsidR="00B530B5"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 issued by credit institutions in Member States (Investment Grade) – long/short</w:t>
            </w:r>
          </w:p>
          <w:p w14:paraId="7DEFA58E" w14:textId="1065E6FB" w:rsidR="006A7282" w:rsidRPr="00FE3C59" w:rsidRDefault="006A7282" w:rsidP="008735E0">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tc>
      </w:tr>
      <w:tr w:rsidR="00B530B5" w:rsidRPr="00FE3C59" w14:paraId="1750155B" w14:textId="77777777">
        <w:tc>
          <w:tcPr>
            <w:tcW w:w="1063" w:type="dxa"/>
          </w:tcPr>
          <w:p w14:paraId="78197892"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0060-0070</w:t>
            </w:r>
          </w:p>
        </w:tc>
        <w:tc>
          <w:tcPr>
            <w:tcW w:w="7953" w:type="dxa"/>
          </w:tcPr>
          <w:p w14:paraId="04336829" w14:textId="16504016" w:rsidR="00B530B5"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sovereign (Investment grade) – long/short</w:t>
            </w:r>
          </w:p>
          <w:p w14:paraId="1FB74803" w14:textId="55526185" w:rsidR="006A7282" w:rsidRPr="00FE3C59" w:rsidRDefault="006A7282" w:rsidP="008735E0">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432FAEC2"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lastRenderedPageBreak/>
              <w:t>Positions towards central governments or central banks, as reported in rows 0020 to 0030, shall not be included in these rows.</w:t>
            </w:r>
          </w:p>
        </w:tc>
      </w:tr>
      <w:tr w:rsidR="00B530B5" w:rsidRPr="00FE3C59" w14:paraId="767D5F10" w14:textId="77777777">
        <w:tc>
          <w:tcPr>
            <w:tcW w:w="1063" w:type="dxa"/>
          </w:tcPr>
          <w:p w14:paraId="76500578"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0080-0090</w:t>
            </w:r>
          </w:p>
        </w:tc>
        <w:tc>
          <w:tcPr>
            <w:tcW w:w="7953" w:type="dxa"/>
          </w:tcPr>
          <w:p w14:paraId="76EEBC62" w14:textId="459F2F5A" w:rsidR="00B530B5"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sovereign (High yield) – long/short</w:t>
            </w:r>
          </w:p>
          <w:p w14:paraId="06E87441" w14:textId="1EC08BF3" w:rsidR="006A7282" w:rsidRPr="00FE3C59" w:rsidRDefault="006A7282" w:rsidP="008735E0">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3FBDFC1B"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towards central governments or central banks, as reported in rows 0020 to 0030, shall not be included in these rows.</w:t>
            </w:r>
          </w:p>
        </w:tc>
      </w:tr>
      <w:tr w:rsidR="0093565E" w:rsidRPr="00FE3C59" w14:paraId="187F94E6" w14:textId="77777777">
        <w:tc>
          <w:tcPr>
            <w:tcW w:w="1063" w:type="dxa"/>
          </w:tcPr>
          <w:p w14:paraId="03D87BE6" w14:textId="6ADF98D2" w:rsidR="0093565E" w:rsidRPr="00157901" w:rsidRDefault="0093565E" w:rsidP="0093565E">
            <w:pPr>
              <w:pStyle w:val="BodyText"/>
              <w:spacing w:before="120" w:after="120"/>
              <w:rPr>
                <w:rFonts w:ascii="Times New Roman" w:hAnsi="Times New Roman" w:cs="Times New Roman"/>
                <w:lang w:val="en-GB"/>
              </w:rPr>
            </w:pPr>
            <w:r w:rsidRPr="00157901">
              <w:rPr>
                <w:rFonts w:ascii="Times New Roman" w:hAnsi="Times New Roman" w:cs="Times New Roman"/>
                <w:lang w:val="en-GB"/>
              </w:rPr>
              <w:t>0100-0110</w:t>
            </w:r>
          </w:p>
        </w:tc>
        <w:tc>
          <w:tcPr>
            <w:tcW w:w="7953" w:type="dxa"/>
          </w:tcPr>
          <w:p w14:paraId="7CE42BC6" w14:textId="7DFCE660" w:rsidR="0093565E" w:rsidRDefault="0093565E" w:rsidP="0093565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sovereign (</w:t>
            </w:r>
            <w:r>
              <w:rPr>
                <w:rFonts w:ascii="Times New Roman" w:hAnsi="Times New Roman" w:cs="Times New Roman"/>
                <w:b/>
                <w:u w:val="single"/>
                <w:lang w:val="en-GB"/>
              </w:rPr>
              <w:t>Unrated</w:t>
            </w:r>
            <w:r w:rsidRPr="00FE3C59">
              <w:rPr>
                <w:rFonts w:ascii="Times New Roman" w:hAnsi="Times New Roman" w:cs="Times New Roman"/>
                <w:b/>
                <w:u w:val="single"/>
                <w:lang w:val="en-GB"/>
              </w:rPr>
              <w:t>) – long/short</w:t>
            </w:r>
          </w:p>
          <w:p w14:paraId="2315DB02" w14:textId="65CB96DC" w:rsidR="0093565E" w:rsidRPr="00FE3C59" w:rsidRDefault="0093565E" w:rsidP="0093565E">
            <w:pPr>
              <w:pStyle w:val="BodyText"/>
              <w:spacing w:before="120"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towards central governments or central banks, as reported in rows 0020 to 0030, shall not be included in these rows.</w:t>
            </w:r>
          </w:p>
        </w:tc>
      </w:tr>
      <w:tr w:rsidR="0093565E" w:rsidRPr="00FE3C59" w14:paraId="5DF4117D" w14:textId="77777777">
        <w:tc>
          <w:tcPr>
            <w:tcW w:w="1063" w:type="dxa"/>
          </w:tcPr>
          <w:p w14:paraId="42B4DF0D" w14:textId="1EF6A8B4" w:rsidR="0093565E" w:rsidRPr="00FE3C59" w:rsidRDefault="0093565E" w:rsidP="0093565E">
            <w:pPr>
              <w:pStyle w:val="BodyText"/>
              <w:spacing w:before="120" w:after="120"/>
              <w:rPr>
                <w:rFonts w:ascii="Times New Roman" w:hAnsi="Times New Roman" w:cs="Times New Roman"/>
                <w:lang w:val="en-GB"/>
              </w:rPr>
            </w:pPr>
            <w:r w:rsidRPr="00157901">
              <w:rPr>
                <w:rFonts w:ascii="Times New Roman" w:hAnsi="Times New Roman" w:cs="Times New Roman"/>
                <w:lang w:val="en-GB"/>
              </w:rPr>
              <w:t>0120-0130</w:t>
            </w:r>
          </w:p>
        </w:tc>
        <w:tc>
          <w:tcPr>
            <w:tcW w:w="7953" w:type="dxa"/>
          </w:tcPr>
          <w:p w14:paraId="2FDDC17A" w14:textId="220415B2" w:rsidR="0093565E" w:rsidRDefault="0093565E" w:rsidP="0093565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 (Investment grade) – long/short</w:t>
            </w:r>
          </w:p>
          <w:p w14:paraId="11C12423" w14:textId="399405BE" w:rsidR="0093565E" w:rsidRPr="00FE3C59" w:rsidRDefault="0093565E" w:rsidP="0093565E">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6954314C" w14:textId="77777777" w:rsidR="0093565E" w:rsidRPr="00FE3C59" w:rsidRDefault="0093565E" w:rsidP="0093565E">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consisting of covered bonds issued by credit institutions in Member States, as reported in rows 0040 to 0050, shall not be included in these rows.</w:t>
            </w:r>
          </w:p>
        </w:tc>
      </w:tr>
      <w:tr w:rsidR="0093565E" w:rsidRPr="00FE3C59" w14:paraId="43B71024" w14:textId="77777777">
        <w:tc>
          <w:tcPr>
            <w:tcW w:w="1063" w:type="dxa"/>
          </w:tcPr>
          <w:p w14:paraId="774FE34A" w14:textId="0AE00210" w:rsidR="0093565E" w:rsidRPr="00FE3C59" w:rsidRDefault="00614AB6" w:rsidP="0093565E">
            <w:pPr>
              <w:pStyle w:val="BodyText"/>
              <w:spacing w:before="120" w:after="120"/>
              <w:rPr>
                <w:rFonts w:ascii="Times New Roman" w:hAnsi="Times New Roman" w:cs="Times New Roman"/>
                <w:lang w:val="en-GB"/>
              </w:rPr>
            </w:pPr>
            <w:r>
              <w:rPr>
                <w:rFonts w:ascii="Times New Roman" w:hAnsi="Times New Roman" w:cs="Times New Roman"/>
                <w:lang w:val="en-GB"/>
              </w:rPr>
              <w:t>0140-0150</w:t>
            </w:r>
          </w:p>
        </w:tc>
        <w:tc>
          <w:tcPr>
            <w:tcW w:w="7953" w:type="dxa"/>
          </w:tcPr>
          <w:p w14:paraId="4ECF89E3" w14:textId="25FF2BB8" w:rsidR="0093565E" w:rsidRDefault="0093565E" w:rsidP="0093565E">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 (High yield) – long/short</w:t>
            </w:r>
          </w:p>
          <w:p w14:paraId="493CF0B5" w14:textId="41EB38CE" w:rsidR="0093565E" w:rsidRPr="00FE3C59" w:rsidRDefault="0093565E" w:rsidP="0093565E">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0AE9BAFC" w14:textId="77777777" w:rsidR="0093565E" w:rsidRPr="00FE3C59" w:rsidRDefault="0093565E" w:rsidP="0093565E">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consisting of covered bonds issued by credit institutions in Member States, as reported in rows 0040 to 0050, shall not be included in these rows.</w:t>
            </w:r>
          </w:p>
        </w:tc>
      </w:tr>
      <w:tr w:rsidR="00614AB6" w:rsidRPr="00FE3C59" w14:paraId="074C4B9E" w14:textId="77777777" w:rsidTr="00394508">
        <w:tc>
          <w:tcPr>
            <w:tcW w:w="1063" w:type="dxa"/>
          </w:tcPr>
          <w:p w14:paraId="0EA5CF18" w14:textId="63EB423B" w:rsidR="00614AB6" w:rsidRPr="00FE3C59" w:rsidRDefault="00614AB6" w:rsidP="00394508">
            <w:pPr>
              <w:pStyle w:val="BodyText"/>
              <w:spacing w:before="120" w:after="120"/>
              <w:rPr>
                <w:rFonts w:ascii="Times New Roman" w:hAnsi="Times New Roman" w:cs="Times New Roman"/>
                <w:lang w:val="en-GB"/>
              </w:rPr>
            </w:pPr>
            <w:r>
              <w:rPr>
                <w:rFonts w:ascii="Times New Roman" w:hAnsi="Times New Roman" w:cs="Times New Roman"/>
                <w:lang w:val="en-GB"/>
              </w:rPr>
              <w:t>0160-0170</w:t>
            </w:r>
          </w:p>
        </w:tc>
        <w:tc>
          <w:tcPr>
            <w:tcW w:w="7953" w:type="dxa"/>
          </w:tcPr>
          <w:p w14:paraId="0A067AC7" w14:textId="541F135D" w:rsidR="00614AB6" w:rsidRDefault="00614AB6" w:rsidP="0039450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 (</w:t>
            </w:r>
            <w:r>
              <w:rPr>
                <w:rFonts w:ascii="Times New Roman" w:hAnsi="Times New Roman" w:cs="Times New Roman"/>
                <w:b/>
                <w:u w:val="single"/>
                <w:lang w:val="en-GB"/>
              </w:rPr>
              <w:t>Unrated</w:t>
            </w:r>
            <w:r w:rsidRPr="00FE3C59">
              <w:rPr>
                <w:rFonts w:ascii="Times New Roman" w:hAnsi="Times New Roman" w:cs="Times New Roman"/>
                <w:b/>
                <w:u w:val="single"/>
                <w:lang w:val="en-GB"/>
              </w:rPr>
              <w:t>) – long/short</w:t>
            </w:r>
          </w:p>
          <w:p w14:paraId="76E9ED94" w14:textId="77777777" w:rsidR="00614AB6" w:rsidRPr="00FE3C59" w:rsidRDefault="00614AB6" w:rsidP="00394508">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consisting of covered bonds issued by credit institutions in Member States, as reported in rows 0040 to 0050, shall not be included in these rows.</w:t>
            </w:r>
          </w:p>
        </w:tc>
      </w:tr>
      <w:tr w:rsidR="00614AB6" w:rsidRPr="00FE3C59" w14:paraId="4840121C" w14:textId="77777777">
        <w:tc>
          <w:tcPr>
            <w:tcW w:w="1063" w:type="dxa"/>
          </w:tcPr>
          <w:p w14:paraId="1184047B" w14:textId="437FCEBC" w:rsidR="00614AB6" w:rsidRPr="00FE3C59" w:rsidRDefault="00614AB6" w:rsidP="00614AB6">
            <w:pPr>
              <w:pStyle w:val="BodyText"/>
              <w:spacing w:before="120" w:after="120"/>
              <w:rPr>
                <w:rFonts w:ascii="Times New Roman" w:hAnsi="Times New Roman" w:cs="Times New Roman"/>
                <w:lang w:val="en-GB"/>
              </w:rPr>
            </w:pPr>
            <w:r>
              <w:rPr>
                <w:rFonts w:ascii="Times New Roman" w:hAnsi="Times New Roman" w:cs="Times New Roman"/>
                <w:lang w:val="en-GB"/>
              </w:rPr>
              <w:t>0180-0190</w:t>
            </w:r>
          </w:p>
        </w:tc>
        <w:tc>
          <w:tcPr>
            <w:tcW w:w="7953" w:type="dxa"/>
          </w:tcPr>
          <w:p w14:paraId="10AC9796" w14:textId="12C18815" w:rsidR="00614AB6" w:rsidRPr="00FE3C59" w:rsidRDefault="00614AB6" w:rsidP="00614AB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Equity</w:t>
            </w:r>
            <w:r w:rsidRPr="00FE3C59">
              <w:rPr>
                <w:rFonts w:ascii="Times New Roman" w:hAnsi="Times New Roman" w:cs="Times New Roman"/>
                <w:b/>
                <w:u w:val="single"/>
                <w:lang w:val="en-GB"/>
              </w:rPr>
              <w:t xml:space="preserve"> – long/short</w:t>
            </w:r>
          </w:p>
        </w:tc>
      </w:tr>
    </w:tbl>
    <w:p w14:paraId="24D91882" w14:textId="77777777" w:rsidR="00B530B5" w:rsidRPr="00FE3C59" w:rsidRDefault="00B530B5" w:rsidP="00B530B5">
      <w:pPr>
        <w:pStyle w:val="InstructionsText2"/>
        <w:ind w:left="0" w:firstLine="0"/>
      </w:pPr>
    </w:p>
    <w:p w14:paraId="378DF098"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3.8.2</w:t>
      </w:r>
      <w:r w:rsidRPr="00FE3C59">
        <w:rPr>
          <w:rFonts w:ascii="Times New Roman" w:hAnsi="Times New Roman" w:cs="Times New Roman"/>
          <w:sz w:val="24"/>
          <w:u w:val="none"/>
          <w:lang w:val="en-GB"/>
        </w:rPr>
        <w:tab/>
        <w:t>C 98.01.2: Default risk charge - Breakdown by LGD (MKR IMA DRC2)</w:t>
      </w:r>
    </w:p>
    <w:p w14:paraId="5B53C7FD"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3.8.2.1 General remarks</w:t>
      </w:r>
    </w:p>
    <w:p w14:paraId="382C2DC5" w14:textId="77777777" w:rsidR="00B530B5" w:rsidRPr="00FE3C59" w:rsidRDefault="00B530B5" w:rsidP="00253413">
      <w:pPr>
        <w:pStyle w:val="InstructionsText2"/>
        <w:numPr>
          <w:ilvl w:val="0"/>
          <w:numId w:val="57"/>
        </w:numPr>
      </w:pPr>
      <w:r w:rsidRPr="00FE3C59">
        <w:t>Template MKR IMA DRC2 shall be used to provide information about the losses, as calculated with the DRC model authorised by the competent authority, broken down by the Loss Given Default used in the model.</w:t>
      </w:r>
    </w:p>
    <w:p w14:paraId="11E4B7E2"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3.8.2.2 Instructions concerning specific positions</w:t>
      </w:r>
    </w:p>
    <w:tbl>
      <w:tblPr>
        <w:tblStyle w:val="TableGrid"/>
        <w:tblW w:w="0" w:type="auto"/>
        <w:tblLook w:val="04A0" w:firstRow="1" w:lastRow="0" w:firstColumn="1" w:lastColumn="0" w:noHBand="0" w:noVBand="1"/>
      </w:tblPr>
      <w:tblGrid>
        <w:gridCol w:w="1043"/>
        <w:gridCol w:w="7973"/>
      </w:tblGrid>
      <w:tr w:rsidR="00B530B5" w:rsidRPr="00FE3C59" w14:paraId="2657E437" w14:textId="77777777" w:rsidTr="3F965E88">
        <w:tc>
          <w:tcPr>
            <w:tcW w:w="1043" w:type="dxa"/>
            <w:shd w:val="clear" w:color="auto" w:fill="BFBFBF" w:themeFill="background1" w:themeFillShade="BF"/>
          </w:tcPr>
          <w:p w14:paraId="0E6F205D"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5839394B"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1FBF8822" w14:textId="77777777" w:rsidTr="3F965E88">
        <w:tc>
          <w:tcPr>
            <w:tcW w:w="1043" w:type="dxa"/>
          </w:tcPr>
          <w:p w14:paraId="14DAD006"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0010-0100</w:t>
            </w:r>
          </w:p>
        </w:tc>
        <w:tc>
          <w:tcPr>
            <w:tcW w:w="7973" w:type="dxa"/>
          </w:tcPr>
          <w:p w14:paraId="296B38F1" w14:textId="2E52373C" w:rsidR="00B530B5" w:rsidRPr="00FE3C59" w:rsidRDefault="00F178B6" w:rsidP="008735E0">
            <w:pPr>
              <w:pStyle w:val="BodyText"/>
              <w:spacing w:before="120" w:after="120"/>
              <w:rPr>
                <w:rFonts w:ascii="Times New Roman" w:hAnsi="Times New Roman" w:cs="Times New Roman"/>
                <w:b/>
                <w:bCs/>
                <w:u w:val="single"/>
                <w:lang w:val="en-GB"/>
              </w:rPr>
            </w:pPr>
            <w:r>
              <w:rPr>
                <w:rFonts w:ascii="Times New Roman" w:hAnsi="Times New Roman" w:cs="Times New Roman"/>
                <w:b/>
                <w:bCs/>
                <w:u w:val="single"/>
                <w:lang w:val="en-GB"/>
              </w:rPr>
              <w:t>Gains (+) / l</w:t>
            </w:r>
            <w:r w:rsidR="6270B300" w:rsidRPr="00FE3C59">
              <w:rPr>
                <w:rFonts w:ascii="Times New Roman" w:hAnsi="Times New Roman" w:cs="Times New Roman"/>
                <w:b/>
                <w:bCs/>
                <w:u w:val="single"/>
                <w:lang w:val="en-GB"/>
              </w:rPr>
              <w:t>osses</w:t>
            </w:r>
            <w:r>
              <w:rPr>
                <w:rFonts w:ascii="Times New Roman" w:hAnsi="Times New Roman" w:cs="Times New Roman"/>
                <w:b/>
                <w:bCs/>
                <w:u w:val="single"/>
                <w:lang w:val="en-GB"/>
              </w:rPr>
              <w:t xml:space="preserve"> (-)</w:t>
            </w:r>
            <w:r w:rsidR="6270B300" w:rsidRPr="00FE3C59">
              <w:rPr>
                <w:rFonts w:ascii="Times New Roman" w:hAnsi="Times New Roman" w:cs="Times New Roman"/>
                <w:b/>
                <w:bCs/>
                <w:u w:val="single"/>
                <w:lang w:val="en-GB"/>
              </w:rPr>
              <w:t xml:space="preserve">, </w:t>
            </w:r>
            <w:r w:rsidR="6270B300" w:rsidRPr="008735E0">
              <w:rPr>
                <w:rFonts w:ascii="Times New Roman" w:hAnsi="Times New Roman" w:cs="Times New Roman"/>
                <w:b/>
                <w:u w:val="single"/>
                <w:lang w:val="en-GB"/>
              </w:rPr>
              <w:t>as</w:t>
            </w:r>
            <w:r w:rsidR="6270B300" w:rsidRPr="00FE3C59">
              <w:rPr>
                <w:rFonts w:ascii="Times New Roman" w:hAnsi="Times New Roman" w:cs="Times New Roman"/>
                <w:b/>
                <w:bCs/>
                <w:u w:val="single"/>
                <w:lang w:val="en-GB"/>
              </w:rPr>
              <w:t xml:space="preserve"> calculated using the DRC model, assuming the default of the issuer (JTD DRC), by LGD of the position</w:t>
            </w:r>
          </w:p>
          <w:p w14:paraId="11744953" w14:textId="77777777" w:rsidR="00B530B5" w:rsidRPr="00FE3C59" w:rsidRDefault="00B530B5">
            <w:pPr>
              <w:pStyle w:val="Tabelleninhalt"/>
              <w:spacing w:after="120"/>
              <w:rPr>
                <w:rFonts w:ascii="Times New Roman" w:eastAsia="Times New Roman" w:hAnsi="Times New Roman" w:cs="Times New Roman"/>
                <w:strike/>
                <w:lang w:val="en-GB" w:eastAsia="de-DE" w:bidi="ar-SA"/>
              </w:rPr>
            </w:pPr>
            <w:r w:rsidRPr="00FE3C59">
              <w:rPr>
                <w:rFonts w:ascii="Times New Roman" w:eastAsia="Times New Roman" w:hAnsi="Times New Roman" w:cs="Times New Roman"/>
                <w:lang w:val="en-GB" w:eastAsia="de-DE" w:bidi="ar-SA"/>
              </w:rPr>
              <w:lastRenderedPageBreak/>
              <w:t>The value reported shall reflect the losses, or Jump to default amount, calculated on the basis of the institution’s DRC model (JTD DRC).</w:t>
            </w:r>
          </w:p>
          <w:p w14:paraId="352DAB7A" w14:textId="748726DB" w:rsidR="00B530B5" w:rsidRDefault="00B530B5">
            <w:pPr>
              <w:pStyle w:val="Tabelleninhalt"/>
              <w:spacing w:after="120"/>
              <w:rPr>
                <w:rFonts w:ascii="Times New Roman" w:hAnsi="Times New Roman" w:cs="Times New Roman"/>
                <w:lang w:val="en-GB"/>
              </w:rPr>
            </w:pPr>
            <w:r w:rsidRPr="00FE3C59">
              <w:rPr>
                <w:rFonts w:ascii="Times New Roman" w:eastAsia="Times New Roman" w:hAnsi="Times New Roman" w:cs="Times New Roman"/>
                <w:lang w:val="en-GB" w:eastAsia="de-DE" w:bidi="ar-SA"/>
              </w:rPr>
              <w:t xml:space="preserve">Institutions shall determine the loss for each issuer separately. </w:t>
            </w:r>
            <w:r w:rsidRPr="00FE3C59">
              <w:rPr>
                <w:rFonts w:ascii="Times New Roman" w:hAnsi="Times New Roman" w:cs="Times New Roman"/>
                <w:lang w:val="en-GB"/>
              </w:rPr>
              <w:t xml:space="preserve">Where an institution has long and short </w:t>
            </w:r>
            <w:r w:rsidR="00F178B6">
              <w:rPr>
                <w:rFonts w:ascii="Times New Roman" w:hAnsi="Times New Roman" w:cs="Times New Roman"/>
                <w:lang w:val="en-GB"/>
              </w:rPr>
              <w:t>exposures</w:t>
            </w:r>
            <w:r w:rsidRPr="00FE3C59">
              <w:rPr>
                <w:rFonts w:ascii="Times New Roman" w:hAnsi="Times New Roman" w:cs="Times New Roman"/>
                <w:lang w:val="en-GB"/>
              </w:rPr>
              <w:t xml:space="preserve"> towards the same issuer, it shall treat them as separate positions, and calculate the losses separately for the long </w:t>
            </w:r>
            <w:r w:rsidR="00F178B6">
              <w:rPr>
                <w:rFonts w:ascii="Times New Roman" w:hAnsi="Times New Roman" w:cs="Times New Roman"/>
                <w:lang w:val="en-GB"/>
              </w:rPr>
              <w:t>exposure</w:t>
            </w:r>
            <w:r w:rsidRPr="00FE3C59">
              <w:rPr>
                <w:rFonts w:ascii="Times New Roman" w:hAnsi="Times New Roman" w:cs="Times New Roman"/>
                <w:lang w:val="en-GB"/>
              </w:rPr>
              <w:t xml:space="preserve"> towards that issuer and the short </w:t>
            </w:r>
            <w:r w:rsidR="00F178B6">
              <w:rPr>
                <w:rFonts w:ascii="Times New Roman" w:hAnsi="Times New Roman" w:cs="Times New Roman"/>
                <w:lang w:val="en-GB"/>
              </w:rPr>
              <w:t>exposure</w:t>
            </w:r>
            <w:r w:rsidRPr="00FE3C59">
              <w:rPr>
                <w:rFonts w:ascii="Times New Roman" w:hAnsi="Times New Roman" w:cs="Times New Roman"/>
                <w:lang w:val="en-GB"/>
              </w:rPr>
              <w:t xml:space="preserve"> towards that issuer, respectively.</w:t>
            </w:r>
          </w:p>
          <w:p w14:paraId="1205441A" w14:textId="77777777" w:rsidR="00F178B6" w:rsidRDefault="00F178B6" w:rsidP="00F178B6">
            <w:pPr>
              <w:pStyle w:val="Tabelleninhalt"/>
              <w:spacing w:after="120"/>
              <w:rPr>
                <w:rFonts w:ascii="Times New Roman" w:hAnsi="Times New Roman" w:cs="Times New Roman"/>
                <w:lang w:val="en-GB"/>
              </w:rPr>
            </w:pPr>
            <w:r>
              <w:rPr>
                <w:rFonts w:ascii="Times New Roman" w:hAnsi="Times New Roman" w:cs="Times New Roman"/>
                <w:lang w:val="en-GB"/>
              </w:rPr>
              <w:t xml:space="preserve">Long and short exposures are defined in Article 325v(1), points (a) and (b), of Regulation (EU) No 575/2013. </w:t>
            </w:r>
          </w:p>
          <w:p w14:paraId="6F124F2B" w14:textId="77777777" w:rsidR="00F178B6" w:rsidRPr="00244EFC" w:rsidRDefault="00F178B6" w:rsidP="00F178B6">
            <w:pPr>
              <w:pStyle w:val="Tabelleninhalt"/>
              <w:spacing w:after="120"/>
              <w:rPr>
                <w:rFonts w:ascii="Times New Roman" w:hAnsi="Times New Roman" w:cs="Times New Roman"/>
                <w:lang w:val="en-GB"/>
              </w:rPr>
            </w:pPr>
            <w:r>
              <w:rPr>
                <w:rFonts w:ascii="Times New Roman" w:hAnsi="Times New Roman" w:cs="Times New Roman"/>
                <w:lang w:val="en-GB"/>
              </w:rPr>
              <w:t>The JTD DRC of long exposures shall be reported with a negative sign (loss), the JTD DRC of short exposures shall be reported with a positive sign (gain).</w:t>
            </w:r>
          </w:p>
          <w:p w14:paraId="3418353F"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The losses shall be allocated to one of the LGD-buckets based on the LGD used in the calculation of the own funds requirements for default risk.</w:t>
            </w:r>
          </w:p>
        </w:tc>
      </w:tr>
      <w:tr w:rsidR="00B530B5" w:rsidRPr="00FE3C59" w14:paraId="5E133C80" w14:textId="77777777" w:rsidTr="3F965E88">
        <w:tc>
          <w:tcPr>
            <w:tcW w:w="1043" w:type="dxa"/>
          </w:tcPr>
          <w:p w14:paraId="11D63674"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0010</w:t>
            </w:r>
          </w:p>
        </w:tc>
        <w:tc>
          <w:tcPr>
            <w:tcW w:w="7973" w:type="dxa"/>
          </w:tcPr>
          <w:p w14:paraId="61F3B929"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Lower than or equal to 10% - [0-0.1]</w:t>
            </w:r>
          </w:p>
        </w:tc>
      </w:tr>
      <w:tr w:rsidR="00B530B5" w:rsidRPr="00FE3C59" w14:paraId="22CCC5FF" w14:textId="77777777" w:rsidTr="3F965E88">
        <w:tc>
          <w:tcPr>
            <w:tcW w:w="1043" w:type="dxa"/>
          </w:tcPr>
          <w:p w14:paraId="2304D5D7"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0020</w:t>
            </w:r>
          </w:p>
        </w:tc>
        <w:tc>
          <w:tcPr>
            <w:tcW w:w="7973" w:type="dxa"/>
          </w:tcPr>
          <w:p w14:paraId="0B8C5CB2"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10% and lower than or equal to 20% - (0.1, 0.2]</w:t>
            </w:r>
          </w:p>
        </w:tc>
      </w:tr>
      <w:tr w:rsidR="00B530B5" w:rsidRPr="00FE3C59" w14:paraId="66E3A7AD" w14:textId="77777777" w:rsidTr="3F965E88">
        <w:tc>
          <w:tcPr>
            <w:tcW w:w="1043" w:type="dxa"/>
          </w:tcPr>
          <w:p w14:paraId="24D49D5B"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0030</w:t>
            </w:r>
          </w:p>
        </w:tc>
        <w:tc>
          <w:tcPr>
            <w:tcW w:w="7973" w:type="dxa"/>
          </w:tcPr>
          <w:p w14:paraId="0BA57E1C"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20% and lower than or equal to 30% - (0.2, 0.3]</w:t>
            </w:r>
          </w:p>
        </w:tc>
      </w:tr>
      <w:tr w:rsidR="00B530B5" w:rsidRPr="00FE3C59" w14:paraId="49BEAB18" w14:textId="77777777" w:rsidTr="3F965E88">
        <w:tc>
          <w:tcPr>
            <w:tcW w:w="1043" w:type="dxa"/>
          </w:tcPr>
          <w:p w14:paraId="46A477D5"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0040</w:t>
            </w:r>
          </w:p>
        </w:tc>
        <w:tc>
          <w:tcPr>
            <w:tcW w:w="7973" w:type="dxa"/>
          </w:tcPr>
          <w:p w14:paraId="2E95F402"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30% and lower than or equal to 40% - (0.3, 0.4]</w:t>
            </w:r>
          </w:p>
        </w:tc>
      </w:tr>
      <w:tr w:rsidR="00B530B5" w:rsidRPr="00FE3C59" w14:paraId="2D77E346" w14:textId="77777777" w:rsidTr="3F965E88">
        <w:tc>
          <w:tcPr>
            <w:tcW w:w="1043" w:type="dxa"/>
          </w:tcPr>
          <w:p w14:paraId="32B6A4AA"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0050</w:t>
            </w:r>
          </w:p>
        </w:tc>
        <w:tc>
          <w:tcPr>
            <w:tcW w:w="7973" w:type="dxa"/>
          </w:tcPr>
          <w:p w14:paraId="23D7EBA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40% and lower than or equal to 50% - (0.4, 0.5]</w:t>
            </w:r>
          </w:p>
        </w:tc>
      </w:tr>
      <w:tr w:rsidR="00B530B5" w:rsidRPr="00FE3C59" w14:paraId="3F545FAF" w14:textId="77777777" w:rsidTr="3F965E88">
        <w:tc>
          <w:tcPr>
            <w:tcW w:w="1043" w:type="dxa"/>
          </w:tcPr>
          <w:p w14:paraId="6B56AF19"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0060</w:t>
            </w:r>
          </w:p>
        </w:tc>
        <w:tc>
          <w:tcPr>
            <w:tcW w:w="7973" w:type="dxa"/>
          </w:tcPr>
          <w:p w14:paraId="77883489"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50% and lower than or equal to 60% - (0.5, 0.6]</w:t>
            </w:r>
          </w:p>
        </w:tc>
      </w:tr>
      <w:tr w:rsidR="00B530B5" w:rsidRPr="00FE3C59" w14:paraId="02CBE81B" w14:textId="77777777" w:rsidTr="3F965E88">
        <w:tc>
          <w:tcPr>
            <w:tcW w:w="1043" w:type="dxa"/>
          </w:tcPr>
          <w:p w14:paraId="22E7966A"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0070</w:t>
            </w:r>
          </w:p>
        </w:tc>
        <w:tc>
          <w:tcPr>
            <w:tcW w:w="7973" w:type="dxa"/>
          </w:tcPr>
          <w:p w14:paraId="2982322E"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60% and lower than or equal to 70% - (0.6, 0.7]</w:t>
            </w:r>
          </w:p>
        </w:tc>
      </w:tr>
      <w:tr w:rsidR="00B530B5" w:rsidRPr="00FE3C59" w14:paraId="66442423" w14:textId="77777777" w:rsidTr="3F965E88">
        <w:tc>
          <w:tcPr>
            <w:tcW w:w="1043" w:type="dxa"/>
          </w:tcPr>
          <w:p w14:paraId="6393FBAB"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0080</w:t>
            </w:r>
          </w:p>
        </w:tc>
        <w:tc>
          <w:tcPr>
            <w:tcW w:w="7973" w:type="dxa"/>
          </w:tcPr>
          <w:p w14:paraId="3F2AC13D"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70% and lower than or equal to 80% - (0.7, 0.8]</w:t>
            </w:r>
          </w:p>
        </w:tc>
      </w:tr>
      <w:tr w:rsidR="00B530B5" w:rsidRPr="00FE3C59" w14:paraId="5DF7FB56" w14:textId="77777777" w:rsidTr="3F965E88">
        <w:tc>
          <w:tcPr>
            <w:tcW w:w="1043" w:type="dxa"/>
          </w:tcPr>
          <w:p w14:paraId="5F2B50E4"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0090</w:t>
            </w:r>
          </w:p>
        </w:tc>
        <w:tc>
          <w:tcPr>
            <w:tcW w:w="7973" w:type="dxa"/>
          </w:tcPr>
          <w:p w14:paraId="1BCB368A"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80% and lower than or equal to 90% - (0.8, 0.9]</w:t>
            </w:r>
          </w:p>
        </w:tc>
      </w:tr>
      <w:tr w:rsidR="00B530B5" w:rsidRPr="00FE3C59" w14:paraId="2D4D3E17" w14:textId="77777777" w:rsidTr="3F965E88">
        <w:tc>
          <w:tcPr>
            <w:tcW w:w="1043" w:type="dxa"/>
          </w:tcPr>
          <w:p w14:paraId="0D71FCB8"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0100</w:t>
            </w:r>
          </w:p>
        </w:tc>
        <w:tc>
          <w:tcPr>
            <w:tcW w:w="7973" w:type="dxa"/>
          </w:tcPr>
          <w:p w14:paraId="68F8D697" w14:textId="3120A01F"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Higher than 90% - (0.9, ∞</w:t>
            </w:r>
            <w:r w:rsidR="00A353B5">
              <w:rPr>
                <w:rFonts w:ascii="Times New Roman" w:hAnsi="Times New Roman" w:cs="Times New Roman"/>
                <w:b/>
                <w:u w:val="single"/>
                <w:lang w:val="en-GB"/>
              </w:rPr>
              <w:t>)</w:t>
            </w:r>
          </w:p>
        </w:tc>
      </w:tr>
      <w:tr w:rsidR="00B530B5" w:rsidRPr="00FE3C59" w14:paraId="2AABC896" w14:textId="77777777" w:rsidTr="3F965E88">
        <w:tc>
          <w:tcPr>
            <w:tcW w:w="1043" w:type="dxa"/>
          </w:tcPr>
          <w:p w14:paraId="0753CD07"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0110</w:t>
            </w:r>
          </w:p>
        </w:tc>
        <w:tc>
          <w:tcPr>
            <w:tcW w:w="7973" w:type="dxa"/>
          </w:tcPr>
          <w:p w14:paraId="34ED42C3"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Average LGD, weighted by JTD DRC</w:t>
            </w:r>
          </w:p>
          <w:p w14:paraId="1293B480" w14:textId="78970E40" w:rsidR="001D0BA6" w:rsidRPr="00A53B55" w:rsidRDefault="001D0BA6" w:rsidP="001D0BA6">
            <w:pPr>
              <w:pStyle w:val="Tabelleninhalt"/>
              <w:spacing w:after="120"/>
              <w:rPr>
                <w:rFonts w:ascii="Times New Roman" w:eastAsia="Times New Roman" w:hAnsi="Times New Roman" w:cs="Times New Roman"/>
                <w:lang w:val="en-GB" w:eastAsia="de-DE" w:bidi="ar-SA"/>
              </w:rPr>
            </w:pPr>
            <w:r w:rsidRPr="00A53B55">
              <w:rPr>
                <w:rFonts w:ascii="Times New Roman" w:eastAsia="Times New Roman" w:hAnsi="Times New Roman" w:cs="Times New Roman"/>
                <w:lang w:val="en-GB" w:eastAsia="de-DE" w:bidi="ar-SA"/>
              </w:rPr>
              <w:t xml:space="preserve">Institutions shall report the weighted average of the </w:t>
            </w:r>
            <w:r w:rsidR="009C6BF2" w:rsidRPr="00A53B55">
              <w:rPr>
                <w:rFonts w:ascii="Times New Roman" w:eastAsia="Times New Roman" w:hAnsi="Times New Roman" w:cs="Times New Roman"/>
                <w:lang w:val="en-GB" w:eastAsia="de-DE" w:bidi="ar-SA"/>
              </w:rPr>
              <w:t>Loss Given Default</w:t>
            </w:r>
            <w:r w:rsidRPr="00A53B55">
              <w:rPr>
                <w:rFonts w:ascii="Times New Roman" w:eastAsia="Times New Roman" w:hAnsi="Times New Roman" w:cs="Times New Roman"/>
                <w:lang w:val="en-GB" w:eastAsia="de-DE" w:bidi="ar-SA"/>
              </w:rPr>
              <w:t xml:space="preserve">. </w:t>
            </w:r>
          </w:p>
          <w:p w14:paraId="0D26F5AE" w14:textId="016E5B56" w:rsidR="001D0BA6" w:rsidRPr="00FE3C59" w:rsidRDefault="00E36CB4" w:rsidP="00A53B55">
            <w:pPr>
              <w:pStyle w:val="Tabelleninhalt"/>
              <w:spacing w:after="120"/>
              <w:rPr>
                <w:rFonts w:ascii="Times New Roman" w:hAnsi="Times New Roman" w:cs="Times New Roman"/>
                <w:b/>
                <w:bCs/>
                <w:u w:val="single"/>
                <w:lang w:val="en-GB"/>
              </w:rPr>
            </w:pPr>
            <w:r w:rsidRPr="00A53B55">
              <w:rPr>
                <w:rFonts w:ascii="Times New Roman" w:eastAsia="Times New Roman" w:hAnsi="Times New Roman" w:cs="Times New Roman"/>
                <w:lang w:val="en-GB" w:eastAsia="de-DE" w:bidi="ar-SA"/>
              </w:rPr>
              <w:t>For the purposes of the calculation of the average, all p</w:t>
            </w:r>
            <w:r w:rsidR="00D562C5" w:rsidRPr="00A53B55">
              <w:rPr>
                <w:rFonts w:ascii="Times New Roman" w:eastAsia="Times New Roman" w:hAnsi="Times New Roman" w:cs="Times New Roman"/>
                <w:lang w:val="en-GB" w:eastAsia="de-DE" w:bidi="ar-SA"/>
              </w:rPr>
              <w:t xml:space="preserve">ositions shall be </w:t>
            </w:r>
            <w:r w:rsidR="00652436" w:rsidRPr="00A53B55">
              <w:rPr>
                <w:rFonts w:ascii="Times New Roman" w:eastAsia="Times New Roman" w:hAnsi="Times New Roman" w:cs="Times New Roman"/>
                <w:lang w:val="en-GB" w:eastAsia="de-DE" w:bidi="ar-SA"/>
              </w:rPr>
              <w:t>grouped by LGD.</w:t>
            </w:r>
            <w:r w:rsidRPr="00A53B55">
              <w:rPr>
                <w:rFonts w:ascii="Times New Roman" w:eastAsia="Times New Roman" w:hAnsi="Times New Roman" w:cs="Times New Roman"/>
                <w:lang w:val="en-GB" w:eastAsia="de-DE" w:bidi="ar-SA"/>
              </w:rPr>
              <w:t xml:space="preserve"> The LGD valu</w:t>
            </w:r>
            <w:r w:rsidR="00A53B55" w:rsidRPr="00A53B55">
              <w:rPr>
                <w:rFonts w:ascii="Times New Roman" w:eastAsia="Times New Roman" w:hAnsi="Times New Roman" w:cs="Times New Roman"/>
                <w:lang w:val="en-GB" w:eastAsia="de-DE" w:bidi="ar-SA"/>
              </w:rPr>
              <w:t xml:space="preserve">es shall be weighted by the sum of the absolute value of the JTD DRC for long exposures and the absolute value of the JTD DRC for short exposures with this LGD, </w:t>
            </w:r>
            <w:r w:rsidR="001D0BA6" w:rsidRPr="00A53B55">
              <w:rPr>
                <w:rFonts w:ascii="Times New Roman" w:eastAsia="Times New Roman" w:hAnsi="Times New Roman" w:cs="Times New Roman"/>
                <w:lang w:val="en-GB" w:eastAsia="de-DE" w:bidi="ar-SA"/>
              </w:rPr>
              <w:t>normalised by the grand total of all those absolute values.</w:t>
            </w:r>
          </w:p>
        </w:tc>
      </w:tr>
    </w:tbl>
    <w:p w14:paraId="1284962A" w14:textId="42C66816" w:rsidR="00B530B5" w:rsidRDefault="00B530B5" w:rsidP="00520EBB">
      <w:pPr>
        <w:pStyle w:val="NoSpacing"/>
      </w:pPr>
    </w:p>
    <w:tbl>
      <w:tblPr>
        <w:tblStyle w:val="TableGrid"/>
        <w:tblW w:w="0" w:type="auto"/>
        <w:tblLook w:val="04A0" w:firstRow="1" w:lastRow="0" w:firstColumn="1" w:lastColumn="0" w:noHBand="0" w:noVBand="1"/>
      </w:tblPr>
      <w:tblGrid>
        <w:gridCol w:w="1063"/>
        <w:gridCol w:w="7953"/>
      </w:tblGrid>
      <w:tr w:rsidR="00614AB6" w:rsidRPr="00FE3C59" w14:paraId="34B42BA3" w14:textId="77777777" w:rsidTr="00394508">
        <w:tc>
          <w:tcPr>
            <w:tcW w:w="1063" w:type="dxa"/>
            <w:shd w:val="clear" w:color="auto" w:fill="BFBFBF" w:themeFill="background1" w:themeFillShade="BF"/>
          </w:tcPr>
          <w:p w14:paraId="58063FCE" w14:textId="77777777" w:rsidR="00614AB6" w:rsidRPr="00FE3C59" w:rsidRDefault="00614AB6" w:rsidP="00394508">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02CAAF4F" w14:textId="77777777" w:rsidR="00614AB6" w:rsidRPr="00FE3C59" w:rsidRDefault="00614AB6" w:rsidP="00394508">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614AB6" w:rsidRPr="00FE3C59" w14:paraId="3C8EE4FC" w14:textId="77777777" w:rsidTr="00394508">
        <w:tc>
          <w:tcPr>
            <w:tcW w:w="1063" w:type="dxa"/>
          </w:tcPr>
          <w:p w14:paraId="7EFAE00F" w14:textId="77777777" w:rsidR="00614AB6" w:rsidRPr="00FE3C59" w:rsidRDefault="00614AB6" w:rsidP="00394508">
            <w:pPr>
              <w:pStyle w:val="BodyText"/>
              <w:spacing w:before="120" w:after="120"/>
              <w:rPr>
                <w:rFonts w:ascii="Times New Roman" w:hAnsi="Times New Roman" w:cs="Times New Roman"/>
                <w:lang w:val="en-GB"/>
              </w:rPr>
            </w:pPr>
            <w:r w:rsidRPr="00157901">
              <w:rPr>
                <w:rFonts w:ascii="Times New Roman" w:hAnsi="Times New Roman" w:cs="Times New Roman"/>
                <w:lang w:val="en-GB"/>
              </w:rPr>
              <w:t>0010</w:t>
            </w:r>
          </w:p>
        </w:tc>
        <w:tc>
          <w:tcPr>
            <w:tcW w:w="7953" w:type="dxa"/>
          </w:tcPr>
          <w:p w14:paraId="79729A1B" w14:textId="77777777" w:rsidR="00614AB6" w:rsidRPr="00FE3C59" w:rsidRDefault="00614AB6" w:rsidP="0039450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All issuer types – All positions</w:t>
            </w:r>
          </w:p>
        </w:tc>
      </w:tr>
      <w:tr w:rsidR="00614AB6" w:rsidRPr="00FE3C59" w14:paraId="0098371C" w14:textId="77777777" w:rsidTr="00394508">
        <w:trPr>
          <w:trHeight w:val="187"/>
        </w:trPr>
        <w:tc>
          <w:tcPr>
            <w:tcW w:w="1063" w:type="dxa"/>
          </w:tcPr>
          <w:p w14:paraId="50F37608" w14:textId="77777777" w:rsidR="00614AB6" w:rsidRPr="00FE3C59" w:rsidRDefault="00614AB6" w:rsidP="00394508">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0020-0030</w:t>
            </w:r>
          </w:p>
        </w:tc>
        <w:tc>
          <w:tcPr>
            <w:tcW w:w="7953" w:type="dxa"/>
          </w:tcPr>
          <w:p w14:paraId="2703EC9F" w14:textId="77777777" w:rsidR="00614AB6" w:rsidRDefault="00614AB6" w:rsidP="0039450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Central government, including central banks, of Member States – long/short</w:t>
            </w:r>
          </w:p>
          <w:p w14:paraId="5C994FD3" w14:textId="77777777" w:rsidR="00614AB6" w:rsidRPr="00FE3C59" w:rsidRDefault="00614AB6" w:rsidP="00394508">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tc>
      </w:tr>
      <w:tr w:rsidR="00614AB6" w:rsidRPr="00FE3C59" w14:paraId="59E9B4F9" w14:textId="77777777" w:rsidTr="00394508">
        <w:tc>
          <w:tcPr>
            <w:tcW w:w="1063" w:type="dxa"/>
          </w:tcPr>
          <w:p w14:paraId="6A86DE66" w14:textId="77777777" w:rsidR="00614AB6" w:rsidRPr="00FE3C59" w:rsidRDefault="00614AB6" w:rsidP="00394508">
            <w:pPr>
              <w:pStyle w:val="BodyText"/>
              <w:spacing w:before="120" w:after="120"/>
              <w:rPr>
                <w:rFonts w:ascii="Times New Roman" w:hAnsi="Times New Roman" w:cs="Times New Roman"/>
                <w:lang w:val="en-GB"/>
              </w:rPr>
            </w:pPr>
            <w:r w:rsidRPr="00157901">
              <w:rPr>
                <w:rFonts w:ascii="Times New Roman" w:hAnsi="Times New Roman" w:cs="Times New Roman"/>
                <w:lang w:val="en-GB"/>
              </w:rPr>
              <w:t>0040-0050</w:t>
            </w:r>
          </w:p>
        </w:tc>
        <w:tc>
          <w:tcPr>
            <w:tcW w:w="7953" w:type="dxa"/>
          </w:tcPr>
          <w:p w14:paraId="530ED5DB" w14:textId="77777777" w:rsidR="00614AB6" w:rsidRDefault="00614AB6" w:rsidP="0039450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Covered bonds issued by credit institutions in Member States (Investment Grade) – long/short</w:t>
            </w:r>
          </w:p>
          <w:p w14:paraId="7B2F1FF3" w14:textId="77777777" w:rsidR="00614AB6" w:rsidRPr="00FE3C59" w:rsidRDefault="00614AB6" w:rsidP="00394508">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tc>
      </w:tr>
      <w:tr w:rsidR="00614AB6" w:rsidRPr="00FE3C59" w14:paraId="05D1B1AD" w14:textId="77777777" w:rsidTr="00394508">
        <w:tc>
          <w:tcPr>
            <w:tcW w:w="1063" w:type="dxa"/>
          </w:tcPr>
          <w:p w14:paraId="75D08C7F" w14:textId="77777777" w:rsidR="00614AB6" w:rsidRPr="00FE3C59" w:rsidRDefault="00614AB6" w:rsidP="00394508">
            <w:pPr>
              <w:pStyle w:val="BodyText"/>
              <w:spacing w:before="120" w:after="120"/>
              <w:rPr>
                <w:rFonts w:ascii="Times New Roman" w:hAnsi="Times New Roman" w:cs="Times New Roman"/>
                <w:lang w:val="en-GB"/>
              </w:rPr>
            </w:pPr>
            <w:r w:rsidRPr="00157901">
              <w:rPr>
                <w:rFonts w:ascii="Times New Roman" w:hAnsi="Times New Roman" w:cs="Times New Roman"/>
                <w:lang w:val="en-GB"/>
              </w:rPr>
              <w:t>0060-0070</w:t>
            </w:r>
          </w:p>
        </w:tc>
        <w:tc>
          <w:tcPr>
            <w:tcW w:w="7953" w:type="dxa"/>
          </w:tcPr>
          <w:p w14:paraId="5CAACE62" w14:textId="77777777" w:rsidR="00614AB6" w:rsidRDefault="00614AB6" w:rsidP="0039450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sovereign (Investment grade) – long/short</w:t>
            </w:r>
          </w:p>
          <w:p w14:paraId="1FBC7552" w14:textId="77777777" w:rsidR="00614AB6" w:rsidRPr="00FE3C59" w:rsidRDefault="00614AB6" w:rsidP="00394508">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1BED9DF6" w14:textId="77777777" w:rsidR="00614AB6" w:rsidRPr="00FE3C59" w:rsidRDefault="00614AB6" w:rsidP="00394508">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towards central governments or central banks, as reported in rows 0020 to 0030, shall not be included in these rows.</w:t>
            </w:r>
          </w:p>
        </w:tc>
      </w:tr>
      <w:tr w:rsidR="00614AB6" w:rsidRPr="00FE3C59" w14:paraId="05391E3A" w14:textId="77777777" w:rsidTr="00394508">
        <w:tc>
          <w:tcPr>
            <w:tcW w:w="1063" w:type="dxa"/>
          </w:tcPr>
          <w:p w14:paraId="5899DC04" w14:textId="77777777" w:rsidR="00614AB6" w:rsidRPr="00FE3C59" w:rsidRDefault="00614AB6" w:rsidP="00394508">
            <w:pPr>
              <w:pStyle w:val="BodyText"/>
              <w:spacing w:before="120" w:after="120"/>
              <w:rPr>
                <w:rFonts w:ascii="Times New Roman" w:hAnsi="Times New Roman" w:cs="Times New Roman"/>
                <w:lang w:val="en-GB"/>
              </w:rPr>
            </w:pPr>
            <w:r w:rsidRPr="00157901">
              <w:rPr>
                <w:rFonts w:ascii="Times New Roman" w:hAnsi="Times New Roman" w:cs="Times New Roman"/>
                <w:lang w:val="en-GB"/>
              </w:rPr>
              <w:t>0080-0090</w:t>
            </w:r>
          </w:p>
        </w:tc>
        <w:tc>
          <w:tcPr>
            <w:tcW w:w="7953" w:type="dxa"/>
          </w:tcPr>
          <w:p w14:paraId="219A58B3" w14:textId="77777777" w:rsidR="00614AB6" w:rsidRDefault="00614AB6" w:rsidP="0039450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sovereign (High yield) – long/short</w:t>
            </w:r>
          </w:p>
          <w:p w14:paraId="39499D4D" w14:textId="77777777" w:rsidR="00614AB6" w:rsidRPr="00FE3C59" w:rsidRDefault="00614AB6" w:rsidP="00394508">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58245762" w14:textId="77777777" w:rsidR="00614AB6" w:rsidRPr="00FE3C59" w:rsidRDefault="00614AB6" w:rsidP="00394508">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towards central governments or central banks, as reported in rows 0020 to 0030, shall not be included in these rows.</w:t>
            </w:r>
          </w:p>
        </w:tc>
      </w:tr>
      <w:tr w:rsidR="00614AB6" w:rsidRPr="00FE3C59" w14:paraId="1A247212" w14:textId="77777777" w:rsidTr="00394508">
        <w:tc>
          <w:tcPr>
            <w:tcW w:w="1063" w:type="dxa"/>
          </w:tcPr>
          <w:p w14:paraId="7B493F74" w14:textId="77777777" w:rsidR="00614AB6" w:rsidRPr="00157901" w:rsidRDefault="00614AB6" w:rsidP="00394508">
            <w:pPr>
              <w:pStyle w:val="BodyText"/>
              <w:spacing w:before="120" w:after="120"/>
              <w:rPr>
                <w:rFonts w:ascii="Times New Roman" w:hAnsi="Times New Roman" w:cs="Times New Roman"/>
                <w:lang w:val="en-GB"/>
              </w:rPr>
            </w:pPr>
            <w:r w:rsidRPr="00157901">
              <w:rPr>
                <w:rFonts w:ascii="Times New Roman" w:hAnsi="Times New Roman" w:cs="Times New Roman"/>
                <w:lang w:val="en-GB"/>
              </w:rPr>
              <w:t>0100-0110</w:t>
            </w:r>
          </w:p>
        </w:tc>
        <w:tc>
          <w:tcPr>
            <w:tcW w:w="7953" w:type="dxa"/>
          </w:tcPr>
          <w:p w14:paraId="441441AC" w14:textId="77777777" w:rsidR="00614AB6" w:rsidRDefault="00614AB6" w:rsidP="0039450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Other sovereign (</w:t>
            </w:r>
            <w:r>
              <w:rPr>
                <w:rFonts w:ascii="Times New Roman" w:hAnsi="Times New Roman" w:cs="Times New Roman"/>
                <w:b/>
                <w:u w:val="single"/>
                <w:lang w:val="en-GB"/>
              </w:rPr>
              <w:t>Unrated</w:t>
            </w:r>
            <w:r w:rsidRPr="00FE3C59">
              <w:rPr>
                <w:rFonts w:ascii="Times New Roman" w:hAnsi="Times New Roman" w:cs="Times New Roman"/>
                <w:b/>
                <w:u w:val="single"/>
                <w:lang w:val="en-GB"/>
              </w:rPr>
              <w:t>) – long/short</w:t>
            </w:r>
          </w:p>
          <w:p w14:paraId="58283920" w14:textId="77777777" w:rsidR="00614AB6" w:rsidRPr="00FE3C59" w:rsidRDefault="00614AB6" w:rsidP="00394508">
            <w:pPr>
              <w:pStyle w:val="BodyText"/>
              <w:spacing w:before="120"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towards central governments or central banks, as reported in rows 0020 to 0030, shall not be included in these rows.</w:t>
            </w:r>
          </w:p>
        </w:tc>
      </w:tr>
      <w:tr w:rsidR="00614AB6" w:rsidRPr="00FE3C59" w14:paraId="109BE514" w14:textId="77777777" w:rsidTr="00394508">
        <w:tc>
          <w:tcPr>
            <w:tcW w:w="1063" w:type="dxa"/>
          </w:tcPr>
          <w:p w14:paraId="0338D02B" w14:textId="77777777" w:rsidR="00614AB6" w:rsidRPr="00FE3C59" w:rsidRDefault="00614AB6" w:rsidP="00394508">
            <w:pPr>
              <w:pStyle w:val="BodyText"/>
              <w:spacing w:before="120" w:after="120"/>
              <w:rPr>
                <w:rFonts w:ascii="Times New Roman" w:hAnsi="Times New Roman" w:cs="Times New Roman"/>
                <w:lang w:val="en-GB"/>
              </w:rPr>
            </w:pPr>
            <w:r w:rsidRPr="00157901">
              <w:rPr>
                <w:rFonts w:ascii="Times New Roman" w:hAnsi="Times New Roman" w:cs="Times New Roman"/>
                <w:lang w:val="en-GB"/>
              </w:rPr>
              <w:t>0120-0130</w:t>
            </w:r>
          </w:p>
        </w:tc>
        <w:tc>
          <w:tcPr>
            <w:tcW w:w="7953" w:type="dxa"/>
          </w:tcPr>
          <w:p w14:paraId="3596BADE" w14:textId="77777777" w:rsidR="00614AB6" w:rsidRDefault="00614AB6" w:rsidP="0039450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 (Investment grade) – long/short</w:t>
            </w:r>
          </w:p>
          <w:p w14:paraId="728BA7CC" w14:textId="77777777" w:rsidR="00614AB6" w:rsidRPr="00FE3C59" w:rsidRDefault="00614AB6" w:rsidP="00394508">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72B12316" w14:textId="77777777" w:rsidR="00614AB6" w:rsidRPr="00FE3C59" w:rsidRDefault="00614AB6" w:rsidP="00394508">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consisting of covered bonds issued by credit institutions in Member States, as reported in rows 0040 to 0050, shall not be included in these rows.</w:t>
            </w:r>
          </w:p>
        </w:tc>
      </w:tr>
      <w:tr w:rsidR="00614AB6" w:rsidRPr="00FE3C59" w14:paraId="042B6947" w14:textId="77777777" w:rsidTr="00394508">
        <w:tc>
          <w:tcPr>
            <w:tcW w:w="1063" w:type="dxa"/>
          </w:tcPr>
          <w:p w14:paraId="47AFDAE6" w14:textId="77777777" w:rsidR="00614AB6" w:rsidRPr="00FE3C59" w:rsidRDefault="00614AB6" w:rsidP="00394508">
            <w:pPr>
              <w:pStyle w:val="BodyText"/>
              <w:spacing w:before="120" w:after="120"/>
              <w:rPr>
                <w:rFonts w:ascii="Times New Roman" w:hAnsi="Times New Roman" w:cs="Times New Roman"/>
                <w:lang w:val="en-GB"/>
              </w:rPr>
            </w:pPr>
            <w:r>
              <w:rPr>
                <w:rFonts w:ascii="Times New Roman" w:hAnsi="Times New Roman" w:cs="Times New Roman"/>
                <w:lang w:val="en-GB"/>
              </w:rPr>
              <w:t>0140-0150</w:t>
            </w:r>
          </w:p>
        </w:tc>
        <w:tc>
          <w:tcPr>
            <w:tcW w:w="7953" w:type="dxa"/>
          </w:tcPr>
          <w:p w14:paraId="406D90F5" w14:textId="77777777" w:rsidR="00614AB6" w:rsidRDefault="00614AB6" w:rsidP="0039450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 (High yield) – long/short</w:t>
            </w:r>
          </w:p>
          <w:p w14:paraId="465ED3F5" w14:textId="77777777" w:rsidR="00614AB6" w:rsidRPr="00FE3C59" w:rsidRDefault="00614AB6" w:rsidP="00394508">
            <w:pPr>
              <w:pStyle w:val="BodyText"/>
              <w:spacing w:before="120" w:after="120"/>
              <w:rPr>
                <w:rFonts w:ascii="Times New Roman" w:hAnsi="Times New Roman" w:cs="Times New Roman"/>
                <w:b/>
                <w:u w:val="single"/>
                <w:lang w:val="en-GB"/>
              </w:rPr>
            </w:pPr>
            <w:r w:rsidRPr="006A7282">
              <w:rPr>
                <w:rFonts w:ascii="Times New Roman" w:eastAsia="Times New Roman" w:hAnsi="Times New Roman" w:cs="Times New Roman"/>
                <w:lang w:val="en-GB" w:eastAsia="de-DE" w:bidi="ar-SA"/>
              </w:rPr>
              <w:t>Article 325bd, Table 2, of Regulation (EU) No 575/2013</w:t>
            </w:r>
          </w:p>
          <w:p w14:paraId="3EF62663" w14:textId="77777777" w:rsidR="00614AB6" w:rsidRPr="00FE3C59" w:rsidRDefault="00614AB6" w:rsidP="00394508">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consisting of covered bonds issued by credit institutions in Member States, as reported in rows 0040 to 0050, shall not be included in these rows.</w:t>
            </w:r>
          </w:p>
        </w:tc>
      </w:tr>
      <w:tr w:rsidR="00614AB6" w:rsidRPr="00FE3C59" w14:paraId="600D62C5" w14:textId="77777777" w:rsidTr="00394508">
        <w:tc>
          <w:tcPr>
            <w:tcW w:w="1063" w:type="dxa"/>
          </w:tcPr>
          <w:p w14:paraId="10727CF2" w14:textId="77777777" w:rsidR="00614AB6" w:rsidRPr="00FE3C59" w:rsidRDefault="00614AB6" w:rsidP="00394508">
            <w:pPr>
              <w:pStyle w:val="BodyText"/>
              <w:spacing w:before="120" w:after="120"/>
              <w:rPr>
                <w:rFonts w:ascii="Times New Roman" w:hAnsi="Times New Roman" w:cs="Times New Roman"/>
                <w:lang w:val="en-GB"/>
              </w:rPr>
            </w:pPr>
            <w:r>
              <w:rPr>
                <w:rFonts w:ascii="Times New Roman" w:hAnsi="Times New Roman" w:cs="Times New Roman"/>
                <w:lang w:val="en-GB"/>
              </w:rPr>
              <w:t>0160-0170</w:t>
            </w:r>
          </w:p>
        </w:tc>
        <w:tc>
          <w:tcPr>
            <w:tcW w:w="7953" w:type="dxa"/>
          </w:tcPr>
          <w:p w14:paraId="13301394" w14:textId="77777777" w:rsidR="00614AB6" w:rsidRDefault="00614AB6" w:rsidP="00394508">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Corporate (</w:t>
            </w:r>
            <w:r>
              <w:rPr>
                <w:rFonts w:ascii="Times New Roman" w:hAnsi="Times New Roman" w:cs="Times New Roman"/>
                <w:b/>
                <w:u w:val="single"/>
                <w:lang w:val="en-GB"/>
              </w:rPr>
              <w:t>Unrated</w:t>
            </w:r>
            <w:r w:rsidRPr="00FE3C59">
              <w:rPr>
                <w:rFonts w:ascii="Times New Roman" w:hAnsi="Times New Roman" w:cs="Times New Roman"/>
                <w:b/>
                <w:u w:val="single"/>
                <w:lang w:val="en-GB"/>
              </w:rPr>
              <w:t>) – long/short</w:t>
            </w:r>
          </w:p>
          <w:p w14:paraId="366BC911" w14:textId="77777777" w:rsidR="00614AB6" w:rsidRPr="00FE3C59" w:rsidRDefault="00614AB6" w:rsidP="00394508">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Positions consisting of covered bonds issued by credit institutions in Member States, as reported in rows 0040 to 0050, shall not be included in these rows.</w:t>
            </w:r>
          </w:p>
        </w:tc>
      </w:tr>
      <w:tr w:rsidR="00614AB6" w:rsidRPr="00FE3C59" w14:paraId="2B8CFC73" w14:textId="77777777" w:rsidTr="00394508">
        <w:tc>
          <w:tcPr>
            <w:tcW w:w="1063" w:type="dxa"/>
          </w:tcPr>
          <w:p w14:paraId="7C931859" w14:textId="77777777" w:rsidR="00614AB6" w:rsidRPr="00FE3C59" w:rsidRDefault="00614AB6" w:rsidP="00394508">
            <w:pPr>
              <w:pStyle w:val="BodyText"/>
              <w:spacing w:before="120" w:after="120"/>
              <w:rPr>
                <w:rFonts w:ascii="Times New Roman" w:hAnsi="Times New Roman" w:cs="Times New Roman"/>
                <w:lang w:val="en-GB"/>
              </w:rPr>
            </w:pPr>
            <w:r>
              <w:rPr>
                <w:rFonts w:ascii="Times New Roman" w:hAnsi="Times New Roman" w:cs="Times New Roman"/>
                <w:lang w:val="en-GB"/>
              </w:rPr>
              <w:t>0180-0190</w:t>
            </w:r>
          </w:p>
        </w:tc>
        <w:tc>
          <w:tcPr>
            <w:tcW w:w="7953" w:type="dxa"/>
          </w:tcPr>
          <w:p w14:paraId="321A070B" w14:textId="77777777" w:rsidR="00614AB6" w:rsidRPr="00FE3C59" w:rsidRDefault="00614AB6" w:rsidP="00394508">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Equity</w:t>
            </w:r>
            <w:r w:rsidRPr="00FE3C59">
              <w:rPr>
                <w:rFonts w:ascii="Times New Roman" w:hAnsi="Times New Roman" w:cs="Times New Roman"/>
                <w:b/>
                <w:u w:val="single"/>
                <w:lang w:val="en-GB"/>
              </w:rPr>
              <w:t xml:space="preserve"> – long/short</w:t>
            </w:r>
          </w:p>
        </w:tc>
      </w:tr>
    </w:tbl>
    <w:p w14:paraId="5093FAB8" w14:textId="77777777" w:rsidR="00614AB6" w:rsidRPr="00FE3C59" w:rsidRDefault="00614AB6" w:rsidP="00B530B5">
      <w:pPr>
        <w:pStyle w:val="InstructionsText2"/>
        <w:ind w:left="0" w:firstLine="0"/>
      </w:pPr>
    </w:p>
    <w:p w14:paraId="038185A7"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lastRenderedPageBreak/>
        <w:t>3.8.3</w:t>
      </w:r>
      <w:r w:rsidRPr="00FE3C59">
        <w:rPr>
          <w:rFonts w:ascii="Times New Roman" w:hAnsi="Times New Roman" w:cs="Times New Roman"/>
        </w:rPr>
        <w:tab/>
      </w:r>
      <w:r w:rsidRPr="00FE3C59">
        <w:rPr>
          <w:rFonts w:ascii="Times New Roman" w:hAnsi="Times New Roman" w:cs="Times New Roman"/>
          <w:sz w:val="24"/>
          <w:u w:val="none"/>
          <w:lang w:val="en-GB"/>
        </w:rPr>
        <w:t>Default risk charge – 25 most significant issuers</w:t>
      </w:r>
    </w:p>
    <w:p w14:paraId="1AF11A95"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3.8.3.1</w:t>
      </w:r>
      <w:r w:rsidRPr="00FE3C59">
        <w:rPr>
          <w:rFonts w:ascii="Times New Roman" w:hAnsi="Times New Roman" w:cs="Times New Roman"/>
          <w:sz w:val="24"/>
          <w:u w:val="none"/>
          <w:lang w:val="en-GB"/>
        </w:rPr>
        <w:tab/>
        <w:t>General remarks</w:t>
      </w:r>
    </w:p>
    <w:p w14:paraId="2E958179" w14:textId="77777777" w:rsidR="00B530B5" w:rsidRPr="00FE3C59" w:rsidRDefault="00B530B5" w:rsidP="00253413">
      <w:pPr>
        <w:pStyle w:val="InstructionsText2"/>
        <w:numPr>
          <w:ilvl w:val="0"/>
          <w:numId w:val="57"/>
        </w:numPr>
      </w:pPr>
      <w:r w:rsidRPr="00FE3C59">
        <w:t xml:space="preserve">The templates MKR IMA CORR1 and MKR IMA CORR2 shall be used to provide information about the 25 most significant issuers included in the scope of the DRC model. </w:t>
      </w:r>
    </w:p>
    <w:p w14:paraId="3894D367" w14:textId="7AC02184" w:rsidR="00B530B5" w:rsidRPr="00FE3C59" w:rsidRDefault="6270B300" w:rsidP="00253413">
      <w:pPr>
        <w:pStyle w:val="InstructionsText2"/>
        <w:numPr>
          <w:ilvl w:val="0"/>
          <w:numId w:val="57"/>
        </w:numPr>
      </w:pPr>
      <w:r w:rsidRPr="00FE3C59">
        <w:t xml:space="preserve">Institutions shall identify and rank the 25 most significant issuers on the basis of the </w:t>
      </w:r>
      <w:r w:rsidR="004104F4">
        <w:t xml:space="preserve">absolute value of the </w:t>
      </w:r>
      <w:r w:rsidRPr="00FE3C59">
        <w:t>net JTD as calculated in the context of the alternative standardised approach in accordance with Articles 325x of Regulation (EU) No 575/2013.</w:t>
      </w:r>
    </w:p>
    <w:p w14:paraId="407EE518"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3.8.3.2</w:t>
      </w:r>
      <w:r w:rsidRPr="00FE3C59">
        <w:rPr>
          <w:rFonts w:ascii="Times New Roman" w:hAnsi="Times New Roman" w:cs="Times New Roman"/>
          <w:sz w:val="24"/>
          <w:u w:val="none"/>
          <w:lang w:val="en-GB"/>
        </w:rPr>
        <w:tab/>
        <w:t>C 98.02.1: Default risk charge - 25 most significant issuers (MKR IMA CORR1): Instructions concerning specific positions</w:t>
      </w:r>
    </w:p>
    <w:tbl>
      <w:tblPr>
        <w:tblStyle w:val="TableGrid"/>
        <w:tblW w:w="0" w:type="auto"/>
        <w:tblLook w:val="04A0" w:firstRow="1" w:lastRow="0" w:firstColumn="1" w:lastColumn="0" w:noHBand="0" w:noVBand="1"/>
      </w:tblPr>
      <w:tblGrid>
        <w:gridCol w:w="1043"/>
        <w:gridCol w:w="7973"/>
      </w:tblGrid>
      <w:tr w:rsidR="00B530B5" w:rsidRPr="00FE3C59" w14:paraId="7756CEAD" w14:textId="77777777" w:rsidTr="3F965E88">
        <w:tc>
          <w:tcPr>
            <w:tcW w:w="1043" w:type="dxa"/>
            <w:shd w:val="clear" w:color="auto" w:fill="BFBFBF" w:themeFill="background1" w:themeFillShade="BF"/>
          </w:tcPr>
          <w:p w14:paraId="5F2798EB"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0D2248FD"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62AA076B" w14:textId="77777777" w:rsidTr="3F965E88">
        <w:tc>
          <w:tcPr>
            <w:tcW w:w="1043" w:type="dxa"/>
          </w:tcPr>
          <w:p w14:paraId="5843A89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0010-0030</w:t>
            </w:r>
          </w:p>
        </w:tc>
        <w:tc>
          <w:tcPr>
            <w:tcW w:w="7973" w:type="dxa"/>
          </w:tcPr>
          <w:p w14:paraId="36A7E933"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Issuers</w:t>
            </w:r>
          </w:p>
        </w:tc>
      </w:tr>
      <w:tr w:rsidR="00B530B5" w:rsidRPr="00FE3C59" w14:paraId="63DC33E1" w14:textId="77777777" w:rsidTr="3F965E88">
        <w:tc>
          <w:tcPr>
            <w:tcW w:w="1043" w:type="dxa"/>
          </w:tcPr>
          <w:p w14:paraId="2FEB6F0F" w14:textId="77777777" w:rsidR="00B530B5" w:rsidRPr="00157901"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0010</w:t>
            </w:r>
          </w:p>
        </w:tc>
        <w:tc>
          <w:tcPr>
            <w:tcW w:w="7973" w:type="dxa"/>
          </w:tcPr>
          <w:p w14:paraId="76106E7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Name</w:t>
            </w:r>
          </w:p>
          <w:p w14:paraId="6F6A80CD"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 xml:space="preserve">Name of the issuer </w:t>
            </w:r>
          </w:p>
        </w:tc>
      </w:tr>
      <w:tr w:rsidR="00B530B5" w:rsidRPr="00FE3C59" w14:paraId="4122A799" w14:textId="77777777" w:rsidTr="3F965E88">
        <w:tc>
          <w:tcPr>
            <w:tcW w:w="1043" w:type="dxa"/>
          </w:tcPr>
          <w:p w14:paraId="11BF1EE0"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0020</w:t>
            </w:r>
          </w:p>
        </w:tc>
        <w:tc>
          <w:tcPr>
            <w:tcW w:w="7973" w:type="dxa"/>
          </w:tcPr>
          <w:p w14:paraId="6C102C92"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Code</w:t>
            </w:r>
          </w:p>
          <w:p w14:paraId="438ADBE5" w14:textId="77777777" w:rsidR="00B530B5" w:rsidRPr="00FE3C59" w:rsidRDefault="6270B300" w:rsidP="3F965E88">
            <w:pPr>
              <w:pStyle w:val="Tabelleninhalt"/>
              <w:spacing w:after="120"/>
              <w:rPr>
                <w:rFonts w:ascii="Times New Roman" w:hAnsi="Times New Roman" w:cs="Times New Roman"/>
                <w:b/>
                <w:bCs/>
                <w:u w:val="single"/>
                <w:lang w:val="en-GB"/>
              </w:rPr>
            </w:pPr>
            <w:r w:rsidRPr="00FE3C59">
              <w:rPr>
                <w:rFonts w:ascii="Times New Roman" w:eastAsia="Times New Roman" w:hAnsi="Times New Roman" w:cs="Times New Roman"/>
                <w:lang w:val="en-GB" w:eastAsia="de-DE" w:bidi="ar-SA"/>
              </w:rPr>
              <w:t>Where the issuers is an institution or insurance undertaking, the code shall be the LEI code. For other entities the code shall be the LEI code, or if not available, a national code. The code shall be unique and used consistently across the templates and across time. The code shall always be reported.</w:t>
            </w:r>
          </w:p>
        </w:tc>
      </w:tr>
      <w:tr w:rsidR="00B530B5" w:rsidRPr="00FE3C59" w14:paraId="6CF87274" w14:textId="77777777" w:rsidTr="3F965E88">
        <w:tc>
          <w:tcPr>
            <w:tcW w:w="1043" w:type="dxa"/>
          </w:tcPr>
          <w:p w14:paraId="69847664"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0030</w:t>
            </w:r>
          </w:p>
        </w:tc>
        <w:tc>
          <w:tcPr>
            <w:tcW w:w="7973" w:type="dxa"/>
          </w:tcPr>
          <w:p w14:paraId="19BEC40E"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Type of code</w:t>
            </w:r>
          </w:p>
          <w:p w14:paraId="46740BE0"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The institutions shall specify whether the type of code reported in column 0010 as of the ‘LEI code type’ or ‘National code type’. The type of code shall always be reported.</w:t>
            </w:r>
          </w:p>
        </w:tc>
      </w:tr>
      <w:tr w:rsidR="00B530B5" w:rsidRPr="00FE3C59" w14:paraId="493545EF" w14:textId="77777777" w:rsidTr="3F965E88">
        <w:trPr>
          <w:trHeight w:val="2100"/>
        </w:trPr>
        <w:tc>
          <w:tcPr>
            <w:tcW w:w="1043" w:type="dxa"/>
          </w:tcPr>
          <w:p w14:paraId="124BC36E"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0040-0050</w:t>
            </w:r>
          </w:p>
        </w:tc>
        <w:tc>
          <w:tcPr>
            <w:tcW w:w="7973" w:type="dxa"/>
          </w:tcPr>
          <w:p w14:paraId="7F950D07"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Systematic risk factors used for modelling</w:t>
            </w:r>
          </w:p>
          <w:p w14:paraId="1421BCFB" w14:textId="77777777" w:rsidR="00B530B5" w:rsidRPr="00FE3C59" w:rsidRDefault="00B530B5">
            <w:pPr>
              <w:pStyle w:val="Tabelleninhalt"/>
              <w:spacing w:after="120"/>
              <w:rPr>
                <w:rFonts w:ascii="Times New Roman" w:eastAsia="Times New Roman" w:hAnsi="Times New Roman" w:cs="Times New Roman"/>
                <w:lang w:val="en-GB" w:eastAsia="de-DE" w:bidi="ar-SA"/>
              </w:rPr>
            </w:pPr>
            <w:r w:rsidRPr="00FE3C59">
              <w:rPr>
                <w:rFonts w:ascii="Times New Roman" w:eastAsia="Times New Roman" w:hAnsi="Times New Roman" w:cs="Times New Roman"/>
                <w:lang w:val="en-GB" w:eastAsia="de-DE" w:bidi="ar-SA"/>
              </w:rPr>
              <w:t>Article 325bp(1) of Regulation (EU) No 575/2013</w:t>
            </w:r>
          </w:p>
          <w:p w14:paraId="6D5BB156" w14:textId="77777777" w:rsidR="00B530B5" w:rsidRPr="00FE3C59" w:rsidRDefault="00B530B5">
            <w:pPr>
              <w:pStyle w:val="Tabelleninhalt"/>
              <w:spacing w:after="120"/>
              <w:rPr>
                <w:rFonts w:ascii="Times New Roman" w:hAnsi="Times New Roman" w:cs="Times New Roman"/>
                <w:b/>
                <w:u w:val="single"/>
                <w:lang w:val="en-GB"/>
              </w:rPr>
            </w:pPr>
            <w:r w:rsidRPr="00FE3C59">
              <w:rPr>
                <w:rFonts w:ascii="Times New Roman" w:eastAsia="Times New Roman" w:hAnsi="Times New Roman" w:cs="Times New Roman"/>
                <w:lang w:val="en-GB" w:eastAsia="de-DE" w:bidi="ar-SA"/>
              </w:rPr>
              <w:t>Institutions shall specify the systematic risk factor types used for the modelling of this issuer, as well as the attribute(s) of the systematic risk factor used for this issuer,</w:t>
            </w:r>
          </w:p>
          <w:tbl>
            <w:tblPr>
              <w:tblStyle w:val="TableGrid"/>
              <w:tblW w:w="0" w:type="auto"/>
              <w:tblLook w:val="04A0" w:firstRow="1" w:lastRow="0" w:firstColumn="1" w:lastColumn="0" w:noHBand="0" w:noVBand="1"/>
            </w:tblPr>
            <w:tblGrid>
              <w:gridCol w:w="7747"/>
            </w:tblGrid>
            <w:tr w:rsidR="00B530B5" w:rsidRPr="00FE3C59" w14:paraId="24F28AAF" w14:textId="77777777">
              <w:tc>
                <w:tcPr>
                  <w:tcW w:w="7747" w:type="dxa"/>
                </w:tcPr>
                <w:p w14:paraId="71AF2D5F" w14:textId="77777777" w:rsidR="00B530B5" w:rsidRPr="00FE3C59" w:rsidRDefault="00B530B5">
                  <w:pPr>
                    <w:pStyle w:val="body"/>
                    <w:rPr>
                      <w:rFonts w:ascii="Times New Roman" w:hAnsi="Times New Roman" w:cs="Times New Roman"/>
                      <w:b/>
                      <w:bCs/>
                      <w:u w:val="single"/>
                    </w:rPr>
                  </w:pPr>
                  <w:r w:rsidRPr="00FE3C59">
                    <w:rPr>
                      <w:rFonts w:ascii="Times New Roman" w:hAnsi="Times New Roman" w:cs="Times New Roman"/>
                      <w:b/>
                      <w:bCs/>
                      <w:u w:val="single"/>
                    </w:rPr>
                    <w:t>Explanatory text for consultation purposes</w:t>
                  </w:r>
                </w:p>
                <w:p w14:paraId="686C7C89" w14:textId="0DD8C031" w:rsidR="00B530B5" w:rsidRPr="00FE3C59" w:rsidRDefault="00B530B5">
                  <w:pPr>
                    <w:pStyle w:val="body"/>
                    <w:rPr>
                      <w:rFonts w:ascii="Times New Roman" w:hAnsi="Times New Roman" w:cs="Times New Roman"/>
                    </w:rPr>
                  </w:pPr>
                  <w:r w:rsidRPr="00FE3C59">
                    <w:rPr>
                      <w:rFonts w:ascii="Times New Roman" w:hAnsi="Times New Roman" w:cs="Times New Roman"/>
                    </w:rPr>
                    <w:t>The ‘systematic risk factor type’ could be, for example, ‘region’, and the ‘attribute used for this issue</w:t>
                  </w:r>
                  <w:r w:rsidR="00D836D5" w:rsidRPr="00FE3C59">
                    <w:rPr>
                      <w:rFonts w:ascii="Times New Roman" w:hAnsi="Times New Roman" w:cs="Times New Roman"/>
                    </w:rPr>
                    <w:t>r</w:t>
                  </w:r>
                  <w:r w:rsidRPr="00FE3C59">
                    <w:rPr>
                      <w:rFonts w:ascii="Times New Roman" w:hAnsi="Times New Roman" w:cs="Times New Roman"/>
                    </w:rPr>
                    <w:t xml:space="preserve"> could be ‘EU’ (as one of several regions used by the institution in its model for categorizing the issuers). </w:t>
                  </w:r>
                </w:p>
              </w:tc>
            </w:tr>
          </w:tbl>
          <w:p w14:paraId="07BF192B" w14:textId="77777777" w:rsidR="00B530B5" w:rsidRPr="00FE3C59" w:rsidRDefault="00B530B5">
            <w:pPr>
              <w:pStyle w:val="Tabelleninhalt"/>
              <w:spacing w:after="120"/>
              <w:rPr>
                <w:rFonts w:ascii="Times New Roman" w:hAnsi="Times New Roman" w:cs="Times New Roman"/>
                <w:b/>
                <w:u w:val="single"/>
                <w:lang w:val="en-GB"/>
              </w:rPr>
            </w:pPr>
          </w:p>
        </w:tc>
      </w:tr>
      <w:tr w:rsidR="00B530B5" w:rsidRPr="00FE3C59" w14:paraId="714F661F" w14:textId="77777777" w:rsidTr="3F965E88">
        <w:tc>
          <w:tcPr>
            <w:tcW w:w="1043" w:type="dxa"/>
          </w:tcPr>
          <w:p w14:paraId="1BC8CE53"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lastRenderedPageBreak/>
              <w:t>0040</w:t>
            </w:r>
          </w:p>
        </w:tc>
        <w:tc>
          <w:tcPr>
            <w:tcW w:w="7973" w:type="dxa"/>
          </w:tcPr>
          <w:p w14:paraId="019FFA3B"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Systemic risk factor 1 and attribute</w:t>
            </w:r>
          </w:p>
        </w:tc>
      </w:tr>
      <w:tr w:rsidR="00B530B5" w:rsidRPr="00FE3C59" w14:paraId="24C3290C" w14:textId="77777777" w:rsidTr="3F965E88">
        <w:tc>
          <w:tcPr>
            <w:tcW w:w="1043" w:type="dxa"/>
          </w:tcPr>
          <w:p w14:paraId="0E0DB86A" w14:textId="77777777"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0050</w:t>
            </w:r>
          </w:p>
        </w:tc>
        <w:tc>
          <w:tcPr>
            <w:tcW w:w="7973" w:type="dxa"/>
          </w:tcPr>
          <w:p w14:paraId="3F6870FB" w14:textId="77777777" w:rsidR="00B530B5" w:rsidRPr="008735E0"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Systemic risk factor 2 and attribute</w:t>
            </w:r>
          </w:p>
        </w:tc>
      </w:tr>
      <w:tr w:rsidR="00C308BF" w:rsidRPr="00FE3C59" w14:paraId="29517F4F" w14:textId="77777777" w:rsidTr="3F965E88">
        <w:tc>
          <w:tcPr>
            <w:tcW w:w="1043" w:type="dxa"/>
          </w:tcPr>
          <w:p w14:paraId="5D785F61" w14:textId="37CCA881" w:rsidR="00C308BF" w:rsidRPr="00157901" w:rsidRDefault="00C308BF" w:rsidP="00157901">
            <w:pPr>
              <w:pStyle w:val="BodyText"/>
              <w:spacing w:before="120" w:after="120"/>
              <w:rPr>
                <w:rFonts w:ascii="Times New Roman" w:hAnsi="Times New Roman" w:cs="Times New Roman"/>
                <w:lang w:val="en-GB"/>
              </w:rPr>
            </w:pPr>
            <w:r>
              <w:rPr>
                <w:rFonts w:ascii="Times New Roman" w:hAnsi="Times New Roman" w:cs="Times New Roman"/>
                <w:lang w:val="en-GB"/>
              </w:rPr>
              <w:t>0060</w:t>
            </w:r>
          </w:p>
        </w:tc>
        <w:tc>
          <w:tcPr>
            <w:tcW w:w="7973" w:type="dxa"/>
          </w:tcPr>
          <w:p w14:paraId="1AA105C5" w14:textId="77777777" w:rsidR="00C308BF" w:rsidRDefault="00C308BF" w:rsidP="008735E0">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Net JTD</w:t>
            </w:r>
          </w:p>
          <w:p w14:paraId="6DEFF331" w14:textId="47E20F8F" w:rsidR="00C308BF" w:rsidRPr="00FE3C59" w:rsidRDefault="00C308BF" w:rsidP="008735E0">
            <w:pPr>
              <w:pStyle w:val="BodyText"/>
              <w:spacing w:before="120" w:after="120"/>
              <w:rPr>
                <w:rFonts w:ascii="Times New Roman" w:hAnsi="Times New Roman" w:cs="Times New Roman"/>
                <w:b/>
                <w:u w:val="single"/>
                <w:lang w:val="en-GB"/>
              </w:rPr>
            </w:pPr>
            <w:r w:rsidRPr="00C308BF">
              <w:rPr>
                <w:lang w:val="en-GB"/>
              </w:rPr>
              <w:t>Article 325x of Regulation (EU) No 575/2013</w:t>
            </w:r>
          </w:p>
        </w:tc>
      </w:tr>
      <w:tr w:rsidR="00B530B5" w:rsidRPr="00FE3C59" w14:paraId="4F114B8F" w14:textId="77777777" w:rsidTr="3F965E88">
        <w:tc>
          <w:tcPr>
            <w:tcW w:w="1043" w:type="dxa"/>
          </w:tcPr>
          <w:p w14:paraId="6E0A7F5B" w14:textId="15E1903A" w:rsidR="00B530B5" w:rsidRPr="00FE3C59" w:rsidRDefault="00B530B5" w:rsidP="00157901">
            <w:pPr>
              <w:pStyle w:val="BodyText"/>
              <w:spacing w:before="120" w:after="120"/>
              <w:rPr>
                <w:rFonts w:ascii="Times New Roman" w:hAnsi="Times New Roman" w:cs="Times New Roman"/>
                <w:lang w:val="en-GB"/>
              </w:rPr>
            </w:pPr>
            <w:r w:rsidRPr="00157901">
              <w:rPr>
                <w:rFonts w:ascii="Times New Roman" w:hAnsi="Times New Roman" w:cs="Times New Roman"/>
                <w:lang w:val="en-GB"/>
              </w:rPr>
              <w:t>00</w:t>
            </w:r>
            <w:r w:rsidR="00922E74">
              <w:rPr>
                <w:rFonts w:ascii="Times New Roman" w:hAnsi="Times New Roman" w:cs="Times New Roman"/>
                <w:lang w:val="en-GB"/>
              </w:rPr>
              <w:t>7</w:t>
            </w:r>
            <w:r w:rsidRPr="00157901">
              <w:rPr>
                <w:rFonts w:ascii="Times New Roman" w:hAnsi="Times New Roman" w:cs="Times New Roman"/>
                <w:lang w:val="en-GB"/>
              </w:rPr>
              <w:t>0</w:t>
            </w:r>
          </w:p>
        </w:tc>
        <w:tc>
          <w:tcPr>
            <w:tcW w:w="7973" w:type="dxa"/>
          </w:tcPr>
          <w:p w14:paraId="23C4C9A2" w14:textId="327E9832" w:rsidR="00B530B5" w:rsidRPr="00EE1E9D" w:rsidRDefault="6270B300" w:rsidP="008735E0">
            <w:pPr>
              <w:pStyle w:val="BodyText"/>
              <w:spacing w:before="120" w:after="120"/>
              <w:rPr>
                <w:rFonts w:ascii="Times New Roman" w:hAnsi="Times New Roman" w:cs="Times New Roman"/>
                <w:b/>
                <w:bCs/>
                <w:u w:val="single"/>
                <w:lang w:val="en-GB"/>
              </w:rPr>
            </w:pPr>
            <w:r w:rsidRPr="008735E0">
              <w:rPr>
                <w:rFonts w:ascii="Times New Roman" w:hAnsi="Times New Roman" w:cs="Times New Roman"/>
                <w:b/>
                <w:u w:val="single"/>
                <w:lang w:val="en-GB"/>
              </w:rPr>
              <w:t>JTD</w:t>
            </w:r>
            <w:r w:rsidRPr="00FE3C59">
              <w:rPr>
                <w:rFonts w:ascii="Times New Roman" w:hAnsi="Times New Roman" w:cs="Times New Roman"/>
                <w:b/>
                <w:bCs/>
                <w:u w:val="single"/>
                <w:lang w:val="en-GB"/>
              </w:rPr>
              <w:t xml:space="preserve"> DRC</w:t>
            </w:r>
            <w:r w:rsidR="38CC8B17" w:rsidRPr="00FE3C59">
              <w:rPr>
                <w:rFonts w:ascii="Times New Roman" w:hAnsi="Times New Roman" w:cs="Times New Roman"/>
                <w:b/>
                <w:bCs/>
                <w:u w:val="single"/>
                <w:lang w:val="en-GB"/>
              </w:rPr>
              <w:t xml:space="preserve"> </w:t>
            </w:r>
            <w:r w:rsidR="00086E28">
              <w:rPr>
                <w:rFonts w:ascii="Times New Roman" w:hAnsi="Times New Roman" w:cs="Times New Roman"/>
                <w:b/>
                <w:bCs/>
                <w:u w:val="single"/>
                <w:lang w:val="en-GB"/>
              </w:rPr>
              <w:t>(net per issuer)</w:t>
            </w:r>
          </w:p>
          <w:p w14:paraId="4F782431" w14:textId="22C6E192" w:rsidR="00B530B5" w:rsidRPr="00FE3C59" w:rsidRDefault="6270B300" w:rsidP="3F965E88">
            <w:pPr>
              <w:pStyle w:val="Tabelleninhalt"/>
              <w:spacing w:after="120"/>
              <w:rPr>
                <w:rFonts w:ascii="Times New Roman" w:hAnsi="Times New Roman" w:cs="Times New Roman"/>
                <w:b/>
                <w:bCs/>
                <w:u w:val="single"/>
                <w:lang w:val="en-GB"/>
              </w:rPr>
            </w:pPr>
            <w:r w:rsidRPr="00FE3C59">
              <w:rPr>
                <w:rFonts w:ascii="Times New Roman" w:eastAsia="Times New Roman" w:hAnsi="Times New Roman" w:cs="Times New Roman"/>
                <w:lang w:val="en-GB" w:eastAsia="de-DE" w:bidi="ar-SA"/>
              </w:rPr>
              <w:t>Institutions shall report the</w:t>
            </w:r>
            <w:r w:rsidR="00086E28">
              <w:rPr>
                <w:rFonts w:ascii="Times New Roman" w:eastAsia="Times New Roman" w:hAnsi="Times New Roman" w:cs="Times New Roman"/>
                <w:lang w:val="en-GB" w:eastAsia="de-DE" w:bidi="ar-SA"/>
              </w:rPr>
              <w:t xml:space="preserve"> gains</w:t>
            </w:r>
            <w:r w:rsidR="003E24DE">
              <w:rPr>
                <w:rFonts w:ascii="Times New Roman" w:eastAsia="Times New Roman" w:hAnsi="Times New Roman" w:cs="Times New Roman"/>
                <w:lang w:val="en-GB" w:eastAsia="de-DE" w:bidi="ar-SA"/>
              </w:rPr>
              <w:t xml:space="preserve"> (+) </w:t>
            </w:r>
            <w:r w:rsidR="00086E28">
              <w:rPr>
                <w:rFonts w:ascii="Times New Roman" w:eastAsia="Times New Roman" w:hAnsi="Times New Roman" w:cs="Times New Roman"/>
                <w:lang w:val="en-GB" w:eastAsia="de-DE" w:bidi="ar-SA"/>
              </w:rPr>
              <w:t>/</w:t>
            </w:r>
            <w:r w:rsidR="003E24DE">
              <w:rPr>
                <w:rFonts w:ascii="Times New Roman" w:eastAsia="Times New Roman" w:hAnsi="Times New Roman" w:cs="Times New Roman"/>
                <w:lang w:val="en-GB" w:eastAsia="de-DE" w:bidi="ar-SA"/>
              </w:rPr>
              <w:t xml:space="preserve"> </w:t>
            </w:r>
            <w:r w:rsidR="00086E28">
              <w:rPr>
                <w:rFonts w:ascii="Times New Roman" w:eastAsia="Times New Roman" w:hAnsi="Times New Roman" w:cs="Times New Roman"/>
                <w:lang w:val="en-GB" w:eastAsia="de-DE" w:bidi="ar-SA"/>
              </w:rPr>
              <w:t>losses</w:t>
            </w:r>
            <w:r w:rsidR="003E24DE">
              <w:rPr>
                <w:rFonts w:ascii="Times New Roman" w:eastAsia="Times New Roman" w:hAnsi="Times New Roman" w:cs="Times New Roman"/>
                <w:lang w:val="en-GB" w:eastAsia="de-DE" w:bidi="ar-SA"/>
              </w:rPr>
              <w:t xml:space="preserve"> (-)</w:t>
            </w:r>
            <w:r w:rsidRPr="00FE3C59">
              <w:rPr>
                <w:rFonts w:ascii="Times New Roman" w:eastAsia="Times New Roman" w:hAnsi="Times New Roman" w:cs="Times New Roman"/>
                <w:lang w:val="en-GB" w:eastAsia="de-DE" w:bidi="ar-SA"/>
              </w:rPr>
              <w:t>, calculated on the basis of the institution’s DRC model (JTD DRC</w:t>
            </w:r>
            <w:r w:rsidR="0055019A">
              <w:rPr>
                <w:rFonts w:ascii="Times New Roman" w:eastAsia="Times New Roman" w:hAnsi="Times New Roman" w:cs="Times New Roman"/>
                <w:lang w:val="en-GB" w:eastAsia="de-DE" w:bidi="ar-SA"/>
              </w:rPr>
              <w:t>)</w:t>
            </w:r>
            <w:r w:rsidR="007637A2">
              <w:rPr>
                <w:rFonts w:ascii="Times New Roman" w:eastAsia="Times New Roman" w:hAnsi="Times New Roman" w:cs="Times New Roman"/>
                <w:lang w:val="en-GB" w:eastAsia="de-DE" w:bidi="ar-SA"/>
              </w:rPr>
              <w:t>, considering all positions towards that issuer</w:t>
            </w:r>
            <w:r w:rsidRPr="00FE3C59">
              <w:rPr>
                <w:rFonts w:ascii="Times New Roman" w:eastAsia="Times New Roman" w:hAnsi="Times New Roman" w:cs="Times New Roman"/>
                <w:lang w:val="en-GB" w:eastAsia="de-DE" w:bidi="ar-SA"/>
              </w:rPr>
              <w:t>.</w:t>
            </w:r>
          </w:p>
        </w:tc>
      </w:tr>
    </w:tbl>
    <w:p w14:paraId="658C8C08" w14:textId="77777777" w:rsidR="00B530B5" w:rsidRPr="00FE3C59" w:rsidRDefault="00B530B5" w:rsidP="0055413A">
      <w:pPr>
        <w:pStyle w:val="NoSpacing"/>
      </w:pPr>
    </w:p>
    <w:tbl>
      <w:tblPr>
        <w:tblStyle w:val="TableGrid"/>
        <w:tblW w:w="0" w:type="auto"/>
        <w:tblLook w:val="04A0" w:firstRow="1" w:lastRow="0" w:firstColumn="1" w:lastColumn="0" w:noHBand="0" w:noVBand="1"/>
      </w:tblPr>
      <w:tblGrid>
        <w:gridCol w:w="1063"/>
        <w:gridCol w:w="7953"/>
      </w:tblGrid>
      <w:tr w:rsidR="00B530B5" w:rsidRPr="00FE3C59" w14:paraId="12959BBE" w14:textId="77777777">
        <w:tc>
          <w:tcPr>
            <w:tcW w:w="1063" w:type="dxa"/>
            <w:shd w:val="clear" w:color="auto" w:fill="BFBFBF" w:themeFill="background1" w:themeFillShade="BF"/>
          </w:tcPr>
          <w:p w14:paraId="5BE4FC00"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7AA477D2"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57F17AFF" w14:textId="77777777">
        <w:tc>
          <w:tcPr>
            <w:tcW w:w="1063" w:type="dxa"/>
          </w:tcPr>
          <w:p w14:paraId="10848398"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0010-0250</w:t>
            </w:r>
          </w:p>
        </w:tc>
        <w:tc>
          <w:tcPr>
            <w:tcW w:w="7953" w:type="dxa"/>
          </w:tcPr>
          <w:p w14:paraId="46B92134"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Issuer 1 to issuer 25</w:t>
            </w:r>
          </w:p>
          <w:p w14:paraId="473BB091" w14:textId="3807FAD0"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The issuers shall be ranked. The most significant issuer shall be reported as issuer 1, the least significant among the top 25 as issuer 25. The identification of the issuers 1, 2, etc. shall be consistent between templates MKR IMA CORR1 and MKR IMA CORR2.</w:t>
            </w:r>
          </w:p>
        </w:tc>
      </w:tr>
    </w:tbl>
    <w:p w14:paraId="66087E0C" w14:textId="77777777" w:rsidR="00B530B5" w:rsidRPr="00FE3C59" w:rsidRDefault="00B530B5" w:rsidP="00B530B5">
      <w:pPr>
        <w:pStyle w:val="InstructionsText2"/>
        <w:ind w:left="0" w:firstLine="0"/>
      </w:pPr>
    </w:p>
    <w:p w14:paraId="6ED88466" w14:textId="77777777" w:rsidR="00B530B5" w:rsidRPr="00FE3C59" w:rsidRDefault="00B530B5" w:rsidP="00B530B5">
      <w:pPr>
        <w:pStyle w:val="Instructionsberschrift2"/>
        <w:numPr>
          <w:ilvl w:val="0"/>
          <w:numId w:val="0"/>
        </w:numPr>
        <w:ind w:left="357" w:hanging="357"/>
        <w:rPr>
          <w:rFonts w:ascii="Times New Roman" w:hAnsi="Times New Roman" w:cs="Times New Roman"/>
          <w:sz w:val="24"/>
          <w:u w:val="none"/>
          <w:lang w:val="en-GB"/>
        </w:rPr>
      </w:pPr>
      <w:r w:rsidRPr="00FE3C59">
        <w:rPr>
          <w:rFonts w:ascii="Times New Roman" w:hAnsi="Times New Roman" w:cs="Times New Roman"/>
          <w:sz w:val="24"/>
          <w:u w:val="none"/>
          <w:lang w:val="en-GB"/>
        </w:rPr>
        <w:t>3.8.3.3</w:t>
      </w:r>
      <w:r w:rsidRPr="00FE3C59">
        <w:rPr>
          <w:rFonts w:ascii="Times New Roman" w:hAnsi="Times New Roman" w:cs="Times New Roman"/>
        </w:rPr>
        <w:tab/>
      </w:r>
      <w:r w:rsidRPr="00FE3C59">
        <w:rPr>
          <w:rFonts w:ascii="Times New Roman" w:hAnsi="Times New Roman" w:cs="Times New Roman"/>
          <w:sz w:val="24"/>
          <w:u w:val="none"/>
          <w:lang w:val="en-GB"/>
        </w:rPr>
        <w:t>C 98.02.2: Default risk charge - 25 most significant issuers - Correlations (MKR IMA CORR2): Instructions concerning specific positions</w:t>
      </w:r>
    </w:p>
    <w:tbl>
      <w:tblPr>
        <w:tblStyle w:val="TableGrid"/>
        <w:tblW w:w="0" w:type="auto"/>
        <w:tblLook w:val="04A0" w:firstRow="1" w:lastRow="0" w:firstColumn="1" w:lastColumn="0" w:noHBand="0" w:noVBand="1"/>
      </w:tblPr>
      <w:tblGrid>
        <w:gridCol w:w="1043"/>
        <w:gridCol w:w="7973"/>
      </w:tblGrid>
      <w:tr w:rsidR="00B530B5" w:rsidRPr="00FE3C59" w14:paraId="504441F6" w14:textId="77777777" w:rsidTr="3F965E88">
        <w:tc>
          <w:tcPr>
            <w:tcW w:w="1043" w:type="dxa"/>
            <w:shd w:val="clear" w:color="auto" w:fill="BFBFBF" w:themeFill="background1" w:themeFillShade="BF"/>
          </w:tcPr>
          <w:p w14:paraId="035C286E"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shd w:val="clear" w:color="auto" w:fill="BFBFBF" w:themeFill="background1" w:themeFillShade="BF"/>
          </w:tcPr>
          <w:p w14:paraId="0187C2AE"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3B137860" w14:textId="77777777" w:rsidTr="3F965E88">
        <w:tc>
          <w:tcPr>
            <w:tcW w:w="1043" w:type="dxa"/>
          </w:tcPr>
          <w:p w14:paraId="65A34F69"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0010-0250</w:t>
            </w:r>
          </w:p>
        </w:tc>
        <w:tc>
          <w:tcPr>
            <w:tcW w:w="7973" w:type="dxa"/>
          </w:tcPr>
          <w:p w14:paraId="452A5AAB"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 xml:space="preserve">Correlations between the 25 most significant </w:t>
            </w:r>
            <w:r w:rsidRPr="00FE3C59">
              <w:rPr>
                <w:rFonts w:ascii="Times New Roman" w:hAnsi="Times New Roman" w:cs="Times New Roman"/>
                <w:b/>
                <w:bCs/>
                <w:u w:val="single"/>
                <w:lang w:val="en-GB"/>
              </w:rPr>
              <w:t>issuers</w:t>
            </w:r>
            <w:r w:rsidRPr="00FE3C59">
              <w:rPr>
                <w:rFonts w:ascii="Times New Roman" w:hAnsi="Times New Roman" w:cs="Times New Roman"/>
                <w:b/>
                <w:u w:val="single"/>
                <w:lang w:val="en-GB"/>
              </w:rPr>
              <w:t xml:space="preserve"> – Issuer 1 to issuer 25</w:t>
            </w:r>
          </w:p>
          <w:p w14:paraId="04E51EB4"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Article 325bn(1), point (c), and (3) of Regulation (EU) No 575/2013 </w:t>
            </w:r>
          </w:p>
          <w:p w14:paraId="64D784EE" w14:textId="7777777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The issuer-versus-issuer correlation-parameters for the ordinal association that are used to model issuer default correlation shall be reported.</w:t>
            </w:r>
          </w:p>
        </w:tc>
      </w:tr>
      <w:tr w:rsidR="00B530B5" w:rsidRPr="00FE3C59" w14:paraId="5103F720" w14:textId="77777777" w:rsidTr="3F965E88">
        <w:tc>
          <w:tcPr>
            <w:tcW w:w="1043" w:type="dxa"/>
          </w:tcPr>
          <w:p w14:paraId="74FDD383"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0260</w:t>
            </w:r>
          </w:p>
        </w:tc>
        <w:tc>
          <w:tcPr>
            <w:tcW w:w="7973" w:type="dxa"/>
          </w:tcPr>
          <w:p w14:paraId="48A84439" w14:textId="77777777" w:rsidR="00B530B5" w:rsidRPr="00FE3C59" w:rsidRDefault="6270B300" w:rsidP="008735E0">
            <w:pPr>
              <w:pStyle w:val="BodyText"/>
              <w:spacing w:before="120" w:after="120"/>
              <w:rPr>
                <w:rFonts w:ascii="Times New Roman" w:hAnsi="Times New Roman" w:cs="Times New Roman"/>
                <w:b/>
                <w:bCs/>
                <w:u w:val="single"/>
                <w:lang w:val="en-GB"/>
              </w:rPr>
            </w:pPr>
            <w:r w:rsidRPr="00FE3C59">
              <w:rPr>
                <w:rFonts w:ascii="Times New Roman" w:hAnsi="Times New Roman" w:cs="Times New Roman"/>
                <w:b/>
                <w:bCs/>
                <w:u w:val="single"/>
                <w:lang w:val="en-GB"/>
              </w:rPr>
              <w:t>Weighted average correlation</w:t>
            </w:r>
          </w:p>
          <w:p w14:paraId="7A4E0D74" w14:textId="55BB5875" w:rsidR="00B530B5" w:rsidRPr="00FE3C59" w:rsidRDefault="6270B300" w:rsidP="3F965E88">
            <w:pPr>
              <w:pStyle w:val="Tabelleninhalt"/>
              <w:spacing w:after="120"/>
              <w:rPr>
                <w:rFonts w:ascii="Times New Roman" w:hAnsi="Times New Roman" w:cs="Times New Roman"/>
                <w:lang w:val="en-GB"/>
              </w:rPr>
            </w:pPr>
            <w:r w:rsidRPr="00FE3C59">
              <w:rPr>
                <w:rFonts w:ascii="Times New Roman" w:hAnsi="Times New Roman" w:cs="Times New Roman"/>
                <w:lang w:val="en-GB"/>
              </w:rPr>
              <w:t>The weighted average correlation shall be reported as the average over all pair-wise issuer-issuer correlation parameters on the time horizon of 1 year, weighted by abs(JTD</w:t>
            </w:r>
            <w:r w:rsidR="39C5D0A4" w:rsidRPr="00FE3C59">
              <w:rPr>
                <w:rFonts w:ascii="Times New Roman" w:hAnsi="Times New Roman" w:cs="Times New Roman"/>
                <w:lang w:val="en-GB"/>
              </w:rPr>
              <w:t xml:space="preserve"> DRC ISSUER</w:t>
            </w:r>
            <w:r w:rsidRPr="00FE3C59">
              <w:rPr>
                <w:rFonts w:ascii="Times New Roman" w:hAnsi="Times New Roman" w:cs="Times New Roman"/>
                <w:lang w:val="en-GB"/>
              </w:rPr>
              <w:t>)</w:t>
            </w:r>
            <w:r w:rsidR="7CD46045" w:rsidRPr="00FE3C59">
              <w:rPr>
                <w:rFonts w:ascii="Times New Roman" w:hAnsi="Times New Roman" w:cs="Times New Roman"/>
                <w:lang w:val="en-GB"/>
              </w:rPr>
              <w:t xml:space="preserve"> (defined above)</w:t>
            </w:r>
            <w:r w:rsidRPr="00FE3C59">
              <w:rPr>
                <w:rFonts w:ascii="Times New Roman" w:hAnsi="Times New Roman" w:cs="Times New Roman"/>
                <w:lang w:val="en-GB"/>
              </w:rPr>
              <w:t>.</w:t>
            </w:r>
          </w:p>
          <w:p w14:paraId="1F6717AC" w14:textId="3119D977" w:rsidR="00B530B5" w:rsidRPr="00FE3C59" w:rsidRDefault="7B453804" w:rsidP="3F965E88">
            <w:pPr>
              <w:pStyle w:val="Tabelleninhalt"/>
              <w:spacing w:after="120"/>
              <w:rPr>
                <w:rFonts w:ascii="Times New Roman" w:hAnsi="Times New Roman" w:cs="Times New Roman"/>
                <w:lang w:val="en-GB"/>
              </w:rPr>
            </w:pPr>
            <w:r w:rsidRPr="00FE3C59">
              <w:rPr>
                <w:rFonts w:ascii="Times New Roman" w:hAnsi="Times New Roman" w:cs="Times New Roman"/>
                <w:lang w:val="en-GB"/>
              </w:rPr>
              <w:t>The average</w:t>
            </w:r>
            <w:r w:rsidR="6270B300" w:rsidRPr="00FE3C59">
              <w:rPr>
                <w:rFonts w:ascii="Times New Roman" w:hAnsi="Times New Roman" w:cs="Times New Roman"/>
                <w:lang w:val="en-GB"/>
              </w:rPr>
              <w:t xml:space="preserve"> shall be calculated as the </w:t>
            </w:r>
            <w:r w:rsidR="74DEA1A0" w:rsidRPr="00FE3C59">
              <w:rPr>
                <w:rFonts w:ascii="Times New Roman" w:hAnsi="Times New Roman" w:cs="Times New Roman"/>
                <w:lang w:val="en-GB"/>
              </w:rPr>
              <w:t xml:space="preserve">matrix product of the </w:t>
            </w:r>
            <w:r w:rsidR="6270B300" w:rsidRPr="00FE3C59">
              <w:rPr>
                <w:rFonts w:ascii="Times New Roman" w:hAnsi="Times New Roman" w:cs="Times New Roman"/>
                <w:lang w:val="en-GB"/>
              </w:rPr>
              <w:t xml:space="preserve">upper triangular half (without the diagonal) of the 25x25 matrix of correlations, multiplied by the </w:t>
            </w:r>
            <w:r w:rsidR="7571E0AC" w:rsidRPr="00FE3C59">
              <w:rPr>
                <w:rFonts w:ascii="Times New Roman" w:hAnsi="Times New Roman" w:cs="Times New Roman"/>
                <w:lang w:val="en-GB"/>
              </w:rPr>
              <w:t xml:space="preserve">upper triangular </w:t>
            </w:r>
            <w:r w:rsidR="6270B300" w:rsidRPr="00FE3C59">
              <w:rPr>
                <w:rFonts w:ascii="Times New Roman" w:hAnsi="Times New Roman" w:cs="Times New Roman"/>
                <w:lang w:val="en-GB"/>
              </w:rPr>
              <w:t>matrix</w:t>
            </w:r>
            <w:r w:rsidR="65AADBE5" w:rsidRPr="00FE3C59">
              <w:rPr>
                <w:rFonts w:ascii="Times New Roman" w:hAnsi="Times New Roman" w:cs="Times New Roman"/>
                <w:lang w:val="en-GB"/>
              </w:rPr>
              <w:t xml:space="preserve"> J :=</w:t>
            </w:r>
            <w:r w:rsidR="6270B300" w:rsidRPr="00FE3C59">
              <w:rPr>
                <w:rFonts w:ascii="Times New Roman" w:hAnsi="Times New Roman" w:cs="Times New Roman"/>
                <w:lang w:val="en-GB"/>
              </w:rPr>
              <w:t xml:space="preserve"> </w:t>
            </w:r>
            <m:oMath>
              <m:rad>
                <m:radPr>
                  <m:degHide m:val="1"/>
                  <m:ctrlPr>
                    <w:rPr>
                      <w:rFonts w:ascii="Cambria Math" w:hAnsi="Cambria Math" w:cs="Times New Roman"/>
                      <w:i/>
                      <w:lang w:val="en-GB"/>
                    </w:rPr>
                  </m:ctrlPr>
                </m:radPr>
                <m:deg/>
                <m:e>
                  <m:r>
                    <m:rPr>
                      <m:sty m:val="p"/>
                    </m:rPr>
                    <w:rPr>
                      <w:rFonts w:ascii="Cambria Math" w:hAnsi="Cambria Math" w:cs="Times New Roman"/>
                      <w:lang w:val="en-GB"/>
                    </w:rPr>
                    <m:t>abs(JTD DRC(Issuer ID1))∙abs(JTD DRC(Issuer ID2))</m:t>
                  </m:r>
                </m:e>
              </m:rad>
            </m:oMath>
            <w:r w:rsidR="001D2F84">
              <w:rPr>
                <w:rFonts w:ascii="Times New Roman" w:hAnsi="Times New Roman" w:cs="Times New Roman"/>
                <w:lang w:val="en-GB"/>
              </w:rPr>
              <w:t xml:space="preserve"> </w:t>
            </w:r>
            <w:r w:rsidR="082171B7" w:rsidRPr="00FE3C59">
              <w:rPr>
                <w:rFonts w:ascii="Times New Roman" w:hAnsi="Times New Roman" w:cs="Times New Roman"/>
                <w:lang w:val="en-GB"/>
              </w:rPr>
              <w:t>and normalized by the sum of elements of J.</w:t>
            </w:r>
          </w:p>
        </w:tc>
      </w:tr>
    </w:tbl>
    <w:p w14:paraId="202C7812" w14:textId="77777777" w:rsidR="00B530B5" w:rsidRPr="00FE3C59" w:rsidRDefault="00B530B5" w:rsidP="00B530B5">
      <w:pPr>
        <w:pStyle w:val="InstructionsText2"/>
        <w:ind w:left="0" w:firstLine="0"/>
      </w:pPr>
    </w:p>
    <w:tbl>
      <w:tblPr>
        <w:tblStyle w:val="TableGrid"/>
        <w:tblW w:w="0" w:type="auto"/>
        <w:tblLook w:val="04A0" w:firstRow="1" w:lastRow="0" w:firstColumn="1" w:lastColumn="0" w:noHBand="0" w:noVBand="1"/>
      </w:tblPr>
      <w:tblGrid>
        <w:gridCol w:w="1063"/>
        <w:gridCol w:w="7953"/>
      </w:tblGrid>
      <w:tr w:rsidR="00B530B5" w:rsidRPr="00FE3C59" w14:paraId="4763C5CC" w14:textId="77777777">
        <w:tc>
          <w:tcPr>
            <w:tcW w:w="1063" w:type="dxa"/>
            <w:shd w:val="clear" w:color="auto" w:fill="BFBFBF" w:themeFill="background1" w:themeFillShade="BF"/>
          </w:tcPr>
          <w:p w14:paraId="6506FE2A"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Row</w:t>
            </w:r>
          </w:p>
        </w:tc>
        <w:tc>
          <w:tcPr>
            <w:tcW w:w="7953" w:type="dxa"/>
            <w:shd w:val="clear" w:color="auto" w:fill="BFBFBF" w:themeFill="background1" w:themeFillShade="BF"/>
          </w:tcPr>
          <w:p w14:paraId="585170DD" w14:textId="77777777" w:rsidR="00B530B5" w:rsidRPr="00FE3C59" w:rsidRDefault="00B530B5" w:rsidP="00157901">
            <w:pPr>
              <w:pStyle w:val="BodyText"/>
              <w:spacing w:before="120"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B530B5" w:rsidRPr="00FE3C59" w14:paraId="42E49485" w14:textId="77777777">
        <w:tc>
          <w:tcPr>
            <w:tcW w:w="1063" w:type="dxa"/>
          </w:tcPr>
          <w:p w14:paraId="59A7F215"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0010</w:t>
            </w:r>
          </w:p>
        </w:tc>
        <w:tc>
          <w:tcPr>
            <w:tcW w:w="7953" w:type="dxa"/>
          </w:tcPr>
          <w:p w14:paraId="1AFEFAB4"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25 most significant issuers</w:t>
            </w:r>
          </w:p>
        </w:tc>
      </w:tr>
      <w:tr w:rsidR="00B530B5" w:rsidRPr="00FE3C59" w14:paraId="423E5594" w14:textId="77777777">
        <w:tc>
          <w:tcPr>
            <w:tcW w:w="1063" w:type="dxa"/>
          </w:tcPr>
          <w:p w14:paraId="562296F2" w14:textId="77777777" w:rsidR="00B530B5" w:rsidRPr="00FE3C59" w:rsidRDefault="00B530B5" w:rsidP="00157901">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0020-0260</w:t>
            </w:r>
          </w:p>
        </w:tc>
        <w:tc>
          <w:tcPr>
            <w:tcW w:w="7953" w:type="dxa"/>
          </w:tcPr>
          <w:p w14:paraId="08059995" w14:textId="77777777" w:rsidR="00B530B5" w:rsidRPr="00FE3C59" w:rsidRDefault="00B530B5" w:rsidP="008735E0">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Issuer 1 to issuer 25</w:t>
            </w:r>
          </w:p>
          <w:p w14:paraId="59E1B089" w14:textId="1579F187" w:rsidR="00B530B5" w:rsidRPr="00FE3C59" w:rsidRDefault="00B530B5">
            <w:pPr>
              <w:pStyle w:val="Tabelleninhalt"/>
              <w:spacing w:after="120"/>
              <w:rPr>
                <w:rFonts w:ascii="Times New Roman" w:hAnsi="Times New Roman" w:cs="Times New Roman"/>
                <w:lang w:val="en-GB"/>
              </w:rPr>
            </w:pPr>
            <w:r w:rsidRPr="00FE3C59">
              <w:rPr>
                <w:rFonts w:ascii="Times New Roman" w:hAnsi="Times New Roman" w:cs="Times New Roman"/>
                <w:lang w:val="en-GB"/>
              </w:rPr>
              <w:t>The issuers shall be ranked. The most significant issuer shall be reported as issuer 1, the least significant among the top 25 as issuer 25. The identification of the issuers 1, 2, etc. shall be consistent between templates MKR IMA CORR1 and MKR IMA CORR2.</w:t>
            </w:r>
          </w:p>
        </w:tc>
      </w:tr>
    </w:tbl>
    <w:p w14:paraId="1455274B" w14:textId="26524A2E" w:rsidR="00252550" w:rsidRPr="00FE3C59" w:rsidRDefault="00135C47" w:rsidP="00252550">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4.</w:t>
      </w:r>
      <w:r>
        <w:rPr>
          <w:rFonts w:ascii="Times New Roman" w:hAnsi="Times New Roman" w:cs="Times New Roman"/>
          <w:sz w:val="24"/>
          <w:szCs w:val="24"/>
          <w:u w:val="none"/>
          <w:lang w:val="en-GB"/>
        </w:rPr>
        <w:tab/>
      </w:r>
      <w:r w:rsidR="00252550" w:rsidRPr="00FE3C59">
        <w:rPr>
          <w:rFonts w:ascii="Times New Roman" w:hAnsi="Times New Roman" w:cs="Times New Roman"/>
          <w:sz w:val="24"/>
          <w:szCs w:val="24"/>
          <w:u w:val="none"/>
          <w:lang w:val="en-GB"/>
        </w:rPr>
        <w:t>C 9</w:t>
      </w:r>
      <w:r>
        <w:rPr>
          <w:rFonts w:ascii="Times New Roman" w:hAnsi="Times New Roman" w:cs="Times New Roman"/>
          <w:sz w:val="24"/>
          <w:szCs w:val="24"/>
          <w:u w:val="none"/>
          <w:lang w:val="en-GB"/>
        </w:rPr>
        <w:t>9</w:t>
      </w:r>
      <w:r w:rsidR="00252550" w:rsidRPr="00FE3C59">
        <w:rPr>
          <w:rFonts w:ascii="Times New Roman" w:hAnsi="Times New Roman" w:cs="Times New Roman"/>
          <w:sz w:val="24"/>
          <w:szCs w:val="24"/>
          <w:u w:val="none"/>
          <w:lang w:val="en-GB"/>
        </w:rPr>
        <w:t>.0</w:t>
      </w:r>
      <w:r>
        <w:rPr>
          <w:rFonts w:ascii="Times New Roman" w:hAnsi="Times New Roman" w:cs="Times New Roman"/>
          <w:sz w:val="24"/>
          <w:szCs w:val="24"/>
          <w:u w:val="none"/>
          <w:lang w:val="en-GB"/>
        </w:rPr>
        <w:t>0</w:t>
      </w:r>
      <w:r w:rsidR="00252550" w:rsidRPr="00FE3C59">
        <w:rPr>
          <w:rFonts w:ascii="Times New Roman" w:hAnsi="Times New Roman" w:cs="Times New Roman"/>
          <w:sz w:val="24"/>
          <w:szCs w:val="24"/>
          <w:u w:val="none"/>
          <w:lang w:val="en-GB"/>
        </w:rPr>
        <w:t xml:space="preserve"> </w:t>
      </w:r>
      <w:r>
        <w:rPr>
          <w:rFonts w:ascii="Times New Roman" w:hAnsi="Times New Roman" w:cs="Times New Roman"/>
          <w:sz w:val="24"/>
          <w:szCs w:val="24"/>
          <w:u w:val="none"/>
          <w:lang w:val="en-GB"/>
        </w:rPr>
        <w:t>Market risk:</w:t>
      </w:r>
      <w:r w:rsidR="00252550" w:rsidRPr="00FE3C59">
        <w:rPr>
          <w:rFonts w:ascii="Times New Roman" w:hAnsi="Times New Roman" w:cs="Times New Roman"/>
          <w:sz w:val="24"/>
          <w:szCs w:val="24"/>
          <w:u w:val="none"/>
          <w:lang w:val="en-GB"/>
        </w:rPr>
        <w:t xml:space="preserve"> P&amp;L </w:t>
      </w:r>
      <w:r>
        <w:rPr>
          <w:rFonts w:ascii="Times New Roman" w:hAnsi="Times New Roman" w:cs="Times New Roman"/>
          <w:sz w:val="24"/>
          <w:szCs w:val="24"/>
          <w:u w:val="none"/>
          <w:lang w:val="en-GB"/>
        </w:rPr>
        <w:t xml:space="preserve">information </w:t>
      </w:r>
      <w:r w:rsidR="00252550" w:rsidRPr="00FE3C59">
        <w:rPr>
          <w:rFonts w:ascii="Times New Roman" w:hAnsi="Times New Roman" w:cs="Times New Roman"/>
          <w:sz w:val="24"/>
          <w:szCs w:val="24"/>
          <w:u w:val="none"/>
          <w:lang w:val="en-GB"/>
        </w:rPr>
        <w:t>(MKR PL)</w:t>
      </w:r>
    </w:p>
    <w:p w14:paraId="21D119B3" w14:textId="67EEEA60" w:rsidR="00252550" w:rsidRPr="00FE3C59" w:rsidRDefault="00135C47" w:rsidP="00252550">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4</w:t>
      </w:r>
      <w:r w:rsidR="00252550" w:rsidRPr="00FE3C59">
        <w:rPr>
          <w:rFonts w:ascii="Times New Roman" w:hAnsi="Times New Roman" w:cs="Times New Roman"/>
          <w:sz w:val="24"/>
          <w:szCs w:val="24"/>
          <w:u w:val="none"/>
          <w:lang w:val="en-GB"/>
        </w:rPr>
        <w:t>.1</w:t>
      </w:r>
      <w:r>
        <w:rPr>
          <w:rFonts w:ascii="Times New Roman" w:hAnsi="Times New Roman" w:cs="Times New Roman"/>
          <w:sz w:val="24"/>
          <w:szCs w:val="24"/>
          <w:u w:val="none"/>
          <w:lang w:val="en-GB"/>
        </w:rPr>
        <w:tab/>
      </w:r>
      <w:r w:rsidR="00252550" w:rsidRPr="00FE3C59">
        <w:rPr>
          <w:rFonts w:ascii="Times New Roman" w:hAnsi="Times New Roman" w:cs="Times New Roman"/>
          <w:sz w:val="24"/>
          <w:szCs w:val="24"/>
          <w:u w:val="none"/>
          <w:lang w:val="en-GB"/>
        </w:rPr>
        <w:t>General remarks</w:t>
      </w:r>
    </w:p>
    <w:p w14:paraId="3DE720E2" w14:textId="77777777" w:rsidR="001766CD" w:rsidRPr="001766CD" w:rsidRDefault="001766CD" w:rsidP="001766CD">
      <w:pPr>
        <w:pStyle w:val="ListParagraph"/>
        <w:numPr>
          <w:ilvl w:val="0"/>
          <w:numId w:val="57"/>
        </w:numPr>
        <w:rPr>
          <w:rFonts w:eastAsia="Times New Roman" w:cs="Times New Roman"/>
          <w:lang w:eastAsia="de-DE"/>
        </w:rPr>
      </w:pPr>
      <w:r w:rsidRPr="001766CD">
        <w:rPr>
          <w:rFonts w:eastAsia="Times New Roman" w:cs="Times New Roman"/>
          <w:lang w:eastAsia="de-DE"/>
        </w:rPr>
        <w:t>Institutions shall report the information specified in this section for each offsetting group in accordance with the specifications in Part I, section 1.4 of this annex.</w:t>
      </w:r>
    </w:p>
    <w:p w14:paraId="0388BB4A" w14:textId="6B0906C4" w:rsidR="004A3CB8" w:rsidRDefault="004A3CB8" w:rsidP="00135C47">
      <w:pPr>
        <w:pStyle w:val="InstructionsText2"/>
        <w:numPr>
          <w:ilvl w:val="0"/>
          <w:numId w:val="57"/>
        </w:numPr>
      </w:pPr>
      <w:r>
        <w:t xml:space="preserve">This template </w:t>
      </w:r>
      <w:r w:rsidR="0050383C">
        <w:t xml:space="preserve">shall be used to provide information on the </w:t>
      </w:r>
      <w:r w:rsidR="00C6364C">
        <w:t xml:space="preserve">daily </w:t>
      </w:r>
      <w:r w:rsidR="0050383C">
        <w:t xml:space="preserve">profits and losses </w:t>
      </w:r>
      <w:r w:rsidR="00C6364C">
        <w:t>generated by</w:t>
      </w:r>
      <w:r w:rsidR="0050383C">
        <w:t xml:space="preserve"> the institutions’ business </w:t>
      </w:r>
      <w:r w:rsidR="00C6364C">
        <w:t>subject to market risk</w:t>
      </w:r>
      <w:r w:rsidR="00CC789B">
        <w:t>, taking into account the following specifications:</w:t>
      </w:r>
    </w:p>
    <w:p w14:paraId="6F14BB14" w14:textId="07E5CCB9" w:rsidR="00252550" w:rsidRPr="00FE3C59" w:rsidRDefault="00252550" w:rsidP="004B7253">
      <w:pPr>
        <w:pStyle w:val="InstructionsText2"/>
        <w:numPr>
          <w:ilvl w:val="1"/>
          <w:numId w:val="57"/>
        </w:numPr>
      </w:pPr>
      <w:r w:rsidRPr="00FE3C59">
        <w:t xml:space="preserve">Where positions are trading book positions, the information provided in this template shall reflect the result of the daily revaluation of trading book positions in accordance with Article 105(3) of Regulation (EU) No 575/2013. </w:t>
      </w:r>
    </w:p>
    <w:p w14:paraId="2CB475EF" w14:textId="77777777" w:rsidR="00B545DD" w:rsidRDefault="00252550" w:rsidP="004B7253">
      <w:pPr>
        <w:pStyle w:val="InstructionsText2"/>
        <w:numPr>
          <w:ilvl w:val="1"/>
          <w:numId w:val="57"/>
        </w:numPr>
      </w:pPr>
      <w:r w:rsidRPr="00FE3C59">
        <w:t>Where positions are non-trading book positions, institutions shall reflect the profits and losses resulting from a daily revaluation associated with those positions on a best effort basis.</w:t>
      </w:r>
    </w:p>
    <w:p w14:paraId="7E2BA294" w14:textId="22AE5E92" w:rsidR="001766CD" w:rsidRPr="00FE3C59" w:rsidRDefault="00252550" w:rsidP="00DF0BB7">
      <w:pPr>
        <w:pStyle w:val="InstructionsText2"/>
        <w:numPr>
          <w:ilvl w:val="1"/>
          <w:numId w:val="57"/>
        </w:numPr>
      </w:pPr>
      <w:r w:rsidRPr="00FE3C59">
        <w:t>Institutions shall indicate whether the data included in the template covers only trading book positions, or both trading book positions and non-trading book positions subject to market risk.</w:t>
      </w:r>
    </w:p>
    <w:p w14:paraId="4B0C4C99" w14:textId="31100A76" w:rsidR="00252550" w:rsidRPr="00FE3C59" w:rsidRDefault="004073DA" w:rsidP="00252550">
      <w:pPr>
        <w:pStyle w:val="Instructionsberschrift2"/>
        <w:numPr>
          <w:ilvl w:val="0"/>
          <w:numId w:val="0"/>
        </w:numPr>
        <w:ind w:left="357" w:hanging="357"/>
        <w:rPr>
          <w:rFonts w:ascii="Times New Roman" w:hAnsi="Times New Roman" w:cs="Times New Roman"/>
          <w:sz w:val="24"/>
          <w:szCs w:val="24"/>
          <w:u w:val="none"/>
          <w:lang w:val="en-GB"/>
        </w:rPr>
      </w:pPr>
      <w:r>
        <w:rPr>
          <w:rFonts w:ascii="Times New Roman" w:hAnsi="Times New Roman" w:cs="Times New Roman"/>
          <w:sz w:val="24"/>
          <w:szCs w:val="24"/>
          <w:u w:val="none"/>
          <w:lang w:val="en-GB"/>
        </w:rPr>
        <w:t>4.</w:t>
      </w:r>
      <w:r w:rsidR="00252550" w:rsidRPr="00FE3C59">
        <w:rPr>
          <w:rFonts w:ascii="Times New Roman" w:hAnsi="Times New Roman" w:cs="Times New Roman"/>
          <w:sz w:val="24"/>
          <w:szCs w:val="24"/>
          <w:u w:val="none"/>
          <w:lang w:val="en-GB"/>
        </w:rPr>
        <w:t>2 Instructions concerning specific positions</w:t>
      </w:r>
    </w:p>
    <w:tbl>
      <w:tblPr>
        <w:tblStyle w:val="TableGrid"/>
        <w:tblW w:w="0" w:type="auto"/>
        <w:tblLook w:val="04A0" w:firstRow="1" w:lastRow="0" w:firstColumn="1" w:lastColumn="0" w:noHBand="0" w:noVBand="1"/>
      </w:tblPr>
      <w:tblGrid>
        <w:gridCol w:w="1043"/>
        <w:gridCol w:w="7973"/>
      </w:tblGrid>
      <w:tr w:rsidR="00252550" w:rsidRPr="00FE3C59" w14:paraId="5C59FB8D" w14:textId="77777777" w:rsidTr="00EF25E9">
        <w:tc>
          <w:tcPr>
            <w:tcW w:w="104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1E36C6A" w14:textId="77777777" w:rsidR="00252550" w:rsidRPr="00FE3C59" w:rsidRDefault="00252550" w:rsidP="00EF25E9">
            <w:pPr>
              <w:pStyle w:val="BodyText"/>
              <w:spacing w:after="120"/>
              <w:rPr>
                <w:rFonts w:ascii="Times New Roman" w:hAnsi="Times New Roman" w:cs="Times New Roman"/>
                <w:b/>
                <w:lang w:val="en-GB"/>
              </w:rPr>
            </w:pPr>
            <w:r w:rsidRPr="00FE3C59">
              <w:rPr>
                <w:rFonts w:ascii="Times New Roman" w:hAnsi="Times New Roman" w:cs="Times New Roman"/>
                <w:b/>
                <w:lang w:val="en-GB"/>
              </w:rPr>
              <w:t>Column</w:t>
            </w:r>
          </w:p>
        </w:tc>
        <w:tc>
          <w:tcPr>
            <w:tcW w:w="79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CC2E862" w14:textId="77777777" w:rsidR="00252550" w:rsidRPr="00FE3C59" w:rsidRDefault="00252550" w:rsidP="00EF25E9">
            <w:pPr>
              <w:pStyle w:val="BodyText"/>
              <w:spacing w:after="120"/>
              <w:rPr>
                <w:rFonts w:ascii="Times New Roman" w:hAnsi="Times New Roman" w:cs="Times New Roman"/>
                <w:b/>
                <w:lang w:val="en-GB"/>
              </w:rPr>
            </w:pPr>
            <w:r w:rsidRPr="00FE3C59">
              <w:rPr>
                <w:rFonts w:ascii="Times New Roman" w:hAnsi="Times New Roman" w:cs="Times New Roman"/>
                <w:b/>
                <w:lang w:val="en-GB"/>
              </w:rPr>
              <w:t>Legal references and instructions</w:t>
            </w:r>
          </w:p>
        </w:tc>
      </w:tr>
      <w:tr w:rsidR="00252550" w:rsidRPr="00FE3C59" w14:paraId="58B207B4" w14:textId="77777777" w:rsidTr="00EF25E9">
        <w:tc>
          <w:tcPr>
            <w:tcW w:w="1043" w:type="dxa"/>
            <w:tcBorders>
              <w:top w:val="single" w:sz="4" w:space="0" w:color="auto"/>
              <w:left w:val="single" w:sz="4" w:space="0" w:color="auto"/>
              <w:bottom w:val="single" w:sz="4" w:space="0" w:color="auto"/>
              <w:right w:val="single" w:sz="4" w:space="0" w:color="auto"/>
            </w:tcBorders>
            <w:hideMark/>
          </w:tcPr>
          <w:p w14:paraId="0314251F" w14:textId="77777777"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t>0010</w:t>
            </w:r>
          </w:p>
        </w:tc>
        <w:tc>
          <w:tcPr>
            <w:tcW w:w="7973" w:type="dxa"/>
            <w:tcBorders>
              <w:top w:val="single" w:sz="4" w:space="0" w:color="auto"/>
              <w:left w:val="single" w:sz="4" w:space="0" w:color="auto"/>
              <w:bottom w:val="single" w:sz="4" w:space="0" w:color="auto"/>
              <w:right w:val="single" w:sz="4" w:space="0" w:color="auto"/>
            </w:tcBorders>
            <w:vAlign w:val="bottom"/>
          </w:tcPr>
          <w:p w14:paraId="36E0C205" w14:textId="77777777" w:rsidR="00252550" w:rsidRPr="00FE3C59" w:rsidRDefault="00252550" w:rsidP="008F47C2">
            <w:pPr>
              <w:pStyle w:val="BodyText"/>
              <w:spacing w:before="120" w:after="120"/>
              <w:rPr>
                <w:rFonts w:ascii="Times New Roman" w:hAnsi="Times New Roman" w:cs="Times New Roman"/>
                <w:b/>
                <w:u w:val="single"/>
                <w:lang w:val="en-GB"/>
              </w:rPr>
            </w:pPr>
            <w:r w:rsidRPr="008F47C2">
              <w:rPr>
                <w:rFonts w:ascii="Times New Roman" w:hAnsi="Times New Roman" w:cs="Times New Roman"/>
                <w:b/>
                <w:bCs/>
                <w:u w:val="single"/>
                <w:lang w:val="en-GB"/>
              </w:rPr>
              <w:t>Date</w:t>
            </w:r>
            <w:r w:rsidRPr="00FE3C59">
              <w:rPr>
                <w:rFonts w:ascii="Times New Roman" w:hAnsi="Times New Roman" w:cs="Times New Roman"/>
                <w:b/>
                <w:u w:val="single"/>
                <w:lang w:val="en-GB"/>
              </w:rPr>
              <w:t xml:space="preserve"> (t)</w:t>
            </w:r>
          </w:p>
          <w:p w14:paraId="678016A7" w14:textId="0E237D7F" w:rsidR="00252550" w:rsidRPr="00FE3C59" w:rsidRDefault="00252550" w:rsidP="00EF25E9">
            <w:pPr>
              <w:pStyle w:val="BodyText"/>
              <w:spacing w:after="120"/>
              <w:rPr>
                <w:rFonts w:ascii="Times New Roman" w:hAnsi="Times New Roman" w:cs="Times New Roman"/>
                <w:lang w:val="en-GB"/>
              </w:rPr>
            </w:pPr>
            <w:r w:rsidRPr="00FE3C59">
              <w:rPr>
                <w:rFonts w:ascii="Times New Roman" w:hAnsi="Times New Roman" w:cs="Times New Roman"/>
                <w:lang w:val="en-GB"/>
              </w:rPr>
              <w:t xml:space="preserve">Institutions shall provide data for any business day in the </w:t>
            </w:r>
            <w:r w:rsidR="006A5131">
              <w:rPr>
                <w:rFonts w:ascii="Times New Roman" w:hAnsi="Times New Roman" w:cs="Times New Roman"/>
                <w:lang w:val="en-GB"/>
              </w:rPr>
              <w:t>reference period (three months-period ending with the reference date)</w:t>
            </w:r>
            <w:r w:rsidRPr="00FE3C59">
              <w:rPr>
                <w:rFonts w:ascii="Times New Roman" w:hAnsi="Times New Roman" w:cs="Times New Roman"/>
                <w:lang w:val="en-GB"/>
              </w:rPr>
              <w:t>.</w:t>
            </w:r>
          </w:p>
          <w:p w14:paraId="37F1F789" w14:textId="77777777" w:rsidR="00252550" w:rsidRPr="00FE3C59" w:rsidRDefault="00252550" w:rsidP="00EF25E9">
            <w:pPr>
              <w:pStyle w:val="BodyText"/>
              <w:spacing w:after="120"/>
              <w:rPr>
                <w:rFonts w:ascii="Times New Roman" w:hAnsi="Times New Roman" w:cs="Times New Roman"/>
                <w:lang w:val="en-GB"/>
              </w:rPr>
            </w:pPr>
            <w:r w:rsidRPr="00FE3C59">
              <w:rPr>
                <w:rFonts w:ascii="Times New Roman" w:hAnsi="Times New Roman" w:cs="Times New Roman"/>
                <w:lang w:val="en-GB"/>
              </w:rPr>
              <w:t>This is a row identifier which shall be unique for each row in the template.</w:t>
            </w:r>
          </w:p>
        </w:tc>
      </w:tr>
      <w:tr w:rsidR="00252550" w:rsidRPr="00FE3C59" w14:paraId="6DD81687" w14:textId="77777777" w:rsidTr="00EF25E9">
        <w:tc>
          <w:tcPr>
            <w:tcW w:w="1043" w:type="dxa"/>
            <w:tcBorders>
              <w:top w:val="single" w:sz="4" w:space="0" w:color="auto"/>
              <w:left w:val="single" w:sz="4" w:space="0" w:color="auto"/>
              <w:bottom w:val="single" w:sz="4" w:space="0" w:color="auto"/>
              <w:right w:val="single" w:sz="4" w:space="0" w:color="auto"/>
            </w:tcBorders>
            <w:hideMark/>
          </w:tcPr>
          <w:p w14:paraId="40DE626D" w14:textId="77777777"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t>0020-0</w:t>
            </w:r>
            <w:r>
              <w:rPr>
                <w:rFonts w:ascii="Times New Roman" w:hAnsi="Times New Roman" w:cs="Times New Roman"/>
                <w:lang w:val="en-GB"/>
              </w:rPr>
              <w:t>10</w:t>
            </w:r>
            <w:r w:rsidRPr="00FE3C59">
              <w:rPr>
                <w:rFonts w:ascii="Times New Roman" w:hAnsi="Times New Roman" w:cs="Times New Roman"/>
                <w:lang w:val="en-GB"/>
              </w:rPr>
              <w:t>0</w:t>
            </w:r>
          </w:p>
        </w:tc>
        <w:tc>
          <w:tcPr>
            <w:tcW w:w="7973" w:type="dxa"/>
            <w:tcBorders>
              <w:top w:val="single" w:sz="4" w:space="0" w:color="auto"/>
              <w:left w:val="single" w:sz="4" w:space="0" w:color="auto"/>
              <w:bottom w:val="single" w:sz="4" w:space="0" w:color="auto"/>
              <w:right w:val="single" w:sz="4" w:space="0" w:color="auto"/>
            </w:tcBorders>
            <w:vAlign w:val="bottom"/>
            <w:hideMark/>
          </w:tcPr>
          <w:p w14:paraId="2E72C7DD" w14:textId="77777777" w:rsidR="00252550" w:rsidRPr="00FE3C59" w:rsidRDefault="00252550" w:rsidP="008F47C2">
            <w:pPr>
              <w:pStyle w:val="BodyText"/>
              <w:spacing w:before="120" w:after="120"/>
              <w:rPr>
                <w:rFonts w:ascii="Times New Roman" w:hAnsi="Times New Roman" w:cs="Times New Roman"/>
                <w:b/>
                <w:u w:val="single"/>
                <w:lang w:val="en-GB"/>
              </w:rPr>
            </w:pPr>
            <w:r w:rsidRPr="008F47C2">
              <w:rPr>
                <w:rFonts w:ascii="Times New Roman" w:hAnsi="Times New Roman" w:cs="Times New Roman"/>
                <w:b/>
                <w:bCs/>
                <w:u w:val="single"/>
                <w:lang w:val="en-GB"/>
              </w:rPr>
              <w:t>Economic</w:t>
            </w:r>
            <w:r w:rsidRPr="00FE3C59">
              <w:rPr>
                <w:rFonts w:ascii="Times New Roman" w:hAnsi="Times New Roman" w:cs="Times New Roman"/>
                <w:b/>
                <w:u w:val="single"/>
                <w:lang w:val="en-GB"/>
              </w:rPr>
              <w:t xml:space="preserve"> profit (+) or loss (-)</w:t>
            </w:r>
          </w:p>
          <w:p w14:paraId="046A4214" w14:textId="77777777" w:rsidR="00252550" w:rsidRPr="00FE3C59" w:rsidRDefault="00252550" w:rsidP="00EF25E9">
            <w:pPr>
              <w:pStyle w:val="Tabelleninhalt"/>
              <w:spacing w:after="120"/>
              <w:rPr>
                <w:rFonts w:ascii="Times New Roman" w:hAnsi="Times New Roman" w:cs="Times New Roman"/>
                <w:lang w:val="en-GB"/>
              </w:rPr>
            </w:pPr>
            <w:r w:rsidRPr="00FE3C59">
              <w:rPr>
                <w:rFonts w:ascii="Times New Roman" w:hAnsi="Times New Roman" w:cs="Times New Roman"/>
                <w:lang w:val="en-GB"/>
              </w:rPr>
              <w:t>Article 325t(1) and 105(3) of Regulation (EU) No 575/2013</w:t>
            </w:r>
          </w:p>
          <w:p w14:paraId="7B75B61B" w14:textId="2CD66811" w:rsidR="00252550" w:rsidRPr="00FE3C59" w:rsidRDefault="00252550" w:rsidP="00EF25E9">
            <w:pPr>
              <w:pStyle w:val="Tabelleninhalt"/>
              <w:spacing w:after="120"/>
              <w:rPr>
                <w:rFonts w:ascii="Times New Roman" w:hAnsi="Times New Roman" w:cs="Times New Roman"/>
                <w:lang w:val="en-GB"/>
              </w:rPr>
            </w:pPr>
            <w:r w:rsidRPr="00FE3C59">
              <w:rPr>
                <w:rFonts w:ascii="Times New Roman" w:hAnsi="Times New Roman" w:cs="Times New Roman"/>
                <w:lang w:val="en-GB"/>
              </w:rPr>
              <w:t xml:space="preserve">Institutions shall report the profit and loss resulting from the daily marking of their trading book positions, and, where applicable, non-trading book positions subject to </w:t>
            </w:r>
            <w:r w:rsidR="00706C59">
              <w:rPr>
                <w:rFonts w:ascii="Times New Roman" w:hAnsi="Times New Roman" w:cs="Times New Roman"/>
                <w:lang w:val="en-GB"/>
              </w:rPr>
              <w:t>foreign exchange or commodities risk</w:t>
            </w:r>
            <w:r w:rsidRPr="00FE3C59">
              <w:rPr>
                <w:rFonts w:ascii="Times New Roman" w:hAnsi="Times New Roman" w:cs="Times New Roman"/>
                <w:lang w:val="en-GB"/>
              </w:rPr>
              <w:t xml:space="preserve">, using, where applicable, the </w:t>
            </w:r>
            <w:r w:rsidRPr="00FE3C59">
              <w:rPr>
                <w:rFonts w:ascii="Times New Roman" w:hAnsi="Times New Roman" w:cs="Times New Roman"/>
                <w:lang w:val="en-GB"/>
              </w:rPr>
              <w:lastRenderedPageBreak/>
              <w:t xml:space="preserve">pricing models that serve as a basis for reporting profit and loss to senior management. </w:t>
            </w:r>
            <w:r w:rsidR="00A534DA">
              <w:rPr>
                <w:rFonts w:ascii="Times New Roman" w:hAnsi="Times New Roman" w:cs="Times New Roman"/>
                <w:lang w:val="en-GB"/>
              </w:rPr>
              <w:t xml:space="preserve">Where an institution includes non-trading </w:t>
            </w:r>
            <w:r w:rsidR="00845BB6">
              <w:rPr>
                <w:rFonts w:ascii="Times New Roman" w:hAnsi="Times New Roman" w:cs="Times New Roman"/>
                <w:lang w:val="en-GB"/>
              </w:rPr>
              <w:t xml:space="preserve">book </w:t>
            </w:r>
            <w:r w:rsidR="00A534DA">
              <w:rPr>
                <w:rFonts w:ascii="Times New Roman" w:hAnsi="Times New Roman" w:cs="Times New Roman"/>
                <w:lang w:val="en-GB"/>
              </w:rPr>
              <w:t>positions</w:t>
            </w:r>
            <w:r w:rsidR="00A67240">
              <w:rPr>
                <w:rFonts w:ascii="Times New Roman" w:hAnsi="Times New Roman" w:cs="Times New Roman"/>
                <w:lang w:val="en-GB"/>
              </w:rPr>
              <w:t xml:space="preserve"> in this row</w:t>
            </w:r>
            <w:r w:rsidR="00A534DA">
              <w:rPr>
                <w:rFonts w:ascii="Times New Roman" w:hAnsi="Times New Roman" w:cs="Times New Roman"/>
                <w:lang w:val="en-GB"/>
              </w:rPr>
              <w:t xml:space="preserve">, only profits and losses </w:t>
            </w:r>
            <w:r w:rsidR="00FF222E">
              <w:rPr>
                <w:rFonts w:ascii="Times New Roman" w:hAnsi="Times New Roman" w:cs="Times New Roman"/>
                <w:lang w:val="en-GB"/>
              </w:rPr>
              <w:t xml:space="preserve">associated with the foreign exchange and </w:t>
            </w:r>
            <w:r w:rsidR="00A67240">
              <w:rPr>
                <w:rFonts w:ascii="Times New Roman" w:hAnsi="Times New Roman" w:cs="Times New Roman"/>
                <w:lang w:val="en-GB"/>
              </w:rPr>
              <w:t>commodities</w:t>
            </w:r>
            <w:r w:rsidR="00FF222E">
              <w:rPr>
                <w:rFonts w:ascii="Times New Roman" w:hAnsi="Times New Roman" w:cs="Times New Roman"/>
                <w:lang w:val="en-GB"/>
              </w:rPr>
              <w:t xml:space="preserve"> risk of these positions sh</w:t>
            </w:r>
            <w:r w:rsidR="00A86367">
              <w:rPr>
                <w:rFonts w:ascii="Times New Roman" w:hAnsi="Times New Roman" w:cs="Times New Roman"/>
                <w:lang w:val="en-GB"/>
              </w:rPr>
              <w:t>all be included into the economic profit and loss reported in this column.</w:t>
            </w:r>
          </w:p>
        </w:tc>
      </w:tr>
      <w:tr w:rsidR="00252550" w:rsidRPr="00FE3C59" w14:paraId="35793AB4" w14:textId="77777777" w:rsidTr="00EF25E9">
        <w:tc>
          <w:tcPr>
            <w:tcW w:w="1043" w:type="dxa"/>
            <w:tcBorders>
              <w:top w:val="single" w:sz="4" w:space="0" w:color="auto"/>
              <w:left w:val="single" w:sz="4" w:space="0" w:color="auto"/>
              <w:bottom w:val="single" w:sz="4" w:space="0" w:color="auto"/>
              <w:right w:val="single" w:sz="4" w:space="0" w:color="auto"/>
            </w:tcBorders>
            <w:hideMark/>
          </w:tcPr>
          <w:p w14:paraId="15E52877" w14:textId="77777777"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0020</w:t>
            </w:r>
          </w:p>
        </w:tc>
        <w:tc>
          <w:tcPr>
            <w:tcW w:w="7973" w:type="dxa"/>
            <w:tcBorders>
              <w:top w:val="single" w:sz="4" w:space="0" w:color="auto"/>
              <w:left w:val="single" w:sz="4" w:space="0" w:color="auto"/>
              <w:bottom w:val="single" w:sz="4" w:space="0" w:color="auto"/>
              <w:right w:val="single" w:sz="4" w:space="0" w:color="auto"/>
            </w:tcBorders>
            <w:vAlign w:val="bottom"/>
            <w:hideMark/>
          </w:tcPr>
          <w:p w14:paraId="134E149B" w14:textId="77777777" w:rsidR="00252550" w:rsidRPr="00FE3C59" w:rsidRDefault="00252550" w:rsidP="008F47C2">
            <w:pPr>
              <w:pStyle w:val="BodyText"/>
              <w:spacing w:before="120" w:after="120"/>
              <w:rPr>
                <w:rFonts w:ascii="Times New Roman" w:hAnsi="Times New Roman" w:cs="Times New Roman"/>
                <w:lang w:val="en-GB"/>
              </w:rPr>
            </w:pPr>
            <w:r w:rsidRPr="008F47C2">
              <w:rPr>
                <w:rFonts w:ascii="Times New Roman" w:hAnsi="Times New Roman" w:cs="Times New Roman"/>
                <w:b/>
                <w:bCs/>
                <w:u w:val="single"/>
                <w:lang w:val="en-GB"/>
              </w:rPr>
              <w:t>Total</w:t>
            </w:r>
          </w:p>
        </w:tc>
      </w:tr>
      <w:tr w:rsidR="008F47C2" w:rsidRPr="00FE3C59" w14:paraId="5551A385" w14:textId="77777777" w:rsidTr="00EF25E9">
        <w:tc>
          <w:tcPr>
            <w:tcW w:w="1043" w:type="dxa"/>
            <w:tcBorders>
              <w:top w:val="single" w:sz="4" w:space="0" w:color="auto"/>
              <w:left w:val="single" w:sz="4" w:space="0" w:color="auto"/>
              <w:bottom w:val="single" w:sz="4" w:space="0" w:color="auto"/>
              <w:right w:val="single" w:sz="4" w:space="0" w:color="auto"/>
            </w:tcBorders>
          </w:tcPr>
          <w:p w14:paraId="7C320D3A" w14:textId="609930FC" w:rsidR="008F47C2" w:rsidRPr="00FE3C59" w:rsidRDefault="008F47C2" w:rsidP="00EF25E9">
            <w:pPr>
              <w:pStyle w:val="BodyText"/>
              <w:spacing w:before="120" w:after="120"/>
              <w:rPr>
                <w:rFonts w:ascii="Times New Roman" w:hAnsi="Times New Roman" w:cs="Times New Roman"/>
                <w:lang w:val="en-GB"/>
              </w:rPr>
            </w:pPr>
            <w:r>
              <w:rPr>
                <w:rFonts w:ascii="Times New Roman" w:hAnsi="Times New Roman" w:cs="Times New Roman"/>
                <w:lang w:val="en-GB"/>
              </w:rPr>
              <w:t>0025</w:t>
            </w:r>
          </w:p>
        </w:tc>
        <w:tc>
          <w:tcPr>
            <w:tcW w:w="7973" w:type="dxa"/>
            <w:tcBorders>
              <w:top w:val="single" w:sz="4" w:space="0" w:color="auto"/>
              <w:left w:val="single" w:sz="4" w:space="0" w:color="auto"/>
              <w:bottom w:val="single" w:sz="4" w:space="0" w:color="auto"/>
              <w:right w:val="single" w:sz="4" w:space="0" w:color="auto"/>
            </w:tcBorders>
            <w:vAlign w:val="bottom"/>
          </w:tcPr>
          <w:p w14:paraId="50006E94" w14:textId="77777777" w:rsidR="008F47C2" w:rsidRDefault="008F47C2" w:rsidP="008F47C2">
            <w:pPr>
              <w:pStyle w:val="BodyText"/>
              <w:spacing w:before="120" w:after="120"/>
              <w:rPr>
                <w:rFonts w:ascii="Times New Roman" w:hAnsi="Times New Roman" w:cs="Times New Roman"/>
                <w:b/>
                <w:bCs/>
                <w:u w:val="single"/>
                <w:lang w:val="en-GB"/>
              </w:rPr>
            </w:pPr>
            <w:r>
              <w:rPr>
                <w:rFonts w:ascii="Times New Roman" w:hAnsi="Times New Roman" w:cs="Times New Roman"/>
                <w:b/>
                <w:bCs/>
                <w:u w:val="single"/>
                <w:lang w:val="en-GB"/>
              </w:rPr>
              <w:t>Total – Comments and explanations</w:t>
            </w:r>
          </w:p>
          <w:p w14:paraId="31654F6E" w14:textId="55B16796" w:rsidR="008F47C2" w:rsidRDefault="008B0565" w:rsidP="008F47C2">
            <w:pPr>
              <w:pStyle w:val="BodyText"/>
              <w:spacing w:before="120" w:after="120"/>
              <w:rPr>
                <w:rFonts w:ascii="Times New Roman" w:hAnsi="Times New Roman" w:cs="Times New Roman"/>
                <w:lang w:val="en-GB"/>
              </w:rPr>
            </w:pPr>
            <w:r w:rsidRPr="008B0565">
              <w:rPr>
                <w:rFonts w:ascii="Times New Roman" w:hAnsi="Times New Roman" w:cs="Times New Roman"/>
                <w:lang w:val="en-GB"/>
              </w:rPr>
              <w:t xml:space="preserve">Institutions </w:t>
            </w:r>
            <w:r w:rsidR="0098495E">
              <w:rPr>
                <w:rFonts w:ascii="Times New Roman" w:hAnsi="Times New Roman" w:cs="Times New Roman"/>
                <w:lang w:val="en-GB"/>
              </w:rPr>
              <w:t xml:space="preserve">shall explain how they obtained the value </w:t>
            </w:r>
            <w:r w:rsidR="00F77282">
              <w:rPr>
                <w:rFonts w:ascii="Times New Roman" w:hAnsi="Times New Roman" w:cs="Times New Roman"/>
                <w:lang w:val="en-GB"/>
              </w:rPr>
              <w:t>reported in column 002</w:t>
            </w:r>
            <w:r w:rsidR="001D732C">
              <w:rPr>
                <w:rFonts w:ascii="Times New Roman" w:hAnsi="Times New Roman" w:cs="Times New Roman"/>
                <w:lang w:val="en-GB"/>
              </w:rPr>
              <w:t>0</w:t>
            </w:r>
            <w:r w:rsidR="00F77282">
              <w:rPr>
                <w:rFonts w:ascii="Times New Roman" w:hAnsi="Times New Roman" w:cs="Times New Roman"/>
                <w:lang w:val="en-GB"/>
              </w:rPr>
              <w:t>.</w:t>
            </w:r>
          </w:p>
          <w:p w14:paraId="552D3922" w14:textId="35A458BA" w:rsidR="002E74A8" w:rsidRDefault="00F77282" w:rsidP="004313E4">
            <w:pPr>
              <w:pStyle w:val="BodyText"/>
              <w:spacing w:before="120" w:after="120"/>
              <w:rPr>
                <w:rFonts w:ascii="Times New Roman" w:hAnsi="Times New Roman" w:cs="Times New Roman"/>
                <w:lang w:val="en-GB"/>
              </w:rPr>
            </w:pPr>
            <w:r w:rsidRPr="00F77282">
              <w:rPr>
                <w:rFonts w:ascii="Times New Roman" w:hAnsi="Times New Roman" w:cs="Times New Roman"/>
                <w:lang w:val="en-GB"/>
              </w:rPr>
              <w:t>They shall</w:t>
            </w:r>
            <w:r w:rsidR="002E74A8">
              <w:rPr>
                <w:rFonts w:ascii="Times New Roman" w:hAnsi="Times New Roman" w:cs="Times New Roman"/>
                <w:lang w:val="en-GB"/>
              </w:rPr>
              <w:t xml:space="preserve"> </w:t>
            </w:r>
            <w:r w:rsidR="00042D7F">
              <w:rPr>
                <w:rFonts w:ascii="Times New Roman" w:hAnsi="Times New Roman" w:cs="Times New Roman"/>
                <w:lang w:val="en-GB"/>
              </w:rPr>
              <w:t>indicate</w:t>
            </w:r>
            <w:r w:rsidR="002E74A8">
              <w:rPr>
                <w:rFonts w:ascii="Times New Roman" w:hAnsi="Times New Roman" w:cs="Times New Roman"/>
                <w:lang w:val="en-GB"/>
              </w:rPr>
              <w:t xml:space="preserve"> at least </w:t>
            </w:r>
            <w:r w:rsidR="004313E4">
              <w:rPr>
                <w:rFonts w:ascii="Times New Roman" w:hAnsi="Times New Roman" w:cs="Times New Roman"/>
                <w:lang w:val="en-GB"/>
              </w:rPr>
              <w:t>the m</w:t>
            </w:r>
            <w:r w:rsidR="008D0BBC">
              <w:rPr>
                <w:rFonts w:ascii="Times New Roman" w:hAnsi="Times New Roman" w:cs="Times New Roman"/>
                <w:bCs/>
                <w:lang w:val="en-GB"/>
              </w:rPr>
              <w:t>ain e</w:t>
            </w:r>
            <w:r w:rsidR="002E74A8" w:rsidRPr="00094C7E">
              <w:rPr>
                <w:rFonts w:ascii="Times New Roman" w:hAnsi="Times New Roman" w:cs="Times New Roman"/>
                <w:bCs/>
                <w:lang w:val="en-GB"/>
              </w:rPr>
              <w:t>lements</w:t>
            </w:r>
            <w:r w:rsidR="002E74A8">
              <w:rPr>
                <w:rFonts w:ascii="Times New Roman" w:hAnsi="Times New Roman" w:cs="Times New Roman"/>
                <w:lang w:val="en-GB"/>
              </w:rPr>
              <w:t xml:space="preserve"> included or excluded from the profit and loss</w:t>
            </w:r>
            <w:r w:rsidR="006F01CC">
              <w:rPr>
                <w:rFonts w:ascii="Times New Roman" w:hAnsi="Times New Roman" w:cs="Times New Roman"/>
                <w:lang w:val="en-GB"/>
              </w:rPr>
              <w:t xml:space="preserve"> reported in that column</w:t>
            </w:r>
            <w:r w:rsidR="004313E4">
              <w:rPr>
                <w:rFonts w:ascii="Times New Roman" w:hAnsi="Times New Roman" w:cs="Times New Roman"/>
                <w:lang w:val="en-GB"/>
              </w:rPr>
              <w:t>.</w:t>
            </w:r>
          </w:p>
          <w:p w14:paraId="45769D7A" w14:textId="59EE4767" w:rsidR="00320869" w:rsidRPr="001822B2" w:rsidRDefault="004313E4" w:rsidP="00DE0FF6">
            <w:pPr>
              <w:pStyle w:val="BodyText"/>
              <w:spacing w:before="120" w:after="120"/>
              <w:rPr>
                <w:rFonts w:ascii="Times New Roman" w:hAnsi="Times New Roman" w:cs="Times New Roman"/>
                <w:lang w:val="en-GB"/>
              </w:rPr>
            </w:pPr>
            <w:r w:rsidRPr="001822B2">
              <w:rPr>
                <w:rFonts w:ascii="Times New Roman" w:hAnsi="Times New Roman" w:cs="Times New Roman"/>
                <w:lang w:val="en-GB"/>
              </w:rPr>
              <w:t>They may provide further informatio</w:t>
            </w:r>
            <w:r w:rsidR="005C248A" w:rsidRPr="001822B2">
              <w:rPr>
                <w:rFonts w:ascii="Times New Roman" w:hAnsi="Times New Roman" w:cs="Times New Roman"/>
                <w:lang w:val="en-GB"/>
              </w:rPr>
              <w:t>n</w:t>
            </w:r>
            <w:r w:rsidR="001822B2">
              <w:rPr>
                <w:rFonts w:ascii="Times New Roman" w:hAnsi="Times New Roman" w:cs="Times New Roman"/>
                <w:lang w:val="en-GB"/>
              </w:rPr>
              <w:t xml:space="preserve"> they deem relevant for the correct interpretation of the values</w:t>
            </w:r>
            <w:r w:rsidRPr="001822B2">
              <w:rPr>
                <w:rFonts w:ascii="Times New Roman" w:hAnsi="Times New Roman" w:cs="Times New Roman"/>
                <w:lang w:val="en-GB"/>
              </w:rPr>
              <w:t xml:space="preserve">, included, but not limited </w:t>
            </w:r>
            <w:r w:rsidR="000C39B4" w:rsidRPr="001822B2">
              <w:rPr>
                <w:rFonts w:ascii="Times New Roman" w:hAnsi="Times New Roman" w:cs="Times New Roman"/>
                <w:lang w:val="en-GB"/>
              </w:rPr>
              <w:t>to</w:t>
            </w:r>
            <w:r w:rsidR="00DE0FF6">
              <w:rPr>
                <w:rFonts w:ascii="Times New Roman" w:hAnsi="Times New Roman" w:cs="Times New Roman"/>
                <w:lang w:val="en-GB"/>
              </w:rPr>
              <w:t>, information on core methodological assumptions</w:t>
            </w:r>
            <w:r w:rsidR="00E91919">
              <w:rPr>
                <w:rFonts w:ascii="Times New Roman" w:hAnsi="Times New Roman" w:cs="Times New Roman"/>
                <w:lang w:val="en-GB"/>
              </w:rPr>
              <w:t xml:space="preserve">, </w:t>
            </w:r>
            <w:r w:rsidR="00A05420">
              <w:rPr>
                <w:rFonts w:ascii="Times New Roman" w:hAnsi="Times New Roman" w:cs="Times New Roman"/>
                <w:lang w:val="en-GB"/>
              </w:rPr>
              <w:t xml:space="preserve">update of the valuation adjustments, or </w:t>
            </w:r>
            <w:r w:rsidR="00CF6857">
              <w:rPr>
                <w:rFonts w:ascii="Times New Roman" w:hAnsi="Times New Roman" w:cs="Times New Roman"/>
                <w:lang w:val="en-GB"/>
              </w:rPr>
              <w:t>extraordinary events affecting the P&amp;L of a certain business day</w:t>
            </w:r>
            <w:r w:rsidR="00E91919">
              <w:rPr>
                <w:rFonts w:ascii="Times New Roman" w:hAnsi="Times New Roman" w:cs="Times New Roman"/>
                <w:lang w:val="en-GB"/>
              </w:rPr>
              <w:t>.</w:t>
            </w:r>
          </w:p>
          <w:tbl>
            <w:tblPr>
              <w:tblStyle w:val="TableGrid"/>
              <w:tblW w:w="0" w:type="auto"/>
              <w:tblLook w:val="04A0" w:firstRow="1" w:lastRow="0" w:firstColumn="1" w:lastColumn="0" w:noHBand="0" w:noVBand="1"/>
            </w:tblPr>
            <w:tblGrid>
              <w:gridCol w:w="7747"/>
            </w:tblGrid>
            <w:tr w:rsidR="00094C7E" w14:paraId="3D191B78" w14:textId="77777777" w:rsidTr="00094C7E">
              <w:tc>
                <w:tcPr>
                  <w:tcW w:w="7747" w:type="dxa"/>
                </w:tcPr>
                <w:p w14:paraId="65FF7E2E" w14:textId="77777777" w:rsidR="00094C7E" w:rsidRPr="00FD272C" w:rsidRDefault="00094C7E" w:rsidP="00094C7E">
                  <w:pPr>
                    <w:pStyle w:val="body"/>
                    <w:rPr>
                      <w:b/>
                      <w:bCs/>
                    </w:rPr>
                  </w:pPr>
                  <w:r w:rsidRPr="00FD272C">
                    <w:rPr>
                      <w:b/>
                      <w:bCs/>
                    </w:rPr>
                    <w:t>Explanatory text for consultation purposes</w:t>
                  </w:r>
                </w:p>
                <w:p w14:paraId="5F0E27C8" w14:textId="39D210F1" w:rsidR="00A73BBC" w:rsidRPr="00385F84" w:rsidRDefault="006F4789" w:rsidP="004A7F83">
                  <w:pPr>
                    <w:pStyle w:val="body"/>
                  </w:pPr>
                  <w:r w:rsidRPr="003D74C2">
                    <w:t>The request to provide information on the</w:t>
                  </w:r>
                  <w:r w:rsidR="00385F84" w:rsidRPr="003D74C2">
                    <w:t xml:space="preserve"> </w:t>
                  </w:r>
                  <w:r w:rsidR="0091299C" w:rsidRPr="003D74C2">
                    <w:t>‘</w:t>
                  </w:r>
                  <w:r w:rsidR="008D0BBC">
                    <w:t xml:space="preserve">main </w:t>
                  </w:r>
                  <w:r w:rsidR="00385F84" w:rsidRPr="003D74C2">
                    <w:t>e</w:t>
                  </w:r>
                  <w:r w:rsidR="0091299C" w:rsidRPr="003D74C2">
                    <w:t>lements included or excluded from the profit and loss’</w:t>
                  </w:r>
                  <w:r w:rsidRPr="003D74C2">
                    <w:t xml:space="preserve"> aims to understand the scope of positions and activities </w:t>
                  </w:r>
                  <w:r w:rsidR="001E19C8" w:rsidRPr="003D74C2">
                    <w:t>that generated the profits/losses</w:t>
                  </w:r>
                  <w:r w:rsidR="00311B78">
                    <w:t xml:space="preserve"> (only a limited degree of detail needed)</w:t>
                  </w:r>
                  <w:r w:rsidR="001E19C8" w:rsidRPr="003D74C2">
                    <w:t xml:space="preserve">. </w:t>
                  </w:r>
                  <w:r w:rsidR="00654317">
                    <w:t>Institutions could give a h</w:t>
                  </w:r>
                  <w:r w:rsidR="00311B78">
                    <w:t>i</w:t>
                  </w:r>
                  <w:r w:rsidR="00654317">
                    <w:t xml:space="preserve">gh-level indication of </w:t>
                  </w:r>
                  <w:r w:rsidR="00311B78">
                    <w:t>‘categories’ of ite</w:t>
                  </w:r>
                  <w:r w:rsidR="00654317">
                    <w:t xml:space="preserve">ms that are included or excluded. For example, institutions could state </w:t>
                  </w:r>
                  <w:r w:rsidR="00E55C76" w:rsidRPr="003D74C2">
                    <w:t>whether the reported values</w:t>
                  </w:r>
                  <w:r w:rsidR="00D744A4" w:rsidRPr="003D74C2">
                    <w:t xml:space="preserve"> includes or excludes, for example, </w:t>
                  </w:r>
                  <w:r w:rsidR="00A73BBC" w:rsidRPr="003D74C2">
                    <w:t>fees, commissions, value adjustments; intraday deals; the day 1 profit and loss,</w:t>
                  </w:r>
                  <w:r w:rsidR="00D744A4" w:rsidRPr="003D74C2">
                    <w:t xml:space="preserve"> or similar.</w:t>
                  </w:r>
                </w:p>
              </w:tc>
            </w:tr>
          </w:tbl>
          <w:p w14:paraId="3683E83B" w14:textId="7CF2A7E1" w:rsidR="0015662C" w:rsidRDefault="00770AEC" w:rsidP="00B7601A">
            <w:pPr>
              <w:pStyle w:val="BodyText"/>
              <w:spacing w:before="120" w:after="120"/>
              <w:rPr>
                <w:rFonts w:ascii="Times New Roman" w:hAnsi="Times New Roman" w:cs="Times New Roman"/>
                <w:bCs/>
                <w:lang w:val="en-GB"/>
              </w:rPr>
            </w:pPr>
            <w:r>
              <w:rPr>
                <w:rFonts w:ascii="Times New Roman" w:hAnsi="Times New Roman" w:cs="Times New Roman"/>
                <w:bCs/>
                <w:lang w:val="en-GB"/>
              </w:rPr>
              <w:t xml:space="preserve">Where the </w:t>
            </w:r>
            <w:r w:rsidR="007B5556">
              <w:rPr>
                <w:rFonts w:ascii="Times New Roman" w:hAnsi="Times New Roman" w:cs="Times New Roman"/>
                <w:bCs/>
                <w:lang w:val="en-GB"/>
              </w:rPr>
              <w:t xml:space="preserve">institution applied the same approach for calculating the </w:t>
            </w:r>
            <w:r w:rsidR="001D732C">
              <w:rPr>
                <w:rFonts w:ascii="Times New Roman" w:hAnsi="Times New Roman" w:cs="Times New Roman"/>
                <w:bCs/>
                <w:lang w:val="en-GB"/>
              </w:rPr>
              <w:t xml:space="preserve">values in column 0020 </w:t>
            </w:r>
            <w:r w:rsidR="00373A3C">
              <w:rPr>
                <w:rFonts w:ascii="Times New Roman" w:hAnsi="Times New Roman" w:cs="Times New Roman"/>
                <w:bCs/>
                <w:lang w:val="en-GB"/>
              </w:rPr>
              <w:t xml:space="preserve">for every business </w:t>
            </w:r>
            <w:r w:rsidR="00373A3C" w:rsidRPr="00B7601A">
              <w:rPr>
                <w:rFonts w:ascii="Times New Roman" w:hAnsi="Times New Roman" w:cs="Times New Roman"/>
                <w:lang w:val="en-GB"/>
              </w:rPr>
              <w:t>day</w:t>
            </w:r>
            <w:r w:rsidR="00373A3C">
              <w:rPr>
                <w:rFonts w:ascii="Times New Roman" w:hAnsi="Times New Roman" w:cs="Times New Roman"/>
                <w:bCs/>
                <w:lang w:val="en-GB"/>
              </w:rPr>
              <w:t xml:space="preserve"> of the </w:t>
            </w:r>
            <w:r w:rsidR="000210A8">
              <w:rPr>
                <w:rFonts w:ascii="Times New Roman" w:hAnsi="Times New Roman" w:cs="Times New Roman"/>
                <w:bCs/>
                <w:lang w:val="en-GB"/>
              </w:rPr>
              <w:t xml:space="preserve">whole reference period, </w:t>
            </w:r>
            <w:r w:rsidR="00CC744B">
              <w:rPr>
                <w:rFonts w:ascii="Times New Roman" w:hAnsi="Times New Roman" w:cs="Times New Roman"/>
                <w:bCs/>
                <w:lang w:val="en-GB"/>
              </w:rPr>
              <w:t>they</w:t>
            </w:r>
            <w:r w:rsidR="006B3C32">
              <w:rPr>
                <w:rFonts w:ascii="Times New Roman" w:hAnsi="Times New Roman" w:cs="Times New Roman"/>
                <w:bCs/>
                <w:lang w:val="en-GB"/>
              </w:rPr>
              <w:t xml:space="preserve"> may provide that information </w:t>
            </w:r>
            <w:r w:rsidR="006A5131">
              <w:rPr>
                <w:rFonts w:ascii="Times New Roman" w:hAnsi="Times New Roman" w:cs="Times New Roman"/>
                <w:bCs/>
                <w:lang w:val="en-GB"/>
              </w:rPr>
              <w:t xml:space="preserve">only </w:t>
            </w:r>
            <w:r w:rsidR="006B3C32">
              <w:rPr>
                <w:rFonts w:ascii="Times New Roman" w:hAnsi="Times New Roman" w:cs="Times New Roman"/>
                <w:bCs/>
                <w:lang w:val="en-GB"/>
              </w:rPr>
              <w:t xml:space="preserve">once in the row corresponding to the last business day of the </w:t>
            </w:r>
            <w:r w:rsidR="006A5131">
              <w:rPr>
                <w:rFonts w:ascii="Times New Roman" w:hAnsi="Times New Roman" w:cs="Times New Roman"/>
                <w:bCs/>
                <w:lang w:val="en-GB"/>
              </w:rPr>
              <w:t>reference period</w:t>
            </w:r>
            <w:r w:rsidR="007B5556">
              <w:rPr>
                <w:rFonts w:ascii="Times New Roman" w:hAnsi="Times New Roman" w:cs="Times New Roman"/>
                <w:bCs/>
                <w:lang w:val="en-GB"/>
              </w:rPr>
              <w:t>.</w:t>
            </w:r>
          </w:p>
          <w:p w14:paraId="27327224" w14:textId="57D02C1A" w:rsidR="00094C7E" w:rsidRPr="00F9704A" w:rsidRDefault="007B5556" w:rsidP="00B7601A">
            <w:pPr>
              <w:pStyle w:val="BodyText"/>
              <w:spacing w:before="120" w:after="120"/>
              <w:rPr>
                <w:rFonts w:ascii="Times New Roman" w:hAnsi="Times New Roman" w:cs="Times New Roman"/>
                <w:bCs/>
                <w:lang w:val="en-GB"/>
              </w:rPr>
            </w:pPr>
            <w:r>
              <w:rPr>
                <w:rFonts w:ascii="Times New Roman" w:hAnsi="Times New Roman" w:cs="Times New Roman"/>
                <w:bCs/>
                <w:lang w:val="en-GB"/>
              </w:rPr>
              <w:t xml:space="preserve">Where the institution applied a different approach for calculating the values in column 0020 for certain business </w:t>
            </w:r>
            <w:r w:rsidRPr="00B7601A">
              <w:rPr>
                <w:rFonts w:ascii="Times New Roman" w:hAnsi="Times New Roman" w:cs="Times New Roman"/>
                <w:lang w:val="en-GB"/>
              </w:rPr>
              <w:t>day</w:t>
            </w:r>
            <w:r>
              <w:rPr>
                <w:rFonts w:ascii="Times New Roman" w:hAnsi="Times New Roman" w:cs="Times New Roman"/>
                <w:lang w:val="en-GB"/>
              </w:rPr>
              <w:t xml:space="preserve">s of </w:t>
            </w:r>
            <w:r>
              <w:rPr>
                <w:rFonts w:ascii="Times New Roman" w:hAnsi="Times New Roman" w:cs="Times New Roman"/>
                <w:bCs/>
                <w:lang w:val="en-GB"/>
              </w:rPr>
              <w:t xml:space="preserve">reference period, </w:t>
            </w:r>
            <w:r w:rsidR="00CC744B">
              <w:rPr>
                <w:rFonts w:ascii="Times New Roman" w:hAnsi="Times New Roman" w:cs="Times New Roman"/>
                <w:bCs/>
                <w:lang w:val="en-GB"/>
              </w:rPr>
              <w:t xml:space="preserve">or </w:t>
            </w:r>
            <w:r w:rsidR="00116F87">
              <w:rPr>
                <w:rFonts w:ascii="Times New Roman" w:hAnsi="Times New Roman" w:cs="Times New Roman"/>
                <w:bCs/>
                <w:lang w:val="en-GB"/>
              </w:rPr>
              <w:t xml:space="preserve">from a certain business day </w:t>
            </w:r>
            <w:r w:rsidR="00CC744B">
              <w:rPr>
                <w:rFonts w:ascii="Times New Roman" w:hAnsi="Times New Roman" w:cs="Times New Roman"/>
                <w:bCs/>
                <w:lang w:val="en-GB"/>
              </w:rPr>
              <w:t xml:space="preserve">of the reference period </w:t>
            </w:r>
            <w:r w:rsidR="00116F87">
              <w:rPr>
                <w:rFonts w:ascii="Times New Roman" w:hAnsi="Times New Roman" w:cs="Times New Roman"/>
                <w:bCs/>
                <w:lang w:val="en-GB"/>
              </w:rPr>
              <w:t xml:space="preserve">onwards, </w:t>
            </w:r>
            <w:r w:rsidR="00CC744B">
              <w:rPr>
                <w:rFonts w:ascii="Times New Roman" w:hAnsi="Times New Roman" w:cs="Times New Roman"/>
                <w:bCs/>
                <w:lang w:val="en-GB"/>
              </w:rPr>
              <w:t>as applicable, they</w:t>
            </w:r>
            <w:r w:rsidR="00B7601A">
              <w:rPr>
                <w:rFonts w:ascii="Times New Roman" w:hAnsi="Times New Roman" w:cs="Times New Roman"/>
                <w:bCs/>
                <w:lang w:val="en-GB"/>
              </w:rPr>
              <w:t xml:space="preserve"> shall </w:t>
            </w:r>
            <w:r w:rsidR="006B57AB">
              <w:rPr>
                <w:rFonts w:ascii="Times New Roman" w:hAnsi="Times New Roman" w:cs="Times New Roman"/>
                <w:bCs/>
                <w:lang w:val="en-GB"/>
              </w:rPr>
              <w:t>include the information into the row</w:t>
            </w:r>
            <w:r w:rsidR="00CC744B">
              <w:rPr>
                <w:rFonts w:ascii="Times New Roman" w:hAnsi="Times New Roman" w:cs="Times New Roman"/>
                <w:bCs/>
                <w:lang w:val="en-GB"/>
              </w:rPr>
              <w:t>s</w:t>
            </w:r>
            <w:r w:rsidR="006B57AB">
              <w:rPr>
                <w:rFonts w:ascii="Times New Roman" w:hAnsi="Times New Roman" w:cs="Times New Roman"/>
                <w:bCs/>
                <w:lang w:val="en-GB"/>
              </w:rPr>
              <w:t xml:space="preserve"> corresponding to the respective bu</w:t>
            </w:r>
            <w:r w:rsidR="006433AA">
              <w:rPr>
                <w:rFonts w:ascii="Times New Roman" w:hAnsi="Times New Roman" w:cs="Times New Roman"/>
                <w:bCs/>
                <w:lang w:val="en-GB"/>
              </w:rPr>
              <w:t>siness day</w:t>
            </w:r>
            <w:r w:rsidR="00F93999">
              <w:rPr>
                <w:rFonts w:ascii="Times New Roman" w:hAnsi="Times New Roman" w:cs="Times New Roman"/>
                <w:bCs/>
                <w:lang w:val="en-GB"/>
              </w:rPr>
              <w:t>s</w:t>
            </w:r>
            <w:r w:rsidR="006433AA">
              <w:rPr>
                <w:rFonts w:ascii="Times New Roman" w:hAnsi="Times New Roman" w:cs="Times New Roman"/>
                <w:bCs/>
                <w:lang w:val="en-GB"/>
              </w:rPr>
              <w:t>, or</w:t>
            </w:r>
            <w:r w:rsidR="006B57AB">
              <w:rPr>
                <w:rFonts w:ascii="Times New Roman" w:hAnsi="Times New Roman" w:cs="Times New Roman"/>
                <w:bCs/>
                <w:lang w:val="en-GB"/>
              </w:rPr>
              <w:t xml:space="preserve"> </w:t>
            </w:r>
            <w:r w:rsidR="00A855B0">
              <w:rPr>
                <w:rFonts w:ascii="Times New Roman" w:hAnsi="Times New Roman" w:cs="Times New Roman"/>
                <w:bCs/>
                <w:lang w:val="en-GB"/>
              </w:rPr>
              <w:t xml:space="preserve">the one corresponding to the </w:t>
            </w:r>
            <w:r w:rsidR="006B57AB">
              <w:rPr>
                <w:rFonts w:ascii="Times New Roman" w:hAnsi="Times New Roman" w:cs="Times New Roman"/>
                <w:bCs/>
                <w:lang w:val="en-GB"/>
              </w:rPr>
              <w:t>first business day</w:t>
            </w:r>
            <w:r w:rsidR="006433AA">
              <w:rPr>
                <w:rFonts w:ascii="Times New Roman" w:hAnsi="Times New Roman" w:cs="Times New Roman"/>
                <w:bCs/>
                <w:lang w:val="en-GB"/>
              </w:rPr>
              <w:t xml:space="preserve"> </w:t>
            </w:r>
            <w:r w:rsidR="007B404D">
              <w:rPr>
                <w:rFonts w:ascii="Times New Roman" w:hAnsi="Times New Roman" w:cs="Times New Roman"/>
                <w:bCs/>
                <w:lang w:val="en-GB"/>
              </w:rPr>
              <w:t xml:space="preserve">where the revised </w:t>
            </w:r>
            <w:r w:rsidR="00A855B0">
              <w:rPr>
                <w:rFonts w:ascii="Times New Roman" w:hAnsi="Times New Roman" w:cs="Times New Roman"/>
                <w:bCs/>
                <w:lang w:val="en-GB"/>
              </w:rPr>
              <w:t>approach</w:t>
            </w:r>
            <w:r w:rsidR="007B404D">
              <w:rPr>
                <w:rFonts w:ascii="Times New Roman" w:hAnsi="Times New Roman" w:cs="Times New Roman"/>
                <w:bCs/>
                <w:lang w:val="en-GB"/>
              </w:rPr>
              <w:t xml:space="preserve"> was applied</w:t>
            </w:r>
            <w:r w:rsidR="00F93999">
              <w:rPr>
                <w:rFonts w:ascii="Times New Roman" w:hAnsi="Times New Roman" w:cs="Times New Roman"/>
                <w:bCs/>
                <w:lang w:val="en-GB"/>
              </w:rPr>
              <w:t xml:space="preserve">. </w:t>
            </w:r>
          </w:p>
        </w:tc>
      </w:tr>
      <w:tr w:rsidR="00252550" w:rsidRPr="00FE3C59" w14:paraId="15B1EFB5" w14:textId="77777777" w:rsidTr="00EF25E9">
        <w:tc>
          <w:tcPr>
            <w:tcW w:w="1043" w:type="dxa"/>
            <w:tcBorders>
              <w:top w:val="single" w:sz="4" w:space="0" w:color="auto"/>
              <w:left w:val="single" w:sz="4" w:space="0" w:color="auto"/>
              <w:bottom w:val="single" w:sz="4" w:space="0" w:color="auto"/>
              <w:right w:val="single" w:sz="4" w:space="0" w:color="auto"/>
            </w:tcBorders>
            <w:hideMark/>
          </w:tcPr>
          <w:p w14:paraId="06CDCE4E" w14:textId="3A426E57"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0030-009</w:t>
            </w:r>
            <w:r w:rsidR="008A6259">
              <w:rPr>
                <w:rFonts w:ascii="Times New Roman" w:hAnsi="Times New Roman" w:cs="Times New Roman"/>
                <w:lang w:val="en-GB"/>
              </w:rPr>
              <w:t>5</w:t>
            </w:r>
          </w:p>
        </w:tc>
        <w:tc>
          <w:tcPr>
            <w:tcW w:w="7973" w:type="dxa"/>
            <w:tcBorders>
              <w:top w:val="single" w:sz="4" w:space="0" w:color="auto"/>
              <w:left w:val="single" w:sz="4" w:space="0" w:color="auto"/>
              <w:bottom w:val="single" w:sz="4" w:space="0" w:color="auto"/>
              <w:right w:val="single" w:sz="4" w:space="0" w:color="auto"/>
            </w:tcBorders>
            <w:vAlign w:val="bottom"/>
            <w:hideMark/>
          </w:tcPr>
          <w:p w14:paraId="207041AE" w14:textId="77777777" w:rsidR="00252550" w:rsidRPr="00FE3C59" w:rsidRDefault="00252550" w:rsidP="008F47C2">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Of which attributable to:</w:t>
            </w:r>
          </w:p>
          <w:p w14:paraId="0D9484A9" w14:textId="77777777" w:rsidR="00252550" w:rsidRPr="00FE3C59" w:rsidRDefault="00252550" w:rsidP="00EF25E9">
            <w:pPr>
              <w:pStyle w:val="Tabelleninhalt"/>
              <w:spacing w:after="120"/>
              <w:rPr>
                <w:rFonts w:ascii="Times New Roman" w:hAnsi="Times New Roman" w:cs="Times New Roman"/>
                <w:lang w:val="en-GB"/>
              </w:rPr>
            </w:pPr>
            <w:r w:rsidRPr="00FE3C59">
              <w:rPr>
                <w:rFonts w:ascii="Times New Roman" w:hAnsi="Times New Roman" w:cs="Times New Roman"/>
                <w:lang w:val="en-GB"/>
              </w:rPr>
              <w:t>Institutions shall report profit and loss amounts of the total profit and loss reported in column 0020 that can be attributed to the risk factors of the sensitivities-based method set out in Part Three, Title IV, Chapter 1a, Section 2 of Regulation (EU) No 575/2013, allocated to the risk classes in accordance with Article 325d of Regulation (EU) No 575/2013. The allocation may be approximated based on expert judgment, where relevant.</w:t>
            </w:r>
          </w:p>
        </w:tc>
      </w:tr>
      <w:tr w:rsidR="00252550" w:rsidRPr="00FE3C59" w14:paraId="4A547DC7" w14:textId="77777777" w:rsidTr="00EF25E9">
        <w:tc>
          <w:tcPr>
            <w:tcW w:w="1043" w:type="dxa"/>
            <w:tcBorders>
              <w:top w:val="single" w:sz="4" w:space="0" w:color="auto"/>
              <w:left w:val="single" w:sz="4" w:space="0" w:color="auto"/>
              <w:bottom w:val="single" w:sz="4" w:space="0" w:color="auto"/>
              <w:right w:val="single" w:sz="4" w:space="0" w:color="auto"/>
            </w:tcBorders>
            <w:hideMark/>
          </w:tcPr>
          <w:p w14:paraId="6645C1F3" w14:textId="77777777"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t>0030</w:t>
            </w:r>
          </w:p>
        </w:tc>
        <w:tc>
          <w:tcPr>
            <w:tcW w:w="7973" w:type="dxa"/>
            <w:tcBorders>
              <w:top w:val="single" w:sz="4" w:space="0" w:color="auto"/>
              <w:left w:val="single" w:sz="4" w:space="0" w:color="auto"/>
              <w:bottom w:val="single" w:sz="4" w:space="0" w:color="auto"/>
              <w:right w:val="single" w:sz="4" w:space="0" w:color="auto"/>
            </w:tcBorders>
            <w:hideMark/>
          </w:tcPr>
          <w:p w14:paraId="1D2E8742" w14:textId="77777777" w:rsidR="00252550" w:rsidRPr="00FE3C59" w:rsidRDefault="00252550" w:rsidP="00EF25E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General interest rate risk (GIRR)</w:t>
            </w:r>
          </w:p>
          <w:p w14:paraId="1D07ABBF" w14:textId="77777777" w:rsidR="00252550" w:rsidRPr="00FE3C59" w:rsidRDefault="00252550" w:rsidP="00EF25E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lastRenderedPageBreak/>
              <w:t>Article 325d(1), point (i), of Regulation (EU) No 575/2013</w:t>
            </w:r>
          </w:p>
        </w:tc>
      </w:tr>
      <w:tr w:rsidR="00252550" w:rsidRPr="00FE3C59" w14:paraId="491AF2CB" w14:textId="77777777" w:rsidTr="00EF25E9">
        <w:tc>
          <w:tcPr>
            <w:tcW w:w="1043" w:type="dxa"/>
            <w:tcBorders>
              <w:top w:val="single" w:sz="4" w:space="0" w:color="auto"/>
              <w:left w:val="single" w:sz="4" w:space="0" w:color="auto"/>
              <w:bottom w:val="single" w:sz="4" w:space="0" w:color="auto"/>
              <w:right w:val="single" w:sz="4" w:space="0" w:color="auto"/>
            </w:tcBorders>
            <w:hideMark/>
          </w:tcPr>
          <w:p w14:paraId="266A0865" w14:textId="77777777"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0040</w:t>
            </w:r>
          </w:p>
        </w:tc>
        <w:tc>
          <w:tcPr>
            <w:tcW w:w="7973" w:type="dxa"/>
            <w:tcBorders>
              <w:top w:val="single" w:sz="4" w:space="0" w:color="auto"/>
              <w:left w:val="single" w:sz="4" w:space="0" w:color="auto"/>
              <w:bottom w:val="single" w:sz="4" w:space="0" w:color="auto"/>
              <w:right w:val="single" w:sz="4" w:space="0" w:color="auto"/>
            </w:tcBorders>
            <w:hideMark/>
          </w:tcPr>
          <w:p w14:paraId="4CD0E102" w14:textId="77777777" w:rsidR="00252550" w:rsidRPr="00FE3C59" w:rsidRDefault="00252550" w:rsidP="00EF25E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Credit spread risk for non–securitisations (CSR)</w:t>
            </w:r>
          </w:p>
          <w:p w14:paraId="0454ED29" w14:textId="77777777" w:rsidR="00252550" w:rsidRPr="00FE3C59" w:rsidRDefault="00252550" w:rsidP="00EF25E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325d(1), point (ii), of Regulation (EU) No 575/2013</w:t>
            </w:r>
          </w:p>
        </w:tc>
      </w:tr>
      <w:tr w:rsidR="00252550" w:rsidRPr="00FE3C59" w14:paraId="67C09244" w14:textId="77777777" w:rsidTr="00EF25E9">
        <w:tc>
          <w:tcPr>
            <w:tcW w:w="1043" w:type="dxa"/>
            <w:tcBorders>
              <w:top w:val="single" w:sz="4" w:space="0" w:color="auto"/>
              <w:left w:val="single" w:sz="4" w:space="0" w:color="auto"/>
              <w:bottom w:val="single" w:sz="4" w:space="0" w:color="auto"/>
              <w:right w:val="single" w:sz="4" w:space="0" w:color="auto"/>
            </w:tcBorders>
            <w:hideMark/>
          </w:tcPr>
          <w:p w14:paraId="29E138BA" w14:textId="77777777"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t>0050</w:t>
            </w:r>
          </w:p>
        </w:tc>
        <w:tc>
          <w:tcPr>
            <w:tcW w:w="7973" w:type="dxa"/>
            <w:tcBorders>
              <w:top w:val="single" w:sz="4" w:space="0" w:color="auto"/>
              <w:left w:val="single" w:sz="4" w:space="0" w:color="auto"/>
              <w:bottom w:val="single" w:sz="4" w:space="0" w:color="auto"/>
              <w:right w:val="single" w:sz="4" w:space="0" w:color="auto"/>
            </w:tcBorders>
            <w:hideMark/>
          </w:tcPr>
          <w:p w14:paraId="404A0F63" w14:textId="77777777" w:rsidR="00252550" w:rsidRPr="00FE3C59" w:rsidRDefault="00252550" w:rsidP="00EF25E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Credit spread risk for securitisation not included in the alternative correlation trading portfolio (non–ACTP CSR)</w:t>
            </w:r>
          </w:p>
          <w:p w14:paraId="743D1E4E" w14:textId="77777777" w:rsidR="00252550" w:rsidRPr="00FE3C59" w:rsidRDefault="00252550" w:rsidP="00EF25E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325d(1), point (iii), of Regulation (EU) No 575/2013</w:t>
            </w:r>
          </w:p>
        </w:tc>
      </w:tr>
      <w:tr w:rsidR="00252550" w:rsidRPr="00FE3C59" w14:paraId="642967CF" w14:textId="77777777" w:rsidTr="00EF25E9">
        <w:tc>
          <w:tcPr>
            <w:tcW w:w="1043" w:type="dxa"/>
            <w:tcBorders>
              <w:top w:val="single" w:sz="4" w:space="0" w:color="auto"/>
              <w:left w:val="single" w:sz="4" w:space="0" w:color="auto"/>
              <w:bottom w:val="single" w:sz="4" w:space="0" w:color="auto"/>
              <w:right w:val="single" w:sz="4" w:space="0" w:color="auto"/>
            </w:tcBorders>
            <w:hideMark/>
          </w:tcPr>
          <w:p w14:paraId="61B82553" w14:textId="77777777"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t>0060</w:t>
            </w:r>
          </w:p>
        </w:tc>
        <w:tc>
          <w:tcPr>
            <w:tcW w:w="7973" w:type="dxa"/>
            <w:tcBorders>
              <w:top w:val="single" w:sz="4" w:space="0" w:color="auto"/>
              <w:left w:val="single" w:sz="4" w:space="0" w:color="auto"/>
              <w:bottom w:val="single" w:sz="4" w:space="0" w:color="auto"/>
              <w:right w:val="single" w:sz="4" w:space="0" w:color="auto"/>
            </w:tcBorders>
            <w:hideMark/>
          </w:tcPr>
          <w:p w14:paraId="707CCD32" w14:textId="77777777" w:rsidR="00252550" w:rsidRPr="00FE3C59" w:rsidRDefault="00252550" w:rsidP="00EF25E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ACTP CSR – Credit spread risk for securitisation included in the alternative correlation trading portfolio (ACTP CSR)</w:t>
            </w:r>
          </w:p>
          <w:p w14:paraId="7ED8F484" w14:textId="77777777" w:rsidR="00252550" w:rsidRPr="00FE3C59" w:rsidRDefault="00252550" w:rsidP="00EF25E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325d(1) , point (iv), of Regulation (EU) No 575/2013</w:t>
            </w:r>
          </w:p>
        </w:tc>
      </w:tr>
      <w:tr w:rsidR="00252550" w:rsidRPr="00FE3C59" w14:paraId="6C853827" w14:textId="77777777" w:rsidTr="00EF25E9">
        <w:tc>
          <w:tcPr>
            <w:tcW w:w="1043" w:type="dxa"/>
            <w:tcBorders>
              <w:top w:val="single" w:sz="4" w:space="0" w:color="auto"/>
              <w:left w:val="single" w:sz="4" w:space="0" w:color="auto"/>
              <w:bottom w:val="single" w:sz="4" w:space="0" w:color="auto"/>
              <w:right w:val="single" w:sz="4" w:space="0" w:color="auto"/>
            </w:tcBorders>
            <w:hideMark/>
          </w:tcPr>
          <w:p w14:paraId="238053C8" w14:textId="77777777"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t>0070</w:t>
            </w:r>
          </w:p>
        </w:tc>
        <w:tc>
          <w:tcPr>
            <w:tcW w:w="7973" w:type="dxa"/>
            <w:tcBorders>
              <w:top w:val="single" w:sz="4" w:space="0" w:color="auto"/>
              <w:left w:val="single" w:sz="4" w:space="0" w:color="auto"/>
              <w:bottom w:val="single" w:sz="4" w:space="0" w:color="auto"/>
              <w:right w:val="single" w:sz="4" w:space="0" w:color="auto"/>
            </w:tcBorders>
            <w:hideMark/>
          </w:tcPr>
          <w:p w14:paraId="0D1AE27F" w14:textId="77777777" w:rsidR="00252550" w:rsidRPr="00FE3C59" w:rsidRDefault="00252550" w:rsidP="00EF25E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Equity risk (EQU)</w:t>
            </w:r>
          </w:p>
          <w:p w14:paraId="5B6FD683" w14:textId="77777777" w:rsidR="00252550" w:rsidRPr="00FE3C59" w:rsidRDefault="00252550" w:rsidP="00EF25E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325d(1) , point (v), of Regulation (EU) No 575/2013</w:t>
            </w:r>
          </w:p>
        </w:tc>
      </w:tr>
      <w:tr w:rsidR="00252550" w:rsidRPr="00FE3C59" w14:paraId="058B9020" w14:textId="77777777" w:rsidTr="00EF25E9">
        <w:tc>
          <w:tcPr>
            <w:tcW w:w="1043" w:type="dxa"/>
            <w:tcBorders>
              <w:top w:val="single" w:sz="4" w:space="0" w:color="auto"/>
              <w:left w:val="single" w:sz="4" w:space="0" w:color="auto"/>
              <w:bottom w:val="single" w:sz="4" w:space="0" w:color="auto"/>
              <w:right w:val="single" w:sz="4" w:space="0" w:color="auto"/>
            </w:tcBorders>
            <w:hideMark/>
          </w:tcPr>
          <w:p w14:paraId="4DC824D5" w14:textId="77777777"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t>0080</w:t>
            </w:r>
          </w:p>
        </w:tc>
        <w:tc>
          <w:tcPr>
            <w:tcW w:w="7973" w:type="dxa"/>
            <w:tcBorders>
              <w:top w:val="single" w:sz="4" w:space="0" w:color="auto"/>
              <w:left w:val="single" w:sz="4" w:space="0" w:color="auto"/>
              <w:bottom w:val="single" w:sz="4" w:space="0" w:color="auto"/>
              <w:right w:val="single" w:sz="4" w:space="0" w:color="auto"/>
            </w:tcBorders>
            <w:hideMark/>
          </w:tcPr>
          <w:p w14:paraId="1239D22E" w14:textId="77777777" w:rsidR="00252550" w:rsidRPr="00FE3C59" w:rsidRDefault="00252550" w:rsidP="00EF25E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Commodity risk (COM)</w:t>
            </w:r>
          </w:p>
          <w:p w14:paraId="4F40D72C" w14:textId="77777777" w:rsidR="00252550" w:rsidRPr="00FE3C59" w:rsidRDefault="00252550" w:rsidP="00EF25E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325d(1) , point (vi), of Regulation (EU) No 575/2013</w:t>
            </w:r>
          </w:p>
        </w:tc>
      </w:tr>
      <w:tr w:rsidR="00252550" w:rsidRPr="00FE3C59" w14:paraId="3C703032" w14:textId="77777777" w:rsidTr="00EF25E9">
        <w:tc>
          <w:tcPr>
            <w:tcW w:w="1043" w:type="dxa"/>
            <w:tcBorders>
              <w:top w:val="single" w:sz="4" w:space="0" w:color="auto"/>
              <w:left w:val="single" w:sz="4" w:space="0" w:color="auto"/>
              <w:bottom w:val="single" w:sz="4" w:space="0" w:color="auto"/>
              <w:right w:val="single" w:sz="4" w:space="0" w:color="auto"/>
            </w:tcBorders>
            <w:hideMark/>
          </w:tcPr>
          <w:p w14:paraId="5624C6A2" w14:textId="77777777"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t>0090</w:t>
            </w:r>
          </w:p>
        </w:tc>
        <w:tc>
          <w:tcPr>
            <w:tcW w:w="7973" w:type="dxa"/>
            <w:tcBorders>
              <w:top w:val="single" w:sz="4" w:space="0" w:color="auto"/>
              <w:left w:val="single" w:sz="4" w:space="0" w:color="auto"/>
              <w:bottom w:val="single" w:sz="4" w:space="0" w:color="auto"/>
              <w:right w:val="single" w:sz="4" w:space="0" w:color="auto"/>
            </w:tcBorders>
            <w:hideMark/>
          </w:tcPr>
          <w:p w14:paraId="5BE518BB" w14:textId="77777777" w:rsidR="00252550" w:rsidRPr="00FE3C59" w:rsidRDefault="00252550" w:rsidP="00EF25E9">
            <w:pPr>
              <w:pStyle w:val="BodyText"/>
              <w:spacing w:before="120" w:after="120"/>
              <w:rPr>
                <w:rFonts w:ascii="Times New Roman" w:hAnsi="Times New Roman" w:cs="Times New Roman"/>
                <w:b/>
                <w:u w:val="single"/>
                <w:lang w:val="en-GB" w:eastAsia="nl-BE"/>
              </w:rPr>
            </w:pPr>
            <w:r w:rsidRPr="00FE3C59">
              <w:rPr>
                <w:rFonts w:ascii="Times New Roman" w:hAnsi="Times New Roman" w:cs="Times New Roman"/>
                <w:b/>
                <w:u w:val="single"/>
                <w:lang w:val="en-GB"/>
              </w:rPr>
              <w:t>Foreign exchange risk (FX)</w:t>
            </w:r>
          </w:p>
          <w:p w14:paraId="7EF29CA4" w14:textId="77777777" w:rsidR="00252550" w:rsidRPr="00FE3C59" w:rsidRDefault="00252550" w:rsidP="00EF25E9">
            <w:pPr>
              <w:pStyle w:val="Tabelleninhalt"/>
              <w:spacing w:after="120"/>
              <w:rPr>
                <w:rFonts w:ascii="Times New Roman" w:hAnsi="Times New Roman" w:cs="Times New Roman"/>
                <w:b/>
                <w:u w:val="single"/>
                <w:lang w:val="en-GB"/>
              </w:rPr>
            </w:pPr>
            <w:r w:rsidRPr="00FE3C59">
              <w:rPr>
                <w:rFonts w:ascii="Times New Roman" w:hAnsi="Times New Roman" w:cs="Times New Roman"/>
                <w:lang w:val="en-GB"/>
              </w:rPr>
              <w:t>Article 325d(1) , point (vii), of Regulation (EU) No 575/2013</w:t>
            </w:r>
          </w:p>
        </w:tc>
      </w:tr>
      <w:tr w:rsidR="008A6259" w:rsidRPr="00FE3C59" w14:paraId="3600466D" w14:textId="77777777" w:rsidTr="00EF25E9">
        <w:tc>
          <w:tcPr>
            <w:tcW w:w="1043" w:type="dxa"/>
            <w:tcBorders>
              <w:top w:val="single" w:sz="4" w:space="0" w:color="auto"/>
              <w:left w:val="single" w:sz="4" w:space="0" w:color="auto"/>
              <w:bottom w:val="single" w:sz="4" w:space="0" w:color="auto"/>
              <w:right w:val="single" w:sz="4" w:space="0" w:color="auto"/>
            </w:tcBorders>
          </w:tcPr>
          <w:p w14:paraId="0134F83A" w14:textId="195D988B" w:rsidR="008A6259" w:rsidRPr="00FE3C59" w:rsidRDefault="008A6259" w:rsidP="00EF25E9">
            <w:pPr>
              <w:pStyle w:val="BodyText"/>
              <w:spacing w:before="120" w:after="120"/>
              <w:rPr>
                <w:rFonts w:ascii="Times New Roman" w:hAnsi="Times New Roman" w:cs="Times New Roman"/>
                <w:lang w:val="en-GB"/>
              </w:rPr>
            </w:pPr>
            <w:r>
              <w:rPr>
                <w:rFonts w:ascii="Times New Roman" w:hAnsi="Times New Roman" w:cs="Times New Roman"/>
                <w:lang w:val="en-GB"/>
              </w:rPr>
              <w:t>0095</w:t>
            </w:r>
          </w:p>
        </w:tc>
        <w:tc>
          <w:tcPr>
            <w:tcW w:w="7973" w:type="dxa"/>
            <w:tcBorders>
              <w:top w:val="single" w:sz="4" w:space="0" w:color="auto"/>
              <w:left w:val="single" w:sz="4" w:space="0" w:color="auto"/>
              <w:bottom w:val="single" w:sz="4" w:space="0" w:color="auto"/>
              <w:right w:val="single" w:sz="4" w:space="0" w:color="auto"/>
            </w:tcBorders>
          </w:tcPr>
          <w:p w14:paraId="0986A8C2" w14:textId="7881BF26" w:rsidR="008A6259" w:rsidRDefault="00281E06" w:rsidP="008A6259">
            <w:pPr>
              <w:pStyle w:val="BodyText"/>
              <w:spacing w:before="120" w:after="120"/>
              <w:rPr>
                <w:rFonts w:ascii="Times New Roman" w:hAnsi="Times New Roman" w:cs="Times New Roman"/>
                <w:b/>
                <w:bCs/>
                <w:u w:val="single"/>
                <w:lang w:val="en-GB"/>
              </w:rPr>
            </w:pPr>
            <w:r w:rsidRPr="00FE3C59">
              <w:rPr>
                <w:rFonts w:ascii="Times New Roman" w:hAnsi="Times New Roman" w:cs="Times New Roman"/>
                <w:b/>
                <w:u w:val="single"/>
                <w:lang w:val="en-GB"/>
              </w:rPr>
              <w:t>Of which attributable to</w:t>
            </w:r>
            <w:r>
              <w:rPr>
                <w:rFonts w:ascii="Times New Roman" w:hAnsi="Times New Roman" w:cs="Times New Roman"/>
                <w:b/>
                <w:u w:val="single"/>
                <w:lang w:val="en-GB"/>
              </w:rPr>
              <w:t xml:space="preserve"> – </w:t>
            </w:r>
            <w:r w:rsidR="008A6259">
              <w:rPr>
                <w:rFonts w:ascii="Times New Roman" w:hAnsi="Times New Roman" w:cs="Times New Roman"/>
                <w:b/>
                <w:bCs/>
                <w:u w:val="single"/>
                <w:lang w:val="en-GB"/>
              </w:rPr>
              <w:t>Comments and explanations</w:t>
            </w:r>
          </w:p>
          <w:p w14:paraId="0E04D274" w14:textId="19B39425" w:rsidR="008A6259" w:rsidRDefault="008A6259" w:rsidP="008A6259">
            <w:pPr>
              <w:pStyle w:val="BodyText"/>
              <w:spacing w:before="120" w:after="120"/>
              <w:rPr>
                <w:rFonts w:ascii="Times New Roman" w:hAnsi="Times New Roman" w:cs="Times New Roman"/>
                <w:lang w:val="en-GB"/>
              </w:rPr>
            </w:pPr>
            <w:r w:rsidRPr="008B0565">
              <w:rPr>
                <w:rFonts w:ascii="Times New Roman" w:hAnsi="Times New Roman" w:cs="Times New Roman"/>
                <w:lang w:val="en-GB"/>
              </w:rPr>
              <w:t xml:space="preserve">Institutions </w:t>
            </w:r>
            <w:r>
              <w:rPr>
                <w:rFonts w:ascii="Times New Roman" w:hAnsi="Times New Roman" w:cs="Times New Roman"/>
                <w:lang w:val="en-GB"/>
              </w:rPr>
              <w:t>shall explain how they obtained the value reported in column</w:t>
            </w:r>
            <w:r w:rsidR="00F71AF6">
              <w:rPr>
                <w:rFonts w:ascii="Times New Roman" w:hAnsi="Times New Roman" w:cs="Times New Roman"/>
                <w:lang w:val="en-GB"/>
              </w:rPr>
              <w:t>s</w:t>
            </w:r>
            <w:r>
              <w:rPr>
                <w:rFonts w:ascii="Times New Roman" w:hAnsi="Times New Roman" w:cs="Times New Roman"/>
                <w:lang w:val="en-GB"/>
              </w:rPr>
              <w:t xml:space="preserve"> 00</w:t>
            </w:r>
            <w:r w:rsidR="00F71AF6">
              <w:rPr>
                <w:rFonts w:ascii="Times New Roman" w:hAnsi="Times New Roman" w:cs="Times New Roman"/>
                <w:lang w:val="en-GB"/>
              </w:rPr>
              <w:t>3</w:t>
            </w:r>
            <w:r>
              <w:rPr>
                <w:rFonts w:ascii="Times New Roman" w:hAnsi="Times New Roman" w:cs="Times New Roman"/>
                <w:lang w:val="en-GB"/>
              </w:rPr>
              <w:t>0</w:t>
            </w:r>
            <w:r w:rsidR="00F71AF6">
              <w:rPr>
                <w:rFonts w:ascii="Times New Roman" w:hAnsi="Times New Roman" w:cs="Times New Roman"/>
                <w:lang w:val="en-GB"/>
              </w:rPr>
              <w:t xml:space="preserve"> to 0090</w:t>
            </w:r>
            <w:r>
              <w:rPr>
                <w:rFonts w:ascii="Times New Roman" w:hAnsi="Times New Roman" w:cs="Times New Roman"/>
                <w:lang w:val="en-GB"/>
              </w:rPr>
              <w:t>.</w:t>
            </w:r>
          </w:p>
          <w:p w14:paraId="6A0A538D" w14:textId="77777777" w:rsidR="008A6259" w:rsidRDefault="008A6259" w:rsidP="008A6259">
            <w:pPr>
              <w:pStyle w:val="BodyText"/>
              <w:spacing w:before="120" w:after="120"/>
              <w:rPr>
                <w:rFonts w:ascii="Times New Roman" w:hAnsi="Times New Roman" w:cs="Times New Roman"/>
                <w:lang w:val="en-GB"/>
              </w:rPr>
            </w:pPr>
            <w:r w:rsidRPr="00F77282">
              <w:rPr>
                <w:rFonts w:ascii="Times New Roman" w:hAnsi="Times New Roman" w:cs="Times New Roman"/>
                <w:lang w:val="en-GB"/>
              </w:rPr>
              <w:t>They shall</w:t>
            </w:r>
            <w:r>
              <w:rPr>
                <w:rFonts w:ascii="Times New Roman" w:hAnsi="Times New Roman" w:cs="Times New Roman"/>
                <w:lang w:val="en-GB"/>
              </w:rPr>
              <w:t xml:space="preserve"> indicate at least </w:t>
            </w:r>
          </w:p>
          <w:p w14:paraId="3AE5AADF" w14:textId="5B235998" w:rsidR="009A2E12" w:rsidRPr="009A2E12" w:rsidRDefault="002C3231" w:rsidP="008A6259">
            <w:pPr>
              <w:pStyle w:val="Tabelleninhalt"/>
              <w:numPr>
                <w:ilvl w:val="0"/>
                <w:numId w:val="27"/>
              </w:numPr>
              <w:suppressLineNumbers/>
              <w:spacing w:after="120"/>
              <w:ind w:left="357" w:hanging="357"/>
              <w:rPr>
                <w:rFonts w:ascii="Times New Roman" w:hAnsi="Times New Roman" w:cs="Times New Roman"/>
                <w:b/>
                <w:bCs/>
                <w:u w:val="single"/>
                <w:lang w:val="en-GB"/>
              </w:rPr>
            </w:pPr>
            <w:r>
              <w:rPr>
                <w:rFonts w:ascii="Times New Roman" w:hAnsi="Times New Roman" w:cs="Times New Roman"/>
                <w:bCs/>
                <w:lang w:val="en-GB"/>
              </w:rPr>
              <w:t>Main e</w:t>
            </w:r>
            <w:r w:rsidR="009A2E12" w:rsidRPr="009A2E12">
              <w:rPr>
                <w:rFonts w:ascii="Times New Roman" w:hAnsi="Times New Roman" w:cs="Times New Roman"/>
                <w:bCs/>
                <w:lang w:val="en-GB"/>
              </w:rPr>
              <w:t xml:space="preserve">lements included or excluded from the profit and loss </w:t>
            </w:r>
            <w:r w:rsidR="009A2E12">
              <w:rPr>
                <w:rFonts w:ascii="Times New Roman" w:hAnsi="Times New Roman" w:cs="Times New Roman"/>
                <w:bCs/>
                <w:lang w:val="en-GB"/>
              </w:rPr>
              <w:t>for the purposes of the allocation to the broad categories of risk in column 0030 to 0090</w:t>
            </w:r>
            <w:r w:rsidR="009A2E12" w:rsidRPr="009A2E12">
              <w:rPr>
                <w:rFonts w:ascii="Times New Roman" w:hAnsi="Times New Roman" w:cs="Times New Roman"/>
                <w:bCs/>
                <w:lang w:val="en-GB"/>
              </w:rPr>
              <w:t>,</w:t>
            </w:r>
          </w:p>
          <w:p w14:paraId="2B64D602" w14:textId="5C0CF34E" w:rsidR="00D31C61" w:rsidRDefault="008A6259" w:rsidP="008A6259">
            <w:pPr>
              <w:pStyle w:val="Tabelleninhalt"/>
              <w:numPr>
                <w:ilvl w:val="0"/>
                <w:numId w:val="27"/>
              </w:numPr>
              <w:suppressLineNumbers/>
              <w:spacing w:after="120"/>
              <w:ind w:left="357" w:hanging="357"/>
              <w:rPr>
                <w:rFonts w:ascii="Times New Roman" w:hAnsi="Times New Roman" w:cs="Times New Roman"/>
                <w:bCs/>
                <w:lang w:val="en-GB"/>
              </w:rPr>
            </w:pPr>
            <w:r w:rsidRPr="00094C7E">
              <w:rPr>
                <w:rFonts w:ascii="Times New Roman" w:hAnsi="Times New Roman" w:cs="Times New Roman"/>
                <w:bCs/>
                <w:lang w:val="en-GB"/>
              </w:rPr>
              <w:t xml:space="preserve">A short description of the methodology </w:t>
            </w:r>
            <w:r w:rsidR="00291C32">
              <w:rPr>
                <w:rFonts w:ascii="Times New Roman" w:hAnsi="Times New Roman" w:cs="Times New Roman"/>
                <w:bCs/>
                <w:lang w:val="en-GB"/>
              </w:rPr>
              <w:t xml:space="preserve">applied for the </w:t>
            </w:r>
            <w:r w:rsidR="00A71EF4">
              <w:rPr>
                <w:rFonts w:ascii="Times New Roman" w:hAnsi="Times New Roman" w:cs="Times New Roman"/>
                <w:bCs/>
                <w:lang w:val="en-GB"/>
              </w:rPr>
              <w:t xml:space="preserve">calculation of the profit and loss </w:t>
            </w:r>
            <w:r w:rsidR="00260CE1">
              <w:rPr>
                <w:rFonts w:ascii="Times New Roman" w:hAnsi="Times New Roman" w:cs="Times New Roman"/>
                <w:bCs/>
                <w:lang w:val="en-GB"/>
              </w:rPr>
              <w:t xml:space="preserve">per risk class </w:t>
            </w:r>
            <w:r w:rsidR="00D907AC">
              <w:rPr>
                <w:rFonts w:ascii="Times New Roman" w:hAnsi="Times New Roman" w:cs="Times New Roman"/>
                <w:bCs/>
                <w:lang w:val="en-GB"/>
              </w:rPr>
              <w:t>and its attribution to the risk class</w:t>
            </w:r>
            <w:r>
              <w:rPr>
                <w:rFonts w:ascii="Times New Roman" w:hAnsi="Times New Roman" w:cs="Times New Roman"/>
                <w:bCs/>
                <w:lang w:val="en-GB"/>
              </w:rPr>
              <w:t>.</w:t>
            </w:r>
            <w:r w:rsidR="00D31C61">
              <w:rPr>
                <w:rFonts w:ascii="Times New Roman" w:hAnsi="Times New Roman" w:cs="Times New Roman"/>
                <w:bCs/>
                <w:lang w:val="en-GB"/>
              </w:rPr>
              <w:t xml:space="preserve"> </w:t>
            </w:r>
          </w:p>
          <w:p w14:paraId="2750190B" w14:textId="7D5FE05E" w:rsidR="008A6259" w:rsidRDefault="00DB0090" w:rsidP="00D31C61">
            <w:pPr>
              <w:pStyle w:val="Tabelleninhalt"/>
              <w:suppressLineNumbers/>
              <w:spacing w:after="120"/>
              <w:rPr>
                <w:rFonts w:ascii="Times New Roman" w:hAnsi="Times New Roman" w:cs="Times New Roman"/>
                <w:bCs/>
                <w:lang w:val="en-GB"/>
              </w:rPr>
            </w:pPr>
            <w:r>
              <w:rPr>
                <w:rFonts w:ascii="Times New Roman" w:hAnsi="Times New Roman" w:cs="Times New Roman"/>
                <w:bCs/>
                <w:lang w:val="en-GB"/>
              </w:rPr>
              <w:t xml:space="preserve">Institutions may include information on </w:t>
            </w:r>
            <w:r w:rsidR="00035DC2">
              <w:rPr>
                <w:rFonts w:ascii="Times New Roman" w:hAnsi="Times New Roman" w:cs="Times New Roman"/>
                <w:bCs/>
                <w:lang w:val="en-GB"/>
              </w:rPr>
              <w:t>the</w:t>
            </w:r>
            <w:r w:rsidR="00D31C61">
              <w:rPr>
                <w:rFonts w:ascii="Times New Roman" w:hAnsi="Times New Roman" w:cs="Times New Roman"/>
                <w:bCs/>
                <w:lang w:val="en-GB"/>
              </w:rPr>
              <w:t xml:space="preserve"> </w:t>
            </w:r>
            <w:r w:rsidR="00035DC2" w:rsidRPr="00035DC2">
              <w:rPr>
                <w:rFonts w:ascii="Times New Roman" w:hAnsi="Times New Roman" w:cs="Times New Roman"/>
                <w:bCs/>
                <w:lang w:val="en-GB"/>
              </w:rPr>
              <w:t>relevant systems</w:t>
            </w:r>
            <w:r w:rsidR="00513D44">
              <w:rPr>
                <w:rFonts w:ascii="Times New Roman" w:hAnsi="Times New Roman" w:cs="Times New Roman"/>
                <w:bCs/>
                <w:lang w:val="en-GB"/>
              </w:rPr>
              <w:t xml:space="preserve"> </w:t>
            </w:r>
            <w:r w:rsidR="009B40B7">
              <w:rPr>
                <w:rFonts w:ascii="Times New Roman" w:hAnsi="Times New Roman" w:cs="Times New Roman"/>
                <w:bCs/>
                <w:lang w:val="en-GB"/>
              </w:rPr>
              <w:t>generating pricing information</w:t>
            </w:r>
            <w:r w:rsidR="00035DC2" w:rsidRPr="00035DC2">
              <w:rPr>
                <w:rFonts w:ascii="Times New Roman" w:hAnsi="Times New Roman" w:cs="Times New Roman"/>
                <w:bCs/>
                <w:lang w:val="en-GB"/>
              </w:rPr>
              <w:t>, valuation methods and the mapping of internal valuation parameters to the risk factors of the sensitivities-based method used for purposes of the calculation and attribution</w:t>
            </w:r>
            <w:r>
              <w:rPr>
                <w:rFonts w:ascii="Times New Roman" w:hAnsi="Times New Roman" w:cs="Times New Roman"/>
                <w:bCs/>
                <w:lang w:val="en-GB"/>
              </w:rPr>
              <w:t>.</w:t>
            </w:r>
          </w:p>
          <w:tbl>
            <w:tblPr>
              <w:tblStyle w:val="TableGrid"/>
              <w:tblW w:w="0" w:type="auto"/>
              <w:tblLook w:val="04A0" w:firstRow="1" w:lastRow="0" w:firstColumn="1" w:lastColumn="0" w:noHBand="0" w:noVBand="1"/>
            </w:tblPr>
            <w:tblGrid>
              <w:gridCol w:w="7747"/>
            </w:tblGrid>
            <w:tr w:rsidR="00FD272C" w14:paraId="7A6D3822" w14:textId="77777777" w:rsidTr="00EF25E9">
              <w:tc>
                <w:tcPr>
                  <w:tcW w:w="7747" w:type="dxa"/>
                </w:tcPr>
                <w:p w14:paraId="0ADEE2BB" w14:textId="77777777" w:rsidR="00FD272C" w:rsidRPr="00FD272C" w:rsidRDefault="00FD272C" w:rsidP="00FD272C">
                  <w:pPr>
                    <w:pStyle w:val="body"/>
                    <w:rPr>
                      <w:b/>
                      <w:bCs/>
                    </w:rPr>
                  </w:pPr>
                  <w:r w:rsidRPr="00FD272C">
                    <w:rPr>
                      <w:b/>
                      <w:bCs/>
                    </w:rPr>
                    <w:t>Explanatory text for consultation purposes</w:t>
                  </w:r>
                </w:p>
                <w:p w14:paraId="23ACE086" w14:textId="3374D915" w:rsidR="00FD272C" w:rsidRDefault="00FD272C" w:rsidP="00FD272C">
                  <w:pPr>
                    <w:pStyle w:val="body"/>
                  </w:pPr>
                  <w:r>
                    <w:t xml:space="preserve">Institutions </w:t>
                  </w:r>
                  <w:r w:rsidR="00EB41C6">
                    <w:t xml:space="preserve">are not expected </w:t>
                  </w:r>
                  <w:r w:rsidR="007A261A">
                    <w:t xml:space="preserve">to allocate all elements considered in the overall P&amp;L </w:t>
                  </w:r>
                  <w:r w:rsidR="006150E5">
                    <w:t xml:space="preserve">to the broad categories of risk. </w:t>
                  </w:r>
                  <w:r w:rsidR="00742FC6">
                    <w:t>E</w:t>
                  </w:r>
                  <w:r w:rsidR="006150E5">
                    <w:t>lements</w:t>
                  </w:r>
                  <w:r w:rsidR="00742FC6">
                    <w:t>, including</w:t>
                  </w:r>
                  <w:r w:rsidR="00214950">
                    <w:t xml:space="preserve"> the examples listed above for column 0025, that are </w:t>
                  </w:r>
                  <w:r w:rsidR="006150E5">
                    <w:t>systematically included or excluded</w:t>
                  </w:r>
                  <w:r w:rsidR="00BC6164">
                    <w:t>, should be mentioned here.</w:t>
                  </w:r>
                </w:p>
                <w:p w14:paraId="32528D9E" w14:textId="77777777" w:rsidR="00B8676D" w:rsidRPr="00B8676D" w:rsidRDefault="00B8676D" w:rsidP="00293B0F">
                  <w:pPr>
                    <w:pStyle w:val="body"/>
                    <w:rPr>
                      <w:rFonts w:cstheme="minorHAnsi"/>
                      <w:szCs w:val="22"/>
                    </w:rPr>
                  </w:pPr>
                  <w:r w:rsidRPr="00B8676D">
                    <w:lastRenderedPageBreak/>
                    <w:t xml:space="preserve">A non-exhaustive list of examples of the methodologies used to allocate of profits </w:t>
                  </w:r>
                  <w:r w:rsidRPr="00B8676D">
                    <w:rPr>
                      <w:rFonts w:cstheme="minorHAnsi"/>
                      <w:szCs w:val="22"/>
                    </w:rPr>
                    <w:t>and losses to the risk class level includes:</w:t>
                  </w:r>
                </w:p>
                <w:p w14:paraId="0C7726C9" w14:textId="5CC9474B" w:rsidR="00293B0F" w:rsidRPr="00B8676D" w:rsidRDefault="00293B0F" w:rsidP="00B8676D">
                  <w:pPr>
                    <w:pStyle w:val="Tabelleninhalt"/>
                    <w:numPr>
                      <w:ilvl w:val="0"/>
                      <w:numId w:val="27"/>
                    </w:numPr>
                    <w:suppressLineNumbers/>
                    <w:spacing w:after="120"/>
                    <w:ind w:left="357" w:hanging="357"/>
                    <w:rPr>
                      <w:rFonts w:asciiTheme="minorHAnsi" w:hAnsiTheme="minorHAnsi" w:cstheme="minorHAnsi"/>
                      <w:bCs/>
                      <w:sz w:val="22"/>
                      <w:szCs w:val="22"/>
                      <w:lang w:val="en-GB"/>
                    </w:rPr>
                  </w:pPr>
                  <w:r w:rsidRPr="00B8676D">
                    <w:rPr>
                      <w:rFonts w:asciiTheme="minorHAnsi" w:hAnsiTheme="minorHAnsi" w:cstheme="minorHAnsi"/>
                      <w:sz w:val="22"/>
                      <w:szCs w:val="22"/>
                      <w:lang w:val="en-GB"/>
                    </w:rPr>
                    <w:t xml:space="preserve">Desk-level </w:t>
                  </w:r>
                  <w:r w:rsidRPr="00B8676D">
                    <w:rPr>
                      <w:rFonts w:asciiTheme="minorHAnsi" w:hAnsiTheme="minorHAnsi" w:cstheme="minorHAnsi"/>
                      <w:bCs/>
                      <w:sz w:val="22"/>
                      <w:szCs w:val="22"/>
                      <w:lang w:val="en-GB"/>
                    </w:rPr>
                    <w:t>allocation: Allocates economic profits and losses of specific desks based on their main risk driver(s).</w:t>
                  </w:r>
                </w:p>
                <w:p w14:paraId="5217927C" w14:textId="7BB225A6" w:rsidR="00293B0F" w:rsidRPr="00B8676D" w:rsidRDefault="00293B0F" w:rsidP="00B8676D">
                  <w:pPr>
                    <w:pStyle w:val="Tabelleninhalt"/>
                    <w:numPr>
                      <w:ilvl w:val="0"/>
                      <w:numId w:val="27"/>
                    </w:numPr>
                    <w:suppressLineNumbers/>
                    <w:spacing w:after="120"/>
                    <w:ind w:left="357" w:hanging="357"/>
                    <w:rPr>
                      <w:rFonts w:asciiTheme="minorHAnsi" w:hAnsiTheme="minorHAnsi" w:cstheme="minorHAnsi"/>
                      <w:bCs/>
                      <w:sz w:val="22"/>
                      <w:szCs w:val="22"/>
                      <w:lang w:val="en-GB"/>
                    </w:rPr>
                  </w:pPr>
                  <w:r w:rsidRPr="00B8676D">
                    <w:rPr>
                      <w:rFonts w:asciiTheme="minorHAnsi" w:hAnsiTheme="minorHAnsi" w:cstheme="minorHAnsi"/>
                      <w:bCs/>
                      <w:sz w:val="22"/>
                      <w:szCs w:val="22"/>
                      <w:lang w:val="en-GB"/>
                    </w:rPr>
                    <w:t>Portfolio-level allocation: Allocates economic profits and losses of specific portfolios based on their main risk driver(s).</w:t>
                  </w:r>
                </w:p>
                <w:p w14:paraId="7CB51BA4" w14:textId="77777777" w:rsidR="00FD272C" w:rsidRPr="003C50DA" w:rsidRDefault="00293B0F" w:rsidP="00B8676D">
                  <w:pPr>
                    <w:pStyle w:val="Tabelleninhalt"/>
                    <w:numPr>
                      <w:ilvl w:val="0"/>
                      <w:numId w:val="27"/>
                    </w:numPr>
                    <w:suppressLineNumbers/>
                    <w:spacing w:after="120"/>
                    <w:ind w:left="357" w:hanging="357"/>
                    <w:rPr>
                      <w:rFonts w:hint="eastAsia"/>
                      <w:lang w:val="en-US"/>
                    </w:rPr>
                  </w:pPr>
                  <w:r w:rsidRPr="00B8676D">
                    <w:rPr>
                      <w:rFonts w:asciiTheme="minorHAnsi" w:hAnsiTheme="minorHAnsi" w:cstheme="minorHAnsi"/>
                      <w:bCs/>
                      <w:sz w:val="22"/>
                      <w:szCs w:val="22"/>
                      <w:lang w:val="en-GB"/>
                    </w:rPr>
                    <w:t xml:space="preserve">Allocating profits and losses estimated in the </w:t>
                  </w:r>
                  <w:r w:rsidR="00B8676D">
                    <w:rPr>
                      <w:rFonts w:asciiTheme="minorHAnsi" w:hAnsiTheme="minorHAnsi" w:cstheme="minorHAnsi"/>
                      <w:bCs/>
                      <w:sz w:val="22"/>
                      <w:szCs w:val="22"/>
                      <w:lang w:val="en-GB"/>
                    </w:rPr>
                    <w:t>institution</w:t>
                  </w:r>
                  <w:r w:rsidRPr="00B8676D">
                    <w:rPr>
                      <w:rFonts w:asciiTheme="minorHAnsi" w:hAnsiTheme="minorHAnsi" w:cstheme="minorHAnsi"/>
                      <w:bCs/>
                      <w:sz w:val="22"/>
                      <w:szCs w:val="22"/>
                      <w:lang w:val="en-GB"/>
                    </w:rPr>
                    <w:t>'s internal P&amp;L attribution process to the risk classes</w:t>
                  </w:r>
                  <w:r w:rsidRPr="00B8676D">
                    <w:rPr>
                      <w:rFonts w:asciiTheme="minorHAnsi" w:hAnsiTheme="minorHAnsi" w:cstheme="minorHAnsi"/>
                      <w:sz w:val="22"/>
                      <w:szCs w:val="22"/>
                      <w:lang w:val="en-GB"/>
                    </w:rPr>
                    <w:t xml:space="preserve"> of the sensitivity-based method</w:t>
                  </w:r>
                  <w:r w:rsidR="00021E0B">
                    <w:rPr>
                      <w:rFonts w:asciiTheme="minorHAnsi" w:hAnsiTheme="minorHAnsi" w:cstheme="minorHAnsi"/>
                      <w:sz w:val="22"/>
                      <w:szCs w:val="22"/>
                      <w:lang w:val="en-GB"/>
                    </w:rPr>
                    <w:t xml:space="preserve">; achieved by means of a </w:t>
                  </w:r>
                  <w:r w:rsidRPr="00021E0B">
                    <w:rPr>
                      <w:rFonts w:asciiTheme="minorHAnsi" w:hAnsiTheme="minorHAnsi" w:cstheme="minorHAnsi"/>
                      <w:sz w:val="22"/>
                      <w:szCs w:val="22"/>
                      <w:lang w:val="en-GB"/>
                    </w:rPr>
                    <w:t xml:space="preserve">best effort mapping of internal risk factors or valuation parameters to the risk factors of the sensitivity-based method. </w:t>
                  </w:r>
                  <w:r w:rsidRPr="00A534DA">
                    <w:rPr>
                      <w:rFonts w:asciiTheme="minorHAnsi" w:hAnsiTheme="minorHAnsi" w:cstheme="minorHAnsi"/>
                      <w:sz w:val="22"/>
                      <w:szCs w:val="22"/>
                      <w:lang w:val="en-GB"/>
                    </w:rPr>
                    <w:t>This approach may, for instance, be referred to as a full-revaluation allocation or a sensitivity-based allocation, depending on the P&amp;L attribution method used internally.</w:t>
                  </w:r>
                </w:p>
                <w:p w14:paraId="1B14722F" w14:textId="51313455" w:rsidR="003C50DA" w:rsidRPr="00385F84" w:rsidRDefault="003C50DA" w:rsidP="00A30191">
                  <w:pPr>
                    <w:pStyle w:val="body"/>
                  </w:pPr>
                  <w:r w:rsidRPr="003D74C2">
                    <w:t>‘</w:t>
                  </w:r>
                  <w:r w:rsidR="00A30191">
                    <w:t xml:space="preserve">Relevant systems generating pricing </w:t>
                  </w:r>
                  <w:r w:rsidRPr="003D74C2">
                    <w:t>information’ could be ‘front office valuation systems’, ‘risk measurement models’ or similar.</w:t>
                  </w:r>
                </w:p>
              </w:tc>
            </w:tr>
          </w:tbl>
          <w:p w14:paraId="616A75C5" w14:textId="57E172D5" w:rsidR="00FD272C" w:rsidRDefault="00FD272C" w:rsidP="00FD272C">
            <w:pPr>
              <w:pStyle w:val="BodyText"/>
              <w:spacing w:before="120" w:after="120"/>
              <w:rPr>
                <w:rFonts w:ascii="Times New Roman" w:hAnsi="Times New Roman" w:cs="Times New Roman"/>
                <w:bCs/>
                <w:lang w:val="en-GB"/>
              </w:rPr>
            </w:pPr>
            <w:r>
              <w:rPr>
                <w:rFonts w:ascii="Times New Roman" w:hAnsi="Times New Roman" w:cs="Times New Roman"/>
                <w:bCs/>
                <w:lang w:val="en-GB"/>
              </w:rPr>
              <w:lastRenderedPageBreak/>
              <w:t>Where the institution applied the same approach for calculating the values in column</w:t>
            </w:r>
            <w:r w:rsidR="00523290">
              <w:rPr>
                <w:rFonts w:ascii="Times New Roman" w:hAnsi="Times New Roman" w:cs="Times New Roman"/>
                <w:bCs/>
                <w:lang w:val="en-GB"/>
              </w:rPr>
              <w:t>s</w:t>
            </w:r>
            <w:r>
              <w:rPr>
                <w:rFonts w:ascii="Times New Roman" w:hAnsi="Times New Roman" w:cs="Times New Roman"/>
                <w:bCs/>
                <w:lang w:val="en-GB"/>
              </w:rPr>
              <w:t xml:space="preserve"> 00</w:t>
            </w:r>
            <w:r w:rsidR="00523290">
              <w:rPr>
                <w:rFonts w:ascii="Times New Roman" w:hAnsi="Times New Roman" w:cs="Times New Roman"/>
                <w:bCs/>
                <w:lang w:val="en-GB"/>
              </w:rPr>
              <w:t>3</w:t>
            </w:r>
            <w:r>
              <w:rPr>
                <w:rFonts w:ascii="Times New Roman" w:hAnsi="Times New Roman" w:cs="Times New Roman"/>
                <w:bCs/>
                <w:lang w:val="en-GB"/>
              </w:rPr>
              <w:t xml:space="preserve">0 </w:t>
            </w:r>
            <w:r w:rsidR="00523290">
              <w:rPr>
                <w:rFonts w:ascii="Times New Roman" w:hAnsi="Times New Roman" w:cs="Times New Roman"/>
                <w:bCs/>
                <w:lang w:val="en-GB"/>
              </w:rPr>
              <w:t xml:space="preserve">to 0090 </w:t>
            </w:r>
            <w:r>
              <w:rPr>
                <w:rFonts w:ascii="Times New Roman" w:hAnsi="Times New Roman" w:cs="Times New Roman"/>
                <w:bCs/>
                <w:lang w:val="en-GB"/>
              </w:rPr>
              <w:t xml:space="preserve">for every business </w:t>
            </w:r>
            <w:r w:rsidRPr="00B7601A">
              <w:rPr>
                <w:rFonts w:ascii="Times New Roman" w:hAnsi="Times New Roman" w:cs="Times New Roman"/>
                <w:lang w:val="en-GB"/>
              </w:rPr>
              <w:t>day</w:t>
            </w:r>
            <w:r>
              <w:rPr>
                <w:rFonts w:ascii="Times New Roman" w:hAnsi="Times New Roman" w:cs="Times New Roman"/>
                <w:bCs/>
                <w:lang w:val="en-GB"/>
              </w:rPr>
              <w:t xml:space="preserve"> of the whole reference period, they may provide that information only once in the row corresponding to the last business day of the reference period.</w:t>
            </w:r>
          </w:p>
          <w:p w14:paraId="68238709" w14:textId="364B6E3C" w:rsidR="00A71EF4" w:rsidRPr="00FE3C59" w:rsidRDefault="00FD272C" w:rsidP="00FD272C">
            <w:pPr>
              <w:pStyle w:val="BodyText"/>
              <w:spacing w:before="120" w:after="120"/>
              <w:rPr>
                <w:rFonts w:ascii="Times New Roman" w:hAnsi="Times New Roman" w:cs="Times New Roman"/>
                <w:b/>
                <w:u w:val="single"/>
                <w:lang w:val="en-GB"/>
              </w:rPr>
            </w:pPr>
            <w:r>
              <w:rPr>
                <w:rFonts w:ascii="Times New Roman" w:hAnsi="Times New Roman" w:cs="Times New Roman"/>
                <w:bCs/>
                <w:lang w:val="en-GB"/>
              </w:rPr>
              <w:t>Where the institution applied a different approach for calculating the values in column 00</w:t>
            </w:r>
            <w:r w:rsidR="00523290">
              <w:rPr>
                <w:rFonts w:ascii="Times New Roman" w:hAnsi="Times New Roman" w:cs="Times New Roman"/>
                <w:bCs/>
                <w:lang w:val="en-GB"/>
              </w:rPr>
              <w:t>3</w:t>
            </w:r>
            <w:r>
              <w:rPr>
                <w:rFonts w:ascii="Times New Roman" w:hAnsi="Times New Roman" w:cs="Times New Roman"/>
                <w:bCs/>
                <w:lang w:val="en-GB"/>
              </w:rPr>
              <w:t>0</w:t>
            </w:r>
            <w:r w:rsidR="00523290">
              <w:rPr>
                <w:rFonts w:ascii="Times New Roman" w:hAnsi="Times New Roman" w:cs="Times New Roman"/>
                <w:bCs/>
                <w:lang w:val="en-GB"/>
              </w:rPr>
              <w:t xml:space="preserve"> to 0090</w:t>
            </w:r>
            <w:r>
              <w:rPr>
                <w:rFonts w:ascii="Times New Roman" w:hAnsi="Times New Roman" w:cs="Times New Roman"/>
                <w:bCs/>
                <w:lang w:val="en-GB"/>
              </w:rPr>
              <w:t xml:space="preserve"> for certain business </w:t>
            </w:r>
            <w:r w:rsidRPr="00B7601A">
              <w:rPr>
                <w:rFonts w:ascii="Times New Roman" w:hAnsi="Times New Roman" w:cs="Times New Roman"/>
                <w:lang w:val="en-GB"/>
              </w:rPr>
              <w:t>day</w:t>
            </w:r>
            <w:r>
              <w:rPr>
                <w:rFonts w:ascii="Times New Roman" w:hAnsi="Times New Roman" w:cs="Times New Roman"/>
                <w:lang w:val="en-GB"/>
              </w:rPr>
              <w:t xml:space="preserve">s of </w:t>
            </w:r>
            <w:r>
              <w:rPr>
                <w:rFonts w:ascii="Times New Roman" w:hAnsi="Times New Roman" w:cs="Times New Roman"/>
                <w:bCs/>
                <w:lang w:val="en-GB"/>
              </w:rPr>
              <w:t xml:space="preserve">reference period, or from a certain </w:t>
            </w:r>
            <w:r w:rsidRPr="00523290">
              <w:rPr>
                <w:rFonts w:ascii="Times New Roman" w:hAnsi="Times New Roman" w:cs="Times New Roman"/>
                <w:lang w:val="en-GB"/>
              </w:rPr>
              <w:t>business</w:t>
            </w:r>
            <w:r>
              <w:rPr>
                <w:rFonts w:ascii="Times New Roman" w:hAnsi="Times New Roman" w:cs="Times New Roman"/>
                <w:bCs/>
                <w:lang w:val="en-GB"/>
              </w:rPr>
              <w:t xml:space="preserve"> day of the reference period onwards, as applicable, they shall include the information into the rows corresponding to the respective business days, or the one corresponding to the first business day where the revised approach was applied.</w:t>
            </w:r>
          </w:p>
        </w:tc>
      </w:tr>
      <w:tr w:rsidR="00252550" w:rsidRPr="00FE3C59" w14:paraId="110DE58F" w14:textId="77777777" w:rsidTr="00EF25E9">
        <w:tc>
          <w:tcPr>
            <w:tcW w:w="1043" w:type="dxa"/>
            <w:tcBorders>
              <w:top w:val="single" w:sz="4" w:space="0" w:color="auto"/>
              <w:left w:val="single" w:sz="4" w:space="0" w:color="auto"/>
              <w:bottom w:val="single" w:sz="4" w:space="0" w:color="auto"/>
              <w:right w:val="single" w:sz="4" w:space="0" w:color="auto"/>
            </w:tcBorders>
          </w:tcPr>
          <w:p w14:paraId="36F5C84E" w14:textId="77777777"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lastRenderedPageBreak/>
              <w:t>0100</w:t>
            </w:r>
          </w:p>
        </w:tc>
        <w:tc>
          <w:tcPr>
            <w:tcW w:w="7973" w:type="dxa"/>
            <w:tcBorders>
              <w:top w:val="single" w:sz="4" w:space="0" w:color="auto"/>
              <w:left w:val="single" w:sz="4" w:space="0" w:color="auto"/>
              <w:bottom w:val="single" w:sz="4" w:space="0" w:color="auto"/>
              <w:right w:val="single" w:sz="4" w:space="0" w:color="auto"/>
            </w:tcBorders>
          </w:tcPr>
          <w:p w14:paraId="0E121F85" w14:textId="77777777" w:rsidR="00252550" w:rsidRPr="00FE3C59" w:rsidRDefault="00252550" w:rsidP="00EF25E9">
            <w:pPr>
              <w:pStyle w:val="BodyText"/>
              <w:spacing w:before="120" w:after="120"/>
              <w:rPr>
                <w:rFonts w:ascii="Times New Roman" w:hAnsi="Times New Roman" w:cs="Times New Roman"/>
                <w:b/>
                <w:u w:val="single"/>
                <w:lang w:val="en-GB"/>
              </w:rPr>
            </w:pPr>
            <w:r w:rsidRPr="00FE3C59">
              <w:rPr>
                <w:rFonts w:ascii="Times New Roman" w:hAnsi="Times New Roman" w:cs="Times New Roman"/>
                <w:b/>
                <w:u w:val="single"/>
                <w:lang w:val="en-GB"/>
              </w:rPr>
              <w:t>Memorandum item: Coverage of the data</w:t>
            </w:r>
          </w:p>
          <w:p w14:paraId="684FFA38" w14:textId="77777777"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t>Article 325d(1) , point (vii), of Regulation (EU) No 575/2013</w:t>
            </w:r>
          </w:p>
          <w:p w14:paraId="5F3F2C6E" w14:textId="6CB788E6" w:rsidR="00252550" w:rsidRPr="00FE3C59" w:rsidRDefault="00252550" w:rsidP="00EF25E9">
            <w:pPr>
              <w:pStyle w:val="BodyText"/>
              <w:spacing w:before="120" w:after="120"/>
              <w:rPr>
                <w:rFonts w:ascii="Times New Roman" w:hAnsi="Times New Roman" w:cs="Times New Roman"/>
                <w:lang w:val="en-GB"/>
              </w:rPr>
            </w:pPr>
            <w:r w:rsidRPr="00FE3C59">
              <w:rPr>
                <w:rFonts w:ascii="Times New Roman" w:hAnsi="Times New Roman" w:cs="Times New Roman"/>
                <w:lang w:val="en-GB"/>
              </w:rPr>
              <w:t>‘</w:t>
            </w:r>
            <w:r w:rsidR="00E72217">
              <w:rPr>
                <w:rFonts w:ascii="Times New Roman" w:hAnsi="Times New Roman" w:cs="Times New Roman"/>
                <w:lang w:val="en-GB"/>
              </w:rPr>
              <w:t xml:space="preserve">Economic P&amp;L for all </w:t>
            </w:r>
            <w:r w:rsidR="00B23286">
              <w:rPr>
                <w:rFonts w:ascii="Times New Roman" w:hAnsi="Times New Roman" w:cs="Times New Roman"/>
                <w:lang w:val="en-GB"/>
              </w:rPr>
              <w:t>positions</w:t>
            </w:r>
            <w:r w:rsidR="00E72217">
              <w:rPr>
                <w:rFonts w:ascii="Times New Roman" w:hAnsi="Times New Roman" w:cs="Times New Roman"/>
                <w:lang w:val="en-GB"/>
              </w:rPr>
              <w:t xml:space="preserve"> subject to market risk</w:t>
            </w:r>
            <w:r w:rsidRPr="00FE3C59">
              <w:rPr>
                <w:rFonts w:ascii="Times New Roman" w:hAnsi="Times New Roman" w:cs="Times New Roman"/>
                <w:lang w:val="en-GB"/>
              </w:rPr>
              <w:t>’ shall be indicated, if the data for the respective date includes the effect of the revaluation of positions both in the trading book and the non-trading book.</w:t>
            </w:r>
          </w:p>
          <w:p w14:paraId="15985BFE" w14:textId="580BBF50" w:rsidR="00252550" w:rsidRPr="00FE3C59" w:rsidRDefault="00252550" w:rsidP="00EF25E9">
            <w:pPr>
              <w:pStyle w:val="BodyText"/>
              <w:spacing w:before="120" w:after="120"/>
              <w:rPr>
                <w:rFonts w:ascii="Times New Roman" w:hAnsi="Times New Roman" w:cs="Times New Roman"/>
                <w:b/>
                <w:u w:val="single"/>
                <w:lang w:val="en-GB"/>
              </w:rPr>
            </w:pPr>
            <w:r w:rsidRPr="00FE3C59">
              <w:rPr>
                <w:rFonts w:ascii="Times New Roman" w:hAnsi="Times New Roman" w:cs="Times New Roman"/>
                <w:lang w:val="en-GB"/>
              </w:rPr>
              <w:t>‘</w:t>
            </w:r>
            <w:r w:rsidR="00241126">
              <w:rPr>
                <w:rFonts w:ascii="Times New Roman" w:hAnsi="Times New Roman" w:cs="Times New Roman"/>
                <w:lang w:val="en-GB"/>
              </w:rPr>
              <w:t xml:space="preserve">Economic P&amp;L for </w:t>
            </w:r>
            <w:r w:rsidR="00B23286">
              <w:rPr>
                <w:rFonts w:ascii="Times New Roman" w:hAnsi="Times New Roman" w:cs="Times New Roman"/>
                <w:lang w:val="en-GB"/>
              </w:rPr>
              <w:t xml:space="preserve">positions </w:t>
            </w:r>
            <w:r w:rsidR="00241126">
              <w:rPr>
                <w:rFonts w:ascii="Times New Roman" w:hAnsi="Times New Roman" w:cs="Times New Roman"/>
                <w:lang w:val="en-GB"/>
              </w:rPr>
              <w:t>subject to market risk</w:t>
            </w:r>
            <w:r w:rsidRPr="00FE3C59">
              <w:rPr>
                <w:rFonts w:ascii="Times New Roman" w:hAnsi="Times New Roman" w:cs="Times New Roman"/>
                <w:lang w:val="en-GB"/>
              </w:rPr>
              <w:t xml:space="preserve"> in the trading book’ shall be indicated, if the data for the respective date is limited to data on the effect of the revaluation of positions in the trading book.</w:t>
            </w:r>
          </w:p>
        </w:tc>
      </w:tr>
    </w:tbl>
    <w:p w14:paraId="1B90929C" w14:textId="77777777" w:rsidR="00252550" w:rsidRPr="00FE3C59" w:rsidRDefault="00252550" w:rsidP="004F7DA1">
      <w:pPr>
        <w:pStyle w:val="body"/>
        <w:rPr>
          <w:rFonts w:ascii="Times New Roman" w:hAnsi="Times New Roman" w:cs="Times New Roman"/>
          <w:lang w:val="en-GB"/>
        </w:rPr>
      </w:pPr>
    </w:p>
    <w:sectPr w:rsidR="00252550" w:rsidRPr="00FE3C59">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8955C" w14:textId="77777777" w:rsidR="00613974" w:rsidRDefault="00613974" w:rsidP="0076662E">
      <w:pPr>
        <w:spacing w:after="0" w:line="240" w:lineRule="auto"/>
      </w:pPr>
      <w:r>
        <w:separator/>
      </w:r>
    </w:p>
  </w:endnote>
  <w:endnote w:type="continuationSeparator" w:id="0">
    <w:p w14:paraId="15BE03A8" w14:textId="77777777" w:rsidR="00613974" w:rsidRDefault="00613974" w:rsidP="0076662E">
      <w:pPr>
        <w:spacing w:after="0" w:line="240" w:lineRule="auto"/>
      </w:pPr>
      <w:r>
        <w:continuationSeparator/>
      </w:r>
    </w:p>
  </w:endnote>
  <w:endnote w:type="continuationNotice" w:id="1">
    <w:p w14:paraId="2F5BDE75" w14:textId="77777777" w:rsidR="00613974" w:rsidRDefault="006139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1A35E" w14:textId="77777777" w:rsidR="006A4BE3" w:rsidRDefault="006A4B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8328731"/>
      <w:docPartObj>
        <w:docPartGallery w:val="Page Numbers (Bottom of Page)"/>
        <w:docPartUnique/>
      </w:docPartObj>
    </w:sdtPr>
    <w:sdtEndPr>
      <w:rPr>
        <w:noProof/>
      </w:rPr>
    </w:sdtEndPr>
    <w:sdtContent>
      <w:p w14:paraId="66319260" w14:textId="177A176D" w:rsidR="00824A78" w:rsidRDefault="00824A78" w:rsidP="004923F3">
        <w:pPr>
          <w:pStyle w:val="Footer"/>
          <w:jc w:val="center"/>
        </w:pPr>
        <w:r>
          <w:fldChar w:fldCharType="begin"/>
        </w:r>
        <w:r>
          <w:instrText xml:space="preserve"> PAGE   \* MERGEFORMAT </w:instrText>
        </w:r>
        <w:r>
          <w:fldChar w:fldCharType="separate"/>
        </w:r>
        <w:r w:rsidR="00146A30">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8634E" w14:textId="77777777" w:rsidR="006A4BE3" w:rsidRDefault="006A4B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DB005" w14:textId="77777777" w:rsidR="00613974" w:rsidRDefault="00613974" w:rsidP="0076662E">
      <w:pPr>
        <w:spacing w:after="0" w:line="240" w:lineRule="auto"/>
      </w:pPr>
      <w:r>
        <w:separator/>
      </w:r>
    </w:p>
  </w:footnote>
  <w:footnote w:type="continuationSeparator" w:id="0">
    <w:p w14:paraId="5701FB92" w14:textId="77777777" w:rsidR="00613974" w:rsidRDefault="00613974" w:rsidP="0076662E">
      <w:pPr>
        <w:spacing w:after="0" w:line="240" w:lineRule="auto"/>
      </w:pPr>
      <w:r>
        <w:continuationSeparator/>
      </w:r>
    </w:p>
  </w:footnote>
  <w:footnote w:type="continuationNotice" w:id="1">
    <w:p w14:paraId="2C8F9407" w14:textId="77777777" w:rsidR="00613974" w:rsidRDefault="00613974">
      <w:pPr>
        <w:spacing w:after="0" w:line="240" w:lineRule="auto"/>
      </w:pPr>
    </w:p>
  </w:footnote>
  <w:footnote w:id="2">
    <w:p w14:paraId="20CB730B" w14:textId="011AF573" w:rsidR="00023F10" w:rsidRDefault="00023F10">
      <w:pPr>
        <w:pStyle w:val="FootnoteText"/>
      </w:pPr>
      <w:r>
        <w:rPr>
          <w:rStyle w:val="FootnoteReference"/>
        </w:rPr>
        <w:footnoteRef/>
      </w:r>
      <w:r>
        <w:t xml:space="preserve"> </w:t>
      </w:r>
      <w:r w:rsidR="00C0439B" w:rsidRPr="00C0439B">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r w:rsidR="00C0439B">
        <w:t xml:space="preserve"> (</w:t>
      </w:r>
      <w:r w:rsidR="00C0439B" w:rsidRPr="00C0439B">
        <w:t>OJ L 176, 27.6.2013, p. 338–436</w:t>
      </w:r>
      <w:r w:rsidR="00C0439B">
        <w:t>)</w:t>
      </w:r>
    </w:p>
  </w:footnote>
  <w:footnote w:id="3">
    <w:p w14:paraId="4AA4EB65" w14:textId="5CC902AB" w:rsidR="00473D6C" w:rsidRDefault="00473D6C">
      <w:pPr>
        <w:pStyle w:val="FootnoteText"/>
      </w:pPr>
      <w:r>
        <w:rPr>
          <w:rStyle w:val="FootnoteReference"/>
        </w:rPr>
        <w:footnoteRef/>
      </w:r>
      <w:r>
        <w:t xml:space="preserve"> </w:t>
      </w:r>
      <w:r w:rsidRPr="00473D6C">
        <w:t>https://eur-lex.europa.eu/legal-content/EN/TXT/?uri=CELEX:52021PC0664</w:t>
      </w:r>
    </w:p>
  </w:footnote>
  <w:footnote w:id="4">
    <w:p w14:paraId="7E982BBE" w14:textId="4D75D92A" w:rsidR="00375C38" w:rsidRDefault="00375C38">
      <w:pPr>
        <w:pStyle w:val="FootnoteText"/>
      </w:pPr>
      <w:r>
        <w:rPr>
          <w:rStyle w:val="FootnoteReference"/>
        </w:rPr>
        <w:footnoteRef/>
      </w:r>
      <w:r>
        <w:t xml:space="preserve"> </w:t>
      </w:r>
      <w:r w:rsidR="00F2110C" w:rsidRPr="00F2110C">
        <w:t>Commission Delegated Regulation (EU) 2022/2328 of 16 August 2022 supplementing Regulation (EU) No 575/2013 of the European Parliament and of the Council with regard to regulatory technical standards specifying exotic underlyings and the instruments bearing residual risks for the purposes of the calculation of own funds requirements for residual risks</w:t>
      </w:r>
      <w:r w:rsidR="00F2110C">
        <w:t xml:space="preserve"> (</w:t>
      </w:r>
      <w:r w:rsidR="009D52CD" w:rsidRPr="009D52CD">
        <w:t>OJ L 308, 29.11.2022, p. 1–4</w:t>
      </w:r>
      <w:r w:rsidR="009D52CD">
        <w:t>)</w:t>
      </w:r>
    </w:p>
  </w:footnote>
  <w:footnote w:id="5">
    <w:p w14:paraId="2F2A6B13" w14:textId="30807ABE" w:rsidR="00102C44" w:rsidRDefault="00102C44">
      <w:pPr>
        <w:pStyle w:val="FootnoteText"/>
      </w:pPr>
      <w:r>
        <w:rPr>
          <w:rStyle w:val="FootnoteReference"/>
        </w:rPr>
        <w:footnoteRef/>
      </w:r>
      <w:r>
        <w:t xml:space="preserve"> </w:t>
      </w:r>
      <w:r w:rsidR="006F557D" w:rsidRPr="006F557D">
        <w:t>Commission Delegated Regulation (EU) 2022/2059 of 14 June 2022 supplementing Regulation (EU) No 575/2013 of the European Parliament and of the Council with regard to regulatory technical standards specifying the technical details of back-testing and profit and loss attribution requirements under Articles 325bf and 325bg of Regulation (EU) No 575/2013</w:t>
      </w:r>
      <w:r w:rsidR="006F557D">
        <w:t xml:space="preserve"> (</w:t>
      </w:r>
      <w:r w:rsidR="00462569" w:rsidRPr="00462569">
        <w:t>OJ L 276, 26.10.2022, p. 47–59</w:t>
      </w:r>
      <w:r w:rsidR="006F557D">
        <w:t>)</w:t>
      </w:r>
    </w:p>
  </w:footnote>
  <w:footnote w:id="6">
    <w:p w14:paraId="5124BB75" w14:textId="1332DDC9" w:rsidR="00617369" w:rsidRDefault="00617369">
      <w:pPr>
        <w:pStyle w:val="FootnoteText"/>
      </w:pPr>
      <w:r>
        <w:rPr>
          <w:rStyle w:val="FootnoteReference"/>
        </w:rPr>
        <w:footnoteRef/>
      </w:r>
      <w:r>
        <w:t xml:space="preserve"> </w:t>
      </w:r>
      <w:r w:rsidRPr="00617369">
        <w:t>Commission Delegated Regulation (EU) 2022/2060 of 14 June 2022 supplementing Regulation (EU) No 575/2013 of the European Parliament and of the Council with regard to regulatory technical standards specifying the criteria for assessing the modellability of risk factors under the internal model approach (IMA) and specifying the frequency of that assessment under Article 325be(3) of that Regulation</w:t>
      </w:r>
      <w:r>
        <w:t xml:space="preserve"> (</w:t>
      </w:r>
      <w:r w:rsidR="009D1C5E" w:rsidRPr="009D1C5E">
        <w:t>OJ L 276, 26.10.2022, p. 60–68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60F4D" w14:textId="3F987E45" w:rsidR="00824A78" w:rsidRDefault="00966E16">
    <w:pPr>
      <w:pStyle w:val="Header"/>
    </w:pPr>
    <w:r>
      <w:rPr>
        <w:noProof/>
      </w:rPr>
      <mc:AlternateContent>
        <mc:Choice Requires="wps">
          <w:drawing>
            <wp:anchor distT="0" distB="0" distL="0" distR="0" simplePos="0" relativeHeight="251658241" behindDoc="0" locked="0" layoutInCell="1" allowOverlap="1" wp14:anchorId="583102F8" wp14:editId="45FDBCCF">
              <wp:simplePos x="635" y="635"/>
              <wp:positionH relativeFrom="page">
                <wp:align>left</wp:align>
              </wp:positionH>
              <wp:positionV relativeFrom="page">
                <wp:align>top</wp:align>
              </wp:positionV>
              <wp:extent cx="443865" cy="443865"/>
              <wp:effectExtent l="0" t="0" r="6985" b="8890"/>
              <wp:wrapNone/>
              <wp:docPr id="8" name="Text Box 8" descr="EBA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F0496D" w14:textId="443DBEED" w:rsidR="00966E16" w:rsidRPr="00966E16" w:rsidRDefault="00966E16" w:rsidP="00966E16">
                          <w:pPr>
                            <w:spacing w:after="0"/>
                            <w:rPr>
                              <w:rFonts w:ascii="Calibri" w:eastAsia="Calibri" w:hAnsi="Calibri" w:cs="Calibri"/>
                              <w:noProof/>
                              <w:color w:val="000000"/>
                              <w:sz w:val="24"/>
                              <w:szCs w:val="24"/>
                            </w:rPr>
                          </w:pPr>
                          <w:r w:rsidRPr="00966E16">
                            <w:rPr>
                              <w:rFonts w:ascii="Calibri" w:eastAsia="Calibri" w:hAnsi="Calibri" w:cs="Calibri"/>
                              <w:noProof/>
                              <w:color w:val="000000"/>
                              <w:sz w:val="24"/>
                              <w:szCs w:val="24"/>
                            </w:rPr>
                            <w:t>EBA 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3102F8" id="_x0000_t202" coordsize="21600,21600" o:spt="202" path="m,l,21600r21600,l21600,xe">
              <v:stroke joinstyle="miter"/>
              <v:path gradientshapeok="t" o:connecttype="rect"/>
            </v:shapetype>
            <v:shape id="Text Box 8" o:spid="_x0000_s1026" type="#_x0000_t202" alt="EBA Public"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53F0496D" w14:textId="443DBEED" w:rsidR="00966E16" w:rsidRPr="00966E16" w:rsidRDefault="00966E16" w:rsidP="00966E16">
                    <w:pPr>
                      <w:spacing w:after="0"/>
                      <w:rPr>
                        <w:rFonts w:ascii="Calibri" w:eastAsia="Calibri" w:hAnsi="Calibri" w:cs="Calibri"/>
                        <w:noProof/>
                        <w:color w:val="000000"/>
                        <w:sz w:val="24"/>
                        <w:szCs w:val="24"/>
                      </w:rPr>
                    </w:pPr>
                    <w:r w:rsidRPr="00966E16">
                      <w:rPr>
                        <w:rFonts w:ascii="Calibri" w:eastAsia="Calibri" w:hAnsi="Calibri" w:cs="Calibri"/>
                        <w:noProof/>
                        <w:color w:val="000000"/>
                        <w:sz w:val="24"/>
                        <w:szCs w:val="24"/>
                      </w:rPr>
                      <w:t>EBA 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E6059" w14:textId="06D56A90" w:rsidR="00824A78" w:rsidRDefault="00966E16" w:rsidP="004923F3">
    <w:pPr>
      <w:pStyle w:val="Header"/>
      <w:jc w:val="center"/>
    </w:pPr>
    <w:r>
      <w:rPr>
        <w:noProof/>
      </w:rPr>
      <mc:AlternateContent>
        <mc:Choice Requires="wps">
          <w:drawing>
            <wp:anchor distT="0" distB="0" distL="0" distR="0" simplePos="0" relativeHeight="251658242" behindDoc="0" locked="0" layoutInCell="1" allowOverlap="1" wp14:anchorId="4465C1EC" wp14:editId="140F314D">
              <wp:simplePos x="914400" y="447675"/>
              <wp:positionH relativeFrom="page">
                <wp:align>left</wp:align>
              </wp:positionH>
              <wp:positionV relativeFrom="page">
                <wp:align>top</wp:align>
              </wp:positionV>
              <wp:extent cx="443865" cy="443865"/>
              <wp:effectExtent l="0" t="0" r="6985" b="8890"/>
              <wp:wrapNone/>
              <wp:docPr id="9" name="Text Box 9" descr="EBA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8EAFF4" w14:textId="21011742" w:rsidR="00966E16" w:rsidRPr="00966E16" w:rsidRDefault="00966E16" w:rsidP="00966E16">
                          <w:pPr>
                            <w:spacing w:after="0"/>
                            <w:rPr>
                              <w:rFonts w:ascii="Calibri" w:eastAsia="Calibri" w:hAnsi="Calibri" w:cs="Calibri"/>
                              <w:noProof/>
                              <w:color w:val="000000"/>
                              <w:sz w:val="24"/>
                              <w:szCs w:val="24"/>
                            </w:rPr>
                          </w:pPr>
                          <w:r w:rsidRPr="00966E16">
                            <w:rPr>
                              <w:rFonts w:ascii="Calibri" w:eastAsia="Calibri" w:hAnsi="Calibri" w:cs="Calibri"/>
                              <w:noProof/>
                              <w:color w:val="000000"/>
                              <w:sz w:val="24"/>
                              <w:szCs w:val="24"/>
                            </w:rPr>
                            <w:t>EBA 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65C1EC" id="_x0000_t202" coordsize="21600,21600" o:spt="202" path="m,l,21600r21600,l21600,xe">
              <v:stroke joinstyle="miter"/>
              <v:path gradientshapeok="t" o:connecttype="rect"/>
            </v:shapetype>
            <v:shape id="Text Box 9" o:spid="_x0000_s1027" type="#_x0000_t202" alt="EBA Public"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48EAFF4" w14:textId="21011742" w:rsidR="00966E16" w:rsidRPr="00966E16" w:rsidRDefault="00966E16" w:rsidP="00966E16">
                    <w:pPr>
                      <w:spacing w:after="0"/>
                      <w:rPr>
                        <w:rFonts w:ascii="Calibri" w:eastAsia="Calibri" w:hAnsi="Calibri" w:cs="Calibri"/>
                        <w:noProof/>
                        <w:color w:val="000000"/>
                        <w:sz w:val="24"/>
                        <w:szCs w:val="24"/>
                      </w:rPr>
                    </w:pPr>
                    <w:r w:rsidRPr="00966E16">
                      <w:rPr>
                        <w:rFonts w:ascii="Calibri" w:eastAsia="Calibri" w:hAnsi="Calibri" w:cs="Calibri"/>
                        <w:noProof/>
                        <w:color w:val="000000"/>
                        <w:sz w:val="24"/>
                        <w:szCs w:val="24"/>
                      </w:rPr>
                      <w:t>EBA Public</w:t>
                    </w:r>
                  </w:p>
                </w:txbxContent>
              </v:textbox>
              <w10:wrap anchorx="page" anchory="page"/>
            </v:shape>
          </w:pict>
        </mc:Fallback>
      </mc:AlternateContent>
    </w:r>
    <w:r w:rsidR="00824A78">
      <w:t>Annex II</w:t>
    </w:r>
    <w:r w:rsidR="006A4BE3">
      <w:t xml:space="preserve"> to EBA/CP/2023/03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52253" w14:textId="03B41D88" w:rsidR="00824A78" w:rsidRDefault="00966E16">
    <w:pPr>
      <w:pStyle w:val="Header"/>
    </w:pPr>
    <w:r>
      <w:rPr>
        <w:noProof/>
      </w:rPr>
      <mc:AlternateContent>
        <mc:Choice Requires="wps">
          <w:drawing>
            <wp:anchor distT="0" distB="0" distL="0" distR="0" simplePos="0" relativeHeight="251658240" behindDoc="0" locked="0" layoutInCell="1" allowOverlap="1" wp14:anchorId="2FDD9CFC" wp14:editId="02E82DE6">
              <wp:simplePos x="635" y="635"/>
              <wp:positionH relativeFrom="page">
                <wp:align>left</wp:align>
              </wp:positionH>
              <wp:positionV relativeFrom="page">
                <wp:align>top</wp:align>
              </wp:positionV>
              <wp:extent cx="443865" cy="443865"/>
              <wp:effectExtent l="0" t="0" r="6985" b="8890"/>
              <wp:wrapNone/>
              <wp:docPr id="7" name="Text Box 7" descr="EBA 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B666A2" w14:textId="7A8C1E94" w:rsidR="00966E16" w:rsidRPr="00966E16" w:rsidRDefault="00966E16" w:rsidP="00966E16">
                          <w:pPr>
                            <w:spacing w:after="0"/>
                            <w:rPr>
                              <w:rFonts w:ascii="Calibri" w:eastAsia="Calibri" w:hAnsi="Calibri" w:cs="Calibri"/>
                              <w:noProof/>
                              <w:color w:val="000000"/>
                              <w:sz w:val="24"/>
                              <w:szCs w:val="24"/>
                            </w:rPr>
                          </w:pPr>
                          <w:r w:rsidRPr="00966E16">
                            <w:rPr>
                              <w:rFonts w:ascii="Calibri" w:eastAsia="Calibri" w:hAnsi="Calibri" w:cs="Calibri"/>
                              <w:noProof/>
                              <w:color w:val="000000"/>
                              <w:sz w:val="24"/>
                              <w:szCs w:val="24"/>
                            </w:rPr>
                            <w:t>EBA 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FDD9CFC" id="_x0000_t202" coordsize="21600,21600" o:spt="202" path="m,l,21600r21600,l21600,xe">
              <v:stroke joinstyle="miter"/>
              <v:path gradientshapeok="t" o:connecttype="rect"/>
            </v:shapetype>
            <v:shape id="Text Box 7" o:spid="_x0000_s1028" type="#_x0000_t202" alt="EBA Public"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12B666A2" w14:textId="7A8C1E94" w:rsidR="00966E16" w:rsidRPr="00966E16" w:rsidRDefault="00966E16" w:rsidP="00966E16">
                    <w:pPr>
                      <w:spacing w:after="0"/>
                      <w:rPr>
                        <w:rFonts w:ascii="Calibri" w:eastAsia="Calibri" w:hAnsi="Calibri" w:cs="Calibri"/>
                        <w:noProof/>
                        <w:color w:val="000000"/>
                        <w:sz w:val="24"/>
                        <w:szCs w:val="24"/>
                      </w:rPr>
                    </w:pPr>
                    <w:r w:rsidRPr="00966E16">
                      <w:rPr>
                        <w:rFonts w:ascii="Calibri" w:eastAsia="Calibri" w:hAnsi="Calibri" w:cs="Calibri"/>
                        <w:noProof/>
                        <w:color w:val="000000"/>
                        <w:sz w:val="24"/>
                        <w:szCs w:val="24"/>
                      </w:rPr>
                      <w:t>EBA 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58B"/>
    <w:multiLevelType w:val="hybridMultilevel"/>
    <w:tmpl w:val="9D12215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03A4D9B"/>
    <w:multiLevelType w:val="hybridMultilevel"/>
    <w:tmpl w:val="02B414DE"/>
    <w:lvl w:ilvl="0" w:tplc="FFFFFFFF">
      <w:start w:val="1"/>
      <w:numFmt w:val="decimal"/>
      <w:lvlText w:val="%1."/>
      <w:lvlJc w:val="left"/>
      <w:pPr>
        <w:ind w:left="1353" w:hanging="360"/>
      </w:pPr>
    </w:lvl>
    <w:lvl w:ilvl="1" w:tplc="08090001">
      <w:start w:val="1"/>
      <w:numFmt w:val="bullet"/>
      <w:lvlText w:val=""/>
      <w:lvlJc w:val="left"/>
      <w:pPr>
        <w:ind w:left="2073" w:hanging="360"/>
      </w:pPr>
      <w:rPr>
        <w:rFonts w:ascii="Symbol" w:hAnsi="Symbol" w:hint="default"/>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 w15:restartNumberingAfterBreak="0">
    <w:nsid w:val="019E308C"/>
    <w:multiLevelType w:val="hybridMultilevel"/>
    <w:tmpl w:val="68340ABC"/>
    <w:lvl w:ilvl="0" w:tplc="979A79AA">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1D8754E"/>
    <w:multiLevelType w:val="hybridMultilevel"/>
    <w:tmpl w:val="FD16C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F13B80"/>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 w15:restartNumberingAfterBreak="0">
    <w:nsid w:val="06D261D2"/>
    <w:multiLevelType w:val="hybridMultilevel"/>
    <w:tmpl w:val="01B0F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397180"/>
    <w:multiLevelType w:val="hybridMultilevel"/>
    <w:tmpl w:val="40DA387E"/>
    <w:lvl w:ilvl="0" w:tplc="0FF805DC">
      <w:start w:val="3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232B2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8" w15:restartNumberingAfterBreak="0">
    <w:nsid w:val="0D7A29A2"/>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9" w15:restartNumberingAfterBreak="0">
    <w:nsid w:val="0E352748"/>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0" w15:restartNumberingAfterBreak="0">
    <w:nsid w:val="0E8A7C34"/>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0EB4471E"/>
    <w:multiLevelType w:val="hybridMultilevel"/>
    <w:tmpl w:val="37B8FC62"/>
    <w:lvl w:ilvl="0" w:tplc="D3AAD8CE">
      <w:start w:val="1"/>
      <w:numFmt w:val="decimal"/>
      <w:lvlText w:val="%1."/>
      <w:lvlJc w:val="left"/>
      <w:pPr>
        <w:ind w:left="720" w:hanging="360"/>
      </w:pPr>
    </w:lvl>
    <w:lvl w:ilvl="1" w:tplc="FAFE7122">
      <w:start w:val="1"/>
      <w:numFmt w:val="lowerLetter"/>
      <w:lvlText w:val="%2."/>
      <w:lvlJc w:val="left"/>
      <w:pPr>
        <w:ind w:left="1440" w:hanging="360"/>
      </w:pPr>
    </w:lvl>
    <w:lvl w:ilvl="2" w:tplc="8CFC461E">
      <w:start w:val="1"/>
      <w:numFmt w:val="lowerRoman"/>
      <w:lvlText w:val="%3."/>
      <w:lvlJc w:val="right"/>
      <w:pPr>
        <w:ind w:left="2160" w:hanging="180"/>
      </w:pPr>
    </w:lvl>
    <w:lvl w:ilvl="3" w:tplc="5E428AF6">
      <w:start w:val="1"/>
      <w:numFmt w:val="decimal"/>
      <w:lvlText w:val="%4."/>
      <w:lvlJc w:val="left"/>
      <w:pPr>
        <w:ind w:left="2880" w:hanging="360"/>
      </w:pPr>
    </w:lvl>
    <w:lvl w:ilvl="4" w:tplc="A8D4614C">
      <w:start w:val="1"/>
      <w:numFmt w:val="lowerLetter"/>
      <w:lvlText w:val="%5."/>
      <w:lvlJc w:val="left"/>
      <w:pPr>
        <w:ind w:left="3600" w:hanging="360"/>
      </w:pPr>
    </w:lvl>
    <w:lvl w:ilvl="5" w:tplc="F9060B70">
      <w:start w:val="1"/>
      <w:numFmt w:val="lowerRoman"/>
      <w:lvlText w:val="%6."/>
      <w:lvlJc w:val="right"/>
      <w:pPr>
        <w:ind w:left="4320" w:hanging="180"/>
      </w:pPr>
    </w:lvl>
    <w:lvl w:ilvl="6" w:tplc="4DD66912">
      <w:start w:val="1"/>
      <w:numFmt w:val="decimal"/>
      <w:lvlText w:val="%7."/>
      <w:lvlJc w:val="left"/>
      <w:pPr>
        <w:ind w:left="5040" w:hanging="360"/>
      </w:pPr>
    </w:lvl>
    <w:lvl w:ilvl="7" w:tplc="4044C940">
      <w:start w:val="1"/>
      <w:numFmt w:val="lowerLetter"/>
      <w:lvlText w:val="%8."/>
      <w:lvlJc w:val="left"/>
      <w:pPr>
        <w:ind w:left="5760" w:hanging="360"/>
      </w:pPr>
    </w:lvl>
    <w:lvl w:ilvl="8" w:tplc="5008B254">
      <w:start w:val="1"/>
      <w:numFmt w:val="lowerRoman"/>
      <w:lvlText w:val="%9."/>
      <w:lvlJc w:val="right"/>
      <w:pPr>
        <w:ind w:left="6480" w:hanging="180"/>
      </w:pPr>
    </w:lvl>
  </w:abstractNum>
  <w:abstractNum w:abstractNumId="12" w15:restartNumberingAfterBreak="0">
    <w:nsid w:val="11424813"/>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3"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14" w15:restartNumberingAfterBreak="0">
    <w:nsid w:val="13920B30"/>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1571558B"/>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16B43C96"/>
    <w:multiLevelType w:val="hybridMultilevel"/>
    <w:tmpl w:val="CC1AA044"/>
    <w:lvl w:ilvl="0" w:tplc="1CB80AF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17BE04CC"/>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182A352A"/>
    <w:multiLevelType w:val="hybridMultilevel"/>
    <w:tmpl w:val="AC8E3FD8"/>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1A0863E6"/>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1" w15:restartNumberingAfterBreak="0">
    <w:nsid w:val="1EE852CE"/>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2" w15:restartNumberingAfterBreak="0">
    <w:nsid w:val="1EEC6969"/>
    <w:multiLevelType w:val="hybridMultilevel"/>
    <w:tmpl w:val="B770CD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0F92BC2"/>
    <w:multiLevelType w:val="hybridMultilevel"/>
    <w:tmpl w:val="C4487CFC"/>
    <w:lvl w:ilvl="0" w:tplc="979A79AA">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21BC6DE8"/>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5" w15:restartNumberingAfterBreak="0">
    <w:nsid w:val="234970EC"/>
    <w:multiLevelType w:val="hybridMultilevel"/>
    <w:tmpl w:val="AC8E3FD8"/>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6" w15:restartNumberingAfterBreak="0">
    <w:nsid w:val="253E70BC"/>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7" w15:restartNumberingAfterBreak="0">
    <w:nsid w:val="25B30691"/>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8" w15:restartNumberingAfterBreak="0">
    <w:nsid w:val="26E72279"/>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9" w15:restartNumberingAfterBreak="0">
    <w:nsid w:val="274D0152"/>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0" w15:restartNumberingAfterBreak="0">
    <w:nsid w:val="29C821FA"/>
    <w:multiLevelType w:val="hybridMultilevel"/>
    <w:tmpl w:val="44340056"/>
    <w:lvl w:ilvl="0" w:tplc="33A81BC6">
      <w:start w:val="1"/>
      <w:numFmt w:val="bullet"/>
      <w:lvlText w:val=""/>
      <w:lvlJc w:val="left"/>
      <w:pPr>
        <w:ind w:left="720" w:hanging="360"/>
      </w:pPr>
      <w:rPr>
        <w:rFonts w:ascii="Symbol" w:hAnsi="Symbol" w:hint="default"/>
      </w:rPr>
    </w:lvl>
    <w:lvl w:ilvl="1" w:tplc="DE96CD1C">
      <w:start w:val="1"/>
      <w:numFmt w:val="bullet"/>
      <w:lvlText w:val="o"/>
      <w:lvlJc w:val="left"/>
      <w:pPr>
        <w:ind w:left="1440" w:hanging="360"/>
      </w:pPr>
      <w:rPr>
        <w:rFonts w:ascii="Courier New" w:hAnsi="Courier New" w:hint="default"/>
      </w:rPr>
    </w:lvl>
    <w:lvl w:ilvl="2" w:tplc="2A1A7CC2">
      <w:start w:val="1"/>
      <w:numFmt w:val="bullet"/>
      <w:lvlText w:val=""/>
      <w:lvlJc w:val="left"/>
      <w:pPr>
        <w:ind w:left="2160" w:hanging="360"/>
      </w:pPr>
      <w:rPr>
        <w:rFonts w:ascii="Wingdings" w:hAnsi="Wingdings" w:hint="default"/>
      </w:rPr>
    </w:lvl>
    <w:lvl w:ilvl="3" w:tplc="AF48D42A">
      <w:start w:val="1"/>
      <w:numFmt w:val="bullet"/>
      <w:lvlText w:val=""/>
      <w:lvlJc w:val="left"/>
      <w:pPr>
        <w:ind w:left="2880" w:hanging="360"/>
      </w:pPr>
      <w:rPr>
        <w:rFonts w:ascii="Symbol" w:hAnsi="Symbol" w:hint="default"/>
      </w:rPr>
    </w:lvl>
    <w:lvl w:ilvl="4" w:tplc="D9844816">
      <w:start w:val="1"/>
      <w:numFmt w:val="bullet"/>
      <w:lvlText w:val="o"/>
      <w:lvlJc w:val="left"/>
      <w:pPr>
        <w:ind w:left="3600" w:hanging="360"/>
      </w:pPr>
      <w:rPr>
        <w:rFonts w:ascii="Courier New" w:hAnsi="Courier New" w:hint="default"/>
      </w:rPr>
    </w:lvl>
    <w:lvl w:ilvl="5" w:tplc="FB4C3BEC">
      <w:start w:val="1"/>
      <w:numFmt w:val="bullet"/>
      <w:lvlText w:val=""/>
      <w:lvlJc w:val="left"/>
      <w:pPr>
        <w:ind w:left="4320" w:hanging="360"/>
      </w:pPr>
      <w:rPr>
        <w:rFonts w:ascii="Wingdings" w:hAnsi="Wingdings" w:hint="default"/>
      </w:rPr>
    </w:lvl>
    <w:lvl w:ilvl="6" w:tplc="51861504">
      <w:start w:val="1"/>
      <w:numFmt w:val="bullet"/>
      <w:lvlText w:val=""/>
      <w:lvlJc w:val="left"/>
      <w:pPr>
        <w:ind w:left="5040" w:hanging="360"/>
      </w:pPr>
      <w:rPr>
        <w:rFonts w:ascii="Symbol" w:hAnsi="Symbol" w:hint="default"/>
      </w:rPr>
    </w:lvl>
    <w:lvl w:ilvl="7" w:tplc="AD344134">
      <w:start w:val="1"/>
      <w:numFmt w:val="bullet"/>
      <w:lvlText w:val="o"/>
      <w:lvlJc w:val="left"/>
      <w:pPr>
        <w:ind w:left="5760" w:hanging="360"/>
      </w:pPr>
      <w:rPr>
        <w:rFonts w:ascii="Courier New" w:hAnsi="Courier New" w:hint="default"/>
      </w:rPr>
    </w:lvl>
    <w:lvl w:ilvl="8" w:tplc="CF0A496C">
      <w:start w:val="1"/>
      <w:numFmt w:val="bullet"/>
      <w:lvlText w:val=""/>
      <w:lvlJc w:val="left"/>
      <w:pPr>
        <w:ind w:left="6480" w:hanging="360"/>
      </w:pPr>
      <w:rPr>
        <w:rFonts w:ascii="Wingdings" w:hAnsi="Wingdings" w:hint="default"/>
      </w:rPr>
    </w:lvl>
  </w:abstractNum>
  <w:abstractNum w:abstractNumId="31" w15:restartNumberingAfterBreak="0">
    <w:nsid w:val="2C9C273E"/>
    <w:multiLevelType w:val="multilevel"/>
    <w:tmpl w:val="3B2EC6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30752A8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3" w15:restartNumberingAfterBreak="0">
    <w:nsid w:val="31C93755"/>
    <w:multiLevelType w:val="hybridMultilevel"/>
    <w:tmpl w:val="6A1E86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2C140EA"/>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5" w15:restartNumberingAfterBreak="0">
    <w:nsid w:val="33057CB8"/>
    <w:multiLevelType w:val="hybridMultilevel"/>
    <w:tmpl w:val="ECE6D68E"/>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6" w15:restartNumberingAfterBreak="0">
    <w:nsid w:val="338950C2"/>
    <w:multiLevelType w:val="multilevel"/>
    <w:tmpl w:val="8110A72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5F36079"/>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8" w15:restartNumberingAfterBreak="0">
    <w:nsid w:val="3AB145C0"/>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9" w15:restartNumberingAfterBreak="0">
    <w:nsid w:val="3C972AFD"/>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0" w15:restartNumberingAfterBreak="0">
    <w:nsid w:val="3D1A3D0A"/>
    <w:multiLevelType w:val="hybridMultilevel"/>
    <w:tmpl w:val="E1FE8D0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41" w15:restartNumberingAfterBreak="0">
    <w:nsid w:val="3DFE6DAB"/>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2" w15:restartNumberingAfterBreak="0">
    <w:nsid w:val="3EB743CE"/>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3" w15:restartNumberingAfterBreak="0">
    <w:nsid w:val="3EDF3579"/>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4" w15:restartNumberingAfterBreak="0">
    <w:nsid w:val="445065DC"/>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5" w15:restartNumberingAfterBreak="0">
    <w:nsid w:val="49045E34"/>
    <w:multiLevelType w:val="hybridMultilevel"/>
    <w:tmpl w:val="7E502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96D21DB"/>
    <w:multiLevelType w:val="hybridMultilevel"/>
    <w:tmpl w:val="20B4F834"/>
    <w:lvl w:ilvl="0" w:tplc="979A79AA">
      <w:start w:val="1"/>
      <w:numFmt w:val="bullet"/>
      <w:lvlText w:val="-"/>
      <w:lvlJc w:val="left"/>
      <w:pPr>
        <w:ind w:left="720" w:hanging="360"/>
      </w:pPr>
      <w:rPr>
        <w:rFonts w:ascii="Calibri" w:hAnsi="Calibri" w:hint="default"/>
      </w:rPr>
    </w:lvl>
    <w:lvl w:ilvl="1" w:tplc="0CCA25B4">
      <w:start w:val="1"/>
      <w:numFmt w:val="bullet"/>
      <w:lvlText w:val="o"/>
      <w:lvlJc w:val="left"/>
      <w:pPr>
        <w:ind w:left="1440" w:hanging="360"/>
      </w:pPr>
      <w:rPr>
        <w:rFonts w:ascii="Courier New" w:hAnsi="Courier New" w:hint="default"/>
      </w:rPr>
    </w:lvl>
    <w:lvl w:ilvl="2" w:tplc="CBA40D2C">
      <w:start w:val="1"/>
      <w:numFmt w:val="bullet"/>
      <w:lvlText w:val=""/>
      <w:lvlJc w:val="left"/>
      <w:pPr>
        <w:ind w:left="2160" w:hanging="360"/>
      </w:pPr>
      <w:rPr>
        <w:rFonts w:ascii="Wingdings" w:hAnsi="Wingdings" w:hint="default"/>
      </w:rPr>
    </w:lvl>
    <w:lvl w:ilvl="3" w:tplc="A0CC5210">
      <w:start w:val="1"/>
      <w:numFmt w:val="bullet"/>
      <w:lvlText w:val=""/>
      <w:lvlJc w:val="left"/>
      <w:pPr>
        <w:ind w:left="2880" w:hanging="360"/>
      </w:pPr>
      <w:rPr>
        <w:rFonts w:ascii="Symbol" w:hAnsi="Symbol" w:hint="default"/>
      </w:rPr>
    </w:lvl>
    <w:lvl w:ilvl="4" w:tplc="BAC24954">
      <w:start w:val="1"/>
      <w:numFmt w:val="bullet"/>
      <w:lvlText w:val="o"/>
      <w:lvlJc w:val="left"/>
      <w:pPr>
        <w:ind w:left="3600" w:hanging="360"/>
      </w:pPr>
      <w:rPr>
        <w:rFonts w:ascii="Courier New" w:hAnsi="Courier New" w:hint="default"/>
      </w:rPr>
    </w:lvl>
    <w:lvl w:ilvl="5" w:tplc="86584B14">
      <w:start w:val="1"/>
      <w:numFmt w:val="bullet"/>
      <w:lvlText w:val=""/>
      <w:lvlJc w:val="left"/>
      <w:pPr>
        <w:ind w:left="4320" w:hanging="360"/>
      </w:pPr>
      <w:rPr>
        <w:rFonts w:ascii="Wingdings" w:hAnsi="Wingdings" w:hint="default"/>
      </w:rPr>
    </w:lvl>
    <w:lvl w:ilvl="6" w:tplc="D4DEEEAC">
      <w:start w:val="1"/>
      <w:numFmt w:val="bullet"/>
      <w:lvlText w:val=""/>
      <w:lvlJc w:val="left"/>
      <w:pPr>
        <w:ind w:left="5040" w:hanging="360"/>
      </w:pPr>
      <w:rPr>
        <w:rFonts w:ascii="Symbol" w:hAnsi="Symbol" w:hint="default"/>
      </w:rPr>
    </w:lvl>
    <w:lvl w:ilvl="7" w:tplc="BD748020">
      <w:start w:val="1"/>
      <w:numFmt w:val="bullet"/>
      <w:lvlText w:val="o"/>
      <w:lvlJc w:val="left"/>
      <w:pPr>
        <w:ind w:left="5760" w:hanging="360"/>
      </w:pPr>
      <w:rPr>
        <w:rFonts w:ascii="Courier New" w:hAnsi="Courier New" w:hint="default"/>
      </w:rPr>
    </w:lvl>
    <w:lvl w:ilvl="8" w:tplc="D6EEF788">
      <w:start w:val="1"/>
      <w:numFmt w:val="bullet"/>
      <w:lvlText w:val=""/>
      <w:lvlJc w:val="left"/>
      <w:pPr>
        <w:ind w:left="6480" w:hanging="360"/>
      </w:pPr>
      <w:rPr>
        <w:rFonts w:ascii="Wingdings" w:hAnsi="Wingdings" w:hint="default"/>
      </w:rPr>
    </w:lvl>
  </w:abstractNum>
  <w:abstractNum w:abstractNumId="47" w15:restartNumberingAfterBreak="0">
    <w:nsid w:val="507014A4"/>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8" w15:restartNumberingAfterBreak="0">
    <w:nsid w:val="56A82C85"/>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9" w15:restartNumberingAfterBreak="0">
    <w:nsid w:val="58920F06"/>
    <w:multiLevelType w:val="hybridMultilevel"/>
    <w:tmpl w:val="FB5C87D8"/>
    <w:lvl w:ilvl="0" w:tplc="A0961A5E">
      <w:start w:val="10"/>
      <w:numFmt w:val="bullet"/>
      <w:lvlText w:val="-"/>
      <w:lvlJc w:val="left"/>
      <w:pPr>
        <w:ind w:left="720" w:hanging="360"/>
      </w:pPr>
      <w:rPr>
        <w:rFonts w:ascii="Liberation Serif" w:eastAsia="SimSun" w:hAnsi="Liberation Serif" w:cs="Lucida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9252402"/>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1" w15:restartNumberingAfterBreak="0">
    <w:nsid w:val="5CB02126"/>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2" w15:restartNumberingAfterBreak="0">
    <w:nsid w:val="5DA41FF2"/>
    <w:multiLevelType w:val="hybridMultilevel"/>
    <w:tmpl w:val="B7A6DC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5E2B58AE"/>
    <w:multiLevelType w:val="hybridMultilevel"/>
    <w:tmpl w:val="F57C422E"/>
    <w:lvl w:ilvl="0" w:tplc="9D12290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E9248EA"/>
    <w:multiLevelType w:val="multilevel"/>
    <w:tmpl w:val="7DF8163C"/>
    <w:lvl w:ilvl="0">
      <w:start w:val="5"/>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F947B9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6" w15:restartNumberingAfterBreak="0">
    <w:nsid w:val="605B5ED3"/>
    <w:multiLevelType w:val="hybridMultilevel"/>
    <w:tmpl w:val="6FAA31FE"/>
    <w:lvl w:ilvl="0" w:tplc="7BE8178A">
      <w:start w:val="10"/>
      <w:numFmt w:val="bullet"/>
      <w:lvlText w:val="-"/>
      <w:lvlJc w:val="left"/>
      <w:pPr>
        <w:ind w:left="720" w:hanging="360"/>
      </w:pPr>
      <w:rPr>
        <w:rFonts w:ascii="Liberation Serif" w:eastAsia="SimSun" w:hAnsi="Liberation Serif" w:cs="Lucida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46302DD"/>
    <w:multiLevelType w:val="hybridMultilevel"/>
    <w:tmpl w:val="2A961AF6"/>
    <w:lvl w:ilvl="0" w:tplc="C8C817A2">
      <w:start w:val="1"/>
      <w:numFmt w:val="bullet"/>
      <w:lvlText w:val="-"/>
      <w:lvlJc w:val="left"/>
      <w:pPr>
        <w:ind w:left="720" w:hanging="360"/>
      </w:pPr>
      <w:rPr>
        <w:rFonts w:ascii="Calibri" w:hAnsi="Calibri" w:cs="Times New Roman" w:hint="default"/>
      </w:rPr>
    </w:lvl>
    <w:lvl w:ilvl="1" w:tplc="063214B4">
      <w:start w:val="1"/>
      <w:numFmt w:val="bullet"/>
      <w:lvlText w:val="o"/>
      <w:lvlJc w:val="left"/>
      <w:pPr>
        <w:ind w:left="1440" w:hanging="360"/>
      </w:pPr>
      <w:rPr>
        <w:rFonts w:ascii="Courier New" w:hAnsi="Courier New" w:cs="Times New Roman" w:hint="default"/>
      </w:rPr>
    </w:lvl>
    <w:lvl w:ilvl="2" w:tplc="A830B4B4">
      <w:start w:val="1"/>
      <w:numFmt w:val="bullet"/>
      <w:lvlText w:val=""/>
      <w:lvlJc w:val="left"/>
      <w:pPr>
        <w:ind w:left="2160" w:hanging="360"/>
      </w:pPr>
      <w:rPr>
        <w:rFonts w:ascii="Wingdings" w:hAnsi="Wingdings" w:hint="default"/>
      </w:rPr>
    </w:lvl>
    <w:lvl w:ilvl="3" w:tplc="01741552">
      <w:start w:val="1"/>
      <w:numFmt w:val="bullet"/>
      <w:lvlText w:val=""/>
      <w:lvlJc w:val="left"/>
      <w:pPr>
        <w:ind w:left="2880" w:hanging="360"/>
      </w:pPr>
      <w:rPr>
        <w:rFonts w:ascii="Symbol" w:hAnsi="Symbol" w:hint="default"/>
      </w:rPr>
    </w:lvl>
    <w:lvl w:ilvl="4" w:tplc="6E262F76">
      <w:start w:val="1"/>
      <w:numFmt w:val="bullet"/>
      <w:lvlText w:val="o"/>
      <w:lvlJc w:val="left"/>
      <w:pPr>
        <w:ind w:left="3600" w:hanging="360"/>
      </w:pPr>
      <w:rPr>
        <w:rFonts w:ascii="Courier New" w:hAnsi="Courier New" w:cs="Times New Roman" w:hint="default"/>
      </w:rPr>
    </w:lvl>
    <w:lvl w:ilvl="5" w:tplc="2E167E7E">
      <w:start w:val="1"/>
      <w:numFmt w:val="bullet"/>
      <w:lvlText w:val=""/>
      <w:lvlJc w:val="left"/>
      <w:pPr>
        <w:ind w:left="4320" w:hanging="360"/>
      </w:pPr>
      <w:rPr>
        <w:rFonts w:ascii="Wingdings" w:hAnsi="Wingdings" w:hint="default"/>
      </w:rPr>
    </w:lvl>
    <w:lvl w:ilvl="6" w:tplc="12661B60">
      <w:start w:val="1"/>
      <w:numFmt w:val="bullet"/>
      <w:lvlText w:val=""/>
      <w:lvlJc w:val="left"/>
      <w:pPr>
        <w:ind w:left="5040" w:hanging="360"/>
      </w:pPr>
      <w:rPr>
        <w:rFonts w:ascii="Symbol" w:hAnsi="Symbol" w:hint="default"/>
      </w:rPr>
    </w:lvl>
    <w:lvl w:ilvl="7" w:tplc="9E8E25F8">
      <w:start w:val="1"/>
      <w:numFmt w:val="bullet"/>
      <w:lvlText w:val="o"/>
      <w:lvlJc w:val="left"/>
      <w:pPr>
        <w:ind w:left="5760" w:hanging="360"/>
      </w:pPr>
      <w:rPr>
        <w:rFonts w:ascii="Courier New" w:hAnsi="Courier New" w:cs="Times New Roman" w:hint="default"/>
      </w:rPr>
    </w:lvl>
    <w:lvl w:ilvl="8" w:tplc="F3361B3A">
      <w:start w:val="1"/>
      <w:numFmt w:val="bullet"/>
      <w:lvlText w:val=""/>
      <w:lvlJc w:val="left"/>
      <w:pPr>
        <w:ind w:left="6480" w:hanging="360"/>
      </w:pPr>
      <w:rPr>
        <w:rFonts w:ascii="Wingdings" w:hAnsi="Wingdings" w:hint="default"/>
      </w:rPr>
    </w:lvl>
  </w:abstractNum>
  <w:abstractNum w:abstractNumId="58" w15:restartNumberingAfterBreak="0">
    <w:nsid w:val="659F4CC2"/>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9" w15:restartNumberingAfterBreak="0">
    <w:nsid w:val="669B2294"/>
    <w:multiLevelType w:val="hybridMultilevel"/>
    <w:tmpl w:val="B726A32C"/>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0" w15:restartNumberingAfterBreak="0">
    <w:nsid w:val="66CA2C8C"/>
    <w:multiLevelType w:val="hybridMultilevel"/>
    <w:tmpl w:val="5BF2CFE0"/>
    <w:lvl w:ilvl="0" w:tplc="FFFFFFFF">
      <w:start w:val="1"/>
      <w:numFmt w:val="decimal"/>
      <w:pStyle w:val="Instructionsberschrift2"/>
      <w:lvlText w:val="%1."/>
      <w:lvlJc w:val="left"/>
      <w:pPr>
        <w:ind w:left="720" w:hanging="360"/>
      </w:p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61" w15:restartNumberingAfterBreak="0">
    <w:nsid w:val="66FC112B"/>
    <w:multiLevelType w:val="hybridMultilevel"/>
    <w:tmpl w:val="9D1CC9E2"/>
    <w:lvl w:ilvl="0" w:tplc="7EBC7C02">
      <w:start w:val="1"/>
      <w:numFmt w:val="bullet"/>
      <w:lvlText w:val=""/>
      <w:lvlJc w:val="left"/>
      <w:pPr>
        <w:ind w:left="720" w:hanging="360"/>
      </w:pPr>
      <w:rPr>
        <w:rFonts w:ascii="Symbol" w:hAnsi="Symbol" w:hint="default"/>
      </w:rPr>
    </w:lvl>
    <w:lvl w:ilvl="1" w:tplc="F43AFCB2">
      <w:start w:val="1"/>
      <w:numFmt w:val="bullet"/>
      <w:lvlText w:val="o"/>
      <w:lvlJc w:val="left"/>
      <w:pPr>
        <w:ind w:left="1440" w:hanging="360"/>
      </w:pPr>
      <w:rPr>
        <w:rFonts w:ascii="Courier New" w:hAnsi="Courier New" w:hint="default"/>
      </w:rPr>
    </w:lvl>
    <w:lvl w:ilvl="2" w:tplc="F44E0AA4">
      <w:start w:val="1"/>
      <w:numFmt w:val="bullet"/>
      <w:lvlText w:val=""/>
      <w:lvlJc w:val="left"/>
      <w:pPr>
        <w:ind w:left="2160" w:hanging="360"/>
      </w:pPr>
      <w:rPr>
        <w:rFonts w:ascii="Wingdings" w:hAnsi="Wingdings" w:hint="default"/>
      </w:rPr>
    </w:lvl>
    <w:lvl w:ilvl="3" w:tplc="82045860">
      <w:start w:val="1"/>
      <w:numFmt w:val="bullet"/>
      <w:lvlText w:val=""/>
      <w:lvlJc w:val="left"/>
      <w:pPr>
        <w:ind w:left="2880" w:hanging="360"/>
      </w:pPr>
      <w:rPr>
        <w:rFonts w:ascii="Symbol" w:hAnsi="Symbol" w:hint="default"/>
      </w:rPr>
    </w:lvl>
    <w:lvl w:ilvl="4" w:tplc="EE7E061E">
      <w:start w:val="1"/>
      <w:numFmt w:val="bullet"/>
      <w:lvlText w:val="o"/>
      <w:lvlJc w:val="left"/>
      <w:pPr>
        <w:ind w:left="3600" w:hanging="360"/>
      </w:pPr>
      <w:rPr>
        <w:rFonts w:ascii="Courier New" w:hAnsi="Courier New" w:hint="default"/>
      </w:rPr>
    </w:lvl>
    <w:lvl w:ilvl="5" w:tplc="08E6AFD8">
      <w:start w:val="1"/>
      <w:numFmt w:val="bullet"/>
      <w:lvlText w:val=""/>
      <w:lvlJc w:val="left"/>
      <w:pPr>
        <w:ind w:left="4320" w:hanging="360"/>
      </w:pPr>
      <w:rPr>
        <w:rFonts w:ascii="Wingdings" w:hAnsi="Wingdings" w:hint="default"/>
      </w:rPr>
    </w:lvl>
    <w:lvl w:ilvl="6" w:tplc="5ED6BE3E">
      <w:start w:val="1"/>
      <w:numFmt w:val="bullet"/>
      <w:lvlText w:val=""/>
      <w:lvlJc w:val="left"/>
      <w:pPr>
        <w:ind w:left="5040" w:hanging="360"/>
      </w:pPr>
      <w:rPr>
        <w:rFonts w:ascii="Symbol" w:hAnsi="Symbol" w:hint="default"/>
      </w:rPr>
    </w:lvl>
    <w:lvl w:ilvl="7" w:tplc="0396CE08">
      <w:start w:val="1"/>
      <w:numFmt w:val="bullet"/>
      <w:lvlText w:val="o"/>
      <w:lvlJc w:val="left"/>
      <w:pPr>
        <w:ind w:left="5760" w:hanging="360"/>
      </w:pPr>
      <w:rPr>
        <w:rFonts w:ascii="Courier New" w:hAnsi="Courier New" w:hint="default"/>
      </w:rPr>
    </w:lvl>
    <w:lvl w:ilvl="8" w:tplc="A2925CC4">
      <w:start w:val="1"/>
      <w:numFmt w:val="bullet"/>
      <w:lvlText w:val=""/>
      <w:lvlJc w:val="left"/>
      <w:pPr>
        <w:ind w:left="6480" w:hanging="360"/>
      </w:pPr>
      <w:rPr>
        <w:rFonts w:ascii="Wingdings" w:hAnsi="Wingdings" w:hint="default"/>
      </w:rPr>
    </w:lvl>
  </w:abstractNum>
  <w:abstractNum w:abstractNumId="62" w15:restartNumberingAfterBreak="0">
    <w:nsid w:val="6760253C"/>
    <w:multiLevelType w:val="hybridMultilevel"/>
    <w:tmpl w:val="E9FAA9EC"/>
    <w:lvl w:ilvl="0" w:tplc="FFFFFFFF">
      <w:start w:val="1"/>
      <w:numFmt w:val="decimal"/>
      <w:lvlText w:val="%1."/>
      <w:lvlJc w:val="left"/>
      <w:pPr>
        <w:ind w:left="1353" w:hanging="360"/>
      </w:pPr>
    </w:lvl>
    <w:lvl w:ilvl="1" w:tplc="FFFFFFFF">
      <w:start w:val="1"/>
      <w:numFmt w:val="lowerLetter"/>
      <w:lvlText w:val="%2."/>
      <w:lvlJc w:val="left"/>
      <w:pPr>
        <w:ind w:left="2073" w:hanging="360"/>
      </w:pPr>
    </w:lvl>
    <w:lvl w:ilvl="2" w:tplc="B01CBD58">
      <w:start w:val="1"/>
      <w:numFmt w:val="lowerLetter"/>
      <w:lvlText w:val="%3)"/>
      <w:lvlJc w:val="left"/>
      <w:pPr>
        <w:ind w:left="2973" w:hanging="360"/>
      </w:pPr>
      <w:rPr>
        <w:rFonts w:hint="default"/>
      </w:rPr>
    </w:lvl>
    <w:lvl w:ilvl="3" w:tplc="399472AE">
      <w:start w:val="1"/>
      <w:numFmt w:val="bullet"/>
      <w:lvlText w:val="-"/>
      <w:lvlJc w:val="left"/>
      <w:pPr>
        <w:ind w:left="3513" w:hanging="360"/>
      </w:pPr>
      <w:rPr>
        <w:rFonts w:ascii="Calibri" w:eastAsiaTheme="minorEastAsia" w:hAnsi="Calibri" w:cs="Calibri" w:hint="default"/>
      </w:r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3" w15:restartNumberingAfterBreak="0">
    <w:nsid w:val="6A8254CB"/>
    <w:multiLevelType w:val="hybridMultilevel"/>
    <w:tmpl w:val="53927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ABE4EB1"/>
    <w:multiLevelType w:val="hybridMultilevel"/>
    <w:tmpl w:val="3F980DBE"/>
    <w:lvl w:ilvl="0" w:tplc="7286E048">
      <w:start w:val="1"/>
      <w:numFmt w:val="decimal"/>
      <w:lvlText w:val="%1."/>
      <w:lvlJc w:val="left"/>
      <w:pPr>
        <w:ind w:left="720" w:hanging="360"/>
      </w:pPr>
    </w:lvl>
    <w:lvl w:ilvl="1" w:tplc="D9CE563A">
      <w:start w:val="1"/>
      <w:numFmt w:val="lowerLetter"/>
      <w:lvlText w:val="%2."/>
      <w:lvlJc w:val="left"/>
      <w:pPr>
        <w:ind w:left="1440" w:hanging="360"/>
      </w:pPr>
    </w:lvl>
    <w:lvl w:ilvl="2" w:tplc="7CC6440E">
      <w:start w:val="1"/>
      <w:numFmt w:val="lowerRoman"/>
      <w:lvlText w:val="%3."/>
      <w:lvlJc w:val="right"/>
      <w:pPr>
        <w:ind w:left="2160" w:hanging="180"/>
      </w:pPr>
    </w:lvl>
    <w:lvl w:ilvl="3" w:tplc="56FA0B08">
      <w:start w:val="1"/>
      <w:numFmt w:val="decimal"/>
      <w:lvlText w:val="%4."/>
      <w:lvlJc w:val="left"/>
      <w:pPr>
        <w:ind w:left="2880" w:hanging="360"/>
      </w:pPr>
    </w:lvl>
    <w:lvl w:ilvl="4" w:tplc="82264CCA">
      <w:start w:val="1"/>
      <w:numFmt w:val="lowerLetter"/>
      <w:lvlText w:val="%5."/>
      <w:lvlJc w:val="left"/>
      <w:pPr>
        <w:ind w:left="3600" w:hanging="360"/>
      </w:pPr>
    </w:lvl>
    <w:lvl w:ilvl="5" w:tplc="61BAA57A">
      <w:start w:val="1"/>
      <w:numFmt w:val="lowerRoman"/>
      <w:lvlText w:val="%6."/>
      <w:lvlJc w:val="right"/>
      <w:pPr>
        <w:ind w:left="4320" w:hanging="180"/>
      </w:pPr>
    </w:lvl>
    <w:lvl w:ilvl="6" w:tplc="B1E65442">
      <w:start w:val="1"/>
      <w:numFmt w:val="decimal"/>
      <w:lvlText w:val="%7."/>
      <w:lvlJc w:val="left"/>
      <w:pPr>
        <w:ind w:left="5040" w:hanging="360"/>
      </w:pPr>
    </w:lvl>
    <w:lvl w:ilvl="7" w:tplc="F2B0115A">
      <w:start w:val="1"/>
      <w:numFmt w:val="lowerLetter"/>
      <w:lvlText w:val="%8."/>
      <w:lvlJc w:val="left"/>
      <w:pPr>
        <w:ind w:left="5760" w:hanging="360"/>
      </w:pPr>
    </w:lvl>
    <w:lvl w:ilvl="8" w:tplc="0B1EDA62">
      <w:start w:val="1"/>
      <w:numFmt w:val="lowerRoman"/>
      <w:lvlText w:val="%9."/>
      <w:lvlJc w:val="right"/>
      <w:pPr>
        <w:ind w:left="6480" w:hanging="180"/>
      </w:pPr>
    </w:lvl>
  </w:abstractNum>
  <w:abstractNum w:abstractNumId="65" w15:restartNumberingAfterBreak="0">
    <w:nsid w:val="6AFF7E9D"/>
    <w:multiLevelType w:val="hybridMultilevel"/>
    <w:tmpl w:val="AC8E3FD8"/>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6" w15:restartNumberingAfterBreak="0">
    <w:nsid w:val="6BCC2EF1"/>
    <w:multiLevelType w:val="hybridMultilevel"/>
    <w:tmpl w:val="AC8E3FD8"/>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7" w15:restartNumberingAfterBreak="0">
    <w:nsid w:val="6C2048A6"/>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9" w15:restartNumberingAfterBreak="0">
    <w:nsid w:val="6F125195"/>
    <w:multiLevelType w:val="hybridMultilevel"/>
    <w:tmpl w:val="B726A32C"/>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0" w15:restartNumberingAfterBreak="0">
    <w:nsid w:val="729A4DDF"/>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2" w15:restartNumberingAfterBreak="0">
    <w:nsid w:val="769A3EA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3" w15:restartNumberingAfterBreak="0">
    <w:nsid w:val="77996942"/>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4" w15:restartNumberingAfterBreak="0">
    <w:nsid w:val="78E25410"/>
    <w:multiLevelType w:val="hybridMultilevel"/>
    <w:tmpl w:val="B726A32C"/>
    <w:lvl w:ilvl="0" w:tplc="FFFFFFFF">
      <w:start w:val="1"/>
      <w:numFmt w:val="decimal"/>
      <w:lvlText w:val="%1."/>
      <w:lvlJc w:val="left"/>
      <w:pPr>
        <w:ind w:left="1353" w:hanging="36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5" w15:restartNumberingAfterBreak="0">
    <w:nsid w:val="7A6E2ED6"/>
    <w:multiLevelType w:val="hybridMultilevel"/>
    <w:tmpl w:val="027A3E56"/>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76" w15:restartNumberingAfterBreak="0">
    <w:nsid w:val="7C6F707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7" w15:restartNumberingAfterBreak="0">
    <w:nsid w:val="7D6D0C6B"/>
    <w:multiLevelType w:val="hybridMultilevel"/>
    <w:tmpl w:val="CC1AA044"/>
    <w:lvl w:ilvl="0" w:tplc="1CB80AF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8" w15:restartNumberingAfterBreak="0">
    <w:nsid w:val="7DBA12EA"/>
    <w:multiLevelType w:val="hybridMultilevel"/>
    <w:tmpl w:val="7FCEA28C"/>
    <w:lvl w:ilvl="0" w:tplc="28B07226">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E001286"/>
    <w:multiLevelType w:val="hybridMultilevel"/>
    <w:tmpl w:val="C9CC4D9E"/>
    <w:lvl w:ilvl="0" w:tplc="68924314">
      <w:start w:val="2"/>
      <w:numFmt w:val="bullet"/>
      <w:lvlText w:val="-"/>
      <w:lvlJc w:val="left"/>
      <w:pPr>
        <w:ind w:left="720" w:hanging="360"/>
      </w:pPr>
      <w:rPr>
        <w:rFonts w:ascii="Liberation Serif" w:eastAsia="SimSun" w:hAnsi="Liberation Serif" w:cs="Mang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F1F0DD7"/>
    <w:multiLevelType w:val="hybridMultilevel"/>
    <w:tmpl w:val="AC8E3FD8"/>
    <w:lvl w:ilvl="0" w:tplc="F782FD1C">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81" w15:restartNumberingAfterBreak="0">
    <w:nsid w:val="7F873B6A"/>
    <w:multiLevelType w:val="hybridMultilevel"/>
    <w:tmpl w:val="B770CD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40098675">
    <w:abstractNumId w:val="60"/>
  </w:num>
  <w:num w:numId="2" w16cid:durableId="1121997361">
    <w:abstractNumId w:val="40"/>
  </w:num>
  <w:num w:numId="3" w16cid:durableId="137185904">
    <w:abstractNumId w:val="35"/>
  </w:num>
  <w:num w:numId="4" w16cid:durableId="1200508233">
    <w:abstractNumId w:val="60"/>
  </w:num>
  <w:num w:numId="5" w16cid:durableId="160003013">
    <w:abstractNumId w:val="60"/>
  </w:num>
  <w:num w:numId="6" w16cid:durableId="733700047">
    <w:abstractNumId w:val="75"/>
  </w:num>
  <w:num w:numId="7" w16cid:durableId="326248244">
    <w:abstractNumId w:val="58"/>
  </w:num>
  <w:num w:numId="8" w16cid:durableId="2026132950">
    <w:abstractNumId w:val="60"/>
  </w:num>
  <w:num w:numId="9" w16cid:durableId="421534405">
    <w:abstractNumId w:val="22"/>
  </w:num>
  <w:num w:numId="10" w16cid:durableId="1068530449">
    <w:abstractNumId w:val="52"/>
  </w:num>
  <w:num w:numId="11" w16cid:durableId="275985160">
    <w:abstractNumId w:val="36"/>
  </w:num>
  <w:num w:numId="12" w16cid:durableId="534848003">
    <w:abstractNumId w:val="60"/>
  </w:num>
  <w:num w:numId="13" w16cid:durableId="1567110941">
    <w:abstractNumId w:val="60"/>
  </w:num>
  <w:num w:numId="14" w16cid:durableId="203324314">
    <w:abstractNumId w:val="54"/>
  </w:num>
  <w:num w:numId="15" w16cid:durableId="1415858656">
    <w:abstractNumId w:val="6"/>
  </w:num>
  <w:num w:numId="16" w16cid:durableId="1681465139">
    <w:abstractNumId w:val="33"/>
  </w:num>
  <w:num w:numId="17" w16cid:durableId="135027500">
    <w:abstractNumId w:val="0"/>
  </w:num>
  <w:num w:numId="18" w16cid:durableId="1617251186">
    <w:abstractNumId w:val="60"/>
  </w:num>
  <w:num w:numId="19" w16cid:durableId="736129854">
    <w:abstractNumId w:val="60"/>
  </w:num>
  <w:num w:numId="20" w16cid:durableId="737821662">
    <w:abstractNumId w:val="60"/>
  </w:num>
  <w:num w:numId="21" w16cid:durableId="1576158277">
    <w:abstractNumId w:val="16"/>
  </w:num>
  <w:num w:numId="22" w16cid:durableId="1863084456">
    <w:abstractNumId w:val="77"/>
  </w:num>
  <w:num w:numId="23" w16cid:durableId="696200095">
    <w:abstractNumId w:val="60"/>
  </w:num>
  <w:num w:numId="24" w16cid:durableId="971669091">
    <w:abstractNumId w:val="81"/>
  </w:num>
  <w:num w:numId="25" w16cid:durableId="264652779">
    <w:abstractNumId w:val="70"/>
  </w:num>
  <w:num w:numId="26" w16cid:durableId="474491253">
    <w:abstractNumId w:val="56"/>
  </w:num>
  <w:num w:numId="27" w16cid:durableId="1530215681">
    <w:abstractNumId w:val="49"/>
  </w:num>
  <w:num w:numId="28" w16cid:durableId="1435250156">
    <w:abstractNumId w:val="53"/>
  </w:num>
  <w:num w:numId="29" w16cid:durableId="1546217095">
    <w:abstractNumId w:val="60"/>
  </w:num>
  <w:num w:numId="30" w16cid:durableId="1852380255">
    <w:abstractNumId w:val="60"/>
  </w:num>
  <w:num w:numId="31" w16cid:durableId="1700282514">
    <w:abstractNumId w:val="32"/>
  </w:num>
  <w:num w:numId="32" w16cid:durableId="594440182">
    <w:abstractNumId w:val="38"/>
  </w:num>
  <w:num w:numId="33" w16cid:durableId="643319164">
    <w:abstractNumId w:val="72"/>
  </w:num>
  <w:num w:numId="34" w16cid:durableId="1827940617">
    <w:abstractNumId w:val="44"/>
  </w:num>
  <w:num w:numId="35" w16cid:durableId="1332217987">
    <w:abstractNumId w:val="48"/>
  </w:num>
  <w:num w:numId="36" w16cid:durableId="471679336">
    <w:abstractNumId w:val="14"/>
  </w:num>
  <w:num w:numId="37" w16cid:durableId="1504930848">
    <w:abstractNumId w:val="50"/>
  </w:num>
  <w:num w:numId="38" w16cid:durableId="1028749916">
    <w:abstractNumId w:val="41"/>
  </w:num>
  <w:num w:numId="39" w16cid:durableId="518662773">
    <w:abstractNumId w:val="67"/>
  </w:num>
  <w:num w:numId="40" w16cid:durableId="432897718">
    <w:abstractNumId w:val="55"/>
  </w:num>
  <w:num w:numId="41" w16cid:durableId="1852866183">
    <w:abstractNumId w:val="39"/>
  </w:num>
  <w:num w:numId="42" w16cid:durableId="1862477268">
    <w:abstractNumId w:val="24"/>
  </w:num>
  <w:num w:numId="43" w16cid:durableId="976572120">
    <w:abstractNumId w:val="21"/>
  </w:num>
  <w:num w:numId="44" w16cid:durableId="2144615315">
    <w:abstractNumId w:val="42"/>
  </w:num>
  <w:num w:numId="45" w16cid:durableId="53817527">
    <w:abstractNumId w:val="17"/>
  </w:num>
  <w:num w:numId="46" w16cid:durableId="1917668142">
    <w:abstractNumId w:val="27"/>
  </w:num>
  <w:num w:numId="47" w16cid:durableId="269047365">
    <w:abstractNumId w:val="11"/>
  </w:num>
  <w:num w:numId="48" w16cid:durableId="1476021178">
    <w:abstractNumId w:val="64"/>
  </w:num>
  <w:num w:numId="49" w16cid:durableId="1402288703">
    <w:abstractNumId w:val="46"/>
  </w:num>
  <w:num w:numId="50" w16cid:durableId="2127045542">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85557794">
    <w:abstractNumId w:val="60"/>
  </w:num>
  <w:num w:numId="52" w16cid:durableId="511189546">
    <w:abstractNumId w:val="68"/>
  </w:num>
  <w:num w:numId="53" w16cid:durableId="1831755388">
    <w:abstractNumId w:val="57"/>
  </w:num>
  <w:num w:numId="54" w16cid:durableId="714961856">
    <w:abstractNumId w:val="79"/>
  </w:num>
  <w:num w:numId="55" w16cid:durableId="2020428134">
    <w:abstractNumId w:val="30"/>
  </w:num>
  <w:num w:numId="56" w16cid:durableId="1124424497">
    <w:abstractNumId w:val="61"/>
  </w:num>
  <w:num w:numId="57" w16cid:durableId="1121001394">
    <w:abstractNumId w:val="71"/>
  </w:num>
  <w:num w:numId="58" w16cid:durableId="2032098988">
    <w:abstractNumId w:val="47"/>
  </w:num>
  <w:num w:numId="59" w16cid:durableId="1064138282">
    <w:abstractNumId w:val="5"/>
  </w:num>
  <w:num w:numId="60" w16cid:durableId="1847132508">
    <w:abstractNumId w:val="1"/>
  </w:num>
  <w:num w:numId="61" w16cid:durableId="8914689">
    <w:abstractNumId w:val="73"/>
  </w:num>
  <w:num w:numId="62" w16cid:durableId="1783456540">
    <w:abstractNumId w:val="51"/>
  </w:num>
  <w:num w:numId="63" w16cid:durableId="1372917910">
    <w:abstractNumId w:val="26"/>
  </w:num>
  <w:num w:numId="64" w16cid:durableId="1742750987">
    <w:abstractNumId w:val="19"/>
  </w:num>
  <w:num w:numId="65" w16cid:durableId="1402293673">
    <w:abstractNumId w:val="25"/>
  </w:num>
  <w:num w:numId="66" w16cid:durableId="1693074216">
    <w:abstractNumId w:val="60"/>
  </w:num>
  <w:num w:numId="67" w16cid:durableId="924460451">
    <w:abstractNumId w:val="31"/>
  </w:num>
  <w:num w:numId="68" w16cid:durableId="1418282847">
    <w:abstractNumId w:val="60"/>
  </w:num>
  <w:num w:numId="69" w16cid:durableId="2128885703">
    <w:abstractNumId w:val="78"/>
  </w:num>
  <w:num w:numId="70" w16cid:durableId="1375620563">
    <w:abstractNumId w:val="60"/>
  </w:num>
  <w:num w:numId="71" w16cid:durableId="1588076831">
    <w:abstractNumId w:val="13"/>
  </w:num>
  <w:num w:numId="72" w16cid:durableId="526067826">
    <w:abstractNumId w:val="60"/>
  </w:num>
  <w:num w:numId="73" w16cid:durableId="133133048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951701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368794743">
    <w:abstractNumId w:val="60"/>
  </w:num>
  <w:num w:numId="76" w16cid:durableId="2133665526">
    <w:abstractNumId w:val="60"/>
  </w:num>
  <w:num w:numId="77" w16cid:durableId="444737625">
    <w:abstractNumId w:val="60"/>
  </w:num>
  <w:num w:numId="78" w16cid:durableId="1833139450">
    <w:abstractNumId w:val="15"/>
  </w:num>
  <w:num w:numId="79" w16cid:durableId="545064003">
    <w:abstractNumId w:val="60"/>
  </w:num>
  <w:num w:numId="80" w16cid:durableId="246227819">
    <w:abstractNumId w:val="60"/>
  </w:num>
  <w:num w:numId="81" w16cid:durableId="188495442">
    <w:abstractNumId w:val="60"/>
  </w:num>
  <w:num w:numId="82" w16cid:durableId="49890806">
    <w:abstractNumId w:val="60"/>
  </w:num>
  <w:num w:numId="83" w16cid:durableId="1669551461">
    <w:abstractNumId w:val="60"/>
  </w:num>
  <w:num w:numId="84" w16cid:durableId="931814506">
    <w:abstractNumId w:val="28"/>
  </w:num>
  <w:num w:numId="85" w16cid:durableId="205879151">
    <w:abstractNumId w:val="29"/>
  </w:num>
  <w:num w:numId="86" w16cid:durableId="553933323">
    <w:abstractNumId w:val="34"/>
  </w:num>
  <w:num w:numId="87" w16cid:durableId="287203106">
    <w:abstractNumId w:val="7"/>
  </w:num>
  <w:num w:numId="88" w16cid:durableId="1677075998">
    <w:abstractNumId w:val="80"/>
  </w:num>
  <w:num w:numId="89" w16cid:durableId="235827679">
    <w:abstractNumId w:val="43"/>
  </w:num>
  <w:num w:numId="90" w16cid:durableId="1359621643">
    <w:abstractNumId w:val="4"/>
  </w:num>
  <w:num w:numId="91" w16cid:durableId="410272274">
    <w:abstractNumId w:val="37"/>
  </w:num>
  <w:num w:numId="92" w16cid:durableId="2131824063">
    <w:abstractNumId w:val="12"/>
  </w:num>
  <w:num w:numId="93" w16cid:durableId="345669169">
    <w:abstractNumId w:val="20"/>
  </w:num>
  <w:num w:numId="94" w16cid:durableId="34743300">
    <w:abstractNumId w:val="76"/>
  </w:num>
  <w:num w:numId="95" w16cid:durableId="1556162622">
    <w:abstractNumId w:val="10"/>
  </w:num>
  <w:num w:numId="96" w16cid:durableId="417990917">
    <w:abstractNumId w:val="66"/>
  </w:num>
  <w:num w:numId="97" w16cid:durableId="716048529">
    <w:abstractNumId w:val="45"/>
  </w:num>
  <w:num w:numId="98" w16cid:durableId="1656107534">
    <w:abstractNumId w:val="65"/>
  </w:num>
  <w:num w:numId="99" w16cid:durableId="184641309">
    <w:abstractNumId w:val="18"/>
  </w:num>
  <w:num w:numId="100" w16cid:durableId="462309142">
    <w:abstractNumId w:val="74"/>
  </w:num>
  <w:num w:numId="101" w16cid:durableId="1201821230">
    <w:abstractNumId w:val="59"/>
  </w:num>
  <w:num w:numId="102" w16cid:durableId="1795251753">
    <w:abstractNumId w:val="69"/>
  </w:num>
  <w:num w:numId="103" w16cid:durableId="275329414">
    <w:abstractNumId w:val="63"/>
  </w:num>
  <w:num w:numId="104" w16cid:durableId="815877365">
    <w:abstractNumId w:val="3"/>
  </w:num>
  <w:num w:numId="105" w16cid:durableId="379522867">
    <w:abstractNumId w:val="62"/>
  </w:num>
  <w:num w:numId="106" w16cid:durableId="607278609">
    <w:abstractNumId w:val="23"/>
  </w:num>
  <w:num w:numId="107" w16cid:durableId="556087416">
    <w:abstractNumId w:val="2"/>
  </w:num>
  <w:num w:numId="108" w16cid:durableId="1449161243">
    <w:abstractNumId w:val="8"/>
  </w:num>
  <w:num w:numId="109" w16cid:durableId="883296213">
    <w:abstractNumId w:val="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NORMAL"/>
  </w:docVars>
  <w:rsids>
    <w:rsidRoot w:val="001C5F9B"/>
    <w:rsid w:val="000000A0"/>
    <w:rsid w:val="000008C8"/>
    <w:rsid w:val="00000AB8"/>
    <w:rsid w:val="000016C4"/>
    <w:rsid w:val="00001E14"/>
    <w:rsid w:val="00001F0C"/>
    <w:rsid w:val="00004156"/>
    <w:rsid w:val="000043AB"/>
    <w:rsid w:val="00005249"/>
    <w:rsid w:val="0000551E"/>
    <w:rsid w:val="000055B3"/>
    <w:rsid w:val="000064C8"/>
    <w:rsid w:val="00006609"/>
    <w:rsid w:val="00006622"/>
    <w:rsid w:val="00006694"/>
    <w:rsid w:val="00007F66"/>
    <w:rsid w:val="0000B7F6"/>
    <w:rsid w:val="000106E6"/>
    <w:rsid w:val="000110C9"/>
    <w:rsid w:val="00011578"/>
    <w:rsid w:val="00011936"/>
    <w:rsid w:val="000125ED"/>
    <w:rsid w:val="0001413C"/>
    <w:rsid w:val="00014C45"/>
    <w:rsid w:val="0001514E"/>
    <w:rsid w:val="0001537A"/>
    <w:rsid w:val="00016913"/>
    <w:rsid w:val="00016CC7"/>
    <w:rsid w:val="00020BAA"/>
    <w:rsid w:val="000210A8"/>
    <w:rsid w:val="0002134F"/>
    <w:rsid w:val="000214CE"/>
    <w:rsid w:val="00021866"/>
    <w:rsid w:val="00021910"/>
    <w:rsid w:val="00021D7B"/>
    <w:rsid w:val="00021E0B"/>
    <w:rsid w:val="00022676"/>
    <w:rsid w:val="00022E55"/>
    <w:rsid w:val="00023F10"/>
    <w:rsid w:val="000240F5"/>
    <w:rsid w:val="0002566C"/>
    <w:rsid w:val="00025B61"/>
    <w:rsid w:val="00025F83"/>
    <w:rsid w:val="00026689"/>
    <w:rsid w:val="000269F0"/>
    <w:rsid w:val="00026C66"/>
    <w:rsid w:val="00027581"/>
    <w:rsid w:val="00027F8B"/>
    <w:rsid w:val="000308C9"/>
    <w:rsid w:val="000309D7"/>
    <w:rsid w:val="00031E68"/>
    <w:rsid w:val="00033340"/>
    <w:rsid w:val="0003387C"/>
    <w:rsid w:val="00035DC2"/>
    <w:rsid w:val="00035F58"/>
    <w:rsid w:val="00035F8E"/>
    <w:rsid w:val="0003636A"/>
    <w:rsid w:val="0003751F"/>
    <w:rsid w:val="00037AD2"/>
    <w:rsid w:val="00037D43"/>
    <w:rsid w:val="000404A7"/>
    <w:rsid w:val="0004072A"/>
    <w:rsid w:val="0004167B"/>
    <w:rsid w:val="000420B3"/>
    <w:rsid w:val="00042D7F"/>
    <w:rsid w:val="0004345B"/>
    <w:rsid w:val="000435AC"/>
    <w:rsid w:val="0004479B"/>
    <w:rsid w:val="00044FD3"/>
    <w:rsid w:val="000454FD"/>
    <w:rsid w:val="00045806"/>
    <w:rsid w:val="00045D62"/>
    <w:rsid w:val="00045E01"/>
    <w:rsid w:val="00046060"/>
    <w:rsid w:val="000465A2"/>
    <w:rsid w:val="00046A6A"/>
    <w:rsid w:val="00046BB9"/>
    <w:rsid w:val="00046F93"/>
    <w:rsid w:val="00047C7A"/>
    <w:rsid w:val="00050A0C"/>
    <w:rsid w:val="00051787"/>
    <w:rsid w:val="0005227B"/>
    <w:rsid w:val="000534C8"/>
    <w:rsid w:val="00053558"/>
    <w:rsid w:val="00053684"/>
    <w:rsid w:val="0005545E"/>
    <w:rsid w:val="00055567"/>
    <w:rsid w:val="00055ECC"/>
    <w:rsid w:val="00056B94"/>
    <w:rsid w:val="00056EDD"/>
    <w:rsid w:val="00057EFD"/>
    <w:rsid w:val="000603E5"/>
    <w:rsid w:val="00060433"/>
    <w:rsid w:val="000608B9"/>
    <w:rsid w:val="000618BD"/>
    <w:rsid w:val="00061E18"/>
    <w:rsid w:val="00062CA7"/>
    <w:rsid w:val="00062DD5"/>
    <w:rsid w:val="00063132"/>
    <w:rsid w:val="0006430A"/>
    <w:rsid w:val="000654D6"/>
    <w:rsid w:val="000657CB"/>
    <w:rsid w:val="00065E09"/>
    <w:rsid w:val="000666D1"/>
    <w:rsid w:val="00066816"/>
    <w:rsid w:val="00066B4C"/>
    <w:rsid w:val="00066FA1"/>
    <w:rsid w:val="00066FFE"/>
    <w:rsid w:val="000675E3"/>
    <w:rsid w:val="00070787"/>
    <w:rsid w:val="00071F90"/>
    <w:rsid w:val="000723A6"/>
    <w:rsid w:val="0007282B"/>
    <w:rsid w:val="00073431"/>
    <w:rsid w:val="00073D64"/>
    <w:rsid w:val="000750D3"/>
    <w:rsid w:val="000750F7"/>
    <w:rsid w:val="000766C6"/>
    <w:rsid w:val="000767F6"/>
    <w:rsid w:val="000768FC"/>
    <w:rsid w:val="00080111"/>
    <w:rsid w:val="00080D0D"/>
    <w:rsid w:val="00081305"/>
    <w:rsid w:val="00081419"/>
    <w:rsid w:val="000816BE"/>
    <w:rsid w:val="00084651"/>
    <w:rsid w:val="000855AA"/>
    <w:rsid w:val="00085616"/>
    <w:rsid w:val="00085C28"/>
    <w:rsid w:val="00086D37"/>
    <w:rsid w:val="00086E28"/>
    <w:rsid w:val="0008757E"/>
    <w:rsid w:val="000879AC"/>
    <w:rsid w:val="00090210"/>
    <w:rsid w:val="00090973"/>
    <w:rsid w:val="00091742"/>
    <w:rsid w:val="00092AC4"/>
    <w:rsid w:val="0009471C"/>
    <w:rsid w:val="00094C7E"/>
    <w:rsid w:val="00094ED4"/>
    <w:rsid w:val="000951BB"/>
    <w:rsid w:val="00095A0E"/>
    <w:rsid w:val="000963F0"/>
    <w:rsid w:val="00096756"/>
    <w:rsid w:val="000975CA"/>
    <w:rsid w:val="0009796A"/>
    <w:rsid w:val="00097F33"/>
    <w:rsid w:val="00097F9C"/>
    <w:rsid w:val="000A14B9"/>
    <w:rsid w:val="000A2475"/>
    <w:rsid w:val="000A290D"/>
    <w:rsid w:val="000A2C68"/>
    <w:rsid w:val="000A32E3"/>
    <w:rsid w:val="000A3A60"/>
    <w:rsid w:val="000A3D73"/>
    <w:rsid w:val="000A47E6"/>
    <w:rsid w:val="000A488B"/>
    <w:rsid w:val="000A4EE4"/>
    <w:rsid w:val="000A5BCF"/>
    <w:rsid w:val="000A5F01"/>
    <w:rsid w:val="000A5FF9"/>
    <w:rsid w:val="000A6244"/>
    <w:rsid w:val="000A6626"/>
    <w:rsid w:val="000A683B"/>
    <w:rsid w:val="000A72B3"/>
    <w:rsid w:val="000A7752"/>
    <w:rsid w:val="000A7A06"/>
    <w:rsid w:val="000A7AD4"/>
    <w:rsid w:val="000B0196"/>
    <w:rsid w:val="000B0471"/>
    <w:rsid w:val="000B0EC0"/>
    <w:rsid w:val="000B234C"/>
    <w:rsid w:val="000B265A"/>
    <w:rsid w:val="000B3C50"/>
    <w:rsid w:val="000B50C2"/>
    <w:rsid w:val="000B55B7"/>
    <w:rsid w:val="000B56AF"/>
    <w:rsid w:val="000B5807"/>
    <w:rsid w:val="000B6934"/>
    <w:rsid w:val="000C0739"/>
    <w:rsid w:val="000C0C5F"/>
    <w:rsid w:val="000C39B4"/>
    <w:rsid w:val="000C4A3B"/>
    <w:rsid w:val="000C4FB6"/>
    <w:rsid w:val="000C574B"/>
    <w:rsid w:val="000C66E2"/>
    <w:rsid w:val="000C6B33"/>
    <w:rsid w:val="000C6F97"/>
    <w:rsid w:val="000C6FEF"/>
    <w:rsid w:val="000D0811"/>
    <w:rsid w:val="000D19DA"/>
    <w:rsid w:val="000D1DC8"/>
    <w:rsid w:val="000D3428"/>
    <w:rsid w:val="000D3647"/>
    <w:rsid w:val="000D3EF4"/>
    <w:rsid w:val="000D42B1"/>
    <w:rsid w:val="000D458E"/>
    <w:rsid w:val="000D47BF"/>
    <w:rsid w:val="000D57D5"/>
    <w:rsid w:val="000D6508"/>
    <w:rsid w:val="000D681A"/>
    <w:rsid w:val="000E0420"/>
    <w:rsid w:val="000E1561"/>
    <w:rsid w:val="000E2697"/>
    <w:rsid w:val="000E2EC9"/>
    <w:rsid w:val="000E32F8"/>
    <w:rsid w:val="000E3516"/>
    <w:rsid w:val="000E4653"/>
    <w:rsid w:val="000E601B"/>
    <w:rsid w:val="000E70FC"/>
    <w:rsid w:val="000F0190"/>
    <w:rsid w:val="000F0572"/>
    <w:rsid w:val="000F0AED"/>
    <w:rsid w:val="000F0C4E"/>
    <w:rsid w:val="000F0D75"/>
    <w:rsid w:val="000F1060"/>
    <w:rsid w:val="000F159C"/>
    <w:rsid w:val="000F2669"/>
    <w:rsid w:val="000F29CC"/>
    <w:rsid w:val="000F2A5B"/>
    <w:rsid w:val="000F3CD2"/>
    <w:rsid w:val="000F5FB6"/>
    <w:rsid w:val="000F6AA8"/>
    <w:rsid w:val="000F6BE5"/>
    <w:rsid w:val="000F6D45"/>
    <w:rsid w:val="000F6D57"/>
    <w:rsid w:val="00100401"/>
    <w:rsid w:val="00100CE1"/>
    <w:rsid w:val="001010AF"/>
    <w:rsid w:val="00101869"/>
    <w:rsid w:val="00102074"/>
    <w:rsid w:val="00102363"/>
    <w:rsid w:val="00102BB4"/>
    <w:rsid w:val="00102C44"/>
    <w:rsid w:val="001030E0"/>
    <w:rsid w:val="00103A9E"/>
    <w:rsid w:val="00104248"/>
    <w:rsid w:val="001047C0"/>
    <w:rsid w:val="001053D8"/>
    <w:rsid w:val="001056E2"/>
    <w:rsid w:val="00105D24"/>
    <w:rsid w:val="00105F08"/>
    <w:rsid w:val="00106E01"/>
    <w:rsid w:val="001078F9"/>
    <w:rsid w:val="0011040B"/>
    <w:rsid w:val="00110B52"/>
    <w:rsid w:val="00110F14"/>
    <w:rsid w:val="0011134E"/>
    <w:rsid w:val="00111440"/>
    <w:rsid w:val="001114CD"/>
    <w:rsid w:val="00111738"/>
    <w:rsid w:val="001117A8"/>
    <w:rsid w:val="001132D9"/>
    <w:rsid w:val="00113A2A"/>
    <w:rsid w:val="00114020"/>
    <w:rsid w:val="00114125"/>
    <w:rsid w:val="00114CBC"/>
    <w:rsid w:val="00114E1A"/>
    <w:rsid w:val="00114F94"/>
    <w:rsid w:val="00115D29"/>
    <w:rsid w:val="0011672C"/>
    <w:rsid w:val="00116F87"/>
    <w:rsid w:val="001174E0"/>
    <w:rsid w:val="00117571"/>
    <w:rsid w:val="001176C1"/>
    <w:rsid w:val="00121D07"/>
    <w:rsid w:val="0012210C"/>
    <w:rsid w:val="001226E8"/>
    <w:rsid w:val="00123987"/>
    <w:rsid w:val="00123D30"/>
    <w:rsid w:val="00124443"/>
    <w:rsid w:val="0012530C"/>
    <w:rsid w:val="001277A8"/>
    <w:rsid w:val="001302E2"/>
    <w:rsid w:val="00130C39"/>
    <w:rsid w:val="00131307"/>
    <w:rsid w:val="001313C6"/>
    <w:rsid w:val="001315D4"/>
    <w:rsid w:val="00131A5A"/>
    <w:rsid w:val="00131F5E"/>
    <w:rsid w:val="001328B4"/>
    <w:rsid w:val="00132C29"/>
    <w:rsid w:val="00132C57"/>
    <w:rsid w:val="001333C7"/>
    <w:rsid w:val="00133D55"/>
    <w:rsid w:val="00134074"/>
    <w:rsid w:val="00134495"/>
    <w:rsid w:val="001346CA"/>
    <w:rsid w:val="00134ECD"/>
    <w:rsid w:val="00134F73"/>
    <w:rsid w:val="00135048"/>
    <w:rsid w:val="00135C47"/>
    <w:rsid w:val="0013608D"/>
    <w:rsid w:val="00136771"/>
    <w:rsid w:val="00136DCC"/>
    <w:rsid w:val="00136F19"/>
    <w:rsid w:val="00136F33"/>
    <w:rsid w:val="0014065C"/>
    <w:rsid w:val="00140ACA"/>
    <w:rsid w:val="00141431"/>
    <w:rsid w:val="001418DC"/>
    <w:rsid w:val="00141FD8"/>
    <w:rsid w:val="00142CC5"/>
    <w:rsid w:val="00142D67"/>
    <w:rsid w:val="001435B0"/>
    <w:rsid w:val="00143EF7"/>
    <w:rsid w:val="00144684"/>
    <w:rsid w:val="00144C5C"/>
    <w:rsid w:val="001453DC"/>
    <w:rsid w:val="00146961"/>
    <w:rsid w:val="00146A30"/>
    <w:rsid w:val="00146C4C"/>
    <w:rsid w:val="001471BE"/>
    <w:rsid w:val="00147783"/>
    <w:rsid w:val="0015027A"/>
    <w:rsid w:val="00150901"/>
    <w:rsid w:val="00150E18"/>
    <w:rsid w:val="00150E83"/>
    <w:rsid w:val="00150FE0"/>
    <w:rsid w:val="001529EF"/>
    <w:rsid w:val="00152DD6"/>
    <w:rsid w:val="00152FAE"/>
    <w:rsid w:val="00153B9D"/>
    <w:rsid w:val="00154594"/>
    <w:rsid w:val="00155261"/>
    <w:rsid w:val="00155550"/>
    <w:rsid w:val="001561A6"/>
    <w:rsid w:val="0015662C"/>
    <w:rsid w:val="00156ACE"/>
    <w:rsid w:val="00157901"/>
    <w:rsid w:val="00157F4D"/>
    <w:rsid w:val="00160CED"/>
    <w:rsid w:val="00160D31"/>
    <w:rsid w:val="0016127A"/>
    <w:rsid w:val="00161781"/>
    <w:rsid w:val="00161956"/>
    <w:rsid w:val="00161A21"/>
    <w:rsid w:val="00161A2C"/>
    <w:rsid w:val="00162495"/>
    <w:rsid w:val="001626DD"/>
    <w:rsid w:val="00162E0C"/>
    <w:rsid w:val="00163214"/>
    <w:rsid w:val="00163A99"/>
    <w:rsid w:val="001640AF"/>
    <w:rsid w:val="001650DF"/>
    <w:rsid w:val="001654C1"/>
    <w:rsid w:val="00166B93"/>
    <w:rsid w:val="00166C72"/>
    <w:rsid w:val="00167471"/>
    <w:rsid w:val="00167DCC"/>
    <w:rsid w:val="00171767"/>
    <w:rsid w:val="00171956"/>
    <w:rsid w:val="001724BF"/>
    <w:rsid w:val="00173CA6"/>
    <w:rsid w:val="00173DEF"/>
    <w:rsid w:val="00173E72"/>
    <w:rsid w:val="00174091"/>
    <w:rsid w:val="001743DE"/>
    <w:rsid w:val="001754D5"/>
    <w:rsid w:val="001766CD"/>
    <w:rsid w:val="00177CC4"/>
    <w:rsid w:val="0017EE1B"/>
    <w:rsid w:val="001800C5"/>
    <w:rsid w:val="00181354"/>
    <w:rsid w:val="00181920"/>
    <w:rsid w:val="00181BCD"/>
    <w:rsid w:val="001822B2"/>
    <w:rsid w:val="001824F5"/>
    <w:rsid w:val="001827D7"/>
    <w:rsid w:val="00182D3B"/>
    <w:rsid w:val="00182DBF"/>
    <w:rsid w:val="001833C1"/>
    <w:rsid w:val="00183753"/>
    <w:rsid w:val="00183BC4"/>
    <w:rsid w:val="00184EBB"/>
    <w:rsid w:val="001854BD"/>
    <w:rsid w:val="00185567"/>
    <w:rsid w:val="001858EB"/>
    <w:rsid w:val="00185C77"/>
    <w:rsid w:val="00185CFA"/>
    <w:rsid w:val="001860DF"/>
    <w:rsid w:val="00186200"/>
    <w:rsid w:val="00186C30"/>
    <w:rsid w:val="00186EA5"/>
    <w:rsid w:val="00187E2B"/>
    <w:rsid w:val="00190661"/>
    <w:rsid w:val="001908EF"/>
    <w:rsid w:val="00191393"/>
    <w:rsid w:val="001914DA"/>
    <w:rsid w:val="001918FD"/>
    <w:rsid w:val="001922F6"/>
    <w:rsid w:val="0019295C"/>
    <w:rsid w:val="00193459"/>
    <w:rsid w:val="001938EE"/>
    <w:rsid w:val="00193B1D"/>
    <w:rsid w:val="00194200"/>
    <w:rsid w:val="00194236"/>
    <w:rsid w:val="00194507"/>
    <w:rsid w:val="00194B44"/>
    <w:rsid w:val="00194D3F"/>
    <w:rsid w:val="00194E84"/>
    <w:rsid w:val="00195B45"/>
    <w:rsid w:val="00196DDF"/>
    <w:rsid w:val="00197EEE"/>
    <w:rsid w:val="00197F08"/>
    <w:rsid w:val="0019E375"/>
    <w:rsid w:val="001A07E8"/>
    <w:rsid w:val="001A126C"/>
    <w:rsid w:val="001A18F9"/>
    <w:rsid w:val="001A1AE2"/>
    <w:rsid w:val="001A1C12"/>
    <w:rsid w:val="001A222F"/>
    <w:rsid w:val="001A22BC"/>
    <w:rsid w:val="001A290D"/>
    <w:rsid w:val="001A2A89"/>
    <w:rsid w:val="001A367B"/>
    <w:rsid w:val="001A3D09"/>
    <w:rsid w:val="001A5639"/>
    <w:rsid w:val="001A60AB"/>
    <w:rsid w:val="001A74F2"/>
    <w:rsid w:val="001A7995"/>
    <w:rsid w:val="001A7D80"/>
    <w:rsid w:val="001B026C"/>
    <w:rsid w:val="001B07EF"/>
    <w:rsid w:val="001B08C0"/>
    <w:rsid w:val="001B0961"/>
    <w:rsid w:val="001B0DCD"/>
    <w:rsid w:val="001B0E0C"/>
    <w:rsid w:val="001B209E"/>
    <w:rsid w:val="001B2E8A"/>
    <w:rsid w:val="001B3E76"/>
    <w:rsid w:val="001B4520"/>
    <w:rsid w:val="001B4D24"/>
    <w:rsid w:val="001B58B7"/>
    <w:rsid w:val="001B60D7"/>
    <w:rsid w:val="001B6895"/>
    <w:rsid w:val="001B6B40"/>
    <w:rsid w:val="001C0B75"/>
    <w:rsid w:val="001C1008"/>
    <w:rsid w:val="001C1707"/>
    <w:rsid w:val="001C1920"/>
    <w:rsid w:val="001C1D76"/>
    <w:rsid w:val="001C21E0"/>
    <w:rsid w:val="001C2951"/>
    <w:rsid w:val="001C2C2D"/>
    <w:rsid w:val="001C2F54"/>
    <w:rsid w:val="001C2F5D"/>
    <w:rsid w:val="001C2F65"/>
    <w:rsid w:val="001C372D"/>
    <w:rsid w:val="001C373F"/>
    <w:rsid w:val="001C5743"/>
    <w:rsid w:val="001C5F9B"/>
    <w:rsid w:val="001C6B0B"/>
    <w:rsid w:val="001C7D92"/>
    <w:rsid w:val="001CAC77"/>
    <w:rsid w:val="001D00CC"/>
    <w:rsid w:val="001D0799"/>
    <w:rsid w:val="001D0BA6"/>
    <w:rsid w:val="001D10B1"/>
    <w:rsid w:val="001D192C"/>
    <w:rsid w:val="001D2761"/>
    <w:rsid w:val="001D2C6B"/>
    <w:rsid w:val="001D2F84"/>
    <w:rsid w:val="001D441A"/>
    <w:rsid w:val="001D4BC9"/>
    <w:rsid w:val="001D5643"/>
    <w:rsid w:val="001D6918"/>
    <w:rsid w:val="001D732C"/>
    <w:rsid w:val="001D7CB9"/>
    <w:rsid w:val="001E0760"/>
    <w:rsid w:val="001E083E"/>
    <w:rsid w:val="001E09B1"/>
    <w:rsid w:val="001E0DBA"/>
    <w:rsid w:val="001E0F0F"/>
    <w:rsid w:val="001E0F49"/>
    <w:rsid w:val="001E1248"/>
    <w:rsid w:val="001E19C8"/>
    <w:rsid w:val="001E21D9"/>
    <w:rsid w:val="001E3513"/>
    <w:rsid w:val="001E3538"/>
    <w:rsid w:val="001E489B"/>
    <w:rsid w:val="001E56FF"/>
    <w:rsid w:val="001E5D5A"/>
    <w:rsid w:val="001E5DC8"/>
    <w:rsid w:val="001E5E74"/>
    <w:rsid w:val="001E69DB"/>
    <w:rsid w:val="001E7715"/>
    <w:rsid w:val="001F0BE2"/>
    <w:rsid w:val="001F0C7E"/>
    <w:rsid w:val="001F1C84"/>
    <w:rsid w:val="001F1E37"/>
    <w:rsid w:val="001F2C88"/>
    <w:rsid w:val="001F355F"/>
    <w:rsid w:val="001F3ABF"/>
    <w:rsid w:val="001F416B"/>
    <w:rsid w:val="001F501A"/>
    <w:rsid w:val="001F5218"/>
    <w:rsid w:val="001F52EA"/>
    <w:rsid w:val="001F544F"/>
    <w:rsid w:val="001F57EF"/>
    <w:rsid w:val="001F654E"/>
    <w:rsid w:val="001F699A"/>
    <w:rsid w:val="001F77B5"/>
    <w:rsid w:val="00200EEB"/>
    <w:rsid w:val="002017B1"/>
    <w:rsid w:val="00201914"/>
    <w:rsid w:val="00202F8E"/>
    <w:rsid w:val="00205689"/>
    <w:rsid w:val="00205EAE"/>
    <w:rsid w:val="002063BD"/>
    <w:rsid w:val="00206A96"/>
    <w:rsid w:val="00206CB9"/>
    <w:rsid w:val="002072AA"/>
    <w:rsid w:val="00207CE0"/>
    <w:rsid w:val="00207F66"/>
    <w:rsid w:val="00207FAB"/>
    <w:rsid w:val="00210128"/>
    <w:rsid w:val="002102BC"/>
    <w:rsid w:val="002112EE"/>
    <w:rsid w:val="0021252E"/>
    <w:rsid w:val="002133C5"/>
    <w:rsid w:val="00213BAB"/>
    <w:rsid w:val="00213E7F"/>
    <w:rsid w:val="00213FAA"/>
    <w:rsid w:val="002141CF"/>
    <w:rsid w:val="00214950"/>
    <w:rsid w:val="00215B88"/>
    <w:rsid w:val="0021678B"/>
    <w:rsid w:val="00216BD8"/>
    <w:rsid w:val="00220707"/>
    <w:rsid w:val="00220768"/>
    <w:rsid w:val="00222028"/>
    <w:rsid w:val="00222280"/>
    <w:rsid w:val="002225E1"/>
    <w:rsid w:val="00223692"/>
    <w:rsid w:val="002237F7"/>
    <w:rsid w:val="00225095"/>
    <w:rsid w:val="00225577"/>
    <w:rsid w:val="00225CED"/>
    <w:rsid w:val="00225E44"/>
    <w:rsid w:val="00226A7E"/>
    <w:rsid w:val="00226FCE"/>
    <w:rsid w:val="00226FF3"/>
    <w:rsid w:val="002304F2"/>
    <w:rsid w:val="002309DE"/>
    <w:rsid w:val="00230C71"/>
    <w:rsid w:val="00232311"/>
    <w:rsid w:val="0023367F"/>
    <w:rsid w:val="00234616"/>
    <w:rsid w:val="00234842"/>
    <w:rsid w:val="002348FD"/>
    <w:rsid w:val="00234E83"/>
    <w:rsid w:val="002351FF"/>
    <w:rsid w:val="002366C4"/>
    <w:rsid w:val="00236C21"/>
    <w:rsid w:val="0023780F"/>
    <w:rsid w:val="00237B65"/>
    <w:rsid w:val="00240AEB"/>
    <w:rsid w:val="00240D90"/>
    <w:rsid w:val="00241126"/>
    <w:rsid w:val="00241708"/>
    <w:rsid w:val="002419A3"/>
    <w:rsid w:val="00241DB7"/>
    <w:rsid w:val="002424AC"/>
    <w:rsid w:val="002433C4"/>
    <w:rsid w:val="00244EFC"/>
    <w:rsid w:val="00244FE6"/>
    <w:rsid w:val="00245E21"/>
    <w:rsid w:val="00246B28"/>
    <w:rsid w:val="00246F81"/>
    <w:rsid w:val="002475E5"/>
    <w:rsid w:val="00247E20"/>
    <w:rsid w:val="00247E63"/>
    <w:rsid w:val="00247EE5"/>
    <w:rsid w:val="002506D7"/>
    <w:rsid w:val="00251CAA"/>
    <w:rsid w:val="00252550"/>
    <w:rsid w:val="00252918"/>
    <w:rsid w:val="00253413"/>
    <w:rsid w:val="00253F41"/>
    <w:rsid w:val="00255485"/>
    <w:rsid w:val="002555E5"/>
    <w:rsid w:val="002557DA"/>
    <w:rsid w:val="00256D0D"/>
    <w:rsid w:val="00257514"/>
    <w:rsid w:val="00260CE1"/>
    <w:rsid w:val="002614A5"/>
    <w:rsid w:val="00261B12"/>
    <w:rsid w:val="0026225D"/>
    <w:rsid w:val="00262559"/>
    <w:rsid w:val="0026411F"/>
    <w:rsid w:val="002647AB"/>
    <w:rsid w:val="002650DA"/>
    <w:rsid w:val="00265172"/>
    <w:rsid w:val="00265369"/>
    <w:rsid w:val="0026637D"/>
    <w:rsid w:val="002665D2"/>
    <w:rsid w:val="002669E5"/>
    <w:rsid w:val="00270058"/>
    <w:rsid w:val="002709DC"/>
    <w:rsid w:val="00270E49"/>
    <w:rsid w:val="002722FC"/>
    <w:rsid w:val="00272680"/>
    <w:rsid w:val="00272A5A"/>
    <w:rsid w:val="00272E8A"/>
    <w:rsid w:val="00273014"/>
    <w:rsid w:val="002735A3"/>
    <w:rsid w:val="00276732"/>
    <w:rsid w:val="002778EA"/>
    <w:rsid w:val="00277F44"/>
    <w:rsid w:val="002813B0"/>
    <w:rsid w:val="00281B35"/>
    <w:rsid w:val="00281E06"/>
    <w:rsid w:val="00282322"/>
    <w:rsid w:val="00283200"/>
    <w:rsid w:val="002836EF"/>
    <w:rsid w:val="002841D1"/>
    <w:rsid w:val="0028680F"/>
    <w:rsid w:val="00286E44"/>
    <w:rsid w:val="00287729"/>
    <w:rsid w:val="00287855"/>
    <w:rsid w:val="0029083B"/>
    <w:rsid w:val="00291320"/>
    <w:rsid w:val="00291C32"/>
    <w:rsid w:val="00291C3E"/>
    <w:rsid w:val="00291D83"/>
    <w:rsid w:val="0029221D"/>
    <w:rsid w:val="002929A7"/>
    <w:rsid w:val="002938DD"/>
    <w:rsid w:val="00293B0F"/>
    <w:rsid w:val="002943BD"/>
    <w:rsid w:val="002943CE"/>
    <w:rsid w:val="00294FC2"/>
    <w:rsid w:val="002950DF"/>
    <w:rsid w:val="002964C4"/>
    <w:rsid w:val="00297685"/>
    <w:rsid w:val="002976E2"/>
    <w:rsid w:val="0029777E"/>
    <w:rsid w:val="00297D39"/>
    <w:rsid w:val="0029FBCE"/>
    <w:rsid w:val="002A0F3F"/>
    <w:rsid w:val="002A12B0"/>
    <w:rsid w:val="002A1451"/>
    <w:rsid w:val="002A2680"/>
    <w:rsid w:val="002A2C1A"/>
    <w:rsid w:val="002A313B"/>
    <w:rsid w:val="002A371F"/>
    <w:rsid w:val="002A46F6"/>
    <w:rsid w:val="002A4B43"/>
    <w:rsid w:val="002A6B81"/>
    <w:rsid w:val="002A6D58"/>
    <w:rsid w:val="002A70E6"/>
    <w:rsid w:val="002B0D47"/>
    <w:rsid w:val="002B0E6F"/>
    <w:rsid w:val="002B1CED"/>
    <w:rsid w:val="002B28B0"/>
    <w:rsid w:val="002B35D1"/>
    <w:rsid w:val="002B3BCA"/>
    <w:rsid w:val="002B3EA1"/>
    <w:rsid w:val="002B3EF6"/>
    <w:rsid w:val="002B4031"/>
    <w:rsid w:val="002B48E5"/>
    <w:rsid w:val="002B6AA6"/>
    <w:rsid w:val="002B76AA"/>
    <w:rsid w:val="002B78ED"/>
    <w:rsid w:val="002C060A"/>
    <w:rsid w:val="002C072B"/>
    <w:rsid w:val="002C129E"/>
    <w:rsid w:val="002C1373"/>
    <w:rsid w:val="002C14F8"/>
    <w:rsid w:val="002C19DC"/>
    <w:rsid w:val="002C1D88"/>
    <w:rsid w:val="002C1DF6"/>
    <w:rsid w:val="002C1F3A"/>
    <w:rsid w:val="002C1FEE"/>
    <w:rsid w:val="002C3231"/>
    <w:rsid w:val="002C33C4"/>
    <w:rsid w:val="002C3B96"/>
    <w:rsid w:val="002C3C76"/>
    <w:rsid w:val="002C4155"/>
    <w:rsid w:val="002C445C"/>
    <w:rsid w:val="002C47A7"/>
    <w:rsid w:val="002C5481"/>
    <w:rsid w:val="002C59E9"/>
    <w:rsid w:val="002C61A6"/>
    <w:rsid w:val="002C62E4"/>
    <w:rsid w:val="002D0EA4"/>
    <w:rsid w:val="002D0EF0"/>
    <w:rsid w:val="002D1138"/>
    <w:rsid w:val="002D13B2"/>
    <w:rsid w:val="002D2157"/>
    <w:rsid w:val="002D45ED"/>
    <w:rsid w:val="002D4FE9"/>
    <w:rsid w:val="002D5D77"/>
    <w:rsid w:val="002D64D2"/>
    <w:rsid w:val="002D69A9"/>
    <w:rsid w:val="002D6B95"/>
    <w:rsid w:val="002E1400"/>
    <w:rsid w:val="002E1B3C"/>
    <w:rsid w:val="002E308C"/>
    <w:rsid w:val="002E374E"/>
    <w:rsid w:val="002E45C8"/>
    <w:rsid w:val="002E4A5B"/>
    <w:rsid w:val="002E4E9B"/>
    <w:rsid w:val="002E4FD0"/>
    <w:rsid w:val="002E6EBB"/>
    <w:rsid w:val="002E74A8"/>
    <w:rsid w:val="002E7D19"/>
    <w:rsid w:val="002F0D90"/>
    <w:rsid w:val="002F10A9"/>
    <w:rsid w:val="002F1761"/>
    <w:rsid w:val="002F1D31"/>
    <w:rsid w:val="002F2238"/>
    <w:rsid w:val="002F2B62"/>
    <w:rsid w:val="002F3172"/>
    <w:rsid w:val="002F31BF"/>
    <w:rsid w:val="002F4B50"/>
    <w:rsid w:val="002F4D3E"/>
    <w:rsid w:val="002F515E"/>
    <w:rsid w:val="002F5CE1"/>
    <w:rsid w:val="002F5DC7"/>
    <w:rsid w:val="002F7313"/>
    <w:rsid w:val="002F7706"/>
    <w:rsid w:val="002F7B0A"/>
    <w:rsid w:val="0030120F"/>
    <w:rsid w:val="00301AA3"/>
    <w:rsid w:val="00301F03"/>
    <w:rsid w:val="00303D96"/>
    <w:rsid w:val="00304194"/>
    <w:rsid w:val="00304241"/>
    <w:rsid w:val="00304A9E"/>
    <w:rsid w:val="00304E84"/>
    <w:rsid w:val="0030578C"/>
    <w:rsid w:val="00305B4D"/>
    <w:rsid w:val="003063BA"/>
    <w:rsid w:val="0030663F"/>
    <w:rsid w:val="003067C6"/>
    <w:rsid w:val="00306A8C"/>
    <w:rsid w:val="0030754C"/>
    <w:rsid w:val="00307600"/>
    <w:rsid w:val="00310200"/>
    <w:rsid w:val="00310A66"/>
    <w:rsid w:val="003110E7"/>
    <w:rsid w:val="00311B78"/>
    <w:rsid w:val="00311E6C"/>
    <w:rsid w:val="003127A5"/>
    <w:rsid w:val="003132A6"/>
    <w:rsid w:val="00313922"/>
    <w:rsid w:val="00313CCC"/>
    <w:rsid w:val="00314C41"/>
    <w:rsid w:val="003161F2"/>
    <w:rsid w:val="00316CDA"/>
    <w:rsid w:val="00316DE5"/>
    <w:rsid w:val="00317147"/>
    <w:rsid w:val="00317149"/>
    <w:rsid w:val="0031740F"/>
    <w:rsid w:val="00320732"/>
    <w:rsid w:val="003207DC"/>
    <w:rsid w:val="00320869"/>
    <w:rsid w:val="00320C52"/>
    <w:rsid w:val="00320D4E"/>
    <w:rsid w:val="003214E0"/>
    <w:rsid w:val="003220CA"/>
    <w:rsid w:val="00322759"/>
    <w:rsid w:val="0032284C"/>
    <w:rsid w:val="00322B0E"/>
    <w:rsid w:val="00322B79"/>
    <w:rsid w:val="003234DE"/>
    <w:rsid w:val="00325304"/>
    <w:rsid w:val="0032670C"/>
    <w:rsid w:val="00326887"/>
    <w:rsid w:val="00330134"/>
    <w:rsid w:val="003303D7"/>
    <w:rsid w:val="00330486"/>
    <w:rsid w:val="003306B1"/>
    <w:rsid w:val="00330FBE"/>
    <w:rsid w:val="003312F9"/>
    <w:rsid w:val="00331955"/>
    <w:rsid w:val="00331D23"/>
    <w:rsid w:val="003322B2"/>
    <w:rsid w:val="003334B4"/>
    <w:rsid w:val="0033379E"/>
    <w:rsid w:val="00333842"/>
    <w:rsid w:val="00333903"/>
    <w:rsid w:val="00334228"/>
    <w:rsid w:val="00334BC4"/>
    <w:rsid w:val="00336085"/>
    <w:rsid w:val="0033792C"/>
    <w:rsid w:val="003400AD"/>
    <w:rsid w:val="00340C9A"/>
    <w:rsid w:val="003412E5"/>
    <w:rsid w:val="00341BE6"/>
    <w:rsid w:val="00342420"/>
    <w:rsid w:val="00342D09"/>
    <w:rsid w:val="00343032"/>
    <w:rsid w:val="00344EAB"/>
    <w:rsid w:val="00344FE1"/>
    <w:rsid w:val="003471C4"/>
    <w:rsid w:val="003471D2"/>
    <w:rsid w:val="003500C4"/>
    <w:rsid w:val="00351439"/>
    <w:rsid w:val="00351BA7"/>
    <w:rsid w:val="00351EAF"/>
    <w:rsid w:val="00352383"/>
    <w:rsid w:val="0035247A"/>
    <w:rsid w:val="0035299F"/>
    <w:rsid w:val="00352AAF"/>
    <w:rsid w:val="003541A3"/>
    <w:rsid w:val="00355938"/>
    <w:rsid w:val="00355C55"/>
    <w:rsid w:val="00357987"/>
    <w:rsid w:val="003612F9"/>
    <w:rsid w:val="00361B43"/>
    <w:rsid w:val="00361E18"/>
    <w:rsid w:val="00363F3E"/>
    <w:rsid w:val="00363F4B"/>
    <w:rsid w:val="00364004"/>
    <w:rsid w:val="00364199"/>
    <w:rsid w:val="003641E1"/>
    <w:rsid w:val="00365EF5"/>
    <w:rsid w:val="00365F39"/>
    <w:rsid w:val="00366CA6"/>
    <w:rsid w:val="0036730D"/>
    <w:rsid w:val="003674BE"/>
    <w:rsid w:val="0036775F"/>
    <w:rsid w:val="00367B75"/>
    <w:rsid w:val="0037019F"/>
    <w:rsid w:val="003705D2"/>
    <w:rsid w:val="00370685"/>
    <w:rsid w:val="00370A71"/>
    <w:rsid w:val="00370DBD"/>
    <w:rsid w:val="003710AE"/>
    <w:rsid w:val="00371D6A"/>
    <w:rsid w:val="003724E6"/>
    <w:rsid w:val="00372B06"/>
    <w:rsid w:val="00372F89"/>
    <w:rsid w:val="00373842"/>
    <w:rsid w:val="00373A3C"/>
    <w:rsid w:val="00374597"/>
    <w:rsid w:val="003746B0"/>
    <w:rsid w:val="003749B1"/>
    <w:rsid w:val="00374E62"/>
    <w:rsid w:val="00375C38"/>
    <w:rsid w:val="003761C1"/>
    <w:rsid w:val="0037677A"/>
    <w:rsid w:val="00376B88"/>
    <w:rsid w:val="00376C93"/>
    <w:rsid w:val="0037726A"/>
    <w:rsid w:val="0037791B"/>
    <w:rsid w:val="003806A2"/>
    <w:rsid w:val="00380EC5"/>
    <w:rsid w:val="00381B09"/>
    <w:rsid w:val="003820EB"/>
    <w:rsid w:val="0038259C"/>
    <w:rsid w:val="00383B9F"/>
    <w:rsid w:val="00383C79"/>
    <w:rsid w:val="00384722"/>
    <w:rsid w:val="0038473A"/>
    <w:rsid w:val="00385530"/>
    <w:rsid w:val="00385F84"/>
    <w:rsid w:val="00387144"/>
    <w:rsid w:val="00387626"/>
    <w:rsid w:val="00387D8B"/>
    <w:rsid w:val="0039092D"/>
    <w:rsid w:val="00391152"/>
    <w:rsid w:val="00391E16"/>
    <w:rsid w:val="00391ED0"/>
    <w:rsid w:val="0039499E"/>
    <w:rsid w:val="00394F63"/>
    <w:rsid w:val="00395299"/>
    <w:rsid w:val="00396058"/>
    <w:rsid w:val="00396773"/>
    <w:rsid w:val="0039714C"/>
    <w:rsid w:val="003A016C"/>
    <w:rsid w:val="003A10D6"/>
    <w:rsid w:val="003A15E9"/>
    <w:rsid w:val="003A308C"/>
    <w:rsid w:val="003A3B96"/>
    <w:rsid w:val="003A3E4C"/>
    <w:rsid w:val="003A3E4F"/>
    <w:rsid w:val="003A471B"/>
    <w:rsid w:val="003A5256"/>
    <w:rsid w:val="003A5485"/>
    <w:rsid w:val="003A6322"/>
    <w:rsid w:val="003A6B36"/>
    <w:rsid w:val="003A6C08"/>
    <w:rsid w:val="003A7482"/>
    <w:rsid w:val="003A798B"/>
    <w:rsid w:val="003B0B0D"/>
    <w:rsid w:val="003B18D9"/>
    <w:rsid w:val="003B19CE"/>
    <w:rsid w:val="003B1D82"/>
    <w:rsid w:val="003B25A1"/>
    <w:rsid w:val="003B48B0"/>
    <w:rsid w:val="003B67D6"/>
    <w:rsid w:val="003B69A1"/>
    <w:rsid w:val="003B69B5"/>
    <w:rsid w:val="003B69E9"/>
    <w:rsid w:val="003B6D6F"/>
    <w:rsid w:val="003B774D"/>
    <w:rsid w:val="003C0BF2"/>
    <w:rsid w:val="003C10DB"/>
    <w:rsid w:val="003C210D"/>
    <w:rsid w:val="003C2204"/>
    <w:rsid w:val="003C30E2"/>
    <w:rsid w:val="003C3660"/>
    <w:rsid w:val="003C3BC8"/>
    <w:rsid w:val="003C3C63"/>
    <w:rsid w:val="003C492F"/>
    <w:rsid w:val="003C4CF3"/>
    <w:rsid w:val="003C4DBF"/>
    <w:rsid w:val="003C50DA"/>
    <w:rsid w:val="003C5246"/>
    <w:rsid w:val="003C6F4A"/>
    <w:rsid w:val="003C76F1"/>
    <w:rsid w:val="003C7A64"/>
    <w:rsid w:val="003D010F"/>
    <w:rsid w:val="003D08A2"/>
    <w:rsid w:val="003D128E"/>
    <w:rsid w:val="003D1324"/>
    <w:rsid w:val="003D2053"/>
    <w:rsid w:val="003D5A5E"/>
    <w:rsid w:val="003D74C2"/>
    <w:rsid w:val="003E1302"/>
    <w:rsid w:val="003E22F4"/>
    <w:rsid w:val="003E24DE"/>
    <w:rsid w:val="003E24EA"/>
    <w:rsid w:val="003E3551"/>
    <w:rsid w:val="003E3AB7"/>
    <w:rsid w:val="003E4E12"/>
    <w:rsid w:val="003E529D"/>
    <w:rsid w:val="003E701E"/>
    <w:rsid w:val="003F04CE"/>
    <w:rsid w:val="003F0851"/>
    <w:rsid w:val="003F17DF"/>
    <w:rsid w:val="003F2004"/>
    <w:rsid w:val="003F2307"/>
    <w:rsid w:val="003F29ED"/>
    <w:rsid w:val="003F2F37"/>
    <w:rsid w:val="003F40BC"/>
    <w:rsid w:val="003F5837"/>
    <w:rsid w:val="003F5AA8"/>
    <w:rsid w:val="003F5C1B"/>
    <w:rsid w:val="003F6E75"/>
    <w:rsid w:val="003F7522"/>
    <w:rsid w:val="00400482"/>
    <w:rsid w:val="004015C2"/>
    <w:rsid w:val="00403212"/>
    <w:rsid w:val="00403D64"/>
    <w:rsid w:val="00403FEE"/>
    <w:rsid w:val="0040436B"/>
    <w:rsid w:val="004043BE"/>
    <w:rsid w:val="004049FB"/>
    <w:rsid w:val="004055E6"/>
    <w:rsid w:val="004061B5"/>
    <w:rsid w:val="00407198"/>
    <w:rsid w:val="004073DA"/>
    <w:rsid w:val="004074CF"/>
    <w:rsid w:val="00407EF5"/>
    <w:rsid w:val="004100DB"/>
    <w:rsid w:val="004103B7"/>
    <w:rsid w:val="004103FE"/>
    <w:rsid w:val="004104F4"/>
    <w:rsid w:val="004106E6"/>
    <w:rsid w:val="0041080A"/>
    <w:rsid w:val="00410A94"/>
    <w:rsid w:val="00411534"/>
    <w:rsid w:val="004122AB"/>
    <w:rsid w:val="00412821"/>
    <w:rsid w:val="00412FAF"/>
    <w:rsid w:val="00412FF6"/>
    <w:rsid w:val="00413874"/>
    <w:rsid w:val="004147ED"/>
    <w:rsid w:val="00414A36"/>
    <w:rsid w:val="00414B96"/>
    <w:rsid w:val="004150EF"/>
    <w:rsid w:val="00415AF4"/>
    <w:rsid w:val="004164C9"/>
    <w:rsid w:val="00420882"/>
    <w:rsid w:val="004218A6"/>
    <w:rsid w:val="004225FC"/>
    <w:rsid w:val="004249DC"/>
    <w:rsid w:val="00424F46"/>
    <w:rsid w:val="00425CBF"/>
    <w:rsid w:val="00425E4F"/>
    <w:rsid w:val="00426642"/>
    <w:rsid w:val="00427046"/>
    <w:rsid w:val="0042717E"/>
    <w:rsid w:val="004279FE"/>
    <w:rsid w:val="00430054"/>
    <w:rsid w:val="0043071A"/>
    <w:rsid w:val="00430766"/>
    <w:rsid w:val="004309FE"/>
    <w:rsid w:val="00430A0F"/>
    <w:rsid w:val="0043114F"/>
    <w:rsid w:val="004313E4"/>
    <w:rsid w:val="00431657"/>
    <w:rsid w:val="00433A71"/>
    <w:rsid w:val="00434AD7"/>
    <w:rsid w:val="00434B93"/>
    <w:rsid w:val="00434D2E"/>
    <w:rsid w:val="0043553A"/>
    <w:rsid w:val="00436086"/>
    <w:rsid w:val="004365DF"/>
    <w:rsid w:val="00436C92"/>
    <w:rsid w:val="00437ACB"/>
    <w:rsid w:val="00437BE3"/>
    <w:rsid w:val="004401A3"/>
    <w:rsid w:val="0044067D"/>
    <w:rsid w:val="0044075A"/>
    <w:rsid w:val="004417CC"/>
    <w:rsid w:val="00441C2A"/>
    <w:rsid w:val="00441D8B"/>
    <w:rsid w:val="0044413E"/>
    <w:rsid w:val="00444244"/>
    <w:rsid w:val="004445AE"/>
    <w:rsid w:val="00444B38"/>
    <w:rsid w:val="00445A74"/>
    <w:rsid w:val="00446AAD"/>
    <w:rsid w:val="00446EAE"/>
    <w:rsid w:val="00450492"/>
    <w:rsid w:val="00451A72"/>
    <w:rsid w:val="0045254A"/>
    <w:rsid w:val="0045256E"/>
    <w:rsid w:val="00453262"/>
    <w:rsid w:val="004534C9"/>
    <w:rsid w:val="0045353F"/>
    <w:rsid w:val="00453800"/>
    <w:rsid w:val="00453A6D"/>
    <w:rsid w:val="00454217"/>
    <w:rsid w:val="004554E3"/>
    <w:rsid w:val="004555FD"/>
    <w:rsid w:val="00455ED8"/>
    <w:rsid w:val="00456899"/>
    <w:rsid w:val="00456E39"/>
    <w:rsid w:val="004574E7"/>
    <w:rsid w:val="00457BEF"/>
    <w:rsid w:val="0046094E"/>
    <w:rsid w:val="00460963"/>
    <w:rsid w:val="00460C67"/>
    <w:rsid w:val="0046102E"/>
    <w:rsid w:val="00462569"/>
    <w:rsid w:val="004625E8"/>
    <w:rsid w:val="0046285F"/>
    <w:rsid w:val="00462B64"/>
    <w:rsid w:val="00462F1B"/>
    <w:rsid w:val="00463448"/>
    <w:rsid w:val="004636CC"/>
    <w:rsid w:val="00464462"/>
    <w:rsid w:val="00464DAE"/>
    <w:rsid w:val="00465114"/>
    <w:rsid w:val="00465B03"/>
    <w:rsid w:val="004669EE"/>
    <w:rsid w:val="0046718D"/>
    <w:rsid w:val="0046754E"/>
    <w:rsid w:val="00467FD2"/>
    <w:rsid w:val="00471148"/>
    <w:rsid w:val="00473507"/>
    <w:rsid w:val="0047360A"/>
    <w:rsid w:val="00473D6C"/>
    <w:rsid w:val="00474674"/>
    <w:rsid w:val="004754D5"/>
    <w:rsid w:val="004757D3"/>
    <w:rsid w:val="00475DAB"/>
    <w:rsid w:val="004773C6"/>
    <w:rsid w:val="00477AAD"/>
    <w:rsid w:val="00477FA4"/>
    <w:rsid w:val="00480115"/>
    <w:rsid w:val="00480ECB"/>
    <w:rsid w:val="00480F80"/>
    <w:rsid w:val="00481201"/>
    <w:rsid w:val="004819AE"/>
    <w:rsid w:val="00481EF8"/>
    <w:rsid w:val="004826C8"/>
    <w:rsid w:val="004826E8"/>
    <w:rsid w:val="00482FBE"/>
    <w:rsid w:val="0048323F"/>
    <w:rsid w:val="00483D4B"/>
    <w:rsid w:val="00484B0A"/>
    <w:rsid w:val="00484DDA"/>
    <w:rsid w:val="004851DC"/>
    <w:rsid w:val="00485C29"/>
    <w:rsid w:val="004861C1"/>
    <w:rsid w:val="004869D0"/>
    <w:rsid w:val="0048719B"/>
    <w:rsid w:val="00487B90"/>
    <w:rsid w:val="00487E51"/>
    <w:rsid w:val="004904C1"/>
    <w:rsid w:val="004907EB"/>
    <w:rsid w:val="00490A21"/>
    <w:rsid w:val="00490CD1"/>
    <w:rsid w:val="00491798"/>
    <w:rsid w:val="0049198A"/>
    <w:rsid w:val="00491EF3"/>
    <w:rsid w:val="0049210C"/>
    <w:rsid w:val="00492351"/>
    <w:rsid w:val="00492374"/>
    <w:rsid w:val="004923F3"/>
    <w:rsid w:val="00493271"/>
    <w:rsid w:val="00493678"/>
    <w:rsid w:val="0049393D"/>
    <w:rsid w:val="00493A26"/>
    <w:rsid w:val="0049411E"/>
    <w:rsid w:val="00496C2D"/>
    <w:rsid w:val="00496E8B"/>
    <w:rsid w:val="00497402"/>
    <w:rsid w:val="004976A0"/>
    <w:rsid w:val="00497A60"/>
    <w:rsid w:val="00497CE4"/>
    <w:rsid w:val="004A04D8"/>
    <w:rsid w:val="004A09E7"/>
    <w:rsid w:val="004A110B"/>
    <w:rsid w:val="004A11F8"/>
    <w:rsid w:val="004A1838"/>
    <w:rsid w:val="004A2325"/>
    <w:rsid w:val="004A2D3A"/>
    <w:rsid w:val="004A30BF"/>
    <w:rsid w:val="004A36BA"/>
    <w:rsid w:val="004A3A35"/>
    <w:rsid w:val="004A3CB8"/>
    <w:rsid w:val="004A4229"/>
    <w:rsid w:val="004A5A44"/>
    <w:rsid w:val="004A6C94"/>
    <w:rsid w:val="004A70E1"/>
    <w:rsid w:val="004A79D1"/>
    <w:rsid w:val="004A7F83"/>
    <w:rsid w:val="004B0248"/>
    <w:rsid w:val="004B060A"/>
    <w:rsid w:val="004B0C3B"/>
    <w:rsid w:val="004B2232"/>
    <w:rsid w:val="004B249C"/>
    <w:rsid w:val="004B3160"/>
    <w:rsid w:val="004B38B7"/>
    <w:rsid w:val="004B3D46"/>
    <w:rsid w:val="004B49AF"/>
    <w:rsid w:val="004B49C4"/>
    <w:rsid w:val="004B4ADE"/>
    <w:rsid w:val="004B4F70"/>
    <w:rsid w:val="004B5022"/>
    <w:rsid w:val="004B5260"/>
    <w:rsid w:val="004B5795"/>
    <w:rsid w:val="004B5C7A"/>
    <w:rsid w:val="004B6258"/>
    <w:rsid w:val="004B6480"/>
    <w:rsid w:val="004B7253"/>
    <w:rsid w:val="004B7813"/>
    <w:rsid w:val="004C0F08"/>
    <w:rsid w:val="004C2482"/>
    <w:rsid w:val="004C2F4A"/>
    <w:rsid w:val="004C4417"/>
    <w:rsid w:val="004C4D61"/>
    <w:rsid w:val="004C57CC"/>
    <w:rsid w:val="004C6053"/>
    <w:rsid w:val="004C7A4C"/>
    <w:rsid w:val="004D049B"/>
    <w:rsid w:val="004D108A"/>
    <w:rsid w:val="004D16B3"/>
    <w:rsid w:val="004D2F41"/>
    <w:rsid w:val="004D30D8"/>
    <w:rsid w:val="004D3479"/>
    <w:rsid w:val="004D4495"/>
    <w:rsid w:val="004D47F3"/>
    <w:rsid w:val="004D4BBE"/>
    <w:rsid w:val="004D4C76"/>
    <w:rsid w:val="004D64B9"/>
    <w:rsid w:val="004E04C1"/>
    <w:rsid w:val="004E0610"/>
    <w:rsid w:val="004E085B"/>
    <w:rsid w:val="004E0B0F"/>
    <w:rsid w:val="004E0B5D"/>
    <w:rsid w:val="004E0FE7"/>
    <w:rsid w:val="004E21C8"/>
    <w:rsid w:val="004E4C67"/>
    <w:rsid w:val="004E5856"/>
    <w:rsid w:val="004E5FC4"/>
    <w:rsid w:val="004E65A4"/>
    <w:rsid w:val="004E7133"/>
    <w:rsid w:val="004E7CD3"/>
    <w:rsid w:val="004F0170"/>
    <w:rsid w:val="004F11AC"/>
    <w:rsid w:val="004F1EFB"/>
    <w:rsid w:val="004F2457"/>
    <w:rsid w:val="004F2EB4"/>
    <w:rsid w:val="004F4173"/>
    <w:rsid w:val="004F4230"/>
    <w:rsid w:val="004F561C"/>
    <w:rsid w:val="004F6406"/>
    <w:rsid w:val="004F6C10"/>
    <w:rsid w:val="004F7DA1"/>
    <w:rsid w:val="00500470"/>
    <w:rsid w:val="005005D4"/>
    <w:rsid w:val="00500685"/>
    <w:rsid w:val="00500F00"/>
    <w:rsid w:val="0050135D"/>
    <w:rsid w:val="0050150F"/>
    <w:rsid w:val="0050169E"/>
    <w:rsid w:val="00501B26"/>
    <w:rsid w:val="0050208F"/>
    <w:rsid w:val="0050383C"/>
    <w:rsid w:val="00503CB3"/>
    <w:rsid w:val="0050439C"/>
    <w:rsid w:val="005046AB"/>
    <w:rsid w:val="00504D7C"/>
    <w:rsid w:val="00505926"/>
    <w:rsid w:val="00505998"/>
    <w:rsid w:val="00505AD8"/>
    <w:rsid w:val="005062A2"/>
    <w:rsid w:val="00507031"/>
    <w:rsid w:val="0050751D"/>
    <w:rsid w:val="0050775B"/>
    <w:rsid w:val="0050ACF9"/>
    <w:rsid w:val="00510ECD"/>
    <w:rsid w:val="005112EF"/>
    <w:rsid w:val="00512818"/>
    <w:rsid w:val="00513D44"/>
    <w:rsid w:val="00514657"/>
    <w:rsid w:val="005154BB"/>
    <w:rsid w:val="005162A4"/>
    <w:rsid w:val="00516437"/>
    <w:rsid w:val="0051707F"/>
    <w:rsid w:val="00517189"/>
    <w:rsid w:val="005172A4"/>
    <w:rsid w:val="00517E2D"/>
    <w:rsid w:val="0052079D"/>
    <w:rsid w:val="00520857"/>
    <w:rsid w:val="00520BC3"/>
    <w:rsid w:val="00520EBB"/>
    <w:rsid w:val="00521E34"/>
    <w:rsid w:val="00521F4A"/>
    <w:rsid w:val="0052322D"/>
    <w:rsid w:val="00523290"/>
    <w:rsid w:val="00524142"/>
    <w:rsid w:val="005245B3"/>
    <w:rsid w:val="00524BC7"/>
    <w:rsid w:val="00524D85"/>
    <w:rsid w:val="005256C9"/>
    <w:rsid w:val="00526930"/>
    <w:rsid w:val="00526D06"/>
    <w:rsid w:val="005272FF"/>
    <w:rsid w:val="00527718"/>
    <w:rsid w:val="00527969"/>
    <w:rsid w:val="00527E65"/>
    <w:rsid w:val="00530F1F"/>
    <w:rsid w:val="00531231"/>
    <w:rsid w:val="0053135A"/>
    <w:rsid w:val="00531E6B"/>
    <w:rsid w:val="0053210F"/>
    <w:rsid w:val="0053226A"/>
    <w:rsid w:val="00532B58"/>
    <w:rsid w:val="005338BD"/>
    <w:rsid w:val="005339F2"/>
    <w:rsid w:val="00533CE4"/>
    <w:rsid w:val="00534852"/>
    <w:rsid w:val="00534C39"/>
    <w:rsid w:val="00536243"/>
    <w:rsid w:val="0054041B"/>
    <w:rsid w:val="005409DF"/>
    <w:rsid w:val="005412E4"/>
    <w:rsid w:val="005418D2"/>
    <w:rsid w:val="00541BF6"/>
    <w:rsid w:val="00542E58"/>
    <w:rsid w:val="00542F51"/>
    <w:rsid w:val="005431FC"/>
    <w:rsid w:val="00543785"/>
    <w:rsid w:val="00543999"/>
    <w:rsid w:val="00543FB2"/>
    <w:rsid w:val="00544215"/>
    <w:rsid w:val="00544261"/>
    <w:rsid w:val="0054622F"/>
    <w:rsid w:val="00546F99"/>
    <w:rsid w:val="00547454"/>
    <w:rsid w:val="005477BF"/>
    <w:rsid w:val="00547BB6"/>
    <w:rsid w:val="0055019A"/>
    <w:rsid w:val="0055040D"/>
    <w:rsid w:val="00550C2C"/>
    <w:rsid w:val="00550E90"/>
    <w:rsid w:val="00550FF0"/>
    <w:rsid w:val="0055275F"/>
    <w:rsid w:val="00552C76"/>
    <w:rsid w:val="00552DD8"/>
    <w:rsid w:val="00552E8A"/>
    <w:rsid w:val="00553E74"/>
    <w:rsid w:val="0055413A"/>
    <w:rsid w:val="00555287"/>
    <w:rsid w:val="005556AC"/>
    <w:rsid w:val="005561B9"/>
    <w:rsid w:val="0055626F"/>
    <w:rsid w:val="005573CB"/>
    <w:rsid w:val="00557588"/>
    <w:rsid w:val="00557718"/>
    <w:rsid w:val="00557B4B"/>
    <w:rsid w:val="005601B9"/>
    <w:rsid w:val="00560F2D"/>
    <w:rsid w:val="00560F43"/>
    <w:rsid w:val="00561352"/>
    <w:rsid w:val="00561E5B"/>
    <w:rsid w:val="0056343F"/>
    <w:rsid w:val="00564A09"/>
    <w:rsid w:val="00564D1F"/>
    <w:rsid w:val="00564F77"/>
    <w:rsid w:val="005660FF"/>
    <w:rsid w:val="0056732F"/>
    <w:rsid w:val="00567347"/>
    <w:rsid w:val="00570183"/>
    <w:rsid w:val="00570820"/>
    <w:rsid w:val="00570B7E"/>
    <w:rsid w:val="00570CFA"/>
    <w:rsid w:val="00570D8B"/>
    <w:rsid w:val="00571527"/>
    <w:rsid w:val="0057161F"/>
    <w:rsid w:val="0057179A"/>
    <w:rsid w:val="00572398"/>
    <w:rsid w:val="0057242D"/>
    <w:rsid w:val="005728A5"/>
    <w:rsid w:val="005732BA"/>
    <w:rsid w:val="00573B4B"/>
    <w:rsid w:val="00574134"/>
    <w:rsid w:val="0057441F"/>
    <w:rsid w:val="00574708"/>
    <w:rsid w:val="00574A4E"/>
    <w:rsid w:val="0057556F"/>
    <w:rsid w:val="00575D1E"/>
    <w:rsid w:val="00576887"/>
    <w:rsid w:val="00576DB6"/>
    <w:rsid w:val="0057717B"/>
    <w:rsid w:val="00577BA8"/>
    <w:rsid w:val="005809CC"/>
    <w:rsid w:val="00580DD7"/>
    <w:rsid w:val="0058161E"/>
    <w:rsid w:val="00582189"/>
    <w:rsid w:val="0058339D"/>
    <w:rsid w:val="00583E78"/>
    <w:rsid w:val="0058443F"/>
    <w:rsid w:val="00585F40"/>
    <w:rsid w:val="00586447"/>
    <w:rsid w:val="005866D2"/>
    <w:rsid w:val="005870B1"/>
    <w:rsid w:val="00587F7D"/>
    <w:rsid w:val="00590189"/>
    <w:rsid w:val="00590682"/>
    <w:rsid w:val="00590795"/>
    <w:rsid w:val="0059096A"/>
    <w:rsid w:val="00591418"/>
    <w:rsid w:val="00592081"/>
    <w:rsid w:val="0059216F"/>
    <w:rsid w:val="005928F7"/>
    <w:rsid w:val="00592CD8"/>
    <w:rsid w:val="005942BC"/>
    <w:rsid w:val="00594925"/>
    <w:rsid w:val="00595392"/>
    <w:rsid w:val="005963BA"/>
    <w:rsid w:val="0059640C"/>
    <w:rsid w:val="0059738B"/>
    <w:rsid w:val="005A0873"/>
    <w:rsid w:val="005A0EDC"/>
    <w:rsid w:val="005A13A1"/>
    <w:rsid w:val="005A18B7"/>
    <w:rsid w:val="005A201D"/>
    <w:rsid w:val="005A3349"/>
    <w:rsid w:val="005A3412"/>
    <w:rsid w:val="005A3A91"/>
    <w:rsid w:val="005A4592"/>
    <w:rsid w:val="005A5515"/>
    <w:rsid w:val="005A5D44"/>
    <w:rsid w:val="005A624A"/>
    <w:rsid w:val="005A62D4"/>
    <w:rsid w:val="005A6901"/>
    <w:rsid w:val="005A700C"/>
    <w:rsid w:val="005A72EB"/>
    <w:rsid w:val="005B3FFE"/>
    <w:rsid w:val="005B4284"/>
    <w:rsid w:val="005B42F7"/>
    <w:rsid w:val="005B4B20"/>
    <w:rsid w:val="005B53CA"/>
    <w:rsid w:val="005B669F"/>
    <w:rsid w:val="005B6B5A"/>
    <w:rsid w:val="005B7301"/>
    <w:rsid w:val="005C0A56"/>
    <w:rsid w:val="005C1987"/>
    <w:rsid w:val="005C2261"/>
    <w:rsid w:val="005C248A"/>
    <w:rsid w:val="005C2DA7"/>
    <w:rsid w:val="005C305B"/>
    <w:rsid w:val="005C33F5"/>
    <w:rsid w:val="005C3792"/>
    <w:rsid w:val="005C466E"/>
    <w:rsid w:val="005C4B4F"/>
    <w:rsid w:val="005C5B16"/>
    <w:rsid w:val="005C669E"/>
    <w:rsid w:val="005C6B7F"/>
    <w:rsid w:val="005D0DCC"/>
    <w:rsid w:val="005D19A1"/>
    <w:rsid w:val="005D1B87"/>
    <w:rsid w:val="005D2E1C"/>
    <w:rsid w:val="005D45CD"/>
    <w:rsid w:val="005D4925"/>
    <w:rsid w:val="005D4DA1"/>
    <w:rsid w:val="005D5155"/>
    <w:rsid w:val="005D7600"/>
    <w:rsid w:val="005E0022"/>
    <w:rsid w:val="005E037B"/>
    <w:rsid w:val="005E105E"/>
    <w:rsid w:val="005E1DF1"/>
    <w:rsid w:val="005E43AB"/>
    <w:rsid w:val="005E49F3"/>
    <w:rsid w:val="005E50D6"/>
    <w:rsid w:val="005E537F"/>
    <w:rsid w:val="005E57B7"/>
    <w:rsid w:val="005E5A52"/>
    <w:rsid w:val="005E5F7B"/>
    <w:rsid w:val="005E60BD"/>
    <w:rsid w:val="005E62DE"/>
    <w:rsid w:val="005E6974"/>
    <w:rsid w:val="005E6FC7"/>
    <w:rsid w:val="005E7393"/>
    <w:rsid w:val="005E774F"/>
    <w:rsid w:val="005F089F"/>
    <w:rsid w:val="005F1695"/>
    <w:rsid w:val="005F16DF"/>
    <w:rsid w:val="005F1AA1"/>
    <w:rsid w:val="005F1AE5"/>
    <w:rsid w:val="005F1E55"/>
    <w:rsid w:val="005F1EA5"/>
    <w:rsid w:val="005F21B1"/>
    <w:rsid w:val="005F2576"/>
    <w:rsid w:val="005F2609"/>
    <w:rsid w:val="005F28F1"/>
    <w:rsid w:val="005F303F"/>
    <w:rsid w:val="005F3182"/>
    <w:rsid w:val="005F3C30"/>
    <w:rsid w:val="005F3CAC"/>
    <w:rsid w:val="005F401A"/>
    <w:rsid w:val="005F431F"/>
    <w:rsid w:val="005F51CE"/>
    <w:rsid w:val="005F58D4"/>
    <w:rsid w:val="005F5E0F"/>
    <w:rsid w:val="005F658E"/>
    <w:rsid w:val="005F6B39"/>
    <w:rsid w:val="005F6BFE"/>
    <w:rsid w:val="005F6EC5"/>
    <w:rsid w:val="005F6F25"/>
    <w:rsid w:val="005F6FC9"/>
    <w:rsid w:val="005F77C2"/>
    <w:rsid w:val="005F7DA6"/>
    <w:rsid w:val="005F7E28"/>
    <w:rsid w:val="006003D1"/>
    <w:rsid w:val="00600521"/>
    <w:rsid w:val="0060076A"/>
    <w:rsid w:val="006008CB"/>
    <w:rsid w:val="00600F6F"/>
    <w:rsid w:val="00601427"/>
    <w:rsid w:val="0060143D"/>
    <w:rsid w:val="0060177B"/>
    <w:rsid w:val="00601F70"/>
    <w:rsid w:val="0060262F"/>
    <w:rsid w:val="00603A05"/>
    <w:rsid w:val="00603DB6"/>
    <w:rsid w:val="006044E2"/>
    <w:rsid w:val="0060471D"/>
    <w:rsid w:val="00604F69"/>
    <w:rsid w:val="00605932"/>
    <w:rsid w:val="006064C2"/>
    <w:rsid w:val="006072A2"/>
    <w:rsid w:val="00607655"/>
    <w:rsid w:val="00607958"/>
    <w:rsid w:val="00611FC6"/>
    <w:rsid w:val="00612668"/>
    <w:rsid w:val="006133DE"/>
    <w:rsid w:val="00613974"/>
    <w:rsid w:val="00613B11"/>
    <w:rsid w:val="00614AB6"/>
    <w:rsid w:val="00614C20"/>
    <w:rsid w:val="00614FFB"/>
    <w:rsid w:val="006150E5"/>
    <w:rsid w:val="00615279"/>
    <w:rsid w:val="00616CB8"/>
    <w:rsid w:val="00617188"/>
    <w:rsid w:val="006171A4"/>
    <w:rsid w:val="00617369"/>
    <w:rsid w:val="00622011"/>
    <w:rsid w:val="00622329"/>
    <w:rsid w:val="00622FA0"/>
    <w:rsid w:val="0062343A"/>
    <w:rsid w:val="00623C25"/>
    <w:rsid w:val="00623D87"/>
    <w:rsid w:val="00623DFF"/>
    <w:rsid w:val="0062515E"/>
    <w:rsid w:val="00625485"/>
    <w:rsid w:val="006254A8"/>
    <w:rsid w:val="006262B5"/>
    <w:rsid w:val="00626DD5"/>
    <w:rsid w:val="006270E2"/>
    <w:rsid w:val="006272E8"/>
    <w:rsid w:val="006278BE"/>
    <w:rsid w:val="006310DA"/>
    <w:rsid w:val="00631F20"/>
    <w:rsid w:val="00632433"/>
    <w:rsid w:val="00634340"/>
    <w:rsid w:val="006349AF"/>
    <w:rsid w:val="00634E9B"/>
    <w:rsid w:val="0063542E"/>
    <w:rsid w:val="00635EB7"/>
    <w:rsid w:val="00637915"/>
    <w:rsid w:val="00640643"/>
    <w:rsid w:val="0064155F"/>
    <w:rsid w:val="0064159D"/>
    <w:rsid w:val="00641B61"/>
    <w:rsid w:val="00641E5F"/>
    <w:rsid w:val="00642D2A"/>
    <w:rsid w:val="00643017"/>
    <w:rsid w:val="006433AA"/>
    <w:rsid w:val="00643B62"/>
    <w:rsid w:val="00643BBE"/>
    <w:rsid w:val="00643DC1"/>
    <w:rsid w:val="006448C1"/>
    <w:rsid w:val="006449EF"/>
    <w:rsid w:val="006452DD"/>
    <w:rsid w:val="0064531A"/>
    <w:rsid w:val="006459F7"/>
    <w:rsid w:val="00646055"/>
    <w:rsid w:val="00646703"/>
    <w:rsid w:val="006468E5"/>
    <w:rsid w:val="00646DC0"/>
    <w:rsid w:val="006474D5"/>
    <w:rsid w:val="0064793C"/>
    <w:rsid w:val="00650F3C"/>
    <w:rsid w:val="00651455"/>
    <w:rsid w:val="0065156C"/>
    <w:rsid w:val="00651BA6"/>
    <w:rsid w:val="00652436"/>
    <w:rsid w:val="006526C7"/>
    <w:rsid w:val="006527B4"/>
    <w:rsid w:val="00653A7C"/>
    <w:rsid w:val="00653CD2"/>
    <w:rsid w:val="00653DB7"/>
    <w:rsid w:val="00653E25"/>
    <w:rsid w:val="00654317"/>
    <w:rsid w:val="00654555"/>
    <w:rsid w:val="00655F0E"/>
    <w:rsid w:val="006564B9"/>
    <w:rsid w:val="00656CF1"/>
    <w:rsid w:val="006579EC"/>
    <w:rsid w:val="006606CC"/>
    <w:rsid w:val="00661E01"/>
    <w:rsid w:val="00662AC1"/>
    <w:rsid w:val="00662B52"/>
    <w:rsid w:val="006637AB"/>
    <w:rsid w:val="00664A83"/>
    <w:rsid w:val="00664D46"/>
    <w:rsid w:val="00664E36"/>
    <w:rsid w:val="006650A7"/>
    <w:rsid w:val="00665627"/>
    <w:rsid w:val="00666483"/>
    <w:rsid w:val="00666E49"/>
    <w:rsid w:val="006710B5"/>
    <w:rsid w:val="006716D5"/>
    <w:rsid w:val="00672100"/>
    <w:rsid w:val="00673245"/>
    <w:rsid w:val="00673794"/>
    <w:rsid w:val="00673881"/>
    <w:rsid w:val="00674503"/>
    <w:rsid w:val="006745B8"/>
    <w:rsid w:val="00674776"/>
    <w:rsid w:val="00674D22"/>
    <w:rsid w:val="00675377"/>
    <w:rsid w:val="00675EF9"/>
    <w:rsid w:val="006760B9"/>
    <w:rsid w:val="006768DE"/>
    <w:rsid w:val="00677772"/>
    <w:rsid w:val="006820C1"/>
    <w:rsid w:val="00682746"/>
    <w:rsid w:val="00683F55"/>
    <w:rsid w:val="00686217"/>
    <w:rsid w:val="006872F7"/>
    <w:rsid w:val="00691A11"/>
    <w:rsid w:val="00692043"/>
    <w:rsid w:val="0069209E"/>
    <w:rsid w:val="00692517"/>
    <w:rsid w:val="0069264D"/>
    <w:rsid w:val="00692D29"/>
    <w:rsid w:val="006932C3"/>
    <w:rsid w:val="00693855"/>
    <w:rsid w:val="00693A36"/>
    <w:rsid w:val="0069424D"/>
    <w:rsid w:val="00694AAF"/>
    <w:rsid w:val="00695B79"/>
    <w:rsid w:val="006965F1"/>
    <w:rsid w:val="00696772"/>
    <w:rsid w:val="00696828"/>
    <w:rsid w:val="00696B7E"/>
    <w:rsid w:val="00697BAF"/>
    <w:rsid w:val="006A0904"/>
    <w:rsid w:val="006A0BB3"/>
    <w:rsid w:val="006A0D34"/>
    <w:rsid w:val="006A14C5"/>
    <w:rsid w:val="006A1B0D"/>
    <w:rsid w:val="006A2DF5"/>
    <w:rsid w:val="006A2F4A"/>
    <w:rsid w:val="006A329F"/>
    <w:rsid w:val="006A4032"/>
    <w:rsid w:val="006A45D8"/>
    <w:rsid w:val="006A49FB"/>
    <w:rsid w:val="006A4B76"/>
    <w:rsid w:val="006A4BE3"/>
    <w:rsid w:val="006A4CFD"/>
    <w:rsid w:val="006A5131"/>
    <w:rsid w:val="006A531D"/>
    <w:rsid w:val="006A5647"/>
    <w:rsid w:val="006A5DC0"/>
    <w:rsid w:val="006A63CB"/>
    <w:rsid w:val="006A7282"/>
    <w:rsid w:val="006A7463"/>
    <w:rsid w:val="006A79E4"/>
    <w:rsid w:val="006A7C83"/>
    <w:rsid w:val="006B0481"/>
    <w:rsid w:val="006B04C8"/>
    <w:rsid w:val="006B2668"/>
    <w:rsid w:val="006B38C5"/>
    <w:rsid w:val="006B3C32"/>
    <w:rsid w:val="006B40A6"/>
    <w:rsid w:val="006B4425"/>
    <w:rsid w:val="006B457F"/>
    <w:rsid w:val="006B4952"/>
    <w:rsid w:val="006B4DE3"/>
    <w:rsid w:val="006B57AB"/>
    <w:rsid w:val="006B6194"/>
    <w:rsid w:val="006B67A2"/>
    <w:rsid w:val="006B7A34"/>
    <w:rsid w:val="006C14EC"/>
    <w:rsid w:val="006C1968"/>
    <w:rsid w:val="006C1AC5"/>
    <w:rsid w:val="006C2307"/>
    <w:rsid w:val="006C259B"/>
    <w:rsid w:val="006C2B83"/>
    <w:rsid w:val="006C2BEC"/>
    <w:rsid w:val="006C3007"/>
    <w:rsid w:val="006C3AAF"/>
    <w:rsid w:val="006C3B29"/>
    <w:rsid w:val="006C3B9C"/>
    <w:rsid w:val="006C3FAD"/>
    <w:rsid w:val="006C44F1"/>
    <w:rsid w:val="006C4C74"/>
    <w:rsid w:val="006C5062"/>
    <w:rsid w:val="006C570A"/>
    <w:rsid w:val="006C5A0A"/>
    <w:rsid w:val="006C5DA9"/>
    <w:rsid w:val="006C5F59"/>
    <w:rsid w:val="006C6323"/>
    <w:rsid w:val="006C6B2E"/>
    <w:rsid w:val="006C7B83"/>
    <w:rsid w:val="006C954D"/>
    <w:rsid w:val="006D1010"/>
    <w:rsid w:val="006D13A4"/>
    <w:rsid w:val="006D2C70"/>
    <w:rsid w:val="006D310E"/>
    <w:rsid w:val="006D33D0"/>
    <w:rsid w:val="006D356E"/>
    <w:rsid w:val="006D3B70"/>
    <w:rsid w:val="006D3CE6"/>
    <w:rsid w:val="006D42E1"/>
    <w:rsid w:val="006D471C"/>
    <w:rsid w:val="006D4BB6"/>
    <w:rsid w:val="006D5537"/>
    <w:rsid w:val="006D5E0F"/>
    <w:rsid w:val="006D651F"/>
    <w:rsid w:val="006D7DDF"/>
    <w:rsid w:val="006E0063"/>
    <w:rsid w:val="006E008C"/>
    <w:rsid w:val="006E1678"/>
    <w:rsid w:val="006E1EFE"/>
    <w:rsid w:val="006E22AD"/>
    <w:rsid w:val="006E2ED1"/>
    <w:rsid w:val="006E3209"/>
    <w:rsid w:val="006E46A2"/>
    <w:rsid w:val="006E4A4A"/>
    <w:rsid w:val="006E541A"/>
    <w:rsid w:val="006E6425"/>
    <w:rsid w:val="006E6618"/>
    <w:rsid w:val="006E6B44"/>
    <w:rsid w:val="006E6C13"/>
    <w:rsid w:val="006E7182"/>
    <w:rsid w:val="006E72C8"/>
    <w:rsid w:val="006E7702"/>
    <w:rsid w:val="006E7716"/>
    <w:rsid w:val="006E7B91"/>
    <w:rsid w:val="006E7EA8"/>
    <w:rsid w:val="006F01CC"/>
    <w:rsid w:val="006F020C"/>
    <w:rsid w:val="006F041D"/>
    <w:rsid w:val="006F1501"/>
    <w:rsid w:val="006F2979"/>
    <w:rsid w:val="006F332D"/>
    <w:rsid w:val="006F4484"/>
    <w:rsid w:val="006F46E7"/>
    <w:rsid w:val="006F4789"/>
    <w:rsid w:val="006F4D9A"/>
    <w:rsid w:val="006F5065"/>
    <w:rsid w:val="006F557D"/>
    <w:rsid w:val="006F5EAA"/>
    <w:rsid w:val="006F64E9"/>
    <w:rsid w:val="006F67A8"/>
    <w:rsid w:val="006F6941"/>
    <w:rsid w:val="006F6A68"/>
    <w:rsid w:val="006F6B3F"/>
    <w:rsid w:val="006F713E"/>
    <w:rsid w:val="006F7AC2"/>
    <w:rsid w:val="007004D9"/>
    <w:rsid w:val="00700972"/>
    <w:rsid w:val="00700DEA"/>
    <w:rsid w:val="007010CE"/>
    <w:rsid w:val="00701880"/>
    <w:rsid w:val="0070245B"/>
    <w:rsid w:val="0070334A"/>
    <w:rsid w:val="00703468"/>
    <w:rsid w:val="00703F6D"/>
    <w:rsid w:val="00704130"/>
    <w:rsid w:val="00704383"/>
    <w:rsid w:val="00704E0F"/>
    <w:rsid w:val="00705149"/>
    <w:rsid w:val="00705F31"/>
    <w:rsid w:val="007063B7"/>
    <w:rsid w:val="007065DE"/>
    <w:rsid w:val="00706C59"/>
    <w:rsid w:val="0070722C"/>
    <w:rsid w:val="007073A9"/>
    <w:rsid w:val="00707BCA"/>
    <w:rsid w:val="00710B9F"/>
    <w:rsid w:val="00710E75"/>
    <w:rsid w:val="007111AB"/>
    <w:rsid w:val="0071137C"/>
    <w:rsid w:val="00712175"/>
    <w:rsid w:val="00712460"/>
    <w:rsid w:val="0071248E"/>
    <w:rsid w:val="00713F4C"/>
    <w:rsid w:val="00714E02"/>
    <w:rsid w:val="00714E81"/>
    <w:rsid w:val="007159C4"/>
    <w:rsid w:val="0071675F"/>
    <w:rsid w:val="00717373"/>
    <w:rsid w:val="00717ACF"/>
    <w:rsid w:val="007202BA"/>
    <w:rsid w:val="0072067E"/>
    <w:rsid w:val="007207F1"/>
    <w:rsid w:val="007211A6"/>
    <w:rsid w:val="00721857"/>
    <w:rsid w:val="00721915"/>
    <w:rsid w:val="00721BB8"/>
    <w:rsid w:val="00722938"/>
    <w:rsid w:val="00722BF6"/>
    <w:rsid w:val="007232F1"/>
    <w:rsid w:val="0072354E"/>
    <w:rsid w:val="007237F4"/>
    <w:rsid w:val="00723F7A"/>
    <w:rsid w:val="007242B4"/>
    <w:rsid w:val="00725735"/>
    <w:rsid w:val="00725B15"/>
    <w:rsid w:val="00725F48"/>
    <w:rsid w:val="00725F65"/>
    <w:rsid w:val="0072607E"/>
    <w:rsid w:val="00727802"/>
    <w:rsid w:val="00730680"/>
    <w:rsid w:val="0073121C"/>
    <w:rsid w:val="00731396"/>
    <w:rsid w:val="0073315C"/>
    <w:rsid w:val="00733309"/>
    <w:rsid w:val="007338D0"/>
    <w:rsid w:val="00735159"/>
    <w:rsid w:val="00735306"/>
    <w:rsid w:val="0073554D"/>
    <w:rsid w:val="00735718"/>
    <w:rsid w:val="00735AD5"/>
    <w:rsid w:val="00735CD5"/>
    <w:rsid w:val="00735F59"/>
    <w:rsid w:val="00736E98"/>
    <w:rsid w:val="0073778B"/>
    <w:rsid w:val="00740976"/>
    <w:rsid w:val="0074196D"/>
    <w:rsid w:val="00741DED"/>
    <w:rsid w:val="007420BD"/>
    <w:rsid w:val="00742FC6"/>
    <w:rsid w:val="00743B65"/>
    <w:rsid w:val="007453B4"/>
    <w:rsid w:val="00745B6C"/>
    <w:rsid w:val="007460EC"/>
    <w:rsid w:val="00746D26"/>
    <w:rsid w:val="00746F86"/>
    <w:rsid w:val="00747B00"/>
    <w:rsid w:val="0075079E"/>
    <w:rsid w:val="00750C7C"/>
    <w:rsid w:val="0075108E"/>
    <w:rsid w:val="00751986"/>
    <w:rsid w:val="00752004"/>
    <w:rsid w:val="00752D23"/>
    <w:rsid w:val="00753392"/>
    <w:rsid w:val="0075364C"/>
    <w:rsid w:val="00754402"/>
    <w:rsid w:val="007561CC"/>
    <w:rsid w:val="00756304"/>
    <w:rsid w:val="0075693E"/>
    <w:rsid w:val="00756D03"/>
    <w:rsid w:val="0076053B"/>
    <w:rsid w:val="00761415"/>
    <w:rsid w:val="00761B71"/>
    <w:rsid w:val="00762477"/>
    <w:rsid w:val="00762FC4"/>
    <w:rsid w:val="00763386"/>
    <w:rsid w:val="00763720"/>
    <w:rsid w:val="007637A2"/>
    <w:rsid w:val="00763940"/>
    <w:rsid w:val="00763C5B"/>
    <w:rsid w:val="00764A8D"/>
    <w:rsid w:val="0076545A"/>
    <w:rsid w:val="00765EB8"/>
    <w:rsid w:val="0076662E"/>
    <w:rsid w:val="007667EC"/>
    <w:rsid w:val="00767306"/>
    <w:rsid w:val="00767FDC"/>
    <w:rsid w:val="00770AA8"/>
    <w:rsid w:val="00770AEC"/>
    <w:rsid w:val="00770CBB"/>
    <w:rsid w:val="00771077"/>
    <w:rsid w:val="007710AA"/>
    <w:rsid w:val="007716D0"/>
    <w:rsid w:val="00772927"/>
    <w:rsid w:val="00772C3A"/>
    <w:rsid w:val="00772EE9"/>
    <w:rsid w:val="00773379"/>
    <w:rsid w:val="007734FC"/>
    <w:rsid w:val="0077471D"/>
    <w:rsid w:val="00774FC7"/>
    <w:rsid w:val="0077519E"/>
    <w:rsid w:val="00775863"/>
    <w:rsid w:val="00775DA6"/>
    <w:rsid w:val="00776580"/>
    <w:rsid w:val="007767B6"/>
    <w:rsid w:val="007770E0"/>
    <w:rsid w:val="00777610"/>
    <w:rsid w:val="00777A02"/>
    <w:rsid w:val="00780010"/>
    <w:rsid w:val="00780396"/>
    <w:rsid w:val="0078155B"/>
    <w:rsid w:val="00781B32"/>
    <w:rsid w:val="00781B4D"/>
    <w:rsid w:val="00781C5A"/>
    <w:rsid w:val="00782475"/>
    <w:rsid w:val="007826CE"/>
    <w:rsid w:val="00784311"/>
    <w:rsid w:val="0078549A"/>
    <w:rsid w:val="00785956"/>
    <w:rsid w:val="00785D93"/>
    <w:rsid w:val="00786ACB"/>
    <w:rsid w:val="00786EA3"/>
    <w:rsid w:val="00787BB1"/>
    <w:rsid w:val="00787C5C"/>
    <w:rsid w:val="00790A64"/>
    <w:rsid w:val="00791086"/>
    <w:rsid w:val="007915A1"/>
    <w:rsid w:val="007921AC"/>
    <w:rsid w:val="007921F7"/>
    <w:rsid w:val="0079269F"/>
    <w:rsid w:val="00793B8C"/>
    <w:rsid w:val="007942EF"/>
    <w:rsid w:val="00794946"/>
    <w:rsid w:val="00795314"/>
    <w:rsid w:val="00795726"/>
    <w:rsid w:val="00796104"/>
    <w:rsid w:val="00796550"/>
    <w:rsid w:val="00796896"/>
    <w:rsid w:val="00796E2C"/>
    <w:rsid w:val="007972F3"/>
    <w:rsid w:val="007975C9"/>
    <w:rsid w:val="007976C9"/>
    <w:rsid w:val="00797718"/>
    <w:rsid w:val="007A23D4"/>
    <w:rsid w:val="007A261A"/>
    <w:rsid w:val="007A2A5C"/>
    <w:rsid w:val="007A325F"/>
    <w:rsid w:val="007A3F80"/>
    <w:rsid w:val="007A43C1"/>
    <w:rsid w:val="007A4584"/>
    <w:rsid w:val="007A5BB2"/>
    <w:rsid w:val="007A694F"/>
    <w:rsid w:val="007A730B"/>
    <w:rsid w:val="007A73B0"/>
    <w:rsid w:val="007A7F22"/>
    <w:rsid w:val="007B0022"/>
    <w:rsid w:val="007B0118"/>
    <w:rsid w:val="007B0705"/>
    <w:rsid w:val="007B25CA"/>
    <w:rsid w:val="007B3E51"/>
    <w:rsid w:val="007B404D"/>
    <w:rsid w:val="007B40E3"/>
    <w:rsid w:val="007B470B"/>
    <w:rsid w:val="007B4E8B"/>
    <w:rsid w:val="007B5139"/>
    <w:rsid w:val="007B52F1"/>
    <w:rsid w:val="007B5556"/>
    <w:rsid w:val="007B6973"/>
    <w:rsid w:val="007B6CC3"/>
    <w:rsid w:val="007B7DB0"/>
    <w:rsid w:val="007C01FB"/>
    <w:rsid w:val="007C1313"/>
    <w:rsid w:val="007C153B"/>
    <w:rsid w:val="007C1A41"/>
    <w:rsid w:val="007C3113"/>
    <w:rsid w:val="007C3643"/>
    <w:rsid w:val="007C371C"/>
    <w:rsid w:val="007C371F"/>
    <w:rsid w:val="007C3FF1"/>
    <w:rsid w:val="007C4455"/>
    <w:rsid w:val="007C45C0"/>
    <w:rsid w:val="007C4B20"/>
    <w:rsid w:val="007C5935"/>
    <w:rsid w:val="007C597B"/>
    <w:rsid w:val="007C744C"/>
    <w:rsid w:val="007D09C5"/>
    <w:rsid w:val="007D0C22"/>
    <w:rsid w:val="007D0FE0"/>
    <w:rsid w:val="007D10F8"/>
    <w:rsid w:val="007D2CC9"/>
    <w:rsid w:val="007D3011"/>
    <w:rsid w:val="007D315B"/>
    <w:rsid w:val="007D3C63"/>
    <w:rsid w:val="007D4548"/>
    <w:rsid w:val="007D49AC"/>
    <w:rsid w:val="007D4D53"/>
    <w:rsid w:val="007D5395"/>
    <w:rsid w:val="007D5866"/>
    <w:rsid w:val="007D5A15"/>
    <w:rsid w:val="007D5E34"/>
    <w:rsid w:val="007D6FD0"/>
    <w:rsid w:val="007D7690"/>
    <w:rsid w:val="007E0026"/>
    <w:rsid w:val="007E0854"/>
    <w:rsid w:val="007E14B2"/>
    <w:rsid w:val="007E1BB5"/>
    <w:rsid w:val="007E1F27"/>
    <w:rsid w:val="007E30C4"/>
    <w:rsid w:val="007E37E9"/>
    <w:rsid w:val="007E3ABA"/>
    <w:rsid w:val="007E498F"/>
    <w:rsid w:val="007E52D6"/>
    <w:rsid w:val="007E563D"/>
    <w:rsid w:val="007E5EF3"/>
    <w:rsid w:val="007E6859"/>
    <w:rsid w:val="007E725E"/>
    <w:rsid w:val="007E7397"/>
    <w:rsid w:val="007F01C0"/>
    <w:rsid w:val="007F08F3"/>
    <w:rsid w:val="007F0A71"/>
    <w:rsid w:val="007F1B4F"/>
    <w:rsid w:val="007F2356"/>
    <w:rsid w:val="007F41DA"/>
    <w:rsid w:val="007F5B31"/>
    <w:rsid w:val="007F5E42"/>
    <w:rsid w:val="007F5E4F"/>
    <w:rsid w:val="007F5E88"/>
    <w:rsid w:val="007F62BD"/>
    <w:rsid w:val="007F6777"/>
    <w:rsid w:val="007F685A"/>
    <w:rsid w:val="007F746F"/>
    <w:rsid w:val="007F75EB"/>
    <w:rsid w:val="007F7896"/>
    <w:rsid w:val="00800133"/>
    <w:rsid w:val="00800E36"/>
    <w:rsid w:val="00801263"/>
    <w:rsid w:val="00801983"/>
    <w:rsid w:val="00802570"/>
    <w:rsid w:val="008026D2"/>
    <w:rsid w:val="00802998"/>
    <w:rsid w:val="00804413"/>
    <w:rsid w:val="00804429"/>
    <w:rsid w:val="00804AB9"/>
    <w:rsid w:val="0080594B"/>
    <w:rsid w:val="008061FD"/>
    <w:rsid w:val="008065D9"/>
    <w:rsid w:val="00806859"/>
    <w:rsid w:val="0080691B"/>
    <w:rsid w:val="00807352"/>
    <w:rsid w:val="00807B0C"/>
    <w:rsid w:val="00810F40"/>
    <w:rsid w:val="00811AE4"/>
    <w:rsid w:val="00811E03"/>
    <w:rsid w:val="00812753"/>
    <w:rsid w:val="008129D3"/>
    <w:rsid w:val="00812CAD"/>
    <w:rsid w:val="00813BFB"/>
    <w:rsid w:val="00814087"/>
    <w:rsid w:val="00814B8A"/>
    <w:rsid w:val="008150D7"/>
    <w:rsid w:val="00816516"/>
    <w:rsid w:val="00816A0E"/>
    <w:rsid w:val="00816E12"/>
    <w:rsid w:val="00817BA6"/>
    <w:rsid w:val="0082109A"/>
    <w:rsid w:val="00821828"/>
    <w:rsid w:val="00822556"/>
    <w:rsid w:val="008227D0"/>
    <w:rsid w:val="0082299E"/>
    <w:rsid w:val="008235A0"/>
    <w:rsid w:val="008237CD"/>
    <w:rsid w:val="00823B75"/>
    <w:rsid w:val="00823CB6"/>
    <w:rsid w:val="008248E7"/>
    <w:rsid w:val="00824A78"/>
    <w:rsid w:val="00824B77"/>
    <w:rsid w:val="008250ED"/>
    <w:rsid w:val="00826072"/>
    <w:rsid w:val="00826A3C"/>
    <w:rsid w:val="00826A81"/>
    <w:rsid w:val="00827681"/>
    <w:rsid w:val="00827A23"/>
    <w:rsid w:val="008302B8"/>
    <w:rsid w:val="00831722"/>
    <w:rsid w:val="00831EC1"/>
    <w:rsid w:val="00832F83"/>
    <w:rsid w:val="00833A80"/>
    <w:rsid w:val="008343A6"/>
    <w:rsid w:val="008343D9"/>
    <w:rsid w:val="00834860"/>
    <w:rsid w:val="008349EF"/>
    <w:rsid w:val="00834AED"/>
    <w:rsid w:val="008359E4"/>
    <w:rsid w:val="00836DCE"/>
    <w:rsid w:val="00837190"/>
    <w:rsid w:val="00837B56"/>
    <w:rsid w:val="00837BB6"/>
    <w:rsid w:val="00837E9A"/>
    <w:rsid w:val="008403D4"/>
    <w:rsid w:val="00840C59"/>
    <w:rsid w:val="00842AF2"/>
    <w:rsid w:val="00843445"/>
    <w:rsid w:val="00843E4D"/>
    <w:rsid w:val="00844090"/>
    <w:rsid w:val="00844F30"/>
    <w:rsid w:val="00845BB6"/>
    <w:rsid w:val="00845E06"/>
    <w:rsid w:val="00846DE1"/>
    <w:rsid w:val="00846FD0"/>
    <w:rsid w:val="008503DA"/>
    <w:rsid w:val="008504D0"/>
    <w:rsid w:val="008517A1"/>
    <w:rsid w:val="0085188F"/>
    <w:rsid w:val="00852836"/>
    <w:rsid w:val="008539DF"/>
    <w:rsid w:val="0085408A"/>
    <w:rsid w:val="008540C3"/>
    <w:rsid w:val="00854200"/>
    <w:rsid w:val="00854397"/>
    <w:rsid w:val="008547B5"/>
    <w:rsid w:val="00854D6A"/>
    <w:rsid w:val="00855B46"/>
    <w:rsid w:val="00856C70"/>
    <w:rsid w:val="00857618"/>
    <w:rsid w:val="00857C68"/>
    <w:rsid w:val="00857CC7"/>
    <w:rsid w:val="00857F90"/>
    <w:rsid w:val="0086042E"/>
    <w:rsid w:val="00860755"/>
    <w:rsid w:val="00860C77"/>
    <w:rsid w:val="00860DF8"/>
    <w:rsid w:val="00860E5C"/>
    <w:rsid w:val="00861CDD"/>
    <w:rsid w:val="008621FB"/>
    <w:rsid w:val="0086447F"/>
    <w:rsid w:val="008646EE"/>
    <w:rsid w:val="00864711"/>
    <w:rsid w:val="00864B30"/>
    <w:rsid w:val="008652A8"/>
    <w:rsid w:val="008670C0"/>
    <w:rsid w:val="008670E9"/>
    <w:rsid w:val="00867C8E"/>
    <w:rsid w:val="00871210"/>
    <w:rsid w:val="008726D1"/>
    <w:rsid w:val="008735E0"/>
    <w:rsid w:val="00875938"/>
    <w:rsid w:val="00875988"/>
    <w:rsid w:val="008760E7"/>
    <w:rsid w:val="00876310"/>
    <w:rsid w:val="008763A4"/>
    <w:rsid w:val="0087640E"/>
    <w:rsid w:val="008770DE"/>
    <w:rsid w:val="008778E7"/>
    <w:rsid w:val="00880082"/>
    <w:rsid w:val="00880D9C"/>
    <w:rsid w:val="00881651"/>
    <w:rsid w:val="00881805"/>
    <w:rsid w:val="00882003"/>
    <w:rsid w:val="00882129"/>
    <w:rsid w:val="008821BF"/>
    <w:rsid w:val="008837D6"/>
    <w:rsid w:val="0088437A"/>
    <w:rsid w:val="00884DB6"/>
    <w:rsid w:val="00885165"/>
    <w:rsid w:val="008855E5"/>
    <w:rsid w:val="0088796C"/>
    <w:rsid w:val="00887BC2"/>
    <w:rsid w:val="00887DA4"/>
    <w:rsid w:val="00890562"/>
    <w:rsid w:val="00891B2C"/>
    <w:rsid w:val="00891DEB"/>
    <w:rsid w:val="00891E59"/>
    <w:rsid w:val="00892705"/>
    <w:rsid w:val="008930D5"/>
    <w:rsid w:val="0089314B"/>
    <w:rsid w:val="00893ED8"/>
    <w:rsid w:val="008946FB"/>
    <w:rsid w:val="00895D73"/>
    <w:rsid w:val="00896039"/>
    <w:rsid w:val="008A0290"/>
    <w:rsid w:val="008A07E0"/>
    <w:rsid w:val="008A13B3"/>
    <w:rsid w:val="008A13B7"/>
    <w:rsid w:val="008A4690"/>
    <w:rsid w:val="008A4B08"/>
    <w:rsid w:val="008A5692"/>
    <w:rsid w:val="008A5ACB"/>
    <w:rsid w:val="008A5CFA"/>
    <w:rsid w:val="008A6259"/>
    <w:rsid w:val="008B00D6"/>
    <w:rsid w:val="008B0565"/>
    <w:rsid w:val="008B0588"/>
    <w:rsid w:val="008B0D4D"/>
    <w:rsid w:val="008B1170"/>
    <w:rsid w:val="008B1D84"/>
    <w:rsid w:val="008B2DBC"/>
    <w:rsid w:val="008B30D1"/>
    <w:rsid w:val="008B34FA"/>
    <w:rsid w:val="008B47DA"/>
    <w:rsid w:val="008B48B3"/>
    <w:rsid w:val="008B4CAE"/>
    <w:rsid w:val="008B4E98"/>
    <w:rsid w:val="008B504E"/>
    <w:rsid w:val="008B5065"/>
    <w:rsid w:val="008B5B24"/>
    <w:rsid w:val="008B5D24"/>
    <w:rsid w:val="008B718F"/>
    <w:rsid w:val="008B7F75"/>
    <w:rsid w:val="008C0B0F"/>
    <w:rsid w:val="008C0E37"/>
    <w:rsid w:val="008C0F3B"/>
    <w:rsid w:val="008C2D29"/>
    <w:rsid w:val="008C3C1A"/>
    <w:rsid w:val="008C5186"/>
    <w:rsid w:val="008C56A6"/>
    <w:rsid w:val="008C6201"/>
    <w:rsid w:val="008C6369"/>
    <w:rsid w:val="008C7AC1"/>
    <w:rsid w:val="008CB74B"/>
    <w:rsid w:val="008D0756"/>
    <w:rsid w:val="008D0BBC"/>
    <w:rsid w:val="008D1440"/>
    <w:rsid w:val="008D15CC"/>
    <w:rsid w:val="008D166F"/>
    <w:rsid w:val="008D245B"/>
    <w:rsid w:val="008D2A48"/>
    <w:rsid w:val="008D3136"/>
    <w:rsid w:val="008D41B9"/>
    <w:rsid w:val="008D4905"/>
    <w:rsid w:val="008D5491"/>
    <w:rsid w:val="008D6D99"/>
    <w:rsid w:val="008D721E"/>
    <w:rsid w:val="008D7A4D"/>
    <w:rsid w:val="008E01A3"/>
    <w:rsid w:val="008E0676"/>
    <w:rsid w:val="008E0772"/>
    <w:rsid w:val="008E1829"/>
    <w:rsid w:val="008E2725"/>
    <w:rsid w:val="008E279B"/>
    <w:rsid w:val="008E2C45"/>
    <w:rsid w:val="008E2F56"/>
    <w:rsid w:val="008E2FE2"/>
    <w:rsid w:val="008E301C"/>
    <w:rsid w:val="008E34D0"/>
    <w:rsid w:val="008E36EB"/>
    <w:rsid w:val="008E3B24"/>
    <w:rsid w:val="008E427A"/>
    <w:rsid w:val="008E4F2D"/>
    <w:rsid w:val="008E6007"/>
    <w:rsid w:val="008E716A"/>
    <w:rsid w:val="008E7C07"/>
    <w:rsid w:val="008F0533"/>
    <w:rsid w:val="008F127C"/>
    <w:rsid w:val="008F1D15"/>
    <w:rsid w:val="008F1E7C"/>
    <w:rsid w:val="008F210C"/>
    <w:rsid w:val="008F2A0F"/>
    <w:rsid w:val="008F2F45"/>
    <w:rsid w:val="008F34D8"/>
    <w:rsid w:val="008F4455"/>
    <w:rsid w:val="008F47C2"/>
    <w:rsid w:val="008F4C9D"/>
    <w:rsid w:val="008F5C53"/>
    <w:rsid w:val="008F7E12"/>
    <w:rsid w:val="00900097"/>
    <w:rsid w:val="0090015B"/>
    <w:rsid w:val="00900186"/>
    <w:rsid w:val="00901E77"/>
    <w:rsid w:val="0090238A"/>
    <w:rsid w:val="009024E6"/>
    <w:rsid w:val="0090256C"/>
    <w:rsid w:val="009027DE"/>
    <w:rsid w:val="00903419"/>
    <w:rsid w:val="0090373B"/>
    <w:rsid w:val="00903744"/>
    <w:rsid w:val="00903FD5"/>
    <w:rsid w:val="00904BAC"/>
    <w:rsid w:val="0090590B"/>
    <w:rsid w:val="00905CC1"/>
    <w:rsid w:val="00907479"/>
    <w:rsid w:val="00910978"/>
    <w:rsid w:val="00910DB8"/>
    <w:rsid w:val="00910F48"/>
    <w:rsid w:val="00911717"/>
    <w:rsid w:val="00911F13"/>
    <w:rsid w:val="00912327"/>
    <w:rsid w:val="00912589"/>
    <w:rsid w:val="0091299C"/>
    <w:rsid w:val="0091375D"/>
    <w:rsid w:val="00914368"/>
    <w:rsid w:val="0091492D"/>
    <w:rsid w:val="00915853"/>
    <w:rsid w:val="00915D85"/>
    <w:rsid w:val="009160EE"/>
    <w:rsid w:val="009160F8"/>
    <w:rsid w:val="00917644"/>
    <w:rsid w:val="0091772D"/>
    <w:rsid w:val="00917CD5"/>
    <w:rsid w:val="00917F7A"/>
    <w:rsid w:val="00920513"/>
    <w:rsid w:val="00920E08"/>
    <w:rsid w:val="009215E9"/>
    <w:rsid w:val="00921839"/>
    <w:rsid w:val="00921C66"/>
    <w:rsid w:val="00921F42"/>
    <w:rsid w:val="0092218C"/>
    <w:rsid w:val="0092222A"/>
    <w:rsid w:val="00922665"/>
    <w:rsid w:val="009226D5"/>
    <w:rsid w:val="0092272E"/>
    <w:rsid w:val="00922B1D"/>
    <w:rsid w:val="00922CB6"/>
    <w:rsid w:val="00922E74"/>
    <w:rsid w:val="00923930"/>
    <w:rsid w:val="00924572"/>
    <w:rsid w:val="00924F9F"/>
    <w:rsid w:val="0092558F"/>
    <w:rsid w:val="00925EB8"/>
    <w:rsid w:val="009262B7"/>
    <w:rsid w:val="00926E84"/>
    <w:rsid w:val="00926F61"/>
    <w:rsid w:val="00927263"/>
    <w:rsid w:val="009279D4"/>
    <w:rsid w:val="0093041A"/>
    <w:rsid w:val="0093044B"/>
    <w:rsid w:val="00931520"/>
    <w:rsid w:val="00931EBC"/>
    <w:rsid w:val="0093278E"/>
    <w:rsid w:val="009342FF"/>
    <w:rsid w:val="009353A0"/>
    <w:rsid w:val="0093565E"/>
    <w:rsid w:val="00936AF6"/>
    <w:rsid w:val="00936B63"/>
    <w:rsid w:val="00936E4D"/>
    <w:rsid w:val="00937518"/>
    <w:rsid w:val="009378D7"/>
    <w:rsid w:val="00940516"/>
    <w:rsid w:val="009414B2"/>
    <w:rsid w:val="00942A14"/>
    <w:rsid w:val="009439FC"/>
    <w:rsid w:val="009440A1"/>
    <w:rsid w:val="00944243"/>
    <w:rsid w:val="00945795"/>
    <w:rsid w:val="00947E03"/>
    <w:rsid w:val="00947ECA"/>
    <w:rsid w:val="00950836"/>
    <w:rsid w:val="00950A70"/>
    <w:rsid w:val="0095186D"/>
    <w:rsid w:val="00951E06"/>
    <w:rsid w:val="0095283E"/>
    <w:rsid w:val="00952EDC"/>
    <w:rsid w:val="00952F59"/>
    <w:rsid w:val="009534C3"/>
    <w:rsid w:val="00953EEF"/>
    <w:rsid w:val="009548FB"/>
    <w:rsid w:val="00954C75"/>
    <w:rsid w:val="00955C79"/>
    <w:rsid w:val="0095691F"/>
    <w:rsid w:val="00956FCC"/>
    <w:rsid w:val="00957D49"/>
    <w:rsid w:val="00957F5F"/>
    <w:rsid w:val="00960003"/>
    <w:rsid w:val="00961F6C"/>
    <w:rsid w:val="00962499"/>
    <w:rsid w:val="00962C82"/>
    <w:rsid w:val="009639CB"/>
    <w:rsid w:val="00963CD9"/>
    <w:rsid w:val="009647BE"/>
    <w:rsid w:val="00964EB3"/>
    <w:rsid w:val="0096569E"/>
    <w:rsid w:val="00965D9F"/>
    <w:rsid w:val="00966E16"/>
    <w:rsid w:val="009679DA"/>
    <w:rsid w:val="00970385"/>
    <w:rsid w:val="00970DAF"/>
    <w:rsid w:val="0097120F"/>
    <w:rsid w:val="00971537"/>
    <w:rsid w:val="009727B7"/>
    <w:rsid w:val="00972D1C"/>
    <w:rsid w:val="009731C2"/>
    <w:rsid w:val="00973E51"/>
    <w:rsid w:val="009744B2"/>
    <w:rsid w:val="00975636"/>
    <w:rsid w:val="00975A69"/>
    <w:rsid w:val="0097676C"/>
    <w:rsid w:val="00976B88"/>
    <w:rsid w:val="00977176"/>
    <w:rsid w:val="0097728A"/>
    <w:rsid w:val="0097785F"/>
    <w:rsid w:val="00980AB0"/>
    <w:rsid w:val="00980E97"/>
    <w:rsid w:val="00981334"/>
    <w:rsid w:val="0098174E"/>
    <w:rsid w:val="00981B68"/>
    <w:rsid w:val="00982117"/>
    <w:rsid w:val="009825DF"/>
    <w:rsid w:val="00982BC5"/>
    <w:rsid w:val="00982C8A"/>
    <w:rsid w:val="00982E71"/>
    <w:rsid w:val="009833F0"/>
    <w:rsid w:val="0098454B"/>
    <w:rsid w:val="009845BF"/>
    <w:rsid w:val="0098495E"/>
    <w:rsid w:val="00984D1E"/>
    <w:rsid w:val="00985897"/>
    <w:rsid w:val="00987EA6"/>
    <w:rsid w:val="00991043"/>
    <w:rsid w:val="00991086"/>
    <w:rsid w:val="009914C3"/>
    <w:rsid w:val="00992021"/>
    <w:rsid w:val="009924D6"/>
    <w:rsid w:val="00992A6C"/>
    <w:rsid w:val="00992D8C"/>
    <w:rsid w:val="00993E33"/>
    <w:rsid w:val="0099446C"/>
    <w:rsid w:val="00995116"/>
    <w:rsid w:val="009968C2"/>
    <w:rsid w:val="00996C30"/>
    <w:rsid w:val="00996DD6"/>
    <w:rsid w:val="00996F66"/>
    <w:rsid w:val="0099708E"/>
    <w:rsid w:val="009979BC"/>
    <w:rsid w:val="009A0D1D"/>
    <w:rsid w:val="009A1AE6"/>
    <w:rsid w:val="009A1C89"/>
    <w:rsid w:val="009A1F65"/>
    <w:rsid w:val="009A2DA1"/>
    <w:rsid w:val="009A2E12"/>
    <w:rsid w:val="009A343B"/>
    <w:rsid w:val="009A35A1"/>
    <w:rsid w:val="009A3E4A"/>
    <w:rsid w:val="009A46AA"/>
    <w:rsid w:val="009A5651"/>
    <w:rsid w:val="009A5C4F"/>
    <w:rsid w:val="009A5F70"/>
    <w:rsid w:val="009A61CB"/>
    <w:rsid w:val="009A6713"/>
    <w:rsid w:val="009A6994"/>
    <w:rsid w:val="009A701E"/>
    <w:rsid w:val="009A7194"/>
    <w:rsid w:val="009B0ABF"/>
    <w:rsid w:val="009B1119"/>
    <w:rsid w:val="009B17B9"/>
    <w:rsid w:val="009B17D7"/>
    <w:rsid w:val="009B27AB"/>
    <w:rsid w:val="009B2893"/>
    <w:rsid w:val="009B340F"/>
    <w:rsid w:val="009B40B7"/>
    <w:rsid w:val="009B4B39"/>
    <w:rsid w:val="009B4D4A"/>
    <w:rsid w:val="009B5DC4"/>
    <w:rsid w:val="009B60E2"/>
    <w:rsid w:val="009B6527"/>
    <w:rsid w:val="009B684B"/>
    <w:rsid w:val="009B6AAB"/>
    <w:rsid w:val="009B6F2C"/>
    <w:rsid w:val="009B6F64"/>
    <w:rsid w:val="009B77D7"/>
    <w:rsid w:val="009C0294"/>
    <w:rsid w:val="009C14D9"/>
    <w:rsid w:val="009C1704"/>
    <w:rsid w:val="009C1DED"/>
    <w:rsid w:val="009C2743"/>
    <w:rsid w:val="009C39C6"/>
    <w:rsid w:val="009C3D03"/>
    <w:rsid w:val="009C3FED"/>
    <w:rsid w:val="009C41B6"/>
    <w:rsid w:val="009C41BA"/>
    <w:rsid w:val="009C46F3"/>
    <w:rsid w:val="009C472D"/>
    <w:rsid w:val="009C48FB"/>
    <w:rsid w:val="009C4942"/>
    <w:rsid w:val="009C4A87"/>
    <w:rsid w:val="009C5707"/>
    <w:rsid w:val="009C5A84"/>
    <w:rsid w:val="009C5B69"/>
    <w:rsid w:val="009C6554"/>
    <w:rsid w:val="009C6826"/>
    <w:rsid w:val="009C69AB"/>
    <w:rsid w:val="009C6BF2"/>
    <w:rsid w:val="009C7103"/>
    <w:rsid w:val="009C73F3"/>
    <w:rsid w:val="009C7B5A"/>
    <w:rsid w:val="009CE745"/>
    <w:rsid w:val="009D002A"/>
    <w:rsid w:val="009D0D66"/>
    <w:rsid w:val="009D1C5E"/>
    <w:rsid w:val="009D1C9B"/>
    <w:rsid w:val="009D1D0E"/>
    <w:rsid w:val="009D2485"/>
    <w:rsid w:val="009D39D8"/>
    <w:rsid w:val="009D3E20"/>
    <w:rsid w:val="009D417A"/>
    <w:rsid w:val="009D52CD"/>
    <w:rsid w:val="009D57AD"/>
    <w:rsid w:val="009D605B"/>
    <w:rsid w:val="009D6373"/>
    <w:rsid w:val="009E1E40"/>
    <w:rsid w:val="009E2051"/>
    <w:rsid w:val="009E2498"/>
    <w:rsid w:val="009E28B4"/>
    <w:rsid w:val="009E2C6A"/>
    <w:rsid w:val="009E2CEC"/>
    <w:rsid w:val="009E2D02"/>
    <w:rsid w:val="009E360E"/>
    <w:rsid w:val="009E398C"/>
    <w:rsid w:val="009E3DA6"/>
    <w:rsid w:val="009E4590"/>
    <w:rsid w:val="009E4A42"/>
    <w:rsid w:val="009E4C2E"/>
    <w:rsid w:val="009E59F7"/>
    <w:rsid w:val="009E5F71"/>
    <w:rsid w:val="009E6567"/>
    <w:rsid w:val="009F0156"/>
    <w:rsid w:val="009F0B7F"/>
    <w:rsid w:val="009F217A"/>
    <w:rsid w:val="009F2332"/>
    <w:rsid w:val="009F2D61"/>
    <w:rsid w:val="009F46EE"/>
    <w:rsid w:val="009F4954"/>
    <w:rsid w:val="009F4A3D"/>
    <w:rsid w:val="009F4BD8"/>
    <w:rsid w:val="009F5424"/>
    <w:rsid w:val="009F5DF7"/>
    <w:rsid w:val="009F6862"/>
    <w:rsid w:val="009F7B5A"/>
    <w:rsid w:val="009F7F1B"/>
    <w:rsid w:val="00A00243"/>
    <w:rsid w:val="00A0034C"/>
    <w:rsid w:val="00A01D91"/>
    <w:rsid w:val="00A0201B"/>
    <w:rsid w:val="00A02368"/>
    <w:rsid w:val="00A02E2F"/>
    <w:rsid w:val="00A03189"/>
    <w:rsid w:val="00A03EF6"/>
    <w:rsid w:val="00A05420"/>
    <w:rsid w:val="00A05CD6"/>
    <w:rsid w:val="00A067DC"/>
    <w:rsid w:val="00A0696C"/>
    <w:rsid w:val="00A075E3"/>
    <w:rsid w:val="00A10AAD"/>
    <w:rsid w:val="00A10DD7"/>
    <w:rsid w:val="00A11679"/>
    <w:rsid w:val="00A12592"/>
    <w:rsid w:val="00A13328"/>
    <w:rsid w:val="00A13998"/>
    <w:rsid w:val="00A13E07"/>
    <w:rsid w:val="00A13E0B"/>
    <w:rsid w:val="00A14CB6"/>
    <w:rsid w:val="00A14D1F"/>
    <w:rsid w:val="00A15669"/>
    <w:rsid w:val="00A15D66"/>
    <w:rsid w:val="00A166A7"/>
    <w:rsid w:val="00A16B5E"/>
    <w:rsid w:val="00A171DC"/>
    <w:rsid w:val="00A20346"/>
    <w:rsid w:val="00A204EE"/>
    <w:rsid w:val="00A20C1D"/>
    <w:rsid w:val="00A20DDC"/>
    <w:rsid w:val="00A21D12"/>
    <w:rsid w:val="00A23839"/>
    <w:rsid w:val="00A23C8E"/>
    <w:rsid w:val="00A241E7"/>
    <w:rsid w:val="00A24AD4"/>
    <w:rsid w:val="00A255B6"/>
    <w:rsid w:val="00A25BE3"/>
    <w:rsid w:val="00A26523"/>
    <w:rsid w:val="00A266D7"/>
    <w:rsid w:val="00A274BC"/>
    <w:rsid w:val="00A27EC6"/>
    <w:rsid w:val="00A30191"/>
    <w:rsid w:val="00A30A35"/>
    <w:rsid w:val="00A30C16"/>
    <w:rsid w:val="00A318E8"/>
    <w:rsid w:val="00A32AC4"/>
    <w:rsid w:val="00A33ADF"/>
    <w:rsid w:val="00A33B2F"/>
    <w:rsid w:val="00A33F98"/>
    <w:rsid w:val="00A3441E"/>
    <w:rsid w:val="00A34F98"/>
    <w:rsid w:val="00A353B5"/>
    <w:rsid w:val="00A36B2E"/>
    <w:rsid w:val="00A3749A"/>
    <w:rsid w:val="00A40D47"/>
    <w:rsid w:val="00A40FA1"/>
    <w:rsid w:val="00A410AF"/>
    <w:rsid w:val="00A41332"/>
    <w:rsid w:val="00A4168C"/>
    <w:rsid w:val="00A41D23"/>
    <w:rsid w:val="00A41DFE"/>
    <w:rsid w:val="00A421B4"/>
    <w:rsid w:val="00A427C4"/>
    <w:rsid w:val="00A427D1"/>
    <w:rsid w:val="00A42FFA"/>
    <w:rsid w:val="00A43274"/>
    <w:rsid w:val="00A4336A"/>
    <w:rsid w:val="00A4338C"/>
    <w:rsid w:val="00A44BE3"/>
    <w:rsid w:val="00A44EBC"/>
    <w:rsid w:val="00A5060B"/>
    <w:rsid w:val="00A50D7F"/>
    <w:rsid w:val="00A50EC0"/>
    <w:rsid w:val="00A51158"/>
    <w:rsid w:val="00A52150"/>
    <w:rsid w:val="00A523D0"/>
    <w:rsid w:val="00A5260F"/>
    <w:rsid w:val="00A531E7"/>
    <w:rsid w:val="00A534DA"/>
    <w:rsid w:val="00A536A9"/>
    <w:rsid w:val="00A53723"/>
    <w:rsid w:val="00A53B55"/>
    <w:rsid w:val="00A53F44"/>
    <w:rsid w:val="00A54A0C"/>
    <w:rsid w:val="00A54E1E"/>
    <w:rsid w:val="00A55C7C"/>
    <w:rsid w:val="00A55FBA"/>
    <w:rsid w:val="00A55FF9"/>
    <w:rsid w:val="00A56203"/>
    <w:rsid w:val="00A57B0C"/>
    <w:rsid w:val="00A608BC"/>
    <w:rsid w:val="00A60ACE"/>
    <w:rsid w:val="00A60C41"/>
    <w:rsid w:val="00A60F81"/>
    <w:rsid w:val="00A613A0"/>
    <w:rsid w:val="00A617BE"/>
    <w:rsid w:val="00A6202D"/>
    <w:rsid w:val="00A62B21"/>
    <w:rsid w:val="00A62D55"/>
    <w:rsid w:val="00A644B7"/>
    <w:rsid w:val="00A64DB4"/>
    <w:rsid w:val="00A65179"/>
    <w:rsid w:val="00A65826"/>
    <w:rsid w:val="00A6636E"/>
    <w:rsid w:val="00A67240"/>
    <w:rsid w:val="00A67884"/>
    <w:rsid w:val="00A67AB6"/>
    <w:rsid w:val="00A67B4D"/>
    <w:rsid w:val="00A70169"/>
    <w:rsid w:val="00A70FAF"/>
    <w:rsid w:val="00A71B94"/>
    <w:rsid w:val="00A71EF4"/>
    <w:rsid w:val="00A71F61"/>
    <w:rsid w:val="00A72064"/>
    <w:rsid w:val="00A720DD"/>
    <w:rsid w:val="00A7301E"/>
    <w:rsid w:val="00A73B1A"/>
    <w:rsid w:val="00A73BBC"/>
    <w:rsid w:val="00A73DC9"/>
    <w:rsid w:val="00A7401A"/>
    <w:rsid w:val="00A74280"/>
    <w:rsid w:val="00A74D9D"/>
    <w:rsid w:val="00A754CD"/>
    <w:rsid w:val="00A76ED0"/>
    <w:rsid w:val="00A7749E"/>
    <w:rsid w:val="00A7C56C"/>
    <w:rsid w:val="00A80487"/>
    <w:rsid w:val="00A8107A"/>
    <w:rsid w:val="00A81F98"/>
    <w:rsid w:val="00A82F78"/>
    <w:rsid w:val="00A83DB3"/>
    <w:rsid w:val="00A855B0"/>
    <w:rsid w:val="00A85B3D"/>
    <w:rsid w:val="00A85C68"/>
    <w:rsid w:val="00A86236"/>
    <w:rsid w:val="00A86367"/>
    <w:rsid w:val="00A876C5"/>
    <w:rsid w:val="00A87746"/>
    <w:rsid w:val="00A87A62"/>
    <w:rsid w:val="00A87B18"/>
    <w:rsid w:val="00A90936"/>
    <w:rsid w:val="00A90E55"/>
    <w:rsid w:val="00A91907"/>
    <w:rsid w:val="00A91BA9"/>
    <w:rsid w:val="00A92B04"/>
    <w:rsid w:val="00A92D02"/>
    <w:rsid w:val="00A93B89"/>
    <w:rsid w:val="00A93E9C"/>
    <w:rsid w:val="00A94EEF"/>
    <w:rsid w:val="00A950F6"/>
    <w:rsid w:val="00A95AE0"/>
    <w:rsid w:val="00A966CC"/>
    <w:rsid w:val="00A9769C"/>
    <w:rsid w:val="00A97875"/>
    <w:rsid w:val="00AA04B5"/>
    <w:rsid w:val="00AA0E5F"/>
    <w:rsid w:val="00AA10B1"/>
    <w:rsid w:val="00AA144D"/>
    <w:rsid w:val="00AA14AF"/>
    <w:rsid w:val="00AA15BD"/>
    <w:rsid w:val="00AA1622"/>
    <w:rsid w:val="00AA17B8"/>
    <w:rsid w:val="00AA1DB4"/>
    <w:rsid w:val="00AA292B"/>
    <w:rsid w:val="00AA42E0"/>
    <w:rsid w:val="00AA44F4"/>
    <w:rsid w:val="00AA4AD9"/>
    <w:rsid w:val="00AA4D3F"/>
    <w:rsid w:val="00AA5297"/>
    <w:rsid w:val="00AA57B8"/>
    <w:rsid w:val="00AA5C16"/>
    <w:rsid w:val="00AA6D57"/>
    <w:rsid w:val="00AA798A"/>
    <w:rsid w:val="00AB01E0"/>
    <w:rsid w:val="00AB0F08"/>
    <w:rsid w:val="00AB2314"/>
    <w:rsid w:val="00AB2539"/>
    <w:rsid w:val="00AB2726"/>
    <w:rsid w:val="00AB2738"/>
    <w:rsid w:val="00AB276C"/>
    <w:rsid w:val="00AB3DA2"/>
    <w:rsid w:val="00AB3FC0"/>
    <w:rsid w:val="00AB5A37"/>
    <w:rsid w:val="00AB5BE7"/>
    <w:rsid w:val="00AB61A0"/>
    <w:rsid w:val="00AB6A31"/>
    <w:rsid w:val="00AB6CBE"/>
    <w:rsid w:val="00AB79A3"/>
    <w:rsid w:val="00AC16DD"/>
    <w:rsid w:val="00AC2842"/>
    <w:rsid w:val="00AC355B"/>
    <w:rsid w:val="00AC43B2"/>
    <w:rsid w:val="00AC4631"/>
    <w:rsid w:val="00AC4886"/>
    <w:rsid w:val="00AC4A53"/>
    <w:rsid w:val="00AC59DE"/>
    <w:rsid w:val="00AC649C"/>
    <w:rsid w:val="00AC653E"/>
    <w:rsid w:val="00AC7F7C"/>
    <w:rsid w:val="00AD000F"/>
    <w:rsid w:val="00AD0488"/>
    <w:rsid w:val="00AD081C"/>
    <w:rsid w:val="00AD1B71"/>
    <w:rsid w:val="00AD1F6E"/>
    <w:rsid w:val="00AD358F"/>
    <w:rsid w:val="00AD3C46"/>
    <w:rsid w:val="00AD3CDA"/>
    <w:rsid w:val="00AD4E75"/>
    <w:rsid w:val="00AD5978"/>
    <w:rsid w:val="00AD67A5"/>
    <w:rsid w:val="00AD6A8F"/>
    <w:rsid w:val="00AD7808"/>
    <w:rsid w:val="00AD7B93"/>
    <w:rsid w:val="00AE0213"/>
    <w:rsid w:val="00AE25C0"/>
    <w:rsid w:val="00AE2B38"/>
    <w:rsid w:val="00AE2D3E"/>
    <w:rsid w:val="00AE38AF"/>
    <w:rsid w:val="00AE561D"/>
    <w:rsid w:val="00AE5D5D"/>
    <w:rsid w:val="00AE65FA"/>
    <w:rsid w:val="00AF09B6"/>
    <w:rsid w:val="00AF1E01"/>
    <w:rsid w:val="00AF2123"/>
    <w:rsid w:val="00AF286E"/>
    <w:rsid w:val="00AF2D57"/>
    <w:rsid w:val="00AF32B7"/>
    <w:rsid w:val="00AF3430"/>
    <w:rsid w:val="00AF37FF"/>
    <w:rsid w:val="00AF3865"/>
    <w:rsid w:val="00AF3E40"/>
    <w:rsid w:val="00AF42AF"/>
    <w:rsid w:val="00AF42C4"/>
    <w:rsid w:val="00AF447E"/>
    <w:rsid w:val="00AF4D75"/>
    <w:rsid w:val="00AF4E5B"/>
    <w:rsid w:val="00AF6342"/>
    <w:rsid w:val="00AF7203"/>
    <w:rsid w:val="00AF7B01"/>
    <w:rsid w:val="00AF7C81"/>
    <w:rsid w:val="00B0014A"/>
    <w:rsid w:val="00B00B6B"/>
    <w:rsid w:val="00B02A83"/>
    <w:rsid w:val="00B02C7F"/>
    <w:rsid w:val="00B0328B"/>
    <w:rsid w:val="00B04262"/>
    <w:rsid w:val="00B0457D"/>
    <w:rsid w:val="00B067B6"/>
    <w:rsid w:val="00B077C8"/>
    <w:rsid w:val="00B105F2"/>
    <w:rsid w:val="00B12215"/>
    <w:rsid w:val="00B12AA1"/>
    <w:rsid w:val="00B13281"/>
    <w:rsid w:val="00B135BB"/>
    <w:rsid w:val="00B13E07"/>
    <w:rsid w:val="00B13F89"/>
    <w:rsid w:val="00B140F9"/>
    <w:rsid w:val="00B14872"/>
    <w:rsid w:val="00B15C06"/>
    <w:rsid w:val="00B15D03"/>
    <w:rsid w:val="00B166AB"/>
    <w:rsid w:val="00B176F9"/>
    <w:rsid w:val="00B204BE"/>
    <w:rsid w:val="00B20840"/>
    <w:rsid w:val="00B20F86"/>
    <w:rsid w:val="00B21BBE"/>
    <w:rsid w:val="00B21F5E"/>
    <w:rsid w:val="00B23286"/>
    <w:rsid w:val="00B23B74"/>
    <w:rsid w:val="00B275EE"/>
    <w:rsid w:val="00B30134"/>
    <w:rsid w:val="00B3025A"/>
    <w:rsid w:val="00B30779"/>
    <w:rsid w:val="00B308A0"/>
    <w:rsid w:val="00B3113A"/>
    <w:rsid w:val="00B3306D"/>
    <w:rsid w:val="00B33283"/>
    <w:rsid w:val="00B3374B"/>
    <w:rsid w:val="00B33ECA"/>
    <w:rsid w:val="00B34F05"/>
    <w:rsid w:val="00B350A0"/>
    <w:rsid w:val="00B35234"/>
    <w:rsid w:val="00B36272"/>
    <w:rsid w:val="00B36764"/>
    <w:rsid w:val="00B370CA"/>
    <w:rsid w:val="00B3794D"/>
    <w:rsid w:val="00B37A8F"/>
    <w:rsid w:val="00B40075"/>
    <w:rsid w:val="00B40AB4"/>
    <w:rsid w:val="00B40AE0"/>
    <w:rsid w:val="00B41065"/>
    <w:rsid w:val="00B413BE"/>
    <w:rsid w:val="00B416F4"/>
    <w:rsid w:val="00B41DD6"/>
    <w:rsid w:val="00B42068"/>
    <w:rsid w:val="00B42888"/>
    <w:rsid w:val="00B42976"/>
    <w:rsid w:val="00B43905"/>
    <w:rsid w:val="00B43A2E"/>
    <w:rsid w:val="00B44777"/>
    <w:rsid w:val="00B4532B"/>
    <w:rsid w:val="00B45A9D"/>
    <w:rsid w:val="00B45C0A"/>
    <w:rsid w:val="00B465C8"/>
    <w:rsid w:val="00B46876"/>
    <w:rsid w:val="00B46C6C"/>
    <w:rsid w:val="00B471E7"/>
    <w:rsid w:val="00B4731E"/>
    <w:rsid w:val="00B507CD"/>
    <w:rsid w:val="00B50FE7"/>
    <w:rsid w:val="00B51066"/>
    <w:rsid w:val="00B51E8C"/>
    <w:rsid w:val="00B521CA"/>
    <w:rsid w:val="00B52E81"/>
    <w:rsid w:val="00B530B5"/>
    <w:rsid w:val="00B5335A"/>
    <w:rsid w:val="00B537A3"/>
    <w:rsid w:val="00B54067"/>
    <w:rsid w:val="00B5435D"/>
    <w:rsid w:val="00B54437"/>
    <w:rsid w:val="00B545DD"/>
    <w:rsid w:val="00B5552F"/>
    <w:rsid w:val="00B55763"/>
    <w:rsid w:val="00B559D3"/>
    <w:rsid w:val="00B5624A"/>
    <w:rsid w:val="00B56D6C"/>
    <w:rsid w:val="00B573CB"/>
    <w:rsid w:val="00B57FBD"/>
    <w:rsid w:val="00B61204"/>
    <w:rsid w:val="00B61642"/>
    <w:rsid w:val="00B6341F"/>
    <w:rsid w:val="00B649CA"/>
    <w:rsid w:val="00B64F28"/>
    <w:rsid w:val="00B6741A"/>
    <w:rsid w:val="00B67C0F"/>
    <w:rsid w:val="00B70EC3"/>
    <w:rsid w:val="00B710C4"/>
    <w:rsid w:val="00B7130D"/>
    <w:rsid w:val="00B7177F"/>
    <w:rsid w:val="00B72767"/>
    <w:rsid w:val="00B727E2"/>
    <w:rsid w:val="00B73271"/>
    <w:rsid w:val="00B73EAE"/>
    <w:rsid w:val="00B74CA2"/>
    <w:rsid w:val="00B74EA4"/>
    <w:rsid w:val="00B74F09"/>
    <w:rsid w:val="00B75FEC"/>
    <w:rsid w:val="00B7601A"/>
    <w:rsid w:val="00B764B9"/>
    <w:rsid w:val="00B76B90"/>
    <w:rsid w:val="00B76DE4"/>
    <w:rsid w:val="00B76F13"/>
    <w:rsid w:val="00B76F93"/>
    <w:rsid w:val="00B77B05"/>
    <w:rsid w:val="00B80782"/>
    <w:rsid w:val="00B80B4C"/>
    <w:rsid w:val="00B81DC8"/>
    <w:rsid w:val="00B81E64"/>
    <w:rsid w:val="00B8262A"/>
    <w:rsid w:val="00B82CB3"/>
    <w:rsid w:val="00B82F21"/>
    <w:rsid w:val="00B83548"/>
    <w:rsid w:val="00B860DE"/>
    <w:rsid w:val="00B8676D"/>
    <w:rsid w:val="00B86ACE"/>
    <w:rsid w:val="00B86F09"/>
    <w:rsid w:val="00B87E8F"/>
    <w:rsid w:val="00B91640"/>
    <w:rsid w:val="00B918B0"/>
    <w:rsid w:val="00B92243"/>
    <w:rsid w:val="00B929B8"/>
    <w:rsid w:val="00B94092"/>
    <w:rsid w:val="00B95441"/>
    <w:rsid w:val="00B95D77"/>
    <w:rsid w:val="00B95FD0"/>
    <w:rsid w:val="00B9647A"/>
    <w:rsid w:val="00B96A6C"/>
    <w:rsid w:val="00B96E99"/>
    <w:rsid w:val="00B96F22"/>
    <w:rsid w:val="00B970E7"/>
    <w:rsid w:val="00B972A1"/>
    <w:rsid w:val="00B97709"/>
    <w:rsid w:val="00B97A37"/>
    <w:rsid w:val="00BA1729"/>
    <w:rsid w:val="00BA1790"/>
    <w:rsid w:val="00BA18A1"/>
    <w:rsid w:val="00BA2369"/>
    <w:rsid w:val="00BA2481"/>
    <w:rsid w:val="00BA28D3"/>
    <w:rsid w:val="00BA35B7"/>
    <w:rsid w:val="00BA3777"/>
    <w:rsid w:val="00BA4124"/>
    <w:rsid w:val="00BA4574"/>
    <w:rsid w:val="00BA46A4"/>
    <w:rsid w:val="00BA63C2"/>
    <w:rsid w:val="00BA700E"/>
    <w:rsid w:val="00BA7124"/>
    <w:rsid w:val="00BA79B2"/>
    <w:rsid w:val="00BB0F85"/>
    <w:rsid w:val="00BB20B4"/>
    <w:rsid w:val="00BB29E8"/>
    <w:rsid w:val="00BB2A24"/>
    <w:rsid w:val="00BB2F8B"/>
    <w:rsid w:val="00BB33BD"/>
    <w:rsid w:val="00BB38A8"/>
    <w:rsid w:val="00BB3E29"/>
    <w:rsid w:val="00BB45C8"/>
    <w:rsid w:val="00BB494D"/>
    <w:rsid w:val="00BB50E2"/>
    <w:rsid w:val="00BB58E7"/>
    <w:rsid w:val="00BB5A5A"/>
    <w:rsid w:val="00BB5D78"/>
    <w:rsid w:val="00BB5FC8"/>
    <w:rsid w:val="00BB6467"/>
    <w:rsid w:val="00BB6682"/>
    <w:rsid w:val="00BB6C55"/>
    <w:rsid w:val="00BC0642"/>
    <w:rsid w:val="00BC171F"/>
    <w:rsid w:val="00BC21FE"/>
    <w:rsid w:val="00BC2223"/>
    <w:rsid w:val="00BC262B"/>
    <w:rsid w:val="00BC27DF"/>
    <w:rsid w:val="00BC2EE5"/>
    <w:rsid w:val="00BC3945"/>
    <w:rsid w:val="00BC3D68"/>
    <w:rsid w:val="00BC4C97"/>
    <w:rsid w:val="00BC54D6"/>
    <w:rsid w:val="00BC54F2"/>
    <w:rsid w:val="00BC5B95"/>
    <w:rsid w:val="00BC5F5A"/>
    <w:rsid w:val="00BC604C"/>
    <w:rsid w:val="00BC6141"/>
    <w:rsid w:val="00BC6164"/>
    <w:rsid w:val="00BD0187"/>
    <w:rsid w:val="00BD0546"/>
    <w:rsid w:val="00BD07C0"/>
    <w:rsid w:val="00BD0DB1"/>
    <w:rsid w:val="00BD14FA"/>
    <w:rsid w:val="00BD1841"/>
    <w:rsid w:val="00BD2047"/>
    <w:rsid w:val="00BD22C7"/>
    <w:rsid w:val="00BD2865"/>
    <w:rsid w:val="00BD36DE"/>
    <w:rsid w:val="00BD424B"/>
    <w:rsid w:val="00BD56F3"/>
    <w:rsid w:val="00BD5FE7"/>
    <w:rsid w:val="00BD65D7"/>
    <w:rsid w:val="00BD6851"/>
    <w:rsid w:val="00BD6B61"/>
    <w:rsid w:val="00BD7B64"/>
    <w:rsid w:val="00BD7E7C"/>
    <w:rsid w:val="00BD7FA7"/>
    <w:rsid w:val="00BE0456"/>
    <w:rsid w:val="00BE1AD3"/>
    <w:rsid w:val="00BE246F"/>
    <w:rsid w:val="00BE295E"/>
    <w:rsid w:val="00BE398B"/>
    <w:rsid w:val="00BE39AC"/>
    <w:rsid w:val="00BE3CE8"/>
    <w:rsid w:val="00BE3D25"/>
    <w:rsid w:val="00BE4B63"/>
    <w:rsid w:val="00BE4D18"/>
    <w:rsid w:val="00BE534F"/>
    <w:rsid w:val="00BE544A"/>
    <w:rsid w:val="00BE5D63"/>
    <w:rsid w:val="00BE68C2"/>
    <w:rsid w:val="00BE7E79"/>
    <w:rsid w:val="00BF1331"/>
    <w:rsid w:val="00BF13B8"/>
    <w:rsid w:val="00BF13EF"/>
    <w:rsid w:val="00BF15F3"/>
    <w:rsid w:val="00BF1905"/>
    <w:rsid w:val="00BF196C"/>
    <w:rsid w:val="00BF1DB4"/>
    <w:rsid w:val="00BF2F77"/>
    <w:rsid w:val="00BF343F"/>
    <w:rsid w:val="00BF4381"/>
    <w:rsid w:val="00BF4C36"/>
    <w:rsid w:val="00BF502B"/>
    <w:rsid w:val="00BF51DD"/>
    <w:rsid w:val="00BF5D6E"/>
    <w:rsid w:val="00BF66FB"/>
    <w:rsid w:val="00BF73C3"/>
    <w:rsid w:val="00BF74B1"/>
    <w:rsid w:val="00BF76A2"/>
    <w:rsid w:val="00BF7B56"/>
    <w:rsid w:val="00BF7C23"/>
    <w:rsid w:val="00BF7EC2"/>
    <w:rsid w:val="00C0014D"/>
    <w:rsid w:val="00C01258"/>
    <w:rsid w:val="00C0141D"/>
    <w:rsid w:val="00C01B7E"/>
    <w:rsid w:val="00C01CF6"/>
    <w:rsid w:val="00C01E4E"/>
    <w:rsid w:val="00C03ED7"/>
    <w:rsid w:val="00C04050"/>
    <w:rsid w:val="00C0405D"/>
    <w:rsid w:val="00C04343"/>
    <w:rsid w:val="00C0439B"/>
    <w:rsid w:val="00C044FF"/>
    <w:rsid w:val="00C05AA1"/>
    <w:rsid w:val="00C05FA2"/>
    <w:rsid w:val="00C060E8"/>
    <w:rsid w:val="00C067DA"/>
    <w:rsid w:val="00C0744D"/>
    <w:rsid w:val="00C075D9"/>
    <w:rsid w:val="00C07A8F"/>
    <w:rsid w:val="00C1004F"/>
    <w:rsid w:val="00C10099"/>
    <w:rsid w:val="00C10144"/>
    <w:rsid w:val="00C10217"/>
    <w:rsid w:val="00C10778"/>
    <w:rsid w:val="00C10C65"/>
    <w:rsid w:val="00C115BD"/>
    <w:rsid w:val="00C120C5"/>
    <w:rsid w:val="00C124C9"/>
    <w:rsid w:val="00C124D1"/>
    <w:rsid w:val="00C12AC9"/>
    <w:rsid w:val="00C14E3B"/>
    <w:rsid w:val="00C14FFC"/>
    <w:rsid w:val="00C15D29"/>
    <w:rsid w:val="00C163EE"/>
    <w:rsid w:val="00C16BAC"/>
    <w:rsid w:val="00C2004D"/>
    <w:rsid w:val="00C20606"/>
    <w:rsid w:val="00C21DCD"/>
    <w:rsid w:val="00C22218"/>
    <w:rsid w:val="00C2222C"/>
    <w:rsid w:val="00C22647"/>
    <w:rsid w:val="00C23428"/>
    <w:rsid w:val="00C23C5A"/>
    <w:rsid w:val="00C24260"/>
    <w:rsid w:val="00C26812"/>
    <w:rsid w:val="00C270D9"/>
    <w:rsid w:val="00C308BF"/>
    <w:rsid w:val="00C313FE"/>
    <w:rsid w:val="00C31920"/>
    <w:rsid w:val="00C31D37"/>
    <w:rsid w:val="00C3209B"/>
    <w:rsid w:val="00C33501"/>
    <w:rsid w:val="00C33F32"/>
    <w:rsid w:val="00C34BEC"/>
    <w:rsid w:val="00C35554"/>
    <w:rsid w:val="00C359A6"/>
    <w:rsid w:val="00C3606C"/>
    <w:rsid w:val="00C36453"/>
    <w:rsid w:val="00C3721C"/>
    <w:rsid w:val="00C419CD"/>
    <w:rsid w:val="00C41FAB"/>
    <w:rsid w:val="00C42A74"/>
    <w:rsid w:val="00C432A6"/>
    <w:rsid w:val="00C434FE"/>
    <w:rsid w:val="00C445DA"/>
    <w:rsid w:val="00C4466A"/>
    <w:rsid w:val="00C45F9B"/>
    <w:rsid w:val="00C46A2B"/>
    <w:rsid w:val="00C46C10"/>
    <w:rsid w:val="00C46E4C"/>
    <w:rsid w:val="00C517D4"/>
    <w:rsid w:val="00C5195F"/>
    <w:rsid w:val="00C5251E"/>
    <w:rsid w:val="00C539D5"/>
    <w:rsid w:val="00C54425"/>
    <w:rsid w:val="00C54D0B"/>
    <w:rsid w:val="00C55414"/>
    <w:rsid w:val="00C55EBD"/>
    <w:rsid w:val="00C5610B"/>
    <w:rsid w:val="00C56218"/>
    <w:rsid w:val="00C56505"/>
    <w:rsid w:val="00C56C21"/>
    <w:rsid w:val="00C57835"/>
    <w:rsid w:val="00C57860"/>
    <w:rsid w:val="00C57D1F"/>
    <w:rsid w:val="00C60090"/>
    <w:rsid w:val="00C601E2"/>
    <w:rsid w:val="00C603A4"/>
    <w:rsid w:val="00C61061"/>
    <w:rsid w:val="00C61113"/>
    <w:rsid w:val="00C624E1"/>
    <w:rsid w:val="00C627F7"/>
    <w:rsid w:val="00C6364C"/>
    <w:rsid w:val="00C64FC5"/>
    <w:rsid w:val="00C65048"/>
    <w:rsid w:val="00C65C97"/>
    <w:rsid w:val="00C65F0B"/>
    <w:rsid w:val="00C65F1F"/>
    <w:rsid w:val="00C66CF1"/>
    <w:rsid w:val="00C67A30"/>
    <w:rsid w:val="00C67F31"/>
    <w:rsid w:val="00C7004B"/>
    <w:rsid w:val="00C709F6"/>
    <w:rsid w:val="00C71D91"/>
    <w:rsid w:val="00C724E1"/>
    <w:rsid w:val="00C73DC0"/>
    <w:rsid w:val="00C73E7C"/>
    <w:rsid w:val="00C745C9"/>
    <w:rsid w:val="00C74734"/>
    <w:rsid w:val="00C753F8"/>
    <w:rsid w:val="00C7553A"/>
    <w:rsid w:val="00C75E8B"/>
    <w:rsid w:val="00C75EB1"/>
    <w:rsid w:val="00C76087"/>
    <w:rsid w:val="00C76ABC"/>
    <w:rsid w:val="00C775A0"/>
    <w:rsid w:val="00C77616"/>
    <w:rsid w:val="00C778F2"/>
    <w:rsid w:val="00C77A9B"/>
    <w:rsid w:val="00C77E05"/>
    <w:rsid w:val="00C77FE6"/>
    <w:rsid w:val="00C80811"/>
    <w:rsid w:val="00C8310D"/>
    <w:rsid w:val="00C83324"/>
    <w:rsid w:val="00C83983"/>
    <w:rsid w:val="00C84849"/>
    <w:rsid w:val="00C84B97"/>
    <w:rsid w:val="00C8502B"/>
    <w:rsid w:val="00C850E7"/>
    <w:rsid w:val="00C8611A"/>
    <w:rsid w:val="00C863F5"/>
    <w:rsid w:val="00C864F8"/>
    <w:rsid w:val="00C8660A"/>
    <w:rsid w:val="00C86C54"/>
    <w:rsid w:val="00C871F8"/>
    <w:rsid w:val="00C89C29"/>
    <w:rsid w:val="00C902E4"/>
    <w:rsid w:val="00C90FCA"/>
    <w:rsid w:val="00C91E85"/>
    <w:rsid w:val="00C92676"/>
    <w:rsid w:val="00C926CC"/>
    <w:rsid w:val="00C929B6"/>
    <w:rsid w:val="00C92D99"/>
    <w:rsid w:val="00C93A14"/>
    <w:rsid w:val="00C93C13"/>
    <w:rsid w:val="00C945F7"/>
    <w:rsid w:val="00C94810"/>
    <w:rsid w:val="00C94CFB"/>
    <w:rsid w:val="00C95287"/>
    <w:rsid w:val="00C959F1"/>
    <w:rsid w:val="00C97906"/>
    <w:rsid w:val="00CA01CE"/>
    <w:rsid w:val="00CA05B8"/>
    <w:rsid w:val="00CA1AF4"/>
    <w:rsid w:val="00CA1E3F"/>
    <w:rsid w:val="00CA2190"/>
    <w:rsid w:val="00CA2354"/>
    <w:rsid w:val="00CA23B8"/>
    <w:rsid w:val="00CA3074"/>
    <w:rsid w:val="00CA3CF2"/>
    <w:rsid w:val="00CA4392"/>
    <w:rsid w:val="00CA5B13"/>
    <w:rsid w:val="00CA6E80"/>
    <w:rsid w:val="00CA72D8"/>
    <w:rsid w:val="00CB0622"/>
    <w:rsid w:val="00CB08B1"/>
    <w:rsid w:val="00CB0A45"/>
    <w:rsid w:val="00CB0FF6"/>
    <w:rsid w:val="00CB1457"/>
    <w:rsid w:val="00CB2030"/>
    <w:rsid w:val="00CB24C0"/>
    <w:rsid w:val="00CB3B15"/>
    <w:rsid w:val="00CB3F33"/>
    <w:rsid w:val="00CB49D1"/>
    <w:rsid w:val="00CB4D08"/>
    <w:rsid w:val="00CB51F5"/>
    <w:rsid w:val="00CB57BE"/>
    <w:rsid w:val="00CB5AB1"/>
    <w:rsid w:val="00CB5E5C"/>
    <w:rsid w:val="00CB624F"/>
    <w:rsid w:val="00CB659C"/>
    <w:rsid w:val="00CB7CBF"/>
    <w:rsid w:val="00CC0161"/>
    <w:rsid w:val="00CC071E"/>
    <w:rsid w:val="00CC0C79"/>
    <w:rsid w:val="00CC0D5A"/>
    <w:rsid w:val="00CC1E7F"/>
    <w:rsid w:val="00CC1ED5"/>
    <w:rsid w:val="00CC225A"/>
    <w:rsid w:val="00CC2820"/>
    <w:rsid w:val="00CC2940"/>
    <w:rsid w:val="00CC3B2C"/>
    <w:rsid w:val="00CC3EFB"/>
    <w:rsid w:val="00CC489D"/>
    <w:rsid w:val="00CC4914"/>
    <w:rsid w:val="00CC5408"/>
    <w:rsid w:val="00CC5542"/>
    <w:rsid w:val="00CC66BC"/>
    <w:rsid w:val="00CC6F8B"/>
    <w:rsid w:val="00CC744B"/>
    <w:rsid w:val="00CC74E6"/>
    <w:rsid w:val="00CC789B"/>
    <w:rsid w:val="00CC7C25"/>
    <w:rsid w:val="00CD0EDB"/>
    <w:rsid w:val="00CD1457"/>
    <w:rsid w:val="00CD1602"/>
    <w:rsid w:val="00CD19A9"/>
    <w:rsid w:val="00CD2FFB"/>
    <w:rsid w:val="00CD345E"/>
    <w:rsid w:val="00CD3920"/>
    <w:rsid w:val="00CD4090"/>
    <w:rsid w:val="00CD4A7E"/>
    <w:rsid w:val="00CD507F"/>
    <w:rsid w:val="00CD54DA"/>
    <w:rsid w:val="00CD616A"/>
    <w:rsid w:val="00CD70B3"/>
    <w:rsid w:val="00CD7BBD"/>
    <w:rsid w:val="00CE0518"/>
    <w:rsid w:val="00CE0F10"/>
    <w:rsid w:val="00CE1EB2"/>
    <w:rsid w:val="00CE1EC1"/>
    <w:rsid w:val="00CE2829"/>
    <w:rsid w:val="00CE2E60"/>
    <w:rsid w:val="00CE361C"/>
    <w:rsid w:val="00CE3B9D"/>
    <w:rsid w:val="00CE47F6"/>
    <w:rsid w:val="00CE4D44"/>
    <w:rsid w:val="00CE56F4"/>
    <w:rsid w:val="00CE5FB4"/>
    <w:rsid w:val="00CE7C74"/>
    <w:rsid w:val="00CF04BD"/>
    <w:rsid w:val="00CF0A6F"/>
    <w:rsid w:val="00CF184A"/>
    <w:rsid w:val="00CF1E8F"/>
    <w:rsid w:val="00CF2298"/>
    <w:rsid w:val="00CF3780"/>
    <w:rsid w:val="00CF3FFB"/>
    <w:rsid w:val="00CF4582"/>
    <w:rsid w:val="00CF4CFC"/>
    <w:rsid w:val="00CF571A"/>
    <w:rsid w:val="00CF5743"/>
    <w:rsid w:val="00CF6857"/>
    <w:rsid w:val="00CF6D60"/>
    <w:rsid w:val="00CF79F7"/>
    <w:rsid w:val="00D004BA"/>
    <w:rsid w:val="00D00933"/>
    <w:rsid w:val="00D00D8E"/>
    <w:rsid w:val="00D01A7B"/>
    <w:rsid w:val="00D01CA1"/>
    <w:rsid w:val="00D02B84"/>
    <w:rsid w:val="00D02C67"/>
    <w:rsid w:val="00D02F42"/>
    <w:rsid w:val="00D03170"/>
    <w:rsid w:val="00D03881"/>
    <w:rsid w:val="00D04415"/>
    <w:rsid w:val="00D04518"/>
    <w:rsid w:val="00D046C4"/>
    <w:rsid w:val="00D0557D"/>
    <w:rsid w:val="00D05587"/>
    <w:rsid w:val="00D059D1"/>
    <w:rsid w:val="00D059E9"/>
    <w:rsid w:val="00D05E70"/>
    <w:rsid w:val="00D060D6"/>
    <w:rsid w:val="00D0624A"/>
    <w:rsid w:val="00D07263"/>
    <w:rsid w:val="00D07AF2"/>
    <w:rsid w:val="00D10FE0"/>
    <w:rsid w:val="00D130D2"/>
    <w:rsid w:val="00D1387E"/>
    <w:rsid w:val="00D1390A"/>
    <w:rsid w:val="00D13926"/>
    <w:rsid w:val="00D159E0"/>
    <w:rsid w:val="00D15C35"/>
    <w:rsid w:val="00D1680A"/>
    <w:rsid w:val="00D21094"/>
    <w:rsid w:val="00D22D93"/>
    <w:rsid w:val="00D24E11"/>
    <w:rsid w:val="00D25B6B"/>
    <w:rsid w:val="00D25CA9"/>
    <w:rsid w:val="00D25F35"/>
    <w:rsid w:val="00D25FDF"/>
    <w:rsid w:val="00D263A5"/>
    <w:rsid w:val="00D26EAD"/>
    <w:rsid w:val="00D31C61"/>
    <w:rsid w:val="00D32351"/>
    <w:rsid w:val="00D33052"/>
    <w:rsid w:val="00D34F1B"/>
    <w:rsid w:val="00D367E6"/>
    <w:rsid w:val="00D36A83"/>
    <w:rsid w:val="00D37417"/>
    <w:rsid w:val="00D3776B"/>
    <w:rsid w:val="00D37F01"/>
    <w:rsid w:val="00D4055C"/>
    <w:rsid w:val="00D40C9E"/>
    <w:rsid w:val="00D40E5C"/>
    <w:rsid w:val="00D41415"/>
    <w:rsid w:val="00D418C7"/>
    <w:rsid w:val="00D41B28"/>
    <w:rsid w:val="00D4236A"/>
    <w:rsid w:val="00D427EE"/>
    <w:rsid w:val="00D437A2"/>
    <w:rsid w:val="00D437ED"/>
    <w:rsid w:val="00D43916"/>
    <w:rsid w:val="00D43D47"/>
    <w:rsid w:val="00D4403B"/>
    <w:rsid w:val="00D449C7"/>
    <w:rsid w:val="00D458F7"/>
    <w:rsid w:val="00D468D5"/>
    <w:rsid w:val="00D46DC5"/>
    <w:rsid w:val="00D46F00"/>
    <w:rsid w:val="00D4756F"/>
    <w:rsid w:val="00D47955"/>
    <w:rsid w:val="00D47A9E"/>
    <w:rsid w:val="00D47C67"/>
    <w:rsid w:val="00D47CE4"/>
    <w:rsid w:val="00D47EC6"/>
    <w:rsid w:val="00D51037"/>
    <w:rsid w:val="00D519CE"/>
    <w:rsid w:val="00D51A48"/>
    <w:rsid w:val="00D51CBC"/>
    <w:rsid w:val="00D52878"/>
    <w:rsid w:val="00D53263"/>
    <w:rsid w:val="00D53C03"/>
    <w:rsid w:val="00D53F92"/>
    <w:rsid w:val="00D540C5"/>
    <w:rsid w:val="00D54123"/>
    <w:rsid w:val="00D54229"/>
    <w:rsid w:val="00D54F1A"/>
    <w:rsid w:val="00D55097"/>
    <w:rsid w:val="00D562C5"/>
    <w:rsid w:val="00D56A38"/>
    <w:rsid w:val="00D572C7"/>
    <w:rsid w:val="00D57412"/>
    <w:rsid w:val="00D57A93"/>
    <w:rsid w:val="00D57C5C"/>
    <w:rsid w:val="00D6024C"/>
    <w:rsid w:val="00D602A6"/>
    <w:rsid w:val="00D60C3D"/>
    <w:rsid w:val="00D6162F"/>
    <w:rsid w:val="00D61E8E"/>
    <w:rsid w:val="00D6226A"/>
    <w:rsid w:val="00D63E43"/>
    <w:rsid w:val="00D65C5A"/>
    <w:rsid w:val="00D662D8"/>
    <w:rsid w:val="00D66318"/>
    <w:rsid w:val="00D66373"/>
    <w:rsid w:val="00D665DC"/>
    <w:rsid w:val="00D6782F"/>
    <w:rsid w:val="00D67AB9"/>
    <w:rsid w:val="00D710D6"/>
    <w:rsid w:val="00D71728"/>
    <w:rsid w:val="00D718CF"/>
    <w:rsid w:val="00D7282B"/>
    <w:rsid w:val="00D72A3D"/>
    <w:rsid w:val="00D72BA5"/>
    <w:rsid w:val="00D744A4"/>
    <w:rsid w:val="00D75438"/>
    <w:rsid w:val="00D75842"/>
    <w:rsid w:val="00D76029"/>
    <w:rsid w:val="00D76C91"/>
    <w:rsid w:val="00D775FD"/>
    <w:rsid w:val="00D8030F"/>
    <w:rsid w:val="00D81C9A"/>
    <w:rsid w:val="00D836D5"/>
    <w:rsid w:val="00D83F1D"/>
    <w:rsid w:val="00D84064"/>
    <w:rsid w:val="00D846D7"/>
    <w:rsid w:val="00D85876"/>
    <w:rsid w:val="00D872E7"/>
    <w:rsid w:val="00D87B90"/>
    <w:rsid w:val="00D900D0"/>
    <w:rsid w:val="00D9074B"/>
    <w:rsid w:val="00D907AC"/>
    <w:rsid w:val="00D91187"/>
    <w:rsid w:val="00D9276E"/>
    <w:rsid w:val="00D92A82"/>
    <w:rsid w:val="00D92B06"/>
    <w:rsid w:val="00D9306A"/>
    <w:rsid w:val="00D93226"/>
    <w:rsid w:val="00D93371"/>
    <w:rsid w:val="00D94C77"/>
    <w:rsid w:val="00D95188"/>
    <w:rsid w:val="00D95411"/>
    <w:rsid w:val="00D95F8E"/>
    <w:rsid w:val="00D96CA7"/>
    <w:rsid w:val="00D96DD7"/>
    <w:rsid w:val="00D97147"/>
    <w:rsid w:val="00D97841"/>
    <w:rsid w:val="00DA0EF3"/>
    <w:rsid w:val="00DA15E0"/>
    <w:rsid w:val="00DA1DC6"/>
    <w:rsid w:val="00DA2075"/>
    <w:rsid w:val="00DA4E4F"/>
    <w:rsid w:val="00DA4E9E"/>
    <w:rsid w:val="00DA5124"/>
    <w:rsid w:val="00DA51A0"/>
    <w:rsid w:val="00DA682C"/>
    <w:rsid w:val="00DA71D8"/>
    <w:rsid w:val="00DA7996"/>
    <w:rsid w:val="00DA7CED"/>
    <w:rsid w:val="00DB0090"/>
    <w:rsid w:val="00DB1D68"/>
    <w:rsid w:val="00DB1EF4"/>
    <w:rsid w:val="00DB2218"/>
    <w:rsid w:val="00DB2279"/>
    <w:rsid w:val="00DB31A3"/>
    <w:rsid w:val="00DB325A"/>
    <w:rsid w:val="00DB4257"/>
    <w:rsid w:val="00DB48DA"/>
    <w:rsid w:val="00DB5A0B"/>
    <w:rsid w:val="00DB6110"/>
    <w:rsid w:val="00DB74EA"/>
    <w:rsid w:val="00DC0CEB"/>
    <w:rsid w:val="00DC0F28"/>
    <w:rsid w:val="00DC2046"/>
    <w:rsid w:val="00DC237D"/>
    <w:rsid w:val="00DC25D0"/>
    <w:rsid w:val="00DC2853"/>
    <w:rsid w:val="00DC301D"/>
    <w:rsid w:val="00DC32AF"/>
    <w:rsid w:val="00DC351F"/>
    <w:rsid w:val="00DC44F6"/>
    <w:rsid w:val="00DC6025"/>
    <w:rsid w:val="00DD0B0B"/>
    <w:rsid w:val="00DD21D8"/>
    <w:rsid w:val="00DD24D8"/>
    <w:rsid w:val="00DD31EA"/>
    <w:rsid w:val="00DD3B70"/>
    <w:rsid w:val="00DD4567"/>
    <w:rsid w:val="00DD48A9"/>
    <w:rsid w:val="00DD4C84"/>
    <w:rsid w:val="00DD55F9"/>
    <w:rsid w:val="00DD570A"/>
    <w:rsid w:val="00DD64D6"/>
    <w:rsid w:val="00DD6733"/>
    <w:rsid w:val="00DD6D14"/>
    <w:rsid w:val="00DD7A9F"/>
    <w:rsid w:val="00DD8AEA"/>
    <w:rsid w:val="00DE022D"/>
    <w:rsid w:val="00DE0B30"/>
    <w:rsid w:val="00DE0D88"/>
    <w:rsid w:val="00DE0FCB"/>
    <w:rsid w:val="00DE0FF6"/>
    <w:rsid w:val="00DE103C"/>
    <w:rsid w:val="00DE10C2"/>
    <w:rsid w:val="00DE2AFD"/>
    <w:rsid w:val="00DE30BB"/>
    <w:rsid w:val="00DE34D8"/>
    <w:rsid w:val="00DE36FE"/>
    <w:rsid w:val="00DE3797"/>
    <w:rsid w:val="00DE38E0"/>
    <w:rsid w:val="00DE4E83"/>
    <w:rsid w:val="00DE5315"/>
    <w:rsid w:val="00DE6703"/>
    <w:rsid w:val="00DE6BB8"/>
    <w:rsid w:val="00DE7775"/>
    <w:rsid w:val="00DE78F6"/>
    <w:rsid w:val="00DE7CA9"/>
    <w:rsid w:val="00DF0211"/>
    <w:rsid w:val="00DF0BB7"/>
    <w:rsid w:val="00DF1351"/>
    <w:rsid w:val="00DF17FF"/>
    <w:rsid w:val="00DF2749"/>
    <w:rsid w:val="00DF317C"/>
    <w:rsid w:val="00DF4080"/>
    <w:rsid w:val="00DF4648"/>
    <w:rsid w:val="00DF5167"/>
    <w:rsid w:val="00DF5716"/>
    <w:rsid w:val="00DF62AC"/>
    <w:rsid w:val="00DF6D8E"/>
    <w:rsid w:val="00DF7618"/>
    <w:rsid w:val="00E000A7"/>
    <w:rsid w:val="00E01991"/>
    <w:rsid w:val="00E02037"/>
    <w:rsid w:val="00E0364F"/>
    <w:rsid w:val="00E03873"/>
    <w:rsid w:val="00E0418F"/>
    <w:rsid w:val="00E04F45"/>
    <w:rsid w:val="00E053DE"/>
    <w:rsid w:val="00E055F8"/>
    <w:rsid w:val="00E06D3F"/>
    <w:rsid w:val="00E073AD"/>
    <w:rsid w:val="00E073EB"/>
    <w:rsid w:val="00E1059E"/>
    <w:rsid w:val="00E109DA"/>
    <w:rsid w:val="00E10A23"/>
    <w:rsid w:val="00E1262E"/>
    <w:rsid w:val="00E1291D"/>
    <w:rsid w:val="00E12D6E"/>
    <w:rsid w:val="00E12EE3"/>
    <w:rsid w:val="00E12FEA"/>
    <w:rsid w:val="00E13C17"/>
    <w:rsid w:val="00E13D5B"/>
    <w:rsid w:val="00E13E85"/>
    <w:rsid w:val="00E14786"/>
    <w:rsid w:val="00E14818"/>
    <w:rsid w:val="00E14995"/>
    <w:rsid w:val="00E14A00"/>
    <w:rsid w:val="00E14B59"/>
    <w:rsid w:val="00E15BAB"/>
    <w:rsid w:val="00E16F14"/>
    <w:rsid w:val="00E17609"/>
    <w:rsid w:val="00E20C93"/>
    <w:rsid w:val="00E2100F"/>
    <w:rsid w:val="00E21026"/>
    <w:rsid w:val="00E21533"/>
    <w:rsid w:val="00E21EE1"/>
    <w:rsid w:val="00E22DAE"/>
    <w:rsid w:val="00E2398F"/>
    <w:rsid w:val="00E242CF"/>
    <w:rsid w:val="00E24344"/>
    <w:rsid w:val="00E26144"/>
    <w:rsid w:val="00E2682C"/>
    <w:rsid w:val="00E273D8"/>
    <w:rsid w:val="00E27883"/>
    <w:rsid w:val="00E278F5"/>
    <w:rsid w:val="00E30199"/>
    <w:rsid w:val="00E30CB2"/>
    <w:rsid w:val="00E312F6"/>
    <w:rsid w:val="00E317DE"/>
    <w:rsid w:val="00E3261A"/>
    <w:rsid w:val="00E32D88"/>
    <w:rsid w:val="00E32D8C"/>
    <w:rsid w:val="00E33234"/>
    <w:rsid w:val="00E34024"/>
    <w:rsid w:val="00E340CA"/>
    <w:rsid w:val="00E34C8D"/>
    <w:rsid w:val="00E353FD"/>
    <w:rsid w:val="00E36CB4"/>
    <w:rsid w:val="00E36E19"/>
    <w:rsid w:val="00E37ED5"/>
    <w:rsid w:val="00E37F90"/>
    <w:rsid w:val="00E3A41A"/>
    <w:rsid w:val="00E400E5"/>
    <w:rsid w:val="00E40BAC"/>
    <w:rsid w:val="00E40F1D"/>
    <w:rsid w:val="00E41F03"/>
    <w:rsid w:val="00E4298E"/>
    <w:rsid w:val="00E42B2B"/>
    <w:rsid w:val="00E434FA"/>
    <w:rsid w:val="00E43838"/>
    <w:rsid w:val="00E43B6A"/>
    <w:rsid w:val="00E44880"/>
    <w:rsid w:val="00E44BB4"/>
    <w:rsid w:val="00E44BE3"/>
    <w:rsid w:val="00E46294"/>
    <w:rsid w:val="00E4647F"/>
    <w:rsid w:val="00E46C64"/>
    <w:rsid w:val="00E47135"/>
    <w:rsid w:val="00E4754C"/>
    <w:rsid w:val="00E475EE"/>
    <w:rsid w:val="00E5007C"/>
    <w:rsid w:val="00E50B22"/>
    <w:rsid w:val="00E51E4C"/>
    <w:rsid w:val="00E534DD"/>
    <w:rsid w:val="00E53F48"/>
    <w:rsid w:val="00E55A77"/>
    <w:rsid w:val="00E55AF1"/>
    <w:rsid w:val="00E55C76"/>
    <w:rsid w:val="00E561E1"/>
    <w:rsid w:val="00E56A25"/>
    <w:rsid w:val="00E572AF"/>
    <w:rsid w:val="00E57600"/>
    <w:rsid w:val="00E57DDA"/>
    <w:rsid w:val="00E57F6F"/>
    <w:rsid w:val="00E61827"/>
    <w:rsid w:val="00E6188E"/>
    <w:rsid w:val="00E618BD"/>
    <w:rsid w:val="00E6235F"/>
    <w:rsid w:val="00E6249C"/>
    <w:rsid w:val="00E629E8"/>
    <w:rsid w:val="00E62C38"/>
    <w:rsid w:val="00E62FB4"/>
    <w:rsid w:val="00E635CE"/>
    <w:rsid w:val="00E64C66"/>
    <w:rsid w:val="00E64DF4"/>
    <w:rsid w:val="00E65E84"/>
    <w:rsid w:val="00E66C26"/>
    <w:rsid w:val="00E67D24"/>
    <w:rsid w:val="00E703D7"/>
    <w:rsid w:val="00E720DB"/>
    <w:rsid w:val="00E72217"/>
    <w:rsid w:val="00E724C9"/>
    <w:rsid w:val="00E72B1D"/>
    <w:rsid w:val="00E73273"/>
    <w:rsid w:val="00E73B65"/>
    <w:rsid w:val="00E73CD5"/>
    <w:rsid w:val="00E740DF"/>
    <w:rsid w:val="00E74AC7"/>
    <w:rsid w:val="00E756A9"/>
    <w:rsid w:val="00E765EE"/>
    <w:rsid w:val="00E769FC"/>
    <w:rsid w:val="00E77484"/>
    <w:rsid w:val="00E813F6"/>
    <w:rsid w:val="00E81C18"/>
    <w:rsid w:val="00E82A1F"/>
    <w:rsid w:val="00E834EA"/>
    <w:rsid w:val="00E83A85"/>
    <w:rsid w:val="00E840C5"/>
    <w:rsid w:val="00E84812"/>
    <w:rsid w:val="00E84986"/>
    <w:rsid w:val="00E850A2"/>
    <w:rsid w:val="00E8575E"/>
    <w:rsid w:val="00E8609D"/>
    <w:rsid w:val="00E8635A"/>
    <w:rsid w:val="00E86454"/>
    <w:rsid w:val="00E87F1D"/>
    <w:rsid w:val="00E90642"/>
    <w:rsid w:val="00E914C3"/>
    <w:rsid w:val="00E91696"/>
    <w:rsid w:val="00E9172D"/>
    <w:rsid w:val="00E91919"/>
    <w:rsid w:val="00E91BCC"/>
    <w:rsid w:val="00E934E8"/>
    <w:rsid w:val="00E93AC9"/>
    <w:rsid w:val="00E93F1B"/>
    <w:rsid w:val="00E94C60"/>
    <w:rsid w:val="00E959FE"/>
    <w:rsid w:val="00E95C02"/>
    <w:rsid w:val="00E95C22"/>
    <w:rsid w:val="00E96199"/>
    <w:rsid w:val="00E96624"/>
    <w:rsid w:val="00E97700"/>
    <w:rsid w:val="00E978CE"/>
    <w:rsid w:val="00E97981"/>
    <w:rsid w:val="00EA0032"/>
    <w:rsid w:val="00EA14E7"/>
    <w:rsid w:val="00EA2CA7"/>
    <w:rsid w:val="00EA3A1D"/>
    <w:rsid w:val="00EA42F6"/>
    <w:rsid w:val="00EA432B"/>
    <w:rsid w:val="00EA4C17"/>
    <w:rsid w:val="00EA53DC"/>
    <w:rsid w:val="00EA5C05"/>
    <w:rsid w:val="00EA6164"/>
    <w:rsid w:val="00EA716E"/>
    <w:rsid w:val="00EA74CE"/>
    <w:rsid w:val="00EA7D47"/>
    <w:rsid w:val="00EB01A0"/>
    <w:rsid w:val="00EB0B2D"/>
    <w:rsid w:val="00EB116C"/>
    <w:rsid w:val="00EB158C"/>
    <w:rsid w:val="00EB1C45"/>
    <w:rsid w:val="00EB2B44"/>
    <w:rsid w:val="00EB2E76"/>
    <w:rsid w:val="00EB374E"/>
    <w:rsid w:val="00EB3A7A"/>
    <w:rsid w:val="00EB3BBC"/>
    <w:rsid w:val="00EB3CC1"/>
    <w:rsid w:val="00EB4183"/>
    <w:rsid w:val="00EB41C6"/>
    <w:rsid w:val="00EB4A24"/>
    <w:rsid w:val="00EB6498"/>
    <w:rsid w:val="00EB7D7D"/>
    <w:rsid w:val="00EC1886"/>
    <w:rsid w:val="00EC33C8"/>
    <w:rsid w:val="00EC3603"/>
    <w:rsid w:val="00EC3BAB"/>
    <w:rsid w:val="00EC3D77"/>
    <w:rsid w:val="00EC440C"/>
    <w:rsid w:val="00EC62AE"/>
    <w:rsid w:val="00EC74EC"/>
    <w:rsid w:val="00ED08C7"/>
    <w:rsid w:val="00ED17D3"/>
    <w:rsid w:val="00ED1E71"/>
    <w:rsid w:val="00ED2348"/>
    <w:rsid w:val="00ED24EC"/>
    <w:rsid w:val="00ED3439"/>
    <w:rsid w:val="00ED37D4"/>
    <w:rsid w:val="00ED384F"/>
    <w:rsid w:val="00ED3876"/>
    <w:rsid w:val="00ED3960"/>
    <w:rsid w:val="00ED4177"/>
    <w:rsid w:val="00ED4524"/>
    <w:rsid w:val="00ED51A3"/>
    <w:rsid w:val="00ED66C1"/>
    <w:rsid w:val="00ED6F92"/>
    <w:rsid w:val="00ED7328"/>
    <w:rsid w:val="00ED7500"/>
    <w:rsid w:val="00EE0007"/>
    <w:rsid w:val="00EE029D"/>
    <w:rsid w:val="00EE0CEE"/>
    <w:rsid w:val="00EE0F87"/>
    <w:rsid w:val="00EE1286"/>
    <w:rsid w:val="00EE1660"/>
    <w:rsid w:val="00EE19F3"/>
    <w:rsid w:val="00EE1B4D"/>
    <w:rsid w:val="00EE1E9D"/>
    <w:rsid w:val="00EE260F"/>
    <w:rsid w:val="00EE2621"/>
    <w:rsid w:val="00EE276E"/>
    <w:rsid w:val="00EE394A"/>
    <w:rsid w:val="00EE401D"/>
    <w:rsid w:val="00EE4735"/>
    <w:rsid w:val="00EE4760"/>
    <w:rsid w:val="00EE4B8A"/>
    <w:rsid w:val="00EE4F6B"/>
    <w:rsid w:val="00EE52BD"/>
    <w:rsid w:val="00EE538C"/>
    <w:rsid w:val="00EE5AFF"/>
    <w:rsid w:val="00EE5F55"/>
    <w:rsid w:val="00EE75B3"/>
    <w:rsid w:val="00EE787C"/>
    <w:rsid w:val="00EF1543"/>
    <w:rsid w:val="00EF18B2"/>
    <w:rsid w:val="00EF1EA1"/>
    <w:rsid w:val="00EF2551"/>
    <w:rsid w:val="00EF271A"/>
    <w:rsid w:val="00EF4B14"/>
    <w:rsid w:val="00EF5117"/>
    <w:rsid w:val="00EF5C11"/>
    <w:rsid w:val="00EF5C4B"/>
    <w:rsid w:val="00EF673F"/>
    <w:rsid w:val="00EF6A68"/>
    <w:rsid w:val="00EF78EE"/>
    <w:rsid w:val="00EF7AD2"/>
    <w:rsid w:val="00F00233"/>
    <w:rsid w:val="00F006D8"/>
    <w:rsid w:val="00F015BA"/>
    <w:rsid w:val="00F01D71"/>
    <w:rsid w:val="00F023E0"/>
    <w:rsid w:val="00F023EC"/>
    <w:rsid w:val="00F030B7"/>
    <w:rsid w:val="00F03228"/>
    <w:rsid w:val="00F0352D"/>
    <w:rsid w:val="00F039EE"/>
    <w:rsid w:val="00F03E9D"/>
    <w:rsid w:val="00F04089"/>
    <w:rsid w:val="00F04DD0"/>
    <w:rsid w:val="00F06536"/>
    <w:rsid w:val="00F0696B"/>
    <w:rsid w:val="00F06A72"/>
    <w:rsid w:val="00F06B2B"/>
    <w:rsid w:val="00F071C1"/>
    <w:rsid w:val="00F078AB"/>
    <w:rsid w:val="00F0793D"/>
    <w:rsid w:val="00F07B77"/>
    <w:rsid w:val="00F07D1F"/>
    <w:rsid w:val="00F10CAB"/>
    <w:rsid w:val="00F11705"/>
    <w:rsid w:val="00F11F18"/>
    <w:rsid w:val="00F1267D"/>
    <w:rsid w:val="00F12707"/>
    <w:rsid w:val="00F129CE"/>
    <w:rsid w:val="00F13200"/>
    <w:rsid w:val="00F15A45"/>
    <w:rsid w:val="00F16025"/>
    <w:rsid w:val="00F163D7"/>
    <w:rsid w:val="00F16EF9"/>
    <w:rsid w:val="00F178B6"/>
    <w:rsid w:val="00F17BC7"/>
    <w:rsid w:val="00F20790"/>
    <w:rsid w:val="00F2110C"/>
    <w:rsid w:val="00F2174C"/>
    <w:rsid w:val="00F21ABD"/>
    <w:rsid w:val="00F22A30"/>
    <w:rsid w:val="00F237D2"/>
    <w:rsid w:val="00F23DF3"/>
    <w:rsid w:val="00F24218"/>
    <w:rsid w:val="00F2428E"/>
    <w:rsid w:val="00F253FE"/>
    <w:rsid w:val="00F255DF"/>
    <w:rsid w:val="00F25FAC"/>
    <w:rsid w:val="00F262E0"/>
    <w:rsid w:val="00F26E84"/>
    <w:rsid w:val="00F27A78"/>
    <w:rsid w:val="00F30924"/>
    <w:rsid w:val="00F30AC6"/>
    <w:rsid w:val="00F32781"/>
    <w:rsid w:val="00F32D84"/>
    <w:rsid w:val="00F337C3"/>
    <w:rsid w:val="00F33A34"/>
    <w:rsid w:val="00F33BA6"/>
    <w:rsid w:val="00F34DB7"/>
    <w:rsid w:val="00F351AA"/>
    <w:rsid w:val="00F3575B"/>
    <w:rsid w:val="00F35BCE"/>
    <w:rsid w:val="00F371EE"/>
    <w:rsid w:val="00F41430"/>
    <w:rsid w:val="00F421F5"/>
    <w:rsid w:val="00F42C86"/>
    <w:rsid w:val="00F43976"/>
    <w:rsid w:val="00F46B45"/>
    <w:rsid w:val="00F46B71"/>
    <w:rsid w:val="00F46C97"/>
    <w:rsid w:val="00F47423"/>
    <w:rsid w:val="00F474FA"/>
    <w:rsid w:val="00F500CD"/>
    <w:rsid w:val="00F533FF"/>
    <w:rsid w:val="00F5375A"/>
    <w:rsid w:val="00F53837"/>
    <w:rsid w:val="00F53F25"/>
    <w:rsid w:val="00F56D9C"/>
    <w:rsid w:val="00F5774C"/>
    <w:rsid w:val="00F57DA7"/>
    <w:rsid w:val="00F606CD"/>
    <w:rsid w:val="00F608BE"/>
    <w:rsid w:val="00F610AF"/>
    <w:rsid w:val="00F620D5"/>
    <w:rsid w:val="00F626AE"/>
    <w:rsid w:val="00F629C6"/>
    <w:rsid w:val="00F62DAF"/>
    <w:rsid w:val="00F62F22"/>
    <w:rsid w:val="00F62F89"/>
    <w:rsid w:val="00F634AC"/>
    <w:rsid w:val="00F6412D"/>
    <w:rsid w:val="00F64170"/>
    <w:rsid w:val="00F64797"/>
    <w:rsid w:val="00F64ED0"/>
    <w:rsid w:val="00F650B2"/>
    <w:rsid w:val="00F655BC"/>
    <w:rsid w:val="00F65605"/>
    <w:rsid w:val="00F66AC4"/>
    <w:rsid w:val="00F671B1"/>
    <w:rsid w:val="00F67359"/>
    <w:rsid w:val="00F700B1"/>
    <w:rsid w:val="00F70CEA"/>
    <w:rsid w:val="00F70F7D"/>
    <w:rsid w:val="00F71446"/>
    <w:rsid w:val="00F716B5"/>
    <w:rsid w:val="00F71854"/>
    <w:rsid w:val="00F71AF6"/>
    <w:rsid w:val="00F720CE"/>
    <w:rsid w:val="00F739EF"/>
    <w:rsid w:val="00F74841"/>
    <w:rsid w:val="00F75112"/>
    <w:rsid w:val="00F76839"/>
    <w:rsid w:val="00F768CC"/>
    <w:rsid w:val="00F76946"/>
    <w:rsid w:val="00F77282"/>
    <w:rsid w:val="00F774EA"/>
    <w:rsid w:val="00F8260F"/>
    <w:rsid w:val="00F8277E"/>
    <w:rsid w:val="00F83B88"/>
    <w:rsid w:val="00F85105"/>
    <w:rsid w:val="00F851AC"/>
    <w:rsid w:val="00F868AA"/>
    <w:rsid w:val="00F86FC5"/>
    <w:rsid w:val="00F87B6B"/>
    <w:rsid w:val="00F906C5"/>
    <w:rsid w:val="00F908CE"/>
    <w:rsid w:val="00F911DE"/>
    <w:rsid w:val="00F91BFB"/>
    <w:rsid w:val="00F92D6E"/>
    <w:rsid w:val="00F9335D"/>
    <w:rsid w:val="00F93999"/>
    <w:rsid w:val="00F93A8F"/>
    <w:rsid w:val="00F93F04"/>
    <w:rsid w:val="00F941A4"/>
    <w:rsid w:val="00F94F52"/>
    <w:rsid w:val="00F95819"/>
    <w:rsid w:val="00F9590C"/>
    <w:rsid w:val="00F96722"/>
    <w:rsid w:val="00F96CCD"/>
    <w:rsid w:val="00F9704A"/>
    <w:rsid w:val="00F97615"/>
    <w:rsid w:val="00F977A0"/>
    <w:rsid w:val="00FA1710"/>
    <w:rsid w:val="00FA1D85"/>
    <w:rsid w:val="00FA3371"/>
    <w:rsid w:val="00FA3ADB"/>
    <w:rsid w:val="00FA419A"/>
    <w:rsid w:val="00FA47E8"/>
    <w:rsid w:val="00FA49AF"/>
    <w:rsid w:val="00FA4C51"/>
    <w:rsid w:val="00FA5892"/>
    <w:rsid w:val="00FA5F5E"/>
    <w:rsid w:val="00FA712D"/>
    <w:rsid w:val="00FA7237"/>
    <w:rsid w:val="00FA76B3"/>
    <w:rsid w:val="00FB1245"/>
    <w:rsid w:val="00FB1592"/>
    <w:rsid w:val="00FB17C1"/>
    <w:rsid w:val="00FB1941"/>
    <w:rsid w:val="00FB1CBF"/>
    <w:rsid w:val="00FB30A6"/>
    <w:rsid w:val="00FB5A9F"/>
    <w:rsid w:val="00FB6EBE"/>
    <w:rsid w:val="00FC0235"/>
    <w:rsid w:val="00FC0F35"/>
    <w:rsid w:val="00FC15C8"/>
    <w:rsid w:val="00FC205F"/>
    <w:rsid w:val="00FC2418"/>
    <w:rsid w:val="00FC310D"/>
    <w:rsid w:val="00FC35B7"/>
    <w:rsid w:val="00FC3E2A"/>
    <w:rsid w:val="00FC4355"/>
    <w:rsid w:val="00FC476B"/>
    <w:rsid w:val="00FC4920"/>
    <w:rsid w:val="00FC59C1"/>
    <w:rsid w:val="00FC6657"/>
    <w:rsid w:val="00FC7B02"/>
    <w:rsid w:val="00FD23BF"/>
    <w:rsid w:val="00FD272C"/>
    <w:rsid w:val="00FD2B15"/>
    <w:rsid w:val="00FD2C4F"/>
    <w:rsid w:val="00FD3C54"/>
    <w:rsid w:val="00FD3F76"/>
    <w:rsid w:val="00FD4822"/>
    <w:rsid w:val="00FD6267"/>
    <w:rsid w:val="00FD65B3"/>
    <w:rsid w:val="00FD6678"/>
    <w:rsid w:val="00FD6787"/>
    <w:rsid w:val="00FD6AAE"/>
    <w:rsid w:val="00FD7136"/>
    <w:rsid w:val="00FD7920"/>
    <w:rsid w:val="00FD7B1C"/>
    <w:rsid w:val="00FE1C03"/>
    <w:rsid w:val="00FE1D62"/>
    <w:rsid w:val="00FE1F71"/>
    <w:rsid w:val="00FE2684"/>
    <w:rsid w:val="00FE2C23"/>
    <w:rsid w:val="00FE3A52"/>
    <w:rsid w:val="00FE3C59"/>
    <w:rsid w:val="00FE408C"/>
    <w:rsid w:val="00FE435C"/>
    <w:rsid w:val="00FE46A3"/>
    <w:rsid w:val="00FE4C65"/>
    <w:rsid w:val="00FE5094"/>
    <w:rsid w:val="00FE58B2"/>
    <w:rsid w:val="00FE6003"/>
    <w:rsid w:val="00FE6625"/>
    <w:rsid w:val="00FE6E33"/>
    <w:rsid w:val="00FE71BC"/>
    <w:rsid w:val="00FE7CF9"/>
    <w:rsid w:val="00FF1B07"/>
    <w:rsid w:val="00FF1DD9"/>
    <w:rsid w:val="00FF1E07"/>
    <w:rsid w:val="00FF222E"/>
    <w:rsid w:val="00FF36FF"/>
    <w:rsid w:val="00FF3A29"/>
    <w:rsid w:val="00FF456F"/>
    <w:rsid w:val="00FF4BC7"/>
    <w:rsid w:val="00FF5EEB"/>
    <w:rsid w:val="00FF5FD1"/>
    <w:rsid w:val="00FF719C"/>
    <w:rsid w:val="00FF7771"/>
    <w:rsid w:val="00FF7F57"/>
    <w:rsid w:val="0106A3EE"/>
    <w:rsid w:val="0111CD1C"/>
    <w:rsid w:val="0111F1D2"/>
    <w:rsid w:val="01131AB7"/>
    <w:rsid w:val="011E9755"/>
    <w:rsid w:val="01342977"/>
    <w:rsid w:val="0145962A"/>
    <w:rsid w:val="0145CCEF"/>
    <w:rsid w:val="014D2BE6"/>
    <w:rsid w:val="0152EBBF"/>
    <w:rsid w:val="0158478B"/>
    <w:rsid w:val="0164ED5C"/>
    <w:rsid w:val="016715D6"/>
    <w:rsid w:val="0169230B"/>
    <w:rsid w:val="016B8449"/>
    <w:rsid w:val="017065BC"/>
    <w:rsid w:val="0171F90D"/>
    <w:rsid w:val="0173F9CB"/>
    <w:rsid w:val="017AAC90"/>
    <w:rsid w:val="0185B1BB"/>
    <w:rsid w:val="0187DB0E"/>
    <w:rsid w:val="0198787B"/>
    <w:rsid w:val="019E5224"/>
    <w:rsid w:val="01A19C30"/>
    <w:rsid w:val="01B65F16"/>
    <w:rsid w:val="01BB3AC8"/>
    <w:rsid w:val="01E78701"/>
    <w:rsid w:val="01E9F238"/>
    <w:rsid w:val="01F36F9B"/>
    <w:rsid w:val="01FDF772"/>
    <w:rsid w:val="02242C1F"/>
    <w:rsid w:val="022598CF"/>
    <w:rsid w:val="02287E77"/>
    <w:rsid w:val="024005A5"/>
    <w:rsid w:val="02524A33"/>
    <w:rsid w:val="026FB564"/>
    <w:rsid w:val="02747EC8"/>
    <w:rsid w:val="0286C1E3"/>
    <w:rsid w:val="02A225ED"/>
    <w:rsid w:val="02A5DB44"/>
    <w:rsid w:val="02AC44BE"/>
    <w:rsid w:val="02B7787A"/>
    <w:rsid w:val="02BC7F76"/>
    <w:rsid w:val="02C24620"/>
    <w:rsid w:val="02C8F344"/>
    <w:rsid w:val="02D6725A"/>
    <w:rsid w:val="02EACD8D"/>
    <w:rsid w:val="02EF19F4"/>
    <w:rsid w:val="02FE480C"/>
    <w:rsid w:val="0337667B"/>
    <w:rsid w:val="0339AA36"/>
    <w:rsid w:val="033A17B4"/>
    <w:rsid w:val="0353D267"/>
    <w:rsid w:val="0355C42A"/>
    <w:rsid w:val="03663B76"/>
    <w:rsid w:val="0366E905"/>
    <w:rsid w:val="036E0ECA"/>
    <w:rsid w:val="0388D48D"/>
    <w:rsid w:val="03AC4C68"/>
    <w:rsid w:val="03B40654"/>
    <w:rsid w:val="03C16930"/>
    <w:rsid w:val="03CB7215"/>
    <w:rsid w:val="03CD140A"/>
    <w:rsid w:val="03D46017"/>
    <w:rsid w:val="03DB555E"/>
    <w:rsid w:val="03DBE2B9"/>
    <w:rsid w:val="03DCE41A"/>
    <w:rsid w:val="03E60842"/>
    <w:rsid w:val="03E74802"/>
    <w:rsid w:val="03E9E8A6"/>
    <w:rsid w:val="03FBE7E9"/>
    <w:rsid w:val="040AAB03"/>
    <w:rsid w:val="0414EF72"/>
    <w:rsid w:val="04180B64"/>
    <w:rsid w:val="044601C3"/>
    <w:rsid w:val="044ABB79"/>
    <w:rsid w:val="04556218"/>
    <w:rsid w:val="046077C4"/>
    <w:rsid w:val="04685C49"/>
    <w:rsid w:val="046A51A3"/>
    <w:rsid w:val="048C6B86"/>
    <w:rsid w:val="04953867"/>
    <w:rsid w:val="0498887E"/>
    <w:rsid w:val="049E1588"/>
    <w:rsid w:val="04A7E951"/>
    <w:rsid w:val="04B5592C"/>
    <w:rsid w:val="04B84536"/>
    <w:rsid w:val="04CABF26"/>
    <w:rsid w:val="04CF4D05"/>
    <w:rsid w:val="04D8549D"/>
    <w:rsid w:val="04EA3D17"/>
    <w:rsid w:val="04EA8C8E"/>
    <w:rsid w:val="04F7EDEE"/>
    <w:rsid w:val="04F97353"/>
    <w:rsid w:val="04FDEB50"/>
    <w:rsid w:val="0516B089"/>
    <w:rsid w:val="05230F69"/>
    <w:rsid w:val="052315E4"/>
    <w:rsid w:val="052C2817"/>
    <w:rsid w:val="053C40F8"/>
    <w:rsid w:val="053F6216"/>
    <w:rsid w:val="0544B5ED"/>
    <w:rsid w:val="055AB4EC"/>
    <w:rsid w:val="0568C76C"/>
    <w:rsid w:val="0571EFAD"/>
    <w:rsid w:val="0578A5CD"/>
    <w:rsid w:val="057ED2E0"/>
    <w:rsid w:val="058D9009"/>
    <w:rsid w:val="059E421F"/>
    <w:rsid w:val="05A74ACA"/>
    <w:rsid w:val="05B4A769"/>
    <w:rsid w:val="05B56087"/>
    <w:rsid w:val="05CF5110"/>
    <w:rsid w:val="05E276A9"/>
    <w:rsid w:val="05EBF5A0"/>
    <w:rsid w:val="05ECAA85"/>
    <w:rsid w:val="05ED11AB"/>
    <w:rsid w:val="05F1FFF6"/>
    <w:rsid w:val="05F2271F"/>
    <w:rsid w:val="05FF92FF"/>
    <w:rsid w:val="060D10F2"/>
    <w:rsid w:val="06199A10"/>
    <w:rsid w:val="0620A5DE"/>
    <w:rsid w:val="0620E41A"/>
    <w:rsid w:val="0625A015"/>
    <w:rsid w:val="06265CE2"/>
    <w:rsid w:val="062D4995"/>
    <w:rsid w:val="0635E8CE"/>
    <w:rsid w:val="06394AC1"/>
    <w:rsid w:val="0639E5E9"/>
    <w:rsid w:val="065660DC"/>
    <w:rsid w:val="0658AF53"/>
    <w:rsid w:val="065B4C31"/>
    <w:rsid w:val="068B968A"/>
    <w:rsid w:val="068BB412"/>
    <w:rsid w:val="068F6177"/>
    <w:rsid w:val="0690C81D"/>
    <w:rsid w:val="069197FF"/>
    <w:rsid w:val="06938470"/>
    <w:rsid w:val="06952877"/>
    <w:rsid w:val="069F274B"/>
    <w:rsid w:val="06A1DCCF"/>
    <w:rsid w:val="06B7EECF"/>
    <w:rsid w:val="06BABBC7"/>
    <w:rsid w:val="06BAEE98"/>
    <w:rsid w:val="06BD8E58"/>
    <w:rsid w:val="06D27E03"/>
    <w:rsid w:val="06DF3F2E"/>
    <w:rsid w:val="06E67608"/>
    <w:rsid w:val="06EEF794"/>
    <w:rsid w:val="06F5A3FA"/>
    <w:rsid w:val="0701C741"/>
    <w:rsid w:val="070B00E0"/>
    <w:rsid w:val="0714FB4E"/>
    <w:rsid w:val="07372D74"/>
    <w:rsid w:val="073965F3"/>
    <w:rsid w:val="073B2A39"/>
    <w:rsid w:val="074862AC"/>
    <w:rsid w:val="0752101C"/>
    <w:rsid w:val="07533675"/>
    <w:rsid w:val="07595322"/>
    <w:rsid w:val="0769A337"/>
    <w:rsid w:val="076A5945"/>
    <w:rsid w:val="0776CC05"/>
    <w:rsid w:val="0786E5F0"/>
    <w:rsid w:val="078E3581"/>
    <w:rsid w:val="079C6547"/>
    <w:rsid w:val="079EF992"/>
    <w:rsid w:val="07A64543"/>
    <w:rsid w:val="07A9B3DB"/>
    <w:rsid w:val="07ADC02E"/>
    <w:rsid w:val="07AE3BCF"/>
    <w:rsid w:val="07B0C025"/>
    <w:rsid w:val="07BF352F"/>
    <w:rsid w:val="07C313A7"/>
    <w:rsid w:val="07C90367"/>
    <w:rsid w:val="07D0B30F"/>
    <w:rsid w:val="07D8B739"/>
    <w:rsid w:val="07F2CE17"/>
    <w:rsid w:val="08178F94"/>
    <w:rsid w:val="081E966F"/>
    <w:rsid w:val="082171B7"/>
    <w:rsid w:val="0827FBC5"/>
    <w:rsid w:val="083A51BC"/>
    <w:rsid w:val="0844D7AC"/>
    <w:rsid w:val="08480FC4"/>
    <w:rsid w:val="084AF2AC"/>
    <w:rsid w:val="084CFAAE"/>
    <w:rsid w:val="086F2D17"/>
    <w:rsid w:val="087EBDE4"/>
    <w:rsid w:val="08AE4C03"/>
    <w:rsid w:val="08B4EFCB"/>
    <w:rsid w:val="08BB976A"/>
    <w:rsid w:val="08CC4FA4"/>
    <w:rsid w:val="08D1FA75"/>
    <w:rsid w:val="08D93041"/>
    <w:rsid w:val="08DC87DF"/>
    <w:rsid w:val="08E76EB2"/>
    <w:rsid w:val="08F17AE1"/>
    <w:rsid w:val="08F630B0"/>
    <w:rsid w:val="09004A89"/>
    <w:rsid w:val="09025DAE"/>
    <w:rsid w:val="0903308A"/>
    <w:rsid w:val="09072539"/>
    <w:rsid w:val="09170621"/>
    <w:rsid w:val="09190AFC"/>
    <w:rsid w:val="0923858B"/>
    <w:rsid w:val="092BD48B"/>
    <w:rsid w:val="092E1775"/>
    <w:rsid w:val="092F169D"/>
    <w:rsid w:val="094A0C30"/>
    <w:rsid w:val="0969C4B5"/>
    <w:rsid w:val="0979BF27"/>
    <w:rsid w:val="098995CB"/>
    <w:rsid w:val="098D95CD"/>
    <w:rsid w:val="099CC520"/>
    <w:rsid w:val="09A76CD7"/>
    <w:rsid w:val="09AA9DED"/>
    <w:rsid w:val="09AAC3EF"/>
    <w:rsid w:val="09B14698"/>
    <w:rsid w:val="09C3DB7A"/>
    <w:rsid w:val="09C94809"/>
    <w:rsid w:val="09C96DDA"/>
    <w:rsid w:val="09ED20A1"/>
    <w:rsid w:val="09FB9560"/>
    <w:rsid w:val="0A0F0A6A"/>
    <w:rsid w:val="0A25219F"/>
    <w:rsid w:val="0A3D1943"/>
    <w:rsid w:val="0A465A97"/>
    <w:rsid w:val="0A6F269A"/>
    <w:rsid w:val="0A6F79B3"/>
    <w:rsid w:val="0A7853CA"/>
    <w:rsid w:val="0A9A11B3"/>
    <w:rsid w:val="0A9C1AEA"/>
    <w:rsid w:val="0AE8482D"/>
    <w:rsid w:val="0B051056"/>
    <w:rsid w:val="0B0CD51D"/>
    <w:rsid w:val="0B2D2B54"/>
    <w:rsid w:val="0B3D45DA"/>
    <w:rsid w:val="0B5551B8"/>
    <w:rsid w:val="0B55A484"/>
    <w:rsid w:val="0B578855"/>
    <w:rsid w:val="0B57BDFB"/>
    <w:rsid w:val="0B59D846"/>
    <w:rsid w:val="0B674CA4"/>
    <w:rsid w:val="0B695AA8"/>
    <w:rsid w:val="0B6CE613"/>
    <w:rsid w:val="0B7814E3"/>
    <w:rsid w:val="0B789BF5"/>
    <w:rsid w:val="0B882C01"/>
    <w:rsid w:val="0B8C8208"/>
    <w:rsid w:val="0B9139D5"/>
    <w:rsid w:val="0B92325E"/>
    <w:rsid w:val="0B9A4855"/>
    <w:rsid w:val="0B9E5B53"/>
    <w:rsid w:val="0BB1E608"/>
    <w:rsid w:val="0BB411B9"/>
    <w:rsid w:val="0BC1E896"/>
    <w:rsid w:val="0BC560D2"/>
    <w:rsid w:val="0BCDD621"/>
    <w:rsid w:val="0BD242FE"/>
    <w:rsid w:val="0BE877A4"/>
    <w:rsid w:val="0BEACEF6"/>
    <w:rsid w:val="0C20DD2C"/>
    <w:rsid w:val="0C25FB11"/>
    <w:rsid w:val="0C326292"/>
    <w:rsid w:val="0C376948"/>
    <w:rsid w:val="0C3CB65F"/>
    <w:rsid w:val="0C3EEECE"/>
    <w:rsid w:val="0C3FF8C5"/>
    <w:rsid w:val="0C49C550"/>
    <w:rsid w:val="0C51441B"/>
    <w:rsid w:val="0C75C9C6"/>
    <w:rsid w:val="0C8F63E8"/>
    <w:rsid w:val="0CA4F57F"/>
    <w:rsid w:val="0CB6BC94"/>
    <w:rsid w:val="0CC7789D"/>
    <w:rsid w:val="0CC8FB09"/>
    <w:rsid w:val="0CD705EA"/>
    <w:rsid w:val="0CEBE7D0"/>
    <w:rsid w:val="0CF959D9"/>
    <w:rsid w:val="0CFE8F9F"/>
    <w:rsid w:val="0D03B3DE"/>
    <w:rsid w:val="0D1CB00F"/>
    <w:rsid w:val="0D26CDF7"/>
    <w:rsid w:val="0D2C5980"/>
    <w:rsid w:val="0D332440"/>
    <w:rsid w:val="0D3893AF"/>
    <w:rsid w:val="0D3918D0"/>
    <w:rsid w:val="0D41C03D"/>
    <w:rsid w:val="0D6150B2"/>
    <w:rsid w:val="0D61BEFE"/>
    <w:rsid w:val="0D631357"/>
    <w:rsid w:val="0D91919B"/>
    <w:rsid w:val="0DADB472"/>
    <w:rsid w:val="0DB0BF14"/>
    <w:rsid w:val="0DB1222A"/>
    <w:rsid w:val="0DB32B32"/>
    <w:rsid w:val="0DB7F4C2"/>
    <w:rsid w:val="0DCF7B03"/>
    <w:rsid w:val="0DD99AC9"/>
    <w:rsid w:val="0DDA349C"/>
    <w:rsid w:val="0DE8CBB0"/>
    <w:rsid w:val="0DED147C"/>
    <w:rsid w:val="0DF2992E"/>
    <w:rsid w:val="0E0E5FF3"/>
    <w:rsid w:val="0E0FA689"/>
    <w:rsid w:val="0E1FC82C"/>
    <w:rsid w:val="0E248996"/>
    <w:rsid w:val="0E41558B"/>
    <w:rsid w:val="0E4E5054"/>
    <w:rsid w:val="0E579C01"/>
    <w:rsid w:val="0E5C30DA"/>
    <w:rsid w:val="0E5D06EE"/>
    <w:rsid w:val="0E7D05FB"/>
    <w:rsid w:val="0E852B30"/>
    <w:rsid w:val="0E87B831"/>
    <w:rsid w:val="0E8EBB02"/>
    <w:rsid w:val="0E98821C"/>
    <w:rsid w:val="0E9D65A1"/>
    <w:rsid w:val="0EA00371"/>
    <w:rsid w:val="0EA99E34"/>
    <w:rsid w:val="0EAB4DF0"/>
    <w:rsid w:val="0EAD4175"/>
    <w:rsid w:val="0EB1BF95"/>
    <w:rsid w:val="0EC297D1"/>
    <w:rsid w:val="0EC45CF3"/>
    <w:rsid w:val="0F062920"/>
    <w:rsid w:val="0F0DBE6A"/>
    <w:rsid w:val="0F10CA01"/>
    <w:rsid w:val="0F1C59A8"/>
    <w:rsid w:val="0F1E7567"/>
    <w:rsid w:val="0F2269EE"/>
    <w:rsid w:val="0F36E435"/>
    <w:rsid w:val="0F3BDD18"/>
    <w:rsid w:val="0F3C902C"/>
    <w:rsid w:val="0F4FC0DD"/>
    <w:rsid w:val="0F52EA6F"/>
    <w:rsid w:val="0F5C42CD"/>
    <w:rsid w:val="0F5FAEEF"/>
    <w:rsid w:val="0F6A7995"/>
    <w:rsid w:val="0F8F0521"/>
    <w:rsid w:val="0FA96E9F"/>
    <w:rsid w:val="0FB416CB"/>
    <w:rsid w:val="0FCA2ED8"/>
    <w:rsid w:val="0FDC9641"/>
    <w:rsid w:val="0FDD91F5"/>
    <w:rsid w:val="0FE0B9DF"/>
    <w:rsid w:val="0FE2BC64"/>
    <w:rsid w:val="0FE3AEF4"/>
    <w:rsid w:val="0FE63D9E"/>
    <w:rsid w:val="0FFF41E4"/>
    <w:rsid w:val="100F0F6C"/>
    <w:rsid w:val="10177A39"/>
    <w:rsid w:val="101E8206"/>
    <w:rsid w:val="10238892"/>
    <w:rsid w:val="10255384"/>
    <w:rsid w:val="10268A84"/>
    <w:rsid w:val="102DF0C0"/>
    <w:rsid w:val="10307D25"/>
    <w:rsid w:val="10337865"/>
    <w:rsid w:val="1043041E"/>
    <w:rsid w:val="1053DBAF"/>
    <w:rsid w:val="105792A0"/>
    <w:rsid w:val="1068325D"/>
    <w:rsid w:val="10727085"/>
    <w:rsid w:val="1076AC0A"/>
    <w:rsid w:val="1082F05E"/>
    <w:rsid w:val="108C43DA"/>
    <w:rsid w:val="10A8389D"/>
    <w:rsid w:val="10B3753F"/>
    <w:rsid w:val="10C43F31"/>
    <w:rsid w:val="10DC48B1"/>
    <w:rsid w:val="10DE681E"/>
    <w:rsid w:val="10F4D3BA"/>
    <w:rsid w:val="10FBC15E"/>
    <w:rsid w:val="110020CC"/>
    <w:rsid w:val="1101AE53"/>
    <w:rsid w:val="1122A777"/>
    <w:rsid w:val="112671DF"/>
    <w:rsid w:val="112677F6"/>
    <w:rsid w:val="11295BF3"/>
    <w:rsid w:val="113E4BF5"/>
    <w:rsid w:val="1150DC60"/>
    <w:rsid w:val="11530FDD"/>
    <w:rsid w:val="116BCF94"/>
    <w:rsid w:val="11728C13"/>
    <w:rsid w:val="1197FA0F"/>
    <w:rsid w:val="11BE9614"/>
    <w:rsid w:val="11C25AE5"/>
    <w:rsid w:val="11C6C166"/>
    <w:rsid w:val="11CC10A7"/>
    <w:rsid w:val="11CFFB27"/>
    <w:rsid w:val="11E512BB"/>
    <w:rsid w:val="11F82280"/>
    <w:rsid w:val="11FA354B"/>
    <w:rsid w:val="11FA6928"/>
    <w:rsid w:val="120D7141"/>
    <w:rsid w:val="1236DBA5"/>
    <w:rsid w:val="1243132A"/>
    <w:rsid w:val="12497A67"/>
    <w:rsid w:val="125F57B8"/>
    <w:rsid w:val="126CC270"/>
    <w:rsid w:val="127A4C79"/>
    <w:rsid w:val="12927994"/>
    <w:rsid w:val="12952CC7"/>
    <w:rsid w:val="12A043D6"/>
    <w:rsid w:val="12AD2E1C"/>
    <w:rsid w:val="12B33A0B"/>
    <w:rsid w:val="12B5CC49"/>
    <w:rsid w:val="12C5067E"/>
    <w:rsid w:val="12DF4FC3"/>
    <w:rsid w:val="12EE1BE5"/>
    <w:rsid w:val="12FF4094"/>
    <w:rsid w:val="130DB3D4"/>
    <w:rsid w:val="1317A9A9"/>
    <w:rsid w:val="132189BA"/>
    <w:rsid w:val="133A0A44"/>
    <w:rsid w:val="13459191"/>
    <w:rsid w:val="135CF863"/>
    <w:rsid w:val="137C6757"/>
    <w:rsid w:val="13870161"/>
    <w:rsid w:val="1387FDA7"/>
    <w:rsid w:val="13996A5C"/>
    <w:rsid w:val="13A6E0DB"/>
    <w:rsid w:val="13A925DA"/>
    <w:rsid w:val="13B4181F"/>
    <w:rsid w:val="13C1537A"/>
    <w:rsid w:val="13D2AC06"/>
    <w:rsid w:val="13D40C2F"/>
    <w:rsid w:val="13D94D9A"/>
    <w:rsid w:val="13DD5DB6"/>
    <w:rsid w:val="13EF357C"/>
    <w:rsid w:val="13F54B0B"/>
    <w:rsid w:val="1401A56B"/>
    <w:rsid w:val="1407CDA2"/>
    <w:rsid w:val="140CB272"/>
    <w:rsid w:val="1413DF45"/>
    <w:rsid w:val="1415AED1"/>
    <w:rsid w:val="14184AFA"/>
    <w:rsid w:val="141CD5A5"/>
    <w:rsid w:val="1422D110"/>
    <w:rsid w:val="142AF500"/>
    <w:rsid w:val="142B2836"/>
    <w:rsid w:val="14328CC2"/>
    <w:rsid w:val="143E2A51"/>
    <w:rsid w:val="1459E4D9"/>
    <w:rsid w:val="145C5600"/>
    <w:rsid w:val="14627644"/>
    <w:rsid w:val="146531B1"/>
    <w:rsid w:val="14695E11"/>
    <w:rsid w:val="14793D98"/>
    <w:rsid w:val="147C30D9"/>
    <w:rsid w:val="14832861"/>
    <w:rsid w:val="148B8E28"/>
    <w:rsid w:val="149A3B64"/>
    <w:rsid w:val="14B83324"/>
    <w:rsid w:val="14CF408B"/>
    <w:rsid w:val="14DCE52C"/>
    <w:rsid w:val="14E4E47B"/>
    <w:rsid w:val="14E787FB"/>
    <w:rsid w:val="150BBB4E"/>
    <w:rsid w:val="150DD32A"/>
    <w:rsid w:val="150EC81E"/>
    <w:rsid w:val="150FF52A"/>
    <w:rsid w:val="1511F121"/>
    <w:rsid w:val="1523EB0C"/>
    <w:rsid w:val="1525E1B9"/>
    <w:rsid w:val="15280C37"/>
    <w:rsid w:val="1528F459"/>
    <w:rsid w:val="152DB617"/>
    <w:rsid w:val="15313E95"/>
    <w:rsid w:val="15347F31"/>
    <w:rsid w:val="153B79D9"/>
    <w:rsid w:val="154F6126"/>
    <w:rsid w:val="154FD071"/>
    <w:rsid w:val="1574331E"/>
    <w:rsid w:val="157D0464"/>
    <w:rsid w:val="1590EDB5"/>
    <w:rsid w:val="159782EF"/>
    <w:rsid w:val="15A56017"/>
    <w:rsid w:val="15B03A30"/>
    <w:rsid w:val="15BC340F"/>
    <w:rsid w:val="15C1CBC4"/>
    <w:rsid w:val="15C218C6"/>
    <w:rsid w:val="15C51115"/>
    <w:rsid w:val="15ECA0BD"/>
    <w:rsid w:val="15F463E8"/>
    <w:rsid w:val="160CF896"/>
    <w:rsid w:val="161A6DFA"/>
    <w:rsid w:val="1646F5BE"/>
    <w:rsid w:val="16493F5A"/>
    <w:rsid w:val="164D6DBA"/>
    <w:rsid w:val="165B98C1"/>
    <w:rsid w:val="165EAA90"/>
    <w:rsid w:val="1667CC15"/>
    <w:rsid w:val="166C62AC"/>
    <w:rsid w:val="166D5FC6"/>
    <w:rsid w:val="167ADB3D"/>
    <w:rsid w:val="169C0F9D"/>
    <w:rsid w:val="16AC468A"/>
    <w:rsid w:val="16ACDB1F"/>
    <w:rsid w:val="16B9A9F5"/>
    <w:rsid w:val="16BE857A"/>
    <w:rsid w:val="16C34AEB"/>
    <w:rsid w:val="16D5875F"/>
    <w:rsid w:val="16D5F9D7"/>
    <w:rsid w:val="16DB9FA8"/>
    <w:rsid w:val="16E0904E"/>
    <w:rsid w:val="16E65852"/>
    <w:rsid w:val="16E85190"/>
    <w:rsid w:val="16FC8E85"/>
    <w:rsid w:val="17017A9D"/>
    <w:rsid w:val="1727AD99"/>
    <w:rsid w:val="17381437"/>
    <w:rsid w:val="174096D4"/>
    <w:rsid w:val="1742DAC3"/>
    <w:rsid w:val="174B1D35"/>
    <w:rsid w:val="1750F2E5"/>
    <w:rsid w:val="1761EE4E"/>
    <w:rsid w:val="17645B96"/>
    <w:rsid w:val="17723E9C"/>
    <w:rsid w:val="177BDE1D"/>
    <w:rsid w:val="1796DE0D"/>
    <w:rsid w:val="17997304"/>
    <w:rsid w:val="17A0B0F9"/>
    <w:rsid w:val="17A1C4D6"/>
    <w:rsid w:val="17BE16BF"/>
    <w:rsid w:val="17BF86DC"/>
    <w:rsid w:val="17CEA066"/>
    <w:rsid w:val="17DD7396"/>
    <w:rsid w:val="17E0AFBB"/>
    <w:rsid w:val="17EBDA14"/>
    <w:rsid w:val="17ECB72F"/>
    <w:rsid w:val="17EF869B"/>
    <w:rsid w:val="17F29AE3"/>
    <w:rsid w:val="18043528"/>
    <w:rsid w:val="180CD91A"/>
    <w:rsid w:val="182624BC"/>
    <w:rsid w:val="1829E442"/>
    <w:rsid w:val="183175DE"/>
    <w:rsid w:val="1836B800"/>
    <w:rsid w:val="183F3931"/>
    <w:rsid w:val="183F7550"/>
    <w:rsid w:val="184268B4"/>
    <w:rsid w:val="184705AC"/>
    <w:rsid w:val="18498943"/>
    <w:rsid w:val="185B2901"/>
    <w:rsid w:val="1862BA70"/>
    <w:rsid w:val="1866F763"/>
    <w:rsid w:val="188C737F"/>
    <w:rsid w:val="18948370"/>
    <w:rsid w:val="1897CDEC"/>
    <w:rsid w:val="189D347F"/>
    <w:rsid w:val="18B65D47"/>
    <w:rsid w:val="18B71EC2"/>
    <w:rsid w:val="18C91F1A"/>
    <w:rsid w:val="18E45860"/>
    <w:rsid w:val="18E60E95"/>
    <w:rsid w:val="18FB89BB"/>
    <w:rsid w:val="19007411"/>
    <w:rsid w:val="19105109"/>
    <w:rsid w:val="191146F3"/>
    <w:rsid w:val="19129F79"/>
    <w:rsid w:val="19230603"/>
    <w:rsid w:val="192AB3F1"/>
    <w:rsid w:val="192E217F"/>
    <w:rsid w:val="1938050E"/>
    <w:rsid w:val="1946EAD1"/>
    <w:rsid w:val="1957C98D"/>
    <w:rsid w:val="19627C20"/>
    <w:rsid w:val="1983F1AB"/>
    <w:rsid w:val="19860946"/>
    <w:rsid w:val="198D86BC"/>
    <w:rsid w:val="1991438D"/>
    <w:rsid w:val="1997AD6C"/>
    <w:rsid w:val="199A2F07"/>
    <w:rsid w:val="19A3D3DF"/>
    <w:rsid w:val="19A8F7A0"/>
    <w:rsid w:val="19AC05A3"/>
    <w:rsid w:val="19AE52E4"/>
    <w:rsid w:val="19C877B0"/>
    <w:rsid w:val="19D5A549"/>
    <w:rsid w:val="19DC45BC"/>
    <w:rsid w:val="19E0EABB"/>
    <w:rsid w:val="19E58BE3"/>
    <w:rsid w:val="19EE2F73"/>
    <w:rsid w:val="1A19E43E"/>
    <w:rsid w:val="1A2AFB73"/>
    <w:rsid w:val="1A4F254B"/>
    <w:rsid w:val="1A57B26E"/>
    <w:rsid w:val="1A796B1A"/>
    <w:rsid w:val="1A937C88"/>
    <w:rsid w:val="1A9769A0"/>
    <w:rsid w:val="1A977C8A"/>
    <w:rsid w:val="1A9D9CE8"/>
    <w:rsid w:val="1AC0407B"/>
    <w:rsid w:val="1AC6D7D9"/>
    <w:rsid w:val="1ACE9B08"/>
    <w:rsid w:val="1ACF22CD"/>
    <w:rsid w:val="1ADB4F21"/>
    <w:rsid w:val="1AED7B38"/>
    <w:rsid w:val="1AF7F909"/>
    <w:rsid w:val="1AFE5DDC"/>
    <w:rsid w:val="1B009207"/>
    <w:rsid w:val="1B095D31"/>
    <w:rsid w:val="1B1E6874"/>
    <w:rsid w:val="1B241069"/>
    <w:rsid w:val="1B3B86A5"/>
    <w:rsid w:val="1B3EFE9F"/>
    <w:rsid w:val="1B4260A6"/>
    <w:rsid w:val="1B43F546"/>
    <w:rsid w:val="1B4C42A4"/>
    <w:rsid w:val="1B67D74D"/>
    <w:rsid w:val="1B6F8ABE"/>
    <w:rsid w:val="1B80643F"/>
    <w:rsid w:val="1B839B4D"/>
    <w:rsid w:val="1B89ABAC"/>
    <w:rsid w:val="1B92A607"/>
    <w:rsid w:val="1B9E9825"/>
    <w:rsid w:val="1BAABB5D"/>
    <w:rsid w:val="1BB60D7A"/>
    <w:rsid w:val="1BBC724D"/>
    <w:rsid w:val="1BBCABE7"/>
    <w:rsid w:val="1BD11F9D"/>
    <w:rsid w:val="1BD18A93"/>
    <w:rsid w:val="1BE113DB"/>
    <w:rsid w:val="1BEED84C"/>
    <w:rsid w:val="1BEFCE8A"/>
    <w:rsid w:val="1BF17197"/>
    <w:rsid w:val="1C01D25A"/>
    <w:rsid w:val="1C01EAD7"/>
    <w:rsid w:val="1C1DDBE4"/>
    <w:rsid w:val="1C1E6F19"/>
    <w:rsid w:val="1C2F0165"/>
    <w:rsid w:val="1C31E87C"/>
    <w:rsid w:val="1C54F7A0"/>
    <w:rsid w:val="1C5EEC32"/>
    <w:rsid w:val="1C6B747B"/>
    <w:rsid w:val="1C8675C3"/>
    <w:rsid w:val="1C9571FC"/>
    <w:rsid w:val="1CAE96D9"/>
    <w:rsid w:val="1CBE5A20"/>
    <w:rsid w:val="1CE8F185"/>
    <w:rsid w:val="1CED01C0"/>
    <w:rsid w:val="1D001872"/>
    <w:rsid w:val="1D2ED179"/>
    <w:rsid w:val="1D4137A5"/>
    <w:rsid w:val="1D420DB2"/>
    <w:rsid w:val="1D4562D9"/>
    <w:rsid w:val="1D57948B"/>
    <w:rsid w:val="1D85BACA"/>
    <w:rsid w:val="1D8B2A65"/>
    <w:rsid w:val="1D8C1820"/>
    <w:rsid w:val="1D9DBB38"/>
    <w:rsid w:val="1DB6FA9D"/>
    <w:rsid w:val="1DBAC434"/>
    <w:rsid w:val="1DC741A5"/>
    <w:rsid w:val="1DC8DA07"/>
    <w:rsid w:val="1DCFF95E"/>
    <w:rsid w:val="1DD56DED"/>
    <w:rsid w:val="1DDC3761"/>
    <w:rsid w:val="1DE71664"/>
    <w:rsid w:val="1DF2A462"/>
    <w:rsid w:val="1DFA2AE0"/>
    <w:rsid w:val="1DFB3AB2"/>
    <w:rsid w:val="1DFDA8C7"/>
    <w:rsid w:val="1E0D9CF6"/>
    <w:rsid w:val="1E13D579"/>
    <w:rsid w:val="1E1A5E35"/>
    <w:rsid w:val="1E1ADB94"/>
    <w:rsid w:val="1E2BC70E"/>
    <w:rsid w:val="1E2F0AA7"/>
    <w:rsid w:val="1E2F678A"/>
    <w:rsid w:val="1E332743"/>
    <w:rsid w:val="1E3734B1"/>
    <w:rsid w:val="1E3E035D"/>
    <w:rsid w:val="1E48F557"/>
    <w:rsid w:val="1E527D5E"/>
    <w:rsid w:val="1E5BE675"/>
    <w:rsid w:val="1E5D2EA1"/>
    <w:rsid w:val="1E8BAA77"/>
    <w:rsid w:val="1E8E4740"/>
    <w:rsid w:val="1E9AAAA5"/>
    <w:rsid w:val="1E9D15EE"/>
    <w:rsid w:val="1EAAF25E"/>
    <w:rsid w:val="1EAEED79"/>
    <w:rsid w:val="1EBC44B9"/>
    <w:rsid w:val="1EE041C7"/>
    <w:rsid w:val="1EE5BE5F"/>
    <w:rsid w:val="1EF7CC7F"/>
    <w:rsid w:val="1EFF22E5"/>
    <w:rsid w:val="1F00E14E"/>
    <w:rsid w:val="1F0BD4CD"/>
    <w:rsid w:val="1F0D03BD"/>
    <w:rsid w:val="1F0ED387"/>
    <w:rsid w:val="1F170502"/>
    <w:rsid w:val="1F323EA9"/>
    <w:rsid w:val="1F38DDDF"/>
    <w:rsid w:val="1F4746E4"/>
    <w:rsid w:val="1F5378DB"/>
    <w:rsid w:val="1F629CE9"/>
    <w:rsid w:val="1F6B801D"/>
    <w:rsid w:val="1F882964"/>
    <w:rsid w:val="1F92458E"/>
    <w:rsid w:val="1F930E88"/>
    <w:rsid w:val="1F982AB3"/>
    <w:rsid w:val="1FCA7881"/>
    <w:rsid w:val="1FCCD17E"/>
    <w:rsid w:val="1FD7799D"/>
    <w:rsid w:val="1FDBFD7F"/>
    <w:rsid w:val="1FE8932C"/>
    <w:rsid w:val="1FF7C914"/>
    <w:rsid w:val="1FF89255"/>
    <w:rsid w:val="1FF93809"/>
    <w:rsid w:val="1FFE5A02"/>
    <w:rsid w:val="2010272E"/>
    <w:rsid w:val="2020C24D"/>
    <w:rsid w:val="20237B8A"/>
    <w:rsid w:val="2025E1C7"/>
    <w:rsid w:val="2035A9DB"/>
    <w:rsid w:val="204F4670"/>
    <w:rsid w:val="205572BE"/>
    <w:rsid w:val="206B6E75"/>
    <w:rsid w:val="2072ECF7"/>
    <w:rsid w:val="20749FEB"/>
    <w:rsid w:val="2074FF50"/>
    <w:rsid w:val="20821DF7"/>
    <w:rsid w:val="208B582C"/>
    <w:rsid w:val="208E5C6A"/>
    <w:rsid w:val="209429D2"/>
    <w:rsid w:val="2094C602"/>
    <w:rsid w:val="209D2520"/>
    <w:rsid w:val="209EB4C6"/>
    <w:rsid w:val="20A03686"/>
    <w:rsid w:val="20C8A1FD"/>
    <w:rsid w:val="20CAEBA5"/>
    <w:rsid w:val="20CFE579"/>
    <w:rsid w:val="20EDBC46"/>
    <w:rsid w:val="20F262E3"/>
    <w:rsid w:val="20F512A4"/>
    <w:rsid w:val="20F5FB72"/>
    <w:rsid w:val="2102FC75"/>
    <w:rsid w:val="210769C4"/>
    <w:rsid w:val="2110F24E"/>
    <w:rsid w:val="2123F9C5"/>
    <w:rsid w:val="21453B5D"/>
    <w:rsid w:val="2157348E"/>
    <w:rsid w:val="2161795D"/>
    <w:rsid w:val="2164077E"/>
    <w:rsid w:val="216AACC2"/>
    <w:rsid w:val="216D3BF1"/>
    <w:rsid w:val="2176E9A4"/>
    <w:rsid w:val="218FCE5C"/>
    <w:rsid w:val="21AA10E1"/>
    <w:rsid w:val="21B21B55"/>
    <w:rsid w:val="21BE0019"/>
    <w:rsid w:val="21BF8DE2"/>
    <w:rsid w:val="21C3BCD3"/>
    <w:rsid w:val="21D8D70E"/>
    <w:rsid w:val="21ED0546"/>
    <w:rsid w:val="21EFA9E0"/>
    <w:rsid w:val="21F4AEED"/>
    <w:rsid w:val="21FACB47"/>
    <w:rsid w:val="21FF4552"/>
    <w:rsid w:val="220D0A93"/>
    <w:rsid w:val="220E8C4B"/>
    <w:rsid w:val="220EA584"/>
    <w:rsid w:val="2225D627"/>
    <w:rsid w:val="224C5F34"/>
    <w:rsid w:val="226211FB"/>
    <w:rsid w:val="226EC9AB"/>
    <w:rsid w:val="2272FC6C"/>
    <w:rsid w:val="228FDDA5"/>
    <w:rsid w:val="2293CD23"/>
    <w:rsid w:val="22977E00"/>
    <w:rsid w:val="229C6751"/>
    <w:rsid w:val="229CC603"/>
    <w:rsid w:val="229D45BE"/>
    <w:rsid w:val="229E9BCE"/>
    <w:rsid w:val="22A5651D"/>
    <w:rsid w:val="22A7711B"/>
    <w:rsid w:val="22B13347"/>
    <w:rsid w:val="22B1F4DF"/>
    <w:rsid w:val="22B53560"/>
    <w:rsid w:val="22B8ECCF"/>
    <w:rsid w:val="22B90046"/>
    <w:rsid w:val="22C3550A"/>
    <w:rsid w:val="22DDF299"/>
    <w:rsid w:val="22EE1D10"/>
    <w:rsid w:val="22FC50DC"/>
    <w:rsid w:val="23058F0B"/>
    <w:rsid w:val="2306CDBD"/>
    <w:rsid w:val="23341AB6"/>
    <w:rsid w:val="23460F87"/>
    <w:rsid w:val="2346D09B"/>
    <w:rsid w:val="234DD543"/>
    <w:rsid w:val="23583715"/>
    <w:rsid w:val="236F8CA2"/>
    <w:rsid w:val="237551AD"/>
    <w:rsid w:val="2376DF79"/>
    <w:rsid w:val="237EF1F8"/>
    <w:rsid w:val="238E3491"/>
    <w:rsid w:val="23934BAD"/>
    <w:rsid w:val="23940CCF"/>
    <w:rsid w:val="239EB244"/>
    <w:rsid w:val="23AE6399"/>
    <w:rsid w:val="23B4D490"/>
    <w:rsid w:val="23BE4C0A"/>
    <w:rsid w:val="23DA4347"/>
    <w:rsid w:val="23E84EB4"/>
    <w:rsid w:val="240F664B"/>
    <w:rsid w:val="241E9634"/>
    <w:rsid w:val="24213671"/>
    <w:rsid w:val="24218D1D"/>
    <w:rsid w:val="2427A106"/>
    <w:rsid w:val="24418631"/>
    <w:rsid w:val="2447EDD9"/>
    <w:rsid w:val="2465B5D1"/>
    <w:rsid w:val="2480A39B"/>
    <w:rsid w:val="24824862"/>
    <w:rsid w:val="2485DF7D"/>
    <w:rsid w:val="2488A9E5"/>
    <w:rsid w:val="2488D019"/>
    <w:rsid w:val="248B399B"/>
    <w:rsid w:val="248E2F34"/>
    <w:rsid w:val="2499A847"/>
    <w:rsid w:val="24A481DC"/>
    <w:rsid w:val="24AB0099"/>
    <w:rsid w:val="24F65CA4"/>
    <w:rsid w:val="2500B1D7"/>
    <w:rsid w:val="250462C3"/>
    <w:rsid w:val="2506C740"/>
    <w:rsid w:val="250C8D82"/>
    <w:rsid w:val="252E4A11"/>
    <w:rsid w:val="25328704"/>
    <w:rsid w:val="253BF534"/>
    <w:rsid w:val="2541B2C6"/>
    <w:rsid w:val="25461900"/>
    <w:rsid w:val="2548DED5"/>
    <w:rsid w:val="254AFBC9"/>
    <w:rsid w:val="2556D7C9"/>
    <w:rsid w:val="25589C65"/>
    <w:rsid w:val="2561AA18"/>
    <w:rsid w:val="2566EE50"/>
    <w:rsid w:val="2569C302"/>
    <w:rsid w:val="256B38D2"/>
    <w:rsid w:val="25803000"/>
    <w:rsid w:val="258AF763"/>
    <w:rsid w:val="258F1CE1"/>
    <w:rsid w:val="259844CF"/>
    <w:rsid w:val="25BCD4FC"/>
    <w:rsid w:val="25CE593C"/>
    <w:rsid w:val="25E6EAAB"/>
    <w:rsid w:val="25E7EA90"/>
    <w:rsid w:val="25EB134D"/>
    <w:rsid w:val="25FA5F45"/>
    <w:rsid w:val="25FFDC9D"/>
    <w:rsid w:val="261C73FC"/>
    <w:rsid w:val="261D9514"/>
    <w:rsid w:val="26292C2E"/>
    <w:rsid w:val="2634E740"/>
    <w:rsid w:val="263BE7BB"/>
    <w:rsid w:val="2649766B"/>
    <w:rsid w:val="264E4F4B"/>
    <w:rsid w:val="26692E8A"/>
    <w:rsid w:val="266C19FD"/>
    <w:rsid w:val="2684EA0D"/>
    <w:rsid w:val="26856FFA"/>
    <w:rsid w:val="2688582E"/>
    <w:rsid w:val="26945AAD"/>
    <w:rsid w:val="2697333B"/>
    <w:rsid w:val="269B806C"/>
    <w:rsid w:val="26A1D475"/>
    <w:rsid w:val="26EBC18D"/>
    <w:rsid w:val="26F1372D"/>
    <w:rsid w:val="26F55B8A"/>
    <w:rsid w:val="2700B2B7"/>
    <w:rsid w:val="2707431F"/>
    <w:rsid w:val="27147AB6"/>
    <w:rsid w:val="27198197"/>
    <w:rsid w:val="2722BCA2"/>
    <w:rsid w:val="27287C38"/>
    <w:rsid w:val="273472AC"/>
    <w:rsid w:val="2754AC35"/>
    <w:rsid w:val="2754DE0E"/>
    <w:rsid w:val="276A53FF"/>
    <w:rsid w:val="276C71CB"/>
    <w:rsid w:val="276D981C"/>
    <w:rsid w:val="2770D0E9"/>
    <w:rsid w:val="27795370"/>
    <w:rsid w:val="277A12EC"/>
    <w:rsid w:val="277C0E27"/>
    <w:rsid w:val="2780F523"/>
    <w:rsid w:val="2782344A"/>
    <w:rsid w:val="27984758"/>
    <w:rsid w:val="279BFEEE"/>
    <w:rsid w:val="279D3359"/>
    <w:rsid w:val="27AA6AFF"/>
    <w:rsid w:val="27B05DF4"/>
    <w:rsid w:val="27C6967D"/>
    <w:rsid w:val="27C705E0"/>
    <w:rsid w:val="27D7C2E4"/>
    <w:rsid w:val="27ED178C"/>
    <w:rsid w:val="27ED2B8B"/>
    <w:rsid w:val="27F2B101"/>
    <w:rsid w:val="27FF7572"/>
    <w:rsid w:val="2806329A"/>
    <w:rsid w:val="2807EA5E"/>
    <w:rsid w:val="280CC9ED"/>
    <w:rsid w:val="2811740C"/>
    <w:rsid w:val="2811E863"/>
    <w:rsid w:val="281A69E4"/>
    <w:rsid w:val="281B44B4"/>
    <w:rsid w:val="28247D74"/>
    <w:rsid w:val="2829EA09"/>
    <w:rsid w:val="2840957B"/>
    <w:rsid w:val="284831D0"/>
    <w:rsid w:val="2851F29B"/>
    <w:rsid w:val="285EA40B"/>
    <w:rsid w:val="2876EB52"/>
    <w:rsid w:val="287A9FE6"/>
    <w:rsid w:val="28873759"/>
    <w:rsid w:val="2888FB50"/>
    <w:rsid w:val="288F00D5"/>
    <w:rsid w:val="289D3F75"/>
    <w:rsid w:val="28A3F05B"/>
    <w:rsid w:val="28A5222C"/>
    <w:rsid w:val="28ABCF6A"/>
    <w:rsid w:val="28B0B7BE"/>
    <w:rsid w:val="28BA2723"/>
    <w:rsid w:val="28BF2354"/>
    <w:rsid w:val="28C160DD"/>
    <w:rsid w:val="28C84CAE"/>
    <w:rsid w:val="28CC37C8"/>
    <w:rsid w:val="28F07C96"/>
    <w:rsid w:val="28F20757"/>
    <w:rsid w:val="2912C0A5"/>
    <w:rsid w:val="29232513"/>
    <w:rsid w:val="2926343D"/>
    <w:rsid w:val="29314731"/>
    <w:rsid w:val="29611594"/>
    <w:rsid w:val="296BE903"/>
    <w:rsid w:val="29805078"/>
    <w:rsid w:val="29894484"/>
    <w:rsid w:val="298DE736"/>
    <w:rsid w:val="29CD0D95"/>
    <w:rsid w:val="29E36BB4"/>
    <w:rsid w:val="29EA8B15"/>
    <w:rsid w:val="2A0A27FD"/>
    <w:rsid w:val="2A0AC79B"/>
    <w:rsid w:val="2A1C82F6"/>
    <w:rsid w:val="2A251D11"/>
    <w:rsid w:val="2A284918"/>
    <w:rsid w:val="2A2A33CD"/>
    <w:rsid w:val="2A2BAEB1"/>
    <w:rsid w:val="2A402FE4"/>
    <w:rsid w:val="2A444C8C"/>
    <w:rsid w:val="2A4A15A8"/>
    <w:rsid w:val="2A62E8A8"/>
    <w:rsid w:val="2A8BCD6C"/>
    <w:rsid w:val="2A93133E"/>
    <w:rsid w:val="2A962FD4"/>
    <w:rsid w:val="2AA3D96B"/>
    <w:rsid w:val="2AA59DCE"/>
    <w:rsid w:val="2AD71B8D"/>
    <w:rsid w:val="2ADCC3C1"/>
    <w:rsid w:val="2AE1B8C0"/>
    <w:rsid w:val="2AF4A7A5"/>
    <w:rsid w:val="2AF791FC"/>
    <w:rsid w:val="2AFAEFA6"/>
    <w:rsid w:val="2AFEDB5C"/>
    <w:rsid w:val="2B016DBF"/>
    <w:rsid w:val="2B03AA6F"/>
    <w:rsid w:val="2B06055E"/>
    <w:rsid w:val="2B06E0BF"/>
    <w:rsid w:val="2B0F5051"/>
    <w:rsid w:val="2B11E129"/>
    <w:rsid w:val="2B138657"/>
    <w:rsid w:val="2B141DF5"/>
    <w:rsid w:val="2B179114"/>
    <w:rsid w:val="2B1FCEF3"/>
    <w:rsid w:val="2B34CE36"/>
    <w:rsid w:val="2B45C447"/>
    <w:rsid w:val="2B4EC02D"/>
    <w:rsid w:val="2B537D04"/>
    <w:rsid w:val="2B6238D4"/>
    <w:rsid w:val="2B68CE09"/>
    <w:rsid w:val="2B716AA8"/>
    <w:rsid w:val="2B7FB972"/>
    <w:rsid w:val="2B858A06"/>
    <w:rsid w:val="2B8B88A6"/>
    <w:rsid w:val="2B9DD902"/>
    <w:rsid w:val="2BAC0DA2"/>
    <w:rsid w:val="2BB4C30C"/>
    <w:rsid w:val="2BB6CCD1"/>
    <w:rsid w:val="2BB9D3E1"/>
    <w:rsid w:val="2BC27628"/>
    <w:rsid w:val="2BC77F12"/>
    <w:rsid w:val="2BCB0955"/>
    <w:rsid w:val="2BD2408C"/>
    <w:rsid w:val="2BD38871"/>
    <w:rsid w:val="2BEC77CA"/>
    <w:rsid w:val="2BFF30A8"/>
    <w:rsid w:val="2C02D371"/>
    <w:rsid w:val="2C143936"/>
    <w:rsid w:val="2C168566"/>
    <w:rsid w:val="2C279DCD"/>
    <w:rsid w:val="2C55323B"/>
    <w:rsid w:val="2C582202"/>
    <w:rsid w:val="2C5A9591"/>
    <w:rsid w:val="2C5D1A4D"/>
    <w:rsid w:val="2C5F2F68"/>
    <w:rsid w:val="2C68A3E4"/>
    <w:rsid w:val="2C68CA33"/>
    <w:rsid w:val="2C6EC802"/>
    <w:rsid w:val="2C898BD9"/>
    <w:rsid w:val="2C993A3B"/>
    <w:rsid w:val="2CB88D2A"/>
    <w:rsid w:val="2CBF8CBA"/>
    <w:rsid w:val="2CC24F71"/>
    <w:rsid w:val="2CDF5443"/>
    <w:rsid w:val="2CE193A6"/>
    <w:rsid w:val="2CF21E66"/>
    <w:rsid w:val="2CFCBFC5"/>
    <w:rsid w:val="2CFCD9F6"/>
    <w:rsid w:val="2D02235B"/>
    <w:rsid w:val="2D0439BA"/>
    <w:rsid w:val="2D04678C"/>
    <w:rsid w:val="2D0D3B09"/>
    <w:rsid w:val="2D103A14"/>
    <w:rsid w:val="2D176FE8"/>
    <w:rsid w:val="2D1AE562"/>
    <w:rsid w:val="2D1F3FCD"/>
    <w:rsid w:val="2D28DA90"/>
    <w:rsid w:val="2D54732F"/>
    <w:rsid w:val="2D595D85"/>
    <w:rsid w:val="2D5BED74"/>
    <w:rsid w:val="2D634F73"/>
    <w:rsid w:val="2D66C100"/>
    <w:rsid w:val="2D76DD0A"/>
    <w:rsid w:val="2D7C3029"/>
    <w:rsid w:val="2D7ED3EC"/>
    <w:rsid w:val="2D8033E9"/>
    <w:rsid w:val="2D8375AB"/>
    <w:rsid w:val="2D850AE1"/>
    <w:rsid w:val="2D91D908"/>
    <w:rsid w:val="2D9E1279"/>
    <w:rsid w:val="2DB7ACB6"/>
    <w:rsid w:val="2DBC08DF"/>
    <w:rsid w:val="2DC014CE"/>
    <w:rsid w:val="2DC1D419"/>
    <w:rsid w:val="2DC5787A"/>
    <w:rsid w:val="2DC704DE"/>
    <w:rsid w:val="2DCA05DA"/>
    <w:rsid w:val="2DCBDD3C"/>
    <w:rsid w:val="2DE83EFF"/>
    <w:rsid w:val="2DEC47C0"/>
    <w:rsid w:val="2DEDC36E"/>
    <w:rsid w:val="2E0A9608"/>
    <w:rsid w:val="2E0AA72E"/>
    <w:rsid w:val="2E18A53D"/>
    <w:rsid w:val="2E1E7088"/>
    <w:rsid w:val="2E21CA87"/>
    <w:rsid w:val="2E247034"/>
    <w:rsid w:val="2E423F5E"/>
    <w:rsid w:val="2E45D3CC"/>
    <w:rsid w:val="2E50B971"/>
    <w:rsid w:val="2E7CEFBF"/>
    <w:rsid w:val="2E8073D8"/>
    <w:rsid w:val="2E8539C0"/>
    <w:rsid w:val="2E99176D"/>
    <w:rsid w:val="2E9FC56E"/>
    <w:rsid w:val="2EA2D336"/>
    <w:rsid w:val="2EB0F2C9"/>
    <w:rsid w:val="2EB5E23D"/>
    <w:rsid w:val="2EC84EF9"/>
    <w:rsid w:val="2ECB4419"/>
    <w:rsid w:val="2EE2D479"/>
    <w:rsid w:val="2EEB821E"/>
    <w:rsid w:val="2EFBB3B9"/>
    <w:rsid w:val="2F32B19B"/>
    <w:rsid w:val="2F3C8CB6"/>
    <w:rsid w:val="2F4F7E78"/>
    <w:rsid w:val="2F5F5224"/>
    <w:rsid w:val="2F761A4B"/>
    <w:rsid w:val="2FAA7D5F"/>
    <w:rsid w:val="2FB32288"/>
    <w:rsid w:val="2FBC612E"/>
    <w:rsid w:val="2FBC7200"/>
    <w:rsid w:val="2FC9995D"/>
    <w:rsid w:val="2FD54E6D"/>
    <w:rsid w:val="2FF66AF8"/>
    <w:rsid w:val="30092117"/>
    <w:rsid w:val="3010E181"/>
    <w:rsid w:val="301E26D7"/>
    <w:rsid w:val="3029500B"/>
    <w:rsid w:val="3030DDCB"/>
    <w:rsid w:val="3033F5EB"/>
    <w:rsid w:val="30365F2B"/>
    <w:rsid w:val="3041590F"/>
    <w:rsid w:val="304594DC"/>
    <w:rsid w:val="305EC07D"/>
    <w:rsid w:val="306815F4"/>
    <w:rsid w:val="306901EA"/>
    <w:rsid w:val="306D4CB0"/>
    <w:rsid w:val="306E172A"/>
    <w:rsid w:val="307FFCA3"/>
    <w:rsid w:val="309B2142"/>
    <w:rsid w:val="30B7C4DF"/>
    <w:rsid w:val="30C0A3D2"/>
    <w:rsid w:val="30C81D64"/>
    <w:rsid w:val="30CBE603"/>
    <w:rsid w:val="30CE5E0B"/>
    <w:rsid w:val="30D45F3E"/>
    <w:rsid w:val="30D8343F"/>
    <w:rsid w:val="30DD2A4F"/>
    <w:rsid w:val="30E02A3F"/>
    <w:rsid w:val="30E5E123"/>
    <w:rsid w:val="30E6092A"/>
    <w:rsid w:val="30E9603C"/>
    <w:rsid w:val="30EC0342"/>
    <w:rsid w:val="30F460B7"/>
    <w:rsid w:val="30F719A1"/>
    <w:rsid w:val="30FA67C8"/>
    <w:rsid w:val="31069029"/>
    <w:rsid w:val="31096FAF"/>
    <w:rsid w:val="310AFA1F"/>
    <w:rsid w:val="312D24B7"/>
    <w:rsid w:val="31309274"/>
    <w:rsid w:val="313EEC10"/>
    <w:rsid w:val="316047ED"/>
    <w:rsid w:val="3161DF83"/>
    <w:rsid w:val="316D70B4"/>
    <w:rsid w:val="316EF8C6"/>
    <w:rsid w:val="317E85E2"/>
    <w:rsid w:val="3199927E"/>
    <w:rsid w:val="31A02EB8"/>
    <w:rsid w:val="31B09211"/>
    <w:rsid w:val="31B76A97"/>
    <w:rsid w:val="31C5927B"/>
    <w:rsid w:val="31E37915"/>
    <w:rsid w:val="31FB9BCB"/>
    <w:rsid w:val="3200514E"/>
    <w:rsid w:val="322140B4"/>
    <w:rsid w:val="3226F3F8"/>
    <w:rsid w:val="3235F9BD"/>
    <w:rsid w:val="32414BCE"/>
    <w:rsid w:val="3277770F"/>
    <w:rsid w:val="32781E8B"/>
    <w:rsid w:val="327CA2EB"/>
    <w:rsid w:val="327F5DCC"/>
    <w:rsid w:val="328ACD18"/>
    <w:rsid w:val="329022E6"/>
    <w:rsid w:val="32ABBBCC"/>
    <w:rsid w:val="32B801B5"/>
    <w:rsid w:val="32C94A05"/>
    <w:rsid w:val="32CAF01D"/>
    <w:rsid w:val="32E21E21"/>
    <w:rsid w:val="32E8E526"/>
    <w:rsid w:val="3303A88D"/>
    <w:rsid w:val="330910CF"/>
    <w:rsid w:val="3309C71E"/>
    <w:rsid w:val="3321803B"/>
    <w:rsid w:val="332478FF"/>
    <w:rsid w:val="334AD72B"/>
    <w:rsid w:val="334ED207"/>
    <w:rsid w:val="33548686"/>
    <w:rsid w:val="335A4105"/>
    <w:rsid w:val="335F2DA5"/>
    <w:rsid w:val="3376F91A"/>
    <w:rsid w:val="3381E04C"/>
    <w:rsid w:val="33853AE5"/>
    <w:rsid w:val="338FD4F4"/>
    <w:rsid w:val="3393B741"/>
    <w:rsid w:val="3393D5D3"/>
    <w:rsid w:val="33B0BBC4"/>
    <w:rsid w:val="33B4C1E8"/>
    <w:rsid w:val="33C90940"/>
    <w:rsid w:val="33F450F2"/>
    <w:rsid w:val="33F583D5"/>
    <w:rsid w:val="3402EE2E"/>
    <w:rsid w:val="3413A365"/>
    <w:rsid w:val="34167D8A"/>
    <w:rsid w:val="3428E433"/>
    <w:rsid w:val="34303040"/>
    <w:rsid w:val="3432DFB6"/>
    <w:rsid w:val="3443D0C7"/>
    <w:rsid w:val="3450D6C7"/>
    <w:rsid w:val="34556DC2"/>
    <w:rsid w:val="3459CE0B"/>
    <w:rsid w:val="345AE0D2"/>
    <w:rsid w:val="3462FEAF"/>
    <w:rsid w:val="346AAC75"/>
    <w:rsid w:val="346F86E9"/>
    <w:rsid w:val="3470C692"/>
    <w:rsid w:val="34752CA1"/>
    <w:rsid w:val="3478804F"/>
    <w:rsid w:val="3485272B"/>
    <w:rsid w:val="34856455"/>
    <w:rsid w:val="3485E35D"/>
    <w:rsid w:val="348A2432"/>
    <w:rsid w:val="348D1EB1"/>
    <w:rsid w:val="348EBCB0"/>
    <w:rsid w:val="348FF932"/>
    <w:rsid w:val="349DA2F5"/>
    <w:rsid w:val="34A20D96"/>
    <w:rsid w:val="34A2A928"/>
    <w:rsid w:val="34AC176B"/>
    <w:rsid w:val="34B6101A"/>
    <w:rsid w:val="34C01664"/>
    <w:rsid w:val="34C2932C"/>
    <w:rsid w:val="34CA6D55"/>
    <w:rsid w:val="34D1A149"/>
    <w:rsid w:val="34D1E328"/>
    <w:rsid w:val="34DAD51D"/>
    <w:rsid w:val="34E1D5A9"/>
    <w:rsid w:val="34E575FA"/>
    <w:rsid w:val="34F5FB96"/>
    <w:rsid w:val="34FA215E"/>
    <w:rsid w:val="35021BBB"/>
    <w:rsid w:val="350858F1"/>
    <w:rsid w:val="35139B41"/>
    <w:rsid w:val="35154C7C"/>
    <w:rsid w:val="35190084"/>
    <w:rsid w:val="352009BE"/>
    <w:rsid w:val="35205C9A"/>
    <w:rsid w:val="3530992D"/>
    <w:rsid w:val="35398441"/>
    <w:rsid w:val="35584AF9"/>
    <w:rsid w:val="3566C2D3"/>
    <w:rsid w:val="356E8AC1"/>
    <w:rsid w:val="35742D0B"/>
    <w:rsid w:val="357B85D8"/>
    <w:rsid w:val="35ECD770"/>
    <w:rsid w:val="35ED7A49"/>
    <w:rsid w:val="35F8EF2E"/>
    <w:rsid w:val="36068F8F"/>
    <w:rsid w:val="360CCC36"/>
    <w:rsid w:val="361455B8"/>
    <w:rsid w:val="363078E1"/>
    <w:rsid w:val="36336AF9"/>
    <w:rsid w:val="36343F57"/>
    <w:rsid w:val="363AEDF7"/>
    <w:rsid w:val="364DAE20"/>
    <w:rsid w:val="365D7988"/>
    <w:rsid w:val="3662CEBB"/>
    <w:rsid w:val="366662E4"/>
    <w:rsid w:val="366BC1DB"/>
    <w:rsid w:val="367DA60A"/>
    <w:rsid w:val="367EAAE1"/>
    <w:rsid w:val="3698DDC3"/>
    <w:rsid w:val="369ACE53"/>
    <w:rsid w:val="369B9949"/>
    <w:rsid w:val="369DEC1C"/>
    <w:rsid w:val="36A08951"/>
    <w:rsid w:val="36AF5224"/>
    <w:rsid w:val="36C5153B"/>
    <w:rsid w:val="36DD3C07"/>
    <w:rsid w:val="36E90E75"/>
    <w:rsid w:val="36F98E5A"/>
    <w:rsid w:val="37176C64"/>
    <w:rsid w:val="37262236"/>
    <w:rsid w:val="37324010"/>
    <w:rsid w:val="373FBD53"/>
    <w:rsid w:val="3740CACD"/>
    <w:rsid w:val="37586DE9"/>
    <w:rsid w:val="376AFA4F"/>
    <w:rsid w:val="376B058E"/>
    <w:rsid w:val="376EF7AC"/>
    <w:rsid w:val="376F9387"/>
    <w:rsid w:val="3777EF88"/>
    <w:rsid w:val="3782FB42"/>
    <w:rsid w:val="37860DF0"/>
    <w:rsid w:val="379060B6"/>
    <w:rsid w:val="3797B918"/>
    <w:rsid w:val="379F464B"/>
    <w:rsid w:val="37A2C3C6"/>
    <w:rsid w:val="37AA8C00"/>
    <w:rsid w:val="37AD8A14"/>
    <w:rsid w:val="37B17AA9"/>
    <w:rsid w:val="37B6F062"/>
    <w:rsid w:val="37BB01E1"/>
    <w:rsid w:val="37BD1F78"/>
    <w:rsid w:val="37C7512D"/>
    <w:rsid w:val="37C90BEF"/>
    <w:rsid w:val="37CAA306"/>
    <w:rsid w:val="37E14856"/>
    <w:rsid w:val="37FA33EE"/>
    <w:rsid w:val="37FFBFB6"/>
    <w:rsid w:val="380B1947"/>
    <w:rsid w:val="3813C948"/>
    <w:rsid w:val="381FDC71"/>
    <w:rsid w:val="3833FCE3"/>
    <w:rsid w:val="383E0219"/>
    <w:rsid w:val="383EAACF"/>
    <w:rsid w:val="38444B98"/>
    <w:rsid w:val="384D9595"/>
    <w:rsid w:val="3855EA4D"/>
    <w:rsid w:val="386F92D2"/>
    <w:rsid w:val="387AB7A6"/>
    <w:rsid w:val="388F3A25"/>
    <w:rsid w:val="38ACA00D"/>
    <w:rsid w:val="38B9949F"/>
    <w:rsid w:val="38CABB60"/>
    <w:rsid w:val="38CC8B17"/>
    <w:rsid w:val="38DF8CA4"/>
    <w:rsid w:val="38E8AF8C"/>
    <w:rsid w:val="38ECC09A"/>
    <w:rsid w:val="38ED7803"/>
    <w:rsid w:val="38F22E2A"/>
    <w:rsid w:val="39047C78"/>
    <w:rsid w:val="3914B248"/>
    <w:rsid w:val="391E943A"/>
    <w:rsid w:val="3922433C"/>
    <w:rsid w:val="392F2662"/>
    <w:rsid w:val="394D4B0A"/>
    <w:rsid w:val="3958952C"/>
    <w:rsid w:val="3963E903"/>
    <w:rsid w:val="3965F352"/>
    <w:rsid w:val="3969A14F"/>
    <w:rsid w:val="396E3266"/>
    <w:rsid w:val="397C0E98"/>
    <w:rsid w:val="398D8D9F"/>
    <w:rsid w:val="39AD3D5B"/>
    <w:rsid w:val="39B2D309"/>
    <w:rsid w:val="39B546CC"/>
    <w:rsid w:val="39B81338"/>
    <w:rsid w:val="39B8B687"/>
    <w:rsid w:val="39C41FC2"/>
    <w:rsid w:val="39C5D0A4"/>
    <w:rsid w:val="39E2FEB4"/>
    <w:rsid w:val="39E65B6E"/>
    <w:rsid w:val="39F0293D"/>
    <w:rsid w:val="39F5231B"/>
    <w:rsid w:val="3A1D1300"/>
    <w:rsid w:val="3A1DD481"/>
    <w:rsid w:val="3A410EB0"/>
    <w:rsid w:val="3A4294F0"/>
    <w:rsid w:val="3A4336C4"/>
    <w:rsid w:val="3A4873A1"/>
    <w:rsid w:val="3A4E6E33"/>
    <w:rsid w:val="3A59F3BB"/>
    <w:rsid w:val="3A5D2B80"/>
    <w:rsid w:val="3A625ACA"/>
    <w:rsid w:val="3A681DAD"/>
    <w:rsid w:val="3A7D51C8"/>
    <w:rsid w:val="3A8C0DAC"/>
    <w:rsid w:val="3A8FC544"/>
    <w:rsid w:val="3AAE8287"/>
    <w:rsid w:val="3AB6A673"/>
    <w:rsid w:val="3ACAF6C3"/>
    <w:rsid w:val="3AD7E385"/>
    <w:rsid w:val="3B258CFF"/>
    <w:rsid w:val="3B34BF98"/>
    <w:rsid w:val="3B3611A3"/>
    <w:rsid w:val="3B56EF5A"/>
    <w:rsid w:val="3B601017"/>
    <w:rsid w:val="3B730E8E"/>
    <w:rsid w:val="3BA32B07"/>
    <w:rsid w:val="3BA6FDB2"/>
    <w:rsid w:val="3BB6454A"/>
    <w:rsid w:val="3BB95151"/>
    <w:rsid w:val="3BD56B2E"/>
    <w:rsid w:val="3BDF6780"/>
    <w:rsid w:val="3BE0D3F5"/>
    <w:rsid w:val="3BFD0FB9"/>
    <w:rsid w:val="3C21507A"/>
    <w:rsid w:val="3C2A5F14"/>
    <w:rsid w:val="3C33DA3B"/>
    <w:rsid w:val="3C3435EB"/>
    <w:rsid w:val="3C362FF5"/>
    <w:rsid w:val="3C3969BA"/>
    <w:rsid w:val="3C4B2096"/>
    <w:rsid w:val="3C4B533D"/>
    <w:rsid w:val="3C53613E"/>
    <w:rsid w:val="3C5CFC1A"/>
    <w:rsid w:val="3C5DE0DB"/>
    <w:rsid w:val="3C62C4B6"/>
    <w:rsid w:val="3C6442B4"/>
    <w:rsid w:val="3C68C8F6"/>
    <w:rsid w:val="3C6A6B85"/>
    <w:rsid w:val="3C77D4E0"/>
    <w:rsid w:val="3C78972E"/>
    <w:rsid w:val="3C8CD6F7"/>
    <w:rsid w:val="3C8E49F5"/>
    <w:rsid w:val="3CA2D2F2"/>
    <w:rsid w:val="3CA618E4"/>
    <w:rsid w:val="3CB44851"/>
    <w:rsid w:val="3CBD8E1D"/>
    <w:rsid w:val="3CD56049"/>
    <w:rsid w:val="3CD9BED1"/>
    <w:rsid w:val="3CE7C9E1"/>
    <w:rsid w:val="3CFAD5D4"/>
    <w:rsid w:val="3CFCA367"/>
    <w:rsid w:val="3CFF331A"/>
    <w:rsid w:val="3D066A51"/>
    <w:rsid w:val="3D0AD4D8"/>
    <w:rsid w:val="3D1FF3BE"/>
    <w:rsid w:val="3D21D38C"/>
    <w:rsid w:val="3D22BFA7"/>
    <w:rsid w:val="3D46937A"/>
    <w:rsid w:val="3D47B7F9"/>
    <w:rsid w:val="3D6EE3A2"/>
    <w:rsid w:val="3D743111"/>
    <w:rsid w:val="3D968A84"/>
    <w:rsid w:val="3D9A97F1"/>
    <w:rsid w:val="3DB05397"/>
    <w:rsid w:val="3DF01CAB"/>
    <w:rsid w:val="3DFC6EEB"/>
    <w:rsid w:val="3E049903"/>
    <w:rsid w:val="3E0A8C16"/>
    <w:rsid w:val="3E0F871E"/>
    <w:rsid w:val="3E109C83"/>
    <w:rsid w:val="3E17DE1B"/>
    <w:rsid w:val="3E18D5E6"/>
    <w:rsid w:val="3E29268A"/>
    <w:rsid w:val="3E2AEC53"/>
    <w:rsid w:val="3E3FD164"/>
    <w:rsid w:val="3E5068E7"/>
    <w:rsid w:val="3E5107E6"/>
    <w:rsid w:val="3E808522"/>
    <w:rsid w:val="3E8D7244"/>
    <w:rsid w:val="3E9272E7"/>
    <w:rsid w:val="3E9E803F"/>
    <w:rsid w:val="3EAEB700"/>
    <w:rsid w:val="3EB44550"/>
    <w:rsid w:val="3EBB0F7F"/>
    <w:rsid w:val="3EBF41AC"/>
    <w:rsid w:val="3EC14266"/>
    <w:rsid w:val="3ECA1BC5"/>
    <w:rsid w:val="3ECBCED0"/>
    <w:rsid w:val="3EDF10B6"/>
    <w:rsid w:val="3EED4776"/>
    <w:rsid w:val="3EF7F81D"/>
    <w:rsid w:val="3EFF7AAF"/>
    <w:rsid w:val="3F07E4CE"/>
    <w:rsid w:val="3F105DD8"/>
    <w:rsid w:val="3F1CFF06"/>
    <w:rsid w:val="3F294870"/>
    <w:rsid w:val="3F366E59"/>
    <w:rsid w:val="3F429CDD"/>
    <w:rsid w:val="3F52297F"/>
    <w:rsid w:val="3F6E0FAE"/>
    <w:rsid w:val="3F718E67"/>
    <w:rsid w:val="3F7563B2"/>
    <w:rsid w:val="3F75806B"/>
    <w:rsid w:val="3F7E3E0A"/>
    <w:rsid w:val="3F7E97C6"/>
    <w:rsid w:val="3F93826C"/>
    <w:rsid w:val="3F965E88"/>
    <w:rsid w:val="3FA01874"/>
    <w:rsid w:val="3FB79665"/>
    <w:rsid w:val="3FBDAFD9"/>
    <w:rsid w:val="3FBE9681"/>
    <w:rsid w:val="3FC29AB3"/>
    <w:rsid w:val="3FC477B9"/>
    <w:rsid w:val="3FF41B63"/>
    <w:rsid w:val="40273267"/>
    <w:rsid w:val="402BC69E"/>
    <w:rsid w:val="404C0E40"/>
    <w:rsid w:val="4065EC26"/>
    <w:rsid w:val="406768C9"/>
    <w:rsid w:val="40678B37"/>
    <w:rsid w:val="406FC19E"/>
    <w:rsid w:val="4088B6FA"/>
    <w:rsid w:val="408AD157"/>
    <w:rsid w:val="4091FFEB"/>
    <w:rsid w:val="40941FDC"/>
    <w:rsid w:val="40947F87"/>
    <w:rsid w:val="409D00E9"/>
    <w:rsid w:val="40A9D661"/>
    <w:rsid w:val="40B59A61"/>
    <w:rsid w:val="40B5A786"/>
    <w:rsid w:val="40BB3369"/>
    <w:rsid w:val="40C0BA76"/>
    <w:rsid w:val="40C29DBA"/>
    <w:rsid w:val="40CE84B6"/>
    <w:rsid w:val="40CEAA1F"/>
    <w:rsid w:val="40D502FC"/>
    <w:rsid w:val="40DC3016"/>
    <w:rsid w:val="40F69185"/>
    <w:rsid w:val="40FFC37A"/>
    <w:rsid w:val="41006C80"/>
    <w:rsid w:val="410B0D01"/>
    <w:rsid w:val="4111EA3F"/>
    <w:rsid w:val="411307D4"/>
    <w:rsid w:val="411D0F0B"/>
    <w:rsid w:val="41331977"/>
    <w:rsid w:val="41417B58"/>
    <w:rsid w:val="414C2253"/>
    <w:rsid w:val="4156C59E"/>
    <w:rsid w:val="41817BE5"/>
    <w:rsid w:val="41828746"/>
    <w:rsid w:val="41884A6A"/>
    <w:rsid w:val="418ADB62"/>
    <w:rsid w:val="41908EC0"/>
    <w:rsid w:val="41A3185A"/>
    <w:rsid w:val="41A52ADD"/>
    <w:rsid w:val="41AA419F"/>
    <w:rsid w:val="41B34318"/>
    <w:rsid w:val="41B395CA"/>
    <w:rsid w:val="41BA69E9"/>
    <w:rsid w:val="41BDAE43"/>
    <w:rsid w:val="41C20D27"/>
    <w:rsid w:val="41C302C8"/>
    <w:rsid w:val="41CFAA59"/>
    <w:rsid w:val="41E5FDE0"/>
    <w:rsid w:val="41E9971D"/>
    <w:rsid w:val="41EEC230"/>
    <w:rsid w:val="41F9E198"/>
    <w:rsid w:val="41FE159E"/>
    <w:rsid w:val="41FE2A6B"/>
    <w:rsid w:val="4208487D"/>
    <w:rsid w:val="4208718F"/>
    <w:rsid w:val="4208C825"/>
    <w:rsid w:val="421AA3F8"/>
    <w:rsid w:val="421B9CAD"/>
    <w:rsid w:val="424689A8"/>
    <w:rsid w:val="425365D5"/>
    <w:rsid w:val="4254AC3B"/>
    <w:rsid w:val="425F7C43"/>
    <w:rsid w:val="4268F90A"/>
    <w:rsid w:val="426DBAEC"/>
    <w:rsid w:val="427F2C9B"/>
    <w:rsid w:val="4284ED8B"/>
    <w:rsid w:val="4297B838"/>
    <w:rsid w:val="429D4973"/>
    <w:rsid w:val="42A399E7"/>
    <w:rsid w:val="42A6733F"/>
    <w:rsid w:val="42A6DD62"/>
    <w:rsid w:val="42C73D99"/>
    <w:rsid w:val="42D20DC8"/>
    <w:rsid w:val="42DDECE9"/>
    <w:rsid w:val="42ECFF1F"/>
    <w:rsid w:val="432CB7A1"/>
    <w:rsid w:val="4337C379"/>
    <w:rsid w:val="4340FB3E"/>
    <w:rsid w:val="434C50F2"/>
    <w:rsid w:val="4354C35C"/>
    <w:rsid w:val="437AC955"/>
    <w:rsid w:val="4380BDA2"/>
    <w:rsid w:val="4381CE41"/>
    <w:rsid w:val="43820BDC"/>
    <w:rsid w:val="438DEB57"/>
    <w:rsid w:val="439ED1EA"/>
    <w:rsid w:val="439FAEAC"/>
    <w:rsid w:val="43B8D709"/>
    <w:rsid w:val="43BA5C3F"/>
    <w:rsid w:val="43C051B1"/>
    <w:rsid w:val="43CEC7E6"/>
    <w:rsid w:val="43D9B60F"/>
    <w:rsid w:val="43E05B10"/>
    <w:rsid w:val="44040E9B"/>
    <w:rsid w:val="4407CF1D"/>
    <w:rsid w:val="440C2919"/>
    <w:rsid w:val="44146C5F"/>
    <w:rsid w:val="4418BF10"/>
    <w:rsid w:val="441E7FF5"/>
    <w:rsid w:val="4432EB97"/>
    <w:rsid w:val="443CE931"/>
    <w:rsid w:val="443DB982"/>
    <w:rsid w:val="444BBF8E"/>
    <w:rsid w:val="445BB52E"/>
    <w:rsid w:val="445F7A22"/>
    <w:rsid w:val="4475D47F"/>
    <w:rsid w:val="4481D75B"/>
    <w:rsid w:val="448725BA"/>
    <w:rsid w:val="448E7524"/>
    <w:rsid w:val="4497E8DC"/>
    <w:rsid w:val="4497EB37"/>
    <w:rsid w:val="449C1089"/>
    <w:rsid w:val="449CB82A"/>
    <w:rsid w:val="44A1106E"/>
    <w:rsid w:val="44AA9FEE"/>
    <w:rsid w:val="44ABFC05"/>
    <w:rsid w:val="44ACF9CB"/>
    <w:rsid w:val="44AD925F"/>
    <w:rsid w:val="44B91679"/>
    <w:rsid w:val="44B9EAF9"/>
    <w:rsid w:val="44BEBAF6"/>
    <w:rsid w:val="44C7DB91"/>
    <w:rsid w:val="44D71852"/>
    <w:rsid w:val="44E2F857"/>
    <w:rsid w:val="44F3FB4E"/>
    <w:rsid w:val="44F79F80"/>
    <w:rsid w:val="44FBF95F"/>
    <w:rsid w:val="452137DF"/>
    <w:rsid w:val="45395D49"/>
    <w:rsid w:val="453A8484"/>
    <w:rsid w:val="453C0903"/>
    <w:rsid w:val="453CA6CC"/>
    <w:rsid w:val="45401251"/>
    <w:rsid w:val="454272CF"/>
    <w:rsid w:val="454490F9"/>
    <w:rsid w:val="455955A3"/>
    <w:rsid w:val="45632605"/>
    <w:rsid w:val="45693526"/>
    <w:rsid w:val="45789770"/>
    <w:rsid w:val="457F78CE"/>
    <w:rsid w:val="457FB03F"/>
    <w:rsid w:val="4587416D"/>
    <w:rsid w:val="45A37C44"/>
    <w:rsid w:val="45A718B4"/>
    <w:rsid w:val="45ABF453"/>
    <w:rsid w:val="45B54F52"/>
    <w:rsid w:val="45C0E69E"/>
    <w:rsid w:val="45C1CF32"/>
    <w:rsid w:val="45C6E44B"/>
    <w:rsid w:val="45CAB1D6"/>
    <w:rsid w:val="45DAFC21"/>
    <w:rsid w:val="45E2C5E4"/>
    <w:rsid w:val="45EAF40E"/>
    <w:rsid w:val="45F02813"/>
    <w:rsid w:val="45F1DC10"/>
    <w:rsid w:val="45F6B679"/>
    <w:rsid w:val="4602DF04"/>
    <w:rsid w:val="4613137D"/>
    <w:rsid w:val="4617EF05"/>
    <w:rsid w:val="4619FA07"/>
    <w:rsid w:val="461D9A56"/>
    <w:rsid w:val="4642834C"/>
    <w:rsid w:val="4648C182"/>
    <w:rsid w:val="464B16F9"/>
    <w:rsid w:val="464CE4FF"/>
    <w:rsid w:val="464F147F"/>
    <w:rsid w:val="46809421"/>
    <w:rsid w:val="46A4DF2C"/>
    <w:rsid w:val="46A8DA32"/>
    <w:rsid w:val="46D4ECBE"/>
    <w:rsid w:val="46E31D44"/>
    <w:rsid w:val="47145407"/>
    <w:rsid w:val="471D528A"/>
    <w:rsid w:val="471DE68E"/>
    <w:rsid w:val="472496CB"/>
    <w:rsid w:val="4729AAA4"/>
    <w:rsid w:val="472D97F4"/>
    <w:rsid w:val="472DAA76"/>
    <w:rsid w:val="47306F95"/>
    <w:rsid w:val="473255BE"/>
    <w:rsid w:val="4738CB25"/>
    <w:rsid w:val="47451EB4"/>
    <w:rsid w:val="474CC08F"/>
    <w:rsid w:val="47551AB0"/>
    <w:rsid w:val="47561054"/>
    <w:rsid w:val="477D6054"/>
    <w:rsid w:val="478D5841"/>
    <w:rsid w:val="4796BA88"/>
    <w:rsid w:val="479D23BE"/>
    <w:rsid w:val="47A1E0D4"/>
    <w:rsid w:val="47A5FDA6"/>
    <w:rsid w:val="47A69ABE"/>
    <w:rsid w:val="47ADEB39"/>
    <w:rsid w:val="47AF00AE"/>
    <w:rsid w:val="47CAC9EB"/>
    <w:rsid w:val="47CFC00B"/>
    <w:rsid w:val="47F0A065"/>
    <w:rsid w:val="47F1C8B4"/>
    <w:rsid w:val="47FB8431"/>
    <w:rsid w:val="481AC75C"/>
    <w:rsid w:val="48223FD6"/>
    <w:rsid w:val="4847A44D"/>
    <w:rsid w:val="486D9080"/>
    <w:rsid w:val="487C0668"/>
    <w:rsid w:val="487E0F6A"/>
    <w:rsid w:val="48888FA4"/>
    <w:rsid w:val="48A29EAB"/>
    <w:rsid w:val="48B02468"/>
    <w:rsid w:val="48B24D16"/>
    <w:rsid w:val="48B83790"/>
    <w:rsid w:val="48EE8C2D"/>
    <w:rsid w:val="48F7A531"/>
    <w:rsid w:val="49087F20"/>
    <w:rsid w:val="490B09C8"/>
    <w:rsid w:val="490E77B3"/>
    <w:rsid w:val="4914F2F9"/>
    <w:rsid w:val="491930B5"/>
    <w:rsid w:val="49434639"/>
    <w:rsid w:val="49493D65"/>
    <w:rsid w:val="494D815E"/>
    <w:rsid w:val="49626308"/>
    <w:rsid w:val="496E52FC"/>
    <w:rsid w:val="49708C02"/>
    <w:rsid w:val="4975E8DD"/>
    <w:rsid w:val="4976D71B"/>
    <w:rsid w:val="497AB628"/>
    <w:rsid w:val="499482A4"/>
    <w:rsid w:val="49B3ADBA"/>
    <w:rsid w:val="49C404E0"/>
    <w:rsid w:val="49CDA2F7"/>
    <w:rsid w:val="49DB9289"/>
    <w:rsid w:val="49E02CB5"/>
    <w:rsid w:val="49E44EEE"/>
    <w:rsid w:val="4A0684B6"/>
    <w:rsid w:val="4A0B798D"/>
    <w:rsid w:val="4A119039"/>
    <w:rsid w:val="4A1596DC"/>
    <w:rsid w:val="4A1FF752"/>
    <w:rsid w:val="4A26E0C1"/>
    <w:rsid w:val="4A3021FE"/>
    <w:rsid w:val="4A4BF4C9"/>
    <w:rsid w:val="4A5F0587"/>
    <w:rsid w:val="4A755457"/>
    <w:rsid w:val="4A7F6576"/>
    <w:rsid w:val="4A802A77"/>
    <w:rsid w:val="4A87A178"/>
    <w:rsid w:val="4A937592"/>
    <w:rsid w:val="4AAF0D3C"/>
    <w:rsid w:val="4AB5569C"/>
    <w:rsid w:val="4AB65B1E"/>
    <w:rsid w:val="4AC7034F"/>
    <w:rsid w:val="4AF7E9FF"/>
    <w:rsid w:val="4AFE3369"/>
    <w:rsid w:val="4B033C26"/>
    <w:rsid w:val="4B0467D9"/>
    <w:rsid w:val="4B06C2CA"/>
    <w:rsid w:val="4B24861B"/>
    <w:rsid w:val="4B46ACE4"/>
    <w:rsid w:val="4B4D9C01"/>
    <w:rsid w:val="4B558918"/>
    <w:rsid w:val="4B56093C"/>
    <w:rsid w:val="4B628D5C"/>
    <w:rsid w:val="4B659091"/>
    <w:rsid w:val="4B732CE1"/>
    <w:rsid w:val="4B7F3758"/>
    <w:rsid w:val="4B833B6A"/>
    <w:rsid w:val="4B89841E"/>
    <w:rsid w:val="4B8E3FEC"/>
    <w:rsid w:val="4B930F94"/>
    <w:rsid w:val="4B9AA311"/>
    <w:rsid w:val="4B9B002B"/>
    <w:rsid w:val="4B9C22B6"/>
    <w:rsid w:val="4BA554D7"/>
    <w:rsid w:val="4BB39314"/>
    <w:rsid w:val="4BC4836A"/>
    <w:rsid w:val="4BD93990"/>
    <w:rsid w:val="4BE3FB08"/>
    <w:rsid w:val="4BE409F1"/>
    <w:rsid w:val="4C0BB9B7"/>
    <w:rsid w:val="4C1E076C"/>
    <w:rsid w:val="4C2948F5"/>
    <w:rsid w:val="4C3B5F6B"/>
    <w:rsid w:val="4C415D75"/>
    <w:rsid w:val="4C6C9260"/>
    <w:rsid w:val="4C6D4976"/>
    <w:rsid w:val="4C9198D2"/>
    <w:rsid w:val="4C921296"/>
    <w:rsid w:val="4CB24BB3"/>
    <w:rsid w:val="4CBD8481"/>
    <w:rsid w:val="4CC0B738"/>
    <w:rsid w:val="4CF4955F"/>
    <w:rsid w:val="4D06C2A4"/>
    <w:rsid w:val="4D2A5ADD"/>
    <w:rsid w:val="4D312F8C"/>
    <w:rsid w:val="4D401DB6"/>
    <w:rsid w:val="4D40667C"/>
    <w:rsid w:val="4D507A45"/>
    <w:rsid w:val="4D54E151"/>
    <w:rsid w:val="4D58EF12"/>
    <w:rsid w:val="4D676FF8"/>
    <w:rsid w:val="4D6CCC1A"/>
    <w:rsid w:val="4D720BF8"/>
    <w:rsid w:val="4D754E61"/>
    <w:rsid w:val="4D906813"/>
    <w:rsid w:val="4D956165"/>
    <w:rsid w:val="4DB6EC52"/>
    <w:rsid w:val="4DBFECF6"/>
    <w:rsid w:val="4DC0A61B"/>
    <w:rsid w:val="4DCB1654"/>
    <w:rsid w:val="4DD4AF6C"/>
    <w:rsid w:val="4DD8C256"/>
    <w:rsid w:val="4DECB7A7"/>
    <w:rsid w:val="4DEF50E2"/>
    <w:rsid w:val="4DF4DE04"/>
    <w:rsid w:val="4E160606"/>
    <w:rsid w:val="4E26D615"/>
    <w:rsid w:val="4E2982B1"/>
    <w:rsid w:val="4E363D1E"/>
    <w:rsid w:val="4E393395"/>
    <w:rsid w:val="4E4FE4E2"/>
    <w:rsid w:val="4E598E3E"/>
    <w:rsid w:val="4E5C76C2"/>
    <w:rsid w:val="4E8BEE15"/>
    <w:rsid w:val="4E985197"/>
    <w:rsid w:val="4E9DB81C"/>
    <w:rsid w:val="4EA2430A"/>
    <w:rsid w:val="4EA302B3"/>
    <w:rsid w:val="4EAF9959"/>
    <w:rsid w:val="4ECF936B"/>
    <w:rsid w:val="4ED23420"/>
    <w:rsid w:val="4ED571D5"/>
    <w:rsid w:val="4ED8618F"/>
    <w:rsid w:val="4EF7F089"/>
    <w:rsid w:val="4F02B036"/>
    <w:rsid w:val="4F197792"/>
    <w:rsid w:val="4F2128B8"/>
    <w:rsid w:val="4F290E8A"/>
    <w:rsid w:val="4F2E4F55"/>
    <w:rsid w:val="4F48E7FC"/>
    <w:rsid w:val="4F4D318B"/>
    <w:rsid w:val="4F66E6B5"/>
    <w:rsid w:val="4F67C3D0"/>
    <w:rsid w:val="4F6AA5CC"/>
    <w:rsid w:val="4F6CB804"/>
    <w:rsid w:val="4F8FF997"/>
    <w:rsid w:val="4F9294AF"/>
    <w:rsid w:val="4FA2D02E"/>
    <w:rsid w:val="4FA530B8"/>
    <w:rsid w:val="4FC35076"/>
    <w:rsid w:val="4FD0BEB1"/>
    <w:rsid w:val="4FE982FB"/>
    <w:rsid w:val="4FECFE57"/>
    <w:rsid w:val="4FEF4CA3"/>
    <w:rsid w:val="4FF2A9F0"/>
    <w:rsid w:val="4FF3436D"/>
    <w:rsid w:val="4FF3593C"/>
    <w:rsid w:val="5000F676"/>
    <w:rsid w:val="500AE899"/>
    <w:rsid w:val="5010CFBB"/>
    <w:rsid w:val="50245E9A"/>
    <w:rsid w:val="50276BCC"/>
    <w:rsid w:val="502C4860"/>
    <w:rsid w:val="5034CF2F"/>
    <w:rsid w:val="50389E7D"/>
    <w:rsid w:val="503FA959"/>
    <w:rsid w:val="50407CAC"/>
    <w:rsid w:val="5048D9E2"/>
    <w:rsid w:val="504DF6C5"/>
    <w:rsid w:val="505052FA"/>
    <w:rsid w:val="505069A2"/>
    <w:rsid w:val="5055EFF8"/>
    <w:rsid w:val="5056AC8D"/>
    <w:rsid w:val="50659478"/>
    <w:rsid w:val="5065F9E5"/>
    <w:rsid w:val="50683ECF"/>
    <w:rsid w:val="50721869"/>
    <w:rsid w:val="507B880F"/>
    <w:rsid w:val="507BFA8D"/>
    <w:rsid w:val="507C0FF0"/>
    <w:rsid w:val="508D629B"/>
    <w:rsid w:val="509075AC"/>
    <w:rsid w:val="50A2E747"/>
    <w:rsid w:val="50A3F85F"/>
    <w:rsid w:val="50B1CC45"/>
    <w:rsid w:val="50BEA774"/>
    <w:rsid w:val="50F2D538"/>
    <w:rsid w:val="50FA18DC"/>
    <w:rsid w:val="50FF7476"/>
    <w:rsid w:val="5102405E"/>
    <w:rsid w:val="51036A50"/>
    <w:rsid w:val="51184B45"/>
    <w:rsid w:val="5121E840"/>
    <w:rsid w:val="5131C71C"/>
    <w:rsid w:val="51417B27"/>
    <w:rsid w:val="518194B6"/>
    <w:rsid w:val="518F6390"/>
    <w:rsid w:val="5199650D"/>
    <w:rsid w:val="519BA007"/>
    <w:rsid w:val="51A07A2F"/>
    <w:rsid w:val="51A5FF3B"/>
    <w:rsid w:val="51B802DC"/>
    <w:rsid w:val="51CC26F5"/>
    <w:rsid w:val="51DB5354"/>
    <w:rsid w:val="51FC16A6"/>
    <w:rsid w:val="5201DECF"/>
    <w:rsid w:val="5207342D"/>
    <w:rsid w:val="52179F65"/>
    <w:rsid w:val="522FF820"/>
    <w:rsid w:val="5239B31A"/>
    <w:rsid w:val="52403D3D"/>
    <w:rsid w:val="52555C29"/>
    <w:rsid w:val="5278042F"/>
    <w:rsid w:val="527DE45D"/>
    <w:rsid w:val="5284FEE9"/>
    <w:rsid w:val="52A73248"/>
    <w:rsid w:val="52ADF732"/>
    <w:rsid w:val="52B34D73"/>
    <w:rsid w:val="52C39BE9"/>
    <w:rsid w:val="52C529FE"/>
    <w:rsid w:val="52C79A59"/>
    <w:rsid w:val="52E17713"/>
    <w:rsid w:val="52E42341"/>
    <w:rsid w:val="52E6E56F"/>
    <w:rsid w:val="52F51617"/>
    <w:rsid w:val="52F913E8"/>
    <w:rsid w:val="52FB70E0"/>
    <w:rsid w:val="52FE74C6"/>
    <w:rsid w:val="530C5B0D"/>
    <w:rsid w:val="530FE53E"/>
    <w:rsid w:val="53123EA0"/>
    <w:rsid w:val="53149E29"/>
    <w:rsid w:val="531A3C2E"/>
    <w:rsid w:val="53224E9A"/>
    <w:rsid w:val="535404C8"/>
    <w:rsid w:val="535CCE02"/>
    <w:rsid w:val="53611205"/>
    <w:rsid w:val="5367B352"/>
    <w:rsid w:val="536D3B8B"/>
    <w:rsid w:val="5372C76E"/>
    <w:rsid w:val="5373DD06"/>
    <w:rsid w:val="537CDE45"/>
    <w:rsid w:val="53931683"/>
    <w:rsid w:val="53943E9F"/>
    <w:rsid w:val="5395D494"/>
    <w:rsid w:val="53B34CFB"/>
    <w:rsid w:val="53BAD9B0"/>
    <w:rsid w:val="53CAEB8C"/>
    <w:rsid w:val="53CFB87A"/>
    <w:rsid w:val="53DEA1A3"/>
    <w:rsid w:val="53E9F176"/>
    <w:rsid w:val="53EE49D9"/>
    <w:rsid w:val="53FD0841"/>
    <w:rsid w:val="53FE70C0"/>
    <w:rsid w:val="540618C8"/>
    <w:rsid w:val="54123218"/>
    <w:rsid w:val="54156AA6"/>
    <w:rsid w:val="541860B0"/>
    <w:rsid w:val="5426A7C9"/>
    <w:rsid w:val="54276580"/>
    <w:rsid w:val="542CF8C4"/>
    <w:rsid w:val="543AA479"/>
    <w:rsid w:val="5447271E"/>
    <w:rsid w:val="544CE772"/>
    <w:rsid w:val="54568B2A"/>
    <w:rsid w:val="545D0EEC"/>
    <w:rsid w:val="54697A71"/>
    <w:rsid w:val="5469CD0A"/>
    <w:rsid w:val="546B68A9"/>
    <w:rsid w:val="5476C1FC"/>
    <w:rsid w:val="547A931D"/>
    <w:rsid w:val="54820F47"/>
    <w:rsid w:val="54927A4D"/>
    <w:rsid w:val="54A129EF"/>
    <w:rsid w:val="54BD78C6"/>
    <w:rsid w:val="54BFC4AA"/>
    <w:rsid w:val="54C06F7A"/>
    <w:rsid w:val="54C86DA9"/>
    <w:rsid w:val="54D9762C"/>
    <w:rsid w:val="54DFD534"/>
    <w:rsid w:val="54E02207"/>
    <w:rsid w:val="54E12E89"/>
    <w:rsid w:val="54E5338B"/>
    <w:rsid w:val="54FFE8D3"/>
    <w:rsid w:val="55126991"/>
    <w:rsid w:val="55136B04"/>
    <w:rsid w:val="5514F26E"/>
    <w:rsid w:val="553BAFF2"/>
    <w:rsid w:val="55501C8F"/>
    <w:rsid w:val="5559905D"/>
    <w:rsid w:val="555ECECD"/>
    <w:rsid w:val="556BA84F"/>
    <w:rsid w:val="556CD99D"/>
    <w:rsid w:val="556F3CC9"/>
    <w:rsid w:val="55732A3A"/>
    <w:rsid w:val="5573B44D"/>
    <w:rsid w:val="5577E9A9"/>
    <w:rsid w:val="55841815"/>
    <w:rsid w:val="558ABBB0"/>
    <w:rsid w:val="558C1278"/>
    <w:rsid w:val="558D609D"/>
    <w:rsid w:val="5591A5E1"/>
    <w:rsid w:val="559627CD"/>
    <w:rsid w:val="55A86A93"/>
    <w:rsid w:val="55AB2E10"/>
    <w:rsid w:val="55B8A741"/>
    <w:rsid w:val="55D15BE9"/>
    <w:rsid w:val="55E8B7D3"/>
    <w:rsid w:val="55F6A2A9"/>
    <w:rsid w:val="55FFB5FB"/>
    <w:rsid w:val="5604B7CF"/>
    <w:rsid w:val="5606B718"/>
    <w:rsid w:val="560B90DE"/>
    <w:rsid w:val="561229DF"/>
    <w:rsid w:val="5612925D"/>
    <w:rsid w:val="562A498F"/>
    <w:rsid w:val="562C792A"/>
    <w:rsid w:val="562F0480"/>
    <w:rsid w:val="56363CDC"/>
    <w:rsid w:val="563CA57A"/>
    <w:rsid w:val="56480724"/>
    <w:rsid w:val="56500931"/>
    <w:rsid w:val="5655A27C"/>
    <w:rsid w:val="5673E5D0"/>
    <w:rsid w:val="56757E23"/>
    <w:rsid w:val="567D0822"/>
    <w:rsid w:val="5688C046"/>
    <w:rsid w:val="568F2F65"/>
    <w:rsid w:val="568FCAD5"/>
    <w:rsid w:val="56B4749F"/>
    <w:rsid w:val="56B68D64"/>
    <w:rsid w:val="56BD3849"/>
    <w:rsid w:val="56DBB902"/>
    <w:rsid w:val="56DE3DEE"/>
    <w:rsid w:val="56E25032"/>
    <w:rsid w:val="56E6BCBE"/>
    <w:rsid w:val="56EB11A0"/>
    <w:rsid w:val="56EECF2E"/>
    <w:rsid w:val="56FC1476"/>
    <w:rsid w:val="57104787"/>
    <w:rsid w:val="572ACD08"/>
    <w:rsid w:val="57372935"/>
    <w:rsid w:val="5753FFD3"/>
    <w:rsid w:val="575E0AC4"/>
    <w:rsid w:val="57629CF2"/>
    <w:rsid w:val="57655018"/>
    <w:rsid w:val="576942BD"/>
    <w:rsid w:val="5778BDD8"/>
    <w:rsid w:val="579A295F"/>
    <w:rsid w:val="57A1C179"/>
    <w:rsid w:val="57AE62BE"/>
    <w:rsid w:val="57B283C6"/>
    <w:rsid w:val="57B79464"/>
    <w:rsid w:val="57C2ECFF"/>
    <w:rsid w:val="57C96845"/>
    <w:rsid w:val="57CE9159"/>
    <w:rsid w:val="57CFC182"/>
    <w:rsid w:val="57DE3D0F"/>
    <w:rsid w:val="57E00637"/>
    <w:rsid w:val="57E1D527"/>
    <w:rsid w:val="57E4A3F7"/>
    <w:rsid w:val="57EED37B"/>
    <w:rsid w:val="57F060DA"/>
    <w:rsid w:val="57F30179"/>
    <w:rsid w:val="57F93921"/>
    <w:rsid w:val="58000E6B"/>
    <w:rsid w:val="580DD83B"/>
    <w:rsid w:val="5813F87F"/>
    <w:rsid w:val="5834C7EB"/>
    <w:rsid w:val="5836EFEA"/>
    <w:rsid w:val="584AA8F4"/>
    <w:rsid w:val="584E55EC"/>
    <w:rsid w:val="585ECA95"/>
    <w:rsid w:val="58732785"/>
    <w:rsid w:val="5884C031"/>
    <w:rsid w:val="5889CD8F"/>
    <w:rsid w:val="589CDFB7"/>
    <w:rsid w:val="58ACC733"/>
    <w:rsid w:val="58B35363"/>
    <w:rsid w:val="58B8D817"/>
    <w:rsid w:val="58BAD6FD"/>
    <w:rsid w:val="58E26D49"/>
    <w:rsid w:val="58E3104C"/>
    <w:rsid w:val="58EB2A4B"/>
    <w:rsid w:val="58EB7912"/>
    <w:rsid w:val="58EB8593"/>
    <w:rsid w:val="5906B820"/>
    <w:rsid w:val="590D957A"/>
    <w:rsid w:val="5912405F"/>
    <w:rsid w:val="59176213"/>
    <w:rsid w:val="59220263"/>
    <w:rsid w:val="59251D82"/>
    <w:rsid w:val="59304BCD"/>
    <w:rsid w:val="59320405"/>
    <w:rsid w:val="5949EC70"/>
    <w:rsid w:val="5970F6EF"/>
    <w:rsid w:val="597847EA"/>
    <w:rsid w:val="59842188"/>
    <w:rsid w:val="59893CDE"/>
    <w:rsid w:val="598CFAE5"/>
    <w:rsid w:val="599B614E"/>
    <w:rsid w:val="59A2430A"/>
    <w:rsid w:val="59BD4D37"/>
    <w:rsid w:val="59C97E2E"/>
    <w:rsid w:val="59E4DBF2"/>
    <w:rsid w:val="59EFAD5C"/>
    <w:rsid w:val="5A0400AA"/>
    <w:rsid w:val="5A0472B3"/>
    <w:rsid w:val="5A177A14"/>
    <w:rsid w:val="5A2B0EF0"/>
    <w:rsid w:val="5A44F211"/>
    <w:rsid w:val="5A457DE8"/>
    <w:rsid w:val="5A667A55"/>
    <w:rsid w:val="5A70D7E6"/>
    <w:rsid w:val="5A7E8622"/>
    <w:rsid w:val="5A80B35A"/>
    <w:rsid w:val="5AABC2C0"/>
    <w:rsid w:val="5AAE10C0"/>
    <w:rsid w:val="5AAF3D1E"/>
    <w:rsid w:val="5AB4B6FD"/>
    <w:rsid w:val="5AC0D116"/>
    <w:rsid w:val="5AC191EB"/>
    <w:rsid w:val="5AC983E1"/>
    <w:rsid w:val="5ACD5B70"/>
    <w:rsid w:val="5AE61BEA"/>
    <w:rsid w:val="5AE76D0E"/>
    <w:rsid w:val="5AE7F8BA"/>
    <w:rsid w:val="5AFB4A16"/>
    <w:rsid w:val="5AFFCBEE"/>
    <w:rsid w:val="5B0986AB"/>
    <w:rsid w:val="5B1E7818"/>
    <w:rsid w:val="5B2E2E96"/>
    <w:rsid w:val="5B30D9E3"/>
    <w:rsid w:val="5B32EBB6"/>
    <w:rsid w:val="5B3524F0"/>
    <w:rsid w:val="5B35568F"/>
    <w:rsid w:val="5B471E46"/>
    <w:rsid w:val="5B52204D"/>
    <w:rsid w:val="5B5B0E2F"/>
    <w:rsid w:val="5B5FEB99"/>
    <w:rsid w:val="5B683AF8"/>
    <w:rsid w:val="5B70DE3F"/>
    <w:rsid w:val="5B762E21"/>
    <w:rsid w:val="5B7BDFC3"/>
    <w:rsid w:val="5B811FFF"/>
    <w:rsid w:val="5B82260F"/>
    <w:rsid w:val="5BB6A03B"/>
    <w:rsid w:val="5BC19172"/>
    <w:rsid w:val="5BC6F455"/>
    <w:rsid w:val="5BD57D4E"/>
    <w:rsid w:val="5BE3C2F9"/>
    <w:rsid w:val="5BE6A877"/>
    <w:rsid w:val="5BEED255"/>
    <w:rsid w:val="5BF1C6A1"/>
    <w:rsid w:val="5BF42303"/>
    <w:rsid w:val="5BFBB03C"/>
    <w:rsid w:val="5BFF34A0"/>
    <w:rsid w:val="5C047F33"/>
    <w:rsid w:val="5C09F1CB"/>
    <w:rsid w:val="5C37FA12"/>
    <w:rsid w:val="5C38DB06"/>
    <w:rsid w:val="5C41B0C0"/>
    <w:rsid w:val="5C463A04"/>
    <w:rsid w:val="5C47B2B9"/>
    <w:rsid w:val="5C49E121"/>
    <w:rsid w:val="5C4D617F"/>
    <w:rsid w:val="5C5698CA"/>
    <w:rsid w:val="5C64AC3A"/>
    <w:rsid w:val="5C82B747"/>
    <w:rsid w:val="5C8DE970"/>
    <w:rsid w:val="5CC49BA7"/>
    <w:rsid w:val="5CCCC5F0"/>
    <w:rsid w:val="5CD75416"/>
    <w:rsid w:val="5CDA2621"/>
    <w:rsid w:val="5CDD46D1"/>
    <w:rsid w:val="5CE95601"/>
    <w:rsid w:val="5D040B59"/>
    <w:rsid w:val="5D0CAEA0"/>
    <w:rsid w:val="5D0F4396"/>
    <w:rsid w:val="5D135170"/>
    <w:rsid w:val="5D162659"/>
    <w:rsid w:val="5D2C79CD"/>
    <w:rsid w:val="5D3793D5"/>
    <w:rsid w:val="5D3E4ED6"/>
    <w:rsid w:val="5D42C5C8"/>
    <w:rsid w:val="5D439EDF"/>
    <w:rsid w:val="5D4DB418"/>
    <w:rsid w:val="5D59C316"/>
    <w:rsid w:val="5D620A60"/>
    <w:rsid w:val="5D66FCEE"/>
    <w:rsid w:val="5D7446D0"/>
    <w:rsid w:val="5D80E16A"/>
    <w:rsid w:val="5D82EFE4"/>
    <w:rsid w:val="5D84FDC8"/>
    <w:rsid w:val="5D92366F"/>
    <w:rsid w:val="5DA8C166"/>
    <w:rsid w:val="5DC66E1C"/>
    <w:rsid w:val="5DD843AF"/>
    <w:rsid w:val="5DD89BE4"/>
    <w:rsid w:val="5DE2AF0A"/>
    <w:rsid w:val="5DF60219"/>
    <w:rsid w:val="5DF88EA5"/>
    <w:rsid w:val="5DFC3202"/>
    <w:rsid w:val="5E03D2A9"/>
    <w:rsid w:val="5E1FBDE2"/>
    <w:rsid w:val="5E258BFD"/>
    <w:rsid w:val="5E295A53"/>
    <w:rsid w:val="5E2A5375"/>
    <w:rsid w:val="5E367290"/>
    <w:rsid w:val="5E3B8098"/>
    <w:rsid w:val="5E4987C9"/>
    <w:rsid w:val="5E4D04EF"/>
    <w:rsid w:val="5E5212FC"/>
    <w:rsid w:val="5E617D78"/>
    <w:rsid w:val="5E645D63"/>
    <w:rsid w:val="5E6DB211"/>
    <w:rsid w:val="5E7F79B5"/>
    <w:rsid w:val="5E811C8C"/>
    <w:rsid w:val="5E883B98"/>
    <w:rsid w:val="5E8C6122"/>
    <w:rsid w:val="5E91FCB5"/>
    <w:rsid w:val="5E9362EC"/>
    <w:rsid w:val="5EB5D461"/>
    <w:rsid w:val="5EB7CB0D"/>
    <w:rsid w:val="5EBBFD41"/>
    <w:rsid w:val="5ECA4A8B"/>
    <w:rsid w:val="5ED0C035"/>
    <w:rsid w:val="5ED8BFE8"/>
    <w:rsid w:val="5EE24387"/>
    <w:rsid w:val="5EEA4953"/>
    <w:rsid w:val="5EF9C1FB"/>
    <w:rsid w:val="5EFDE8F7"/>
    <w:rsid w:val="5F18393F"/>
    <w:rsid w:val="5F1EC045"/>
    <w:rsid w:val="5F2D8251"/>
    <w:rsid w:val="5F4116E1"/>
    <w:rsid w:val="5F518B9F"/>
    <w:rsid w:val="5F636996"/>
    <w:rsid w:val="5F68CD5A"/>
    <w:rsid w:val="5F6E184D"/>
    <w:rsid w:val="5F924430"/>
    <w:rsid w:val="5F948DBF"/>
    <w:rsid w:val="5F97879F"/>
    <w:rsid w:val="5F9C4B67"/>
    <w:rsid w:val="5FA38B4A"/>
    <w:rsid w:val="5FA927DA"/>
    <w:rsid w:val="5FA9A3F4"/>
    <w:rsid w:val="5FAC49D5"/>
    <w:rsid w:val="5FADA8F2"/>
    <w:rsid w:val="5FAF4FAE"/>
    <w:rsid w:val="5FBB0EB8"/>
    <w:rsid w:val="5FC74AEC"/>
    <w:rsid w:val="5FD49E7C"/>
    <w:rsid w:val="5FD6552B"/>
    <w:rsid w:val="5FD7994B"/>
    <w:rsid w:val="5FDCE792"/>
    <w:rsid w:val="5FEA43F1"/>
    <w:rsid w:val="5FF3CC17"/>
    <w:rsid w:val="5FFEB19B"/>
    <w:rsid w:val="6001584B"/>
    <w:rsid w:val="60170C3C"/>
    <w:rsid w:val="60283183"/>
    <w:rsid w:val="60330E40"/>
    <w:rsid w:val="6057A515"/>
    <w:rsid w:val="60589290"/>
    <w:rsid w:val="6060EB94"/>
    <w:rsid w:val="60690231"/>
    <w:rsid w:val="60749562"/>
    <w:rsid w:val="60761ECA"/>
    <w:rsid w:val="60B409A0"/>
    <w:rsid w:val="60BF77E9"/>
    <w:rsid w:val="60CC39FB"/>
    <w:rsid w:val="60E134E9"/>
    <w:rsid w:val="60EE3D58"/>
    <w:rsid w:val="61049DBB"/>
    <w:rsid w:val="6104EFCC"/>
    <w:rsid w:val="610FEC02"/>
    <w:rsid w:val="611C7B2D"/>
    <w:rsid w:val="6120BE22"/>
    <w:rsid w:val="6126ED75"/>
    <w:rsid w:val="6137B981"/>
    <w:rsid w:val="6147D36B"/>
    <w:rsid w:val="614E4385"/>
    <w:rsid w:val="6165567B"/>
    <w:rsid w:val="618C8AAC"/>
    <w:rsid w:val="618E5414"/>
    <w:rsid w:val="61920B84"/>
    <w:rsid w:val="61A0F114"/>
    <w:rsid w:val="61BF9146"/>
    <w:rsid w:val="61C52249"/>
    <w:rsid w:val="61CE45D4"/>
    <w:rsid w:val="61E8FEBF"/>
    <w:rsid w:val="61F402AA"/>
    <w:rsid w:val="61F462F1"/>
    <w:rsid w:val="61FA0FBC"/>
    <w:rsid w:val="620C4903"/>
    <w:rsid w:val="620E6D28"/>
    <w:rsid w:val="6213ADF7"/>
    <w:rsid w:val="6216F359"/>
    <w:rsid w:val="621A1B25"/>
    <w:rsid w:val="622FAC4A"/>
    <w:rsid w:val="62364421"/>
    <w:rsid w:val="623C807E"/>
    <w:rsid w:val="625C34F7"/>
    <w:rsid w:val="62633295"/>
    <w:rsid w:val="62633C0A"/>
    <w:rsid w:val="62672C9F"/>
    <w:rsid w:val="626E77B4"/>
    <w:rsid w:val="6270B300"/>
    <w:rsid w:val="62840558"/>
    <w:rsid w:val="6290C78F"/>
    <w:rsid w:val="629EEAE7"/>
    <w:rsid w:val="62A82848"/>
    <w:rsid w:val="62C756E7"/>
    <w:rsid w:val="62C80080"/>
    <w:rsid w:val="62D0EB89"/>
    <w:rsid w:val="62FA42BC"/>
    <w:rsid w:val="62FD62AB"/>
    <w:rsid w:val="635D7B4E"/>
    <w:rsid w:val="635D8662"/>
    <w:rsid w:val="636284E1"/>
    <w:rsid w:val="6368A5BF"/>
    <w:rsid w:val="636DC94B"/>
    <w:rsid w:val="637DE012"/>
    <w:rsid w:val="638579E8"/>
    <w:rsid w:val="639129A5"/>
    <w:rsid w:val="63A0743B"/>
    <w:rsid w:val="63A15D59"/>
    <w:rsid w:val="63A9F099"/>
    <w:rsid w:val="63AC95BD"/>
    <w:rsid w:val="63ACC7E8"/>
    <w:rsid w:val="63B70588"/>
    <w:rsid w:val="63BCC0F6"/>
    <w:rsid w:val="63BF3B94"/>
    <w:rsid w:val="63C1057B"/>
    <w:rsid w:val="63C8007F"/>
    <w:rsid w:val="63CA6B02"/>
    <w:rsid w:val="63D159BC"/>
    <w:rsid w:val="63D47D99"/>
    <w:rsid w:val="63F08AA6"/>
    <w:rsid w:val="63FACBCB"/>
    <w:rsid w:val="63FFDDDF"/>
    <w:rsid w:val="6402FD00"/>
    <w:rsid w:val="640B8959"/>
    <w:rsid w:val="642010D0"/>
    <w:rsid w:val="6430409C"/>
    <w:rsid w:val="6433A9B4"/>
    <w:rsid w:val="6434F312"/>
    <w:rsid w:val="643A8D42"/>
    <w:rsid w:val="643C1D18"/>
    <w:rsid w:val="6462A5C4"/>
    <w:rsid w:val="646E53B7"/>
    <w:rsid w:val="6478C5F4"/>
    <w:rsid w:val="648A7F6C"/>
    <w:rsid w:val="648D9E99"/>
    <w:rsid w:val="64D40E56"/>
    <w:rsid w:val="64D440F2"/>
    <w:rsid w:val="64F6A97D"/>
    <w:rsid w:val="64F6BD98"/>
    <w:rsid w:val="6537FF67"/>
    <w:rsid w:val="6538AB5F"/>
    <w:rsid w:val="654DD7AD"/>
    <w:rsid w:val="65597846"/>
    <w:rsid w:val="655C919C"/>
    <w:rsid w:val="656AE11C"/>
    <w:rsid w:val="656E14E9"/>
    <w:rsid w:val="6573813E"/>
    <w:rsid w:val="65AADBE5"/>
    <w:rsid w:val="65B19AC9"/>
    <w:rsid w:val="65B6AC2D"/>
    <w:rsid w:val="65C16470"/>
    <w:rsid w:val="65C458A1"/>
    <w:rsid w:val="65CB497D"/>
    <w:rsid w:val="65DE4D8A"/>
    <w:rsid w:val="65DEE445"/>
    <w:rsid w:val="65E9D98F"/>
    <w:rsid w:val="65EC9DBC"/>
    <w:rsid w:val="65EE720A"/>
    <w:rsid w:val="66063747"/>
    <w:rsid w:val="66127DD1"/>
    <w:rsid w:val="661603C3"/>
    <w:rsid w:val="661A334F"/>
    <w:rsid w:val="663115C1"/>
    <w:rsid w:val="6632AC86"/>
    <w:rsid w:val="6648E4C2"/>
    <w:rsid w:val="66562F69"/>
    <w:rsid w:val="6658ADE7"/>
    <w:rsid w:val="6665613A"/>
    <w:rsid w:val="666F2C29"/>
    <w:rsid w:val="66787B43"/>
    <w:rsid w:val="669B87C9"/>
    <w:rsid w:val="66A57D6A"/>
    <w:rsid w:val="66A6B43E"/>
    <w:rsid w:val="66AA756B"/>
    <w:rsid w:val="66AFB5CA"/>
    <w:rsid w:val="66C18E3F"/>
    <w:rsid w:val="66E29D3F"/>
    <w:rsid w:val="66EA6BC3"/>
    <w:rsid w:val="66EF630F"/>
    <w:rsid w:val="66F03A67"/>
    <w:rsid w:val="66F4D3C7"/>
    <w:rsid w:val="66F6D44B"/>
    <w:rsid w:val="670494A2"/>
    <w:rsid w:val="67100832"/>
    <w:rsid w:val="67110F6F"/>
    <w:rsid w:val="671B5BEF"/>
    <w:rsid w:val="67282FDE"/>
    <w:rsid w:val="67328A6D"/>
    <w:rsid w:val="673FD9D4"/>
    <w:rsid w:val="6744B825"/>
    <w:rsid w:val="674542B0"/>
    <w:rsid w:val="67527C8E"/>
    <w:rsid w:val="675B88E3"/>
    <w:rsid w:val="6767ADE9"/>
    <w:rsid w:val="67834837"/>
    <w:rsid w:val="67876BB0"/>
    <w:rsid w:val="6790DDD0"/>
    <w:rsid w:val="67937346"/>
    <w:rsid w:val="67D741B2"/>
    <w:rsid w:val="67D9CD1E"/>
    <w:rsid w:val="67DFDA1D"/>
    <w:rsid w:val="68031275"/>
    <w:rsid w:val="68118BC0"/>
    <w:rsid w:val="681E3A89"/>
    <w:rsid w:val="682C9C52"/>
    <w:rsid w:val="6830A355"/>
    <w:rsid w:val="68543D15"/>
    <w:rsid w:val="68616BE7"/>
    <w:rsid w:val="6864864F"/>
    <w:rsid w:val="687D7BF1"/>
    <w:rsid w:val="68877BE4"/>
    <w:rsid w:val="688F80FB"/>
    <w:rsid w:val="68936223"/>
    <w:rsid w:val="68948701"/>
    <w:rsid w:val="689CE086"/>
    <w:rsid w:val="68AAFE44"/>
    <w:rsid w:val="68ABD893"/>
    <w:rsid w:val="68B721A8"/>
    <w:rsid w:val="68BA187C"/>
    <w:rsid w:val="68DEB9BC"/>
    <w:rsid w:val="6915EE4C"/>
    <w:rsid w:val="693BCA26"/>
    <w:rsid w:val="693E188A"/>
    <w:rsid w:val="694CB155"/>
    <w:rsid w:val="694DA485"/>
    <w:rsid w:val="69652984"/>
    <w:rsid w:val="69717615"/>
    <w:rsid w:val="69757E91"/>
    <w:rsid w:val="69A8FF17"/>
    <w:rsid w:val="69AD9CC5"/>
    <w:rsid w:val="69B142B5"/>
    <w:rsid w:val="69B3EC36"/>
    <w:rsid w:val="69C23E44"/>
    <w:rsid w:val="69D9386D"/>
    <w:rsid w:val="6A160F82"/>
    <w:rsid w:val="6A1CC321"/>
    <w:rsid w:val="6A291253"/>
    <w:rsid w:val="6A2CE969"/>
    <w:rsid w:val="6A2DA6A3"/>
    <w:rsid w:val="6A305762"/>
    <w:rsid w:val="6A315D07"/>
    <w:rsid w:val="6A3C5B0D"/>
    <w:rsid w:val="6A3D7BEC"/>
    <w:rsid w:val="6A549527"/>
    <w:rsid w:val="6A58665E"/>
    <w:rsid w:val="6A591627"/>
    <w:rsid w:val="6A5A8FD5"/>
    <w:rsid w:val="6A5BCFEB"/>
    <w:rsid w:val="6A5BDA59"/>
    <w:rsid w:val="6A6894E1"/>
    <w:rsid w:val="6A754079"/>
    <w:rsid w:val="6A80048B"/>
    <w:rsid w:val="6A8E75FF"/>
    <w:rsid w:val="6AB41457"/>
    <w:rsid w:val="6ABF0C72"/>
    <w:rsid w:val="6AC15DF8"/>
    <w:rsid w:val="6AC29B98"/>
    <w:rsid w:val="6AC42C3A"/>
    <w:rsid w:val="6AC87E92"/>
    <w:rsid w:val="6AE1E875"/>
    <w:rsid w:val="6AEE4D33"/>
    <w:rsid w:val="6AEE82C9"/>
    <w:rsid w:val="6AEF596C"/>
    <w:rsid w:val="6B0D9250"/>
    <w:rsid w:val="6B0E5970"/>
    <w:rsid w:val="6B10E0C6"/>
    <w:rsid w:val="6B2A587B"/>
    <w:rsid w:val="6B3020CB"/>
    <w:rsid w:val="6B33B602"/>
    <w:rsid w:val="6B33EF21"/>
    <w:rsid w:val="6B56E5C0"/>
    <w:rsid w:val="6B5EC2E7"/>
    <w:rsid w:val="6B6B2939"/>
    <w:rsid w:val="6B7B8AA8"/>
    <w:rsid w:val="6B8230D6"/>
    <w:rsid w:val="6BAB2AC1"/>
    <w:rsid w:val="6BC6E2A1"/>
    <w:rsid w:val="6BCB02E5"/>
    <w:rsid w:val="6BD4A264"/>
    <w:rsid w:val="6BD66456"/>
    <w:rsid w:val="6BDA22A0"/>
    <w:rsid w:val="6BDB96C7"/>
    <w:rsid w:val="6BE738BD"/>
    <w:rsid w:val="6BED2F99"/>
    <w:rsid w:val="6C0061F8"/>
    <w:rsid w:val="6C1748B7"/>
    <w:rsid w:val="6C21A03F"/>
    <w:rsid w:val="6C2E344B"/>
    <w:rsid w:val="6C32B203"/>
    <w:rsid w:val="6C3D3019"/>
    <w:rsid w:val="6C43342D"/>
    <w:rsid w:val="6C4579F6"/>
    <w:rsid w:val="6C4E66E7"/>
    <w:rsid w:val="6C54D89C"/>
    <w:rsid w:val="6C5AA076"/>
    <w:rsid w:val="6C62B9B1"/>
    <w:rsid w:val="6C6B7230"/>
    <w:rsid w:val="6C6FA9C6"/>
    <w:rsid w:val="6C7090EC"/>
    <w:rsid w:val="6C7D285C"/>
    <w:rsid w:val="6C80C1CC"/>
    <w:rsid w:val="6C8A74A3"/>
    <w:rsid w:val="6C8F3F5B"/>
    <w:rsid w:val="6C936975"/>
    <w:rsid w:val="6C9492E6"/>
    <w:rsid w:val="6C979D9C"/>
    <w:rsid w:val="6C9C4A33"/>
    <w:rsid w:val="6CB6B090"/>
    <w:rsid w:val="6CBECEB1"/>
    <w:rsid w:val="6CE3901B"/>
    <w:rsid w:val="6CEAEC1B"/>
    <w:rsid w:val="6CF652B2"/>
    <w:rsid w:val="6CF8E399"/>
    <w:rsid w:val="6CFECFDE"/>
    <w:rsid w:val="6D131797"/>
    <w:rsid w:val="6D2DA890"/>
    <w:rsid w:val="6D46DA8A"/>
    <w:rsid w:val="6D5FFE71"/>
    <w:rsid w:val="6D658F48"/>
    <w:rsid w:val="6D793193"/>
    <w:rsid w:val="6D8D5FF1"/>
    <w:rsid w:val="6D91676B"/>
    <w:rsid w:val="6DA572F8"/>
    <w:rsid w:val="6DB243D8"/>
    <w:rsid w:val="6DB33AF5"/>
    <w:rsid w:val="6DD82802"/>
    <w:rsid w:val="6DEA4844"/>
    <w:rsid w:val="6DF6AD34"/>
    <w:rsid w:val="6DFBBCF3"/>
    <w:rsid w:val="6DFD39AC"/>
    <w:rsid w:val="6DFE4BC1"/>
    <w:rsid w:val="6E17B335"/>
    <w:rsid w:val="6E1E035C"/>
    <w:rsid w:val="6E264504"/>
    <w:rsid w:val="6E426C72"/>
    <w:rsid w:val="6E42E2C9"/>
    <w:rsid w:val="6E44E738"/>
    <w:rsid w:val="6E4E3A03"/>
    <w:rsid w:val="6E4ECF12"/>
    <w:rsid w:val="6E557227"/>
    <w:rsid w:val="6E55B7C7"/>
    <w:rsid w:val="6E68E251"/>
    <w:rsid w:val="6E6BE064"/>
    <w:rsid w:val="6E7FEC39"/>
    <w:rsid w:val="6E94A8E7"/>
    <w:rsid w:val="6E98A3FB"/>
    <w:rsid w:val="6EA06626"/>
    <w:rsid w:val="6EA11560"/>
    <w:rsid w:val="6ED56AA7"/>
    <w:rsid w:val="6ED6E182"/>
    <w:rsid w:val="6ED969C7"/>
    <w:rsid w:val="6EEA044D"/>
    <w:rsid w:val="6EF15B7E"/>
    <w:rsid w:val="6EFBCADE"/>
    <w:rsid w:val="6EFBCED2"/>
    <w:rsid w:val="6F22E7FD"/>
    <w:rsid w:val="6F30D60B"/>
    <w:rsid w:val="6F36B770"/>
    <w:rsid w:val="6F3C088C"/>
    <w:rsid w:val="6F45AFA7"/>
    <w:rsid w:val="6F494E3A"/>
    <w:rsid w:val="6F633F91"/>
    <w:rsid w:val="6F7A4EE8"/>
    <w:rsid w:val="6F7A8CDE"/>
    <w:rsid w:val="6F8151B6"/>
    <w:rsid w:val="6F8836F8"/>
    <w:rsid w:val="6F8CDD93"/>
    <w:rsid w:val="6F959A3C"/>
    <w:rsid w:val="6FB17565"/>
    <w:rsid w:val="6FB2F769"/>
    <w:rsid w:val="6FB3E625"/>
    <w:rsid w:val="6FBEBC8A"/>
    <w:rsid w:val="6FBF4C33"/>
    <w:rsid w:val="6FE12753"/>
    <w:rsid w:val="6FE1C240"/>
    <w:rsid w:val="6FEBCF96"/>
    <w:rsid w:val="6FEFC2DF"/>
    <w:rsid w:val="6FF13103"/>
    <w:rsid w:val="6FF16CFA"/>
    <w:rsid w:val="6FFD9A50"/>
    <w:rsid w:val="6FFF064A"/>
    <w:rsid w:val="70096A37"/>
    <w:rsid w:val="701E23A3"/>
    <w:rsid w:val="703CE7D6"/>
    <w:rsid w:val="7042B2FC"/>
    <w:rsid w:val="704DAB73"/>
    <w:rsid w:val="705BD913"/>
    <w:rsid w:val="705BF2E0"/>
    <w:rsid w:val="706A8C0C"/>
    <w:rsid w:val="70725D27"/>
    <w:rsid w:val="707E862A"/>
    <w:rsid w:val="7081F627"/>
    <w:rsid w:val="7082F98B"/>
    <w:rsid w:val="7096DBC1"/>
    <w:rsid w:val="70974C00"/>
    <w:rsid w:val="70B84F74"/>
    <w:rsid w:val="70BAE128"/>
    <w:rsid w:val="70BC9A85"/>
    <w:rsid w:val="70BE1F4E"/>
    <w:rsid w:val="70BEACDE"/>
    <w:rsid w:val="70BF7999"/>
    <w:rsid w:val="70C373EC"/>
    <w:rsid w:val="70CDF4C3"/>
    <w:rsid w:val="70D287D1"/>
    <w:rsid w:val="70DF09B5"/>
    <w:rsid w:val="70E42ACA"/>
    <w:rsid w:val="70EBB02E"/>
    <w:rsid w:val="70FE6342"/>
    <w:rsid w:val="7103F55E"/>
    <w:rsid w:val="710B1196"/>
    <w:rsid w:val="7115761C"/>
    <w:rsid w:val="7117AC6A"/>
    <w:rsid w:val="7118DAB3"/>
    <w:rsid w:val="711FBA66"/>
    <w:rsid w:val="7128004D"/>
    <w:rsid w:val="713DD066"/>
    <w:rsid w:val="7142AEA0"/>
    <w:rsid w:val="7146D6B5"/>
    <w:rsid w:val="71537A8C"/>
    <w:rsid w:val="7168E035"/>
    <w:rsid w:val="717933FC"/>
    <w:rsid w:val="71876A8D"/>
    <w:rsid w:val="719B4B7F"/>
    <w:rsid w:val="719C8662"/>
    <w:rsid w:val="71A7E82D"/>
    <w:rsid w:val="71ADAEDA"/>
    <w:rsid w:val="71BD23DF"/>
    <w:rsid w:val="71CA19C7"/>
    <w:rsid w:val="71E21334"/>
    <w:rsid w:val="71F7C341"/>
    <w:rsid w:val="72128002"/>
    <w:rsid w:val="721BDA1E"/>
    <w:rsid w:val="7226DDC4"/>
    <w:rsid w:val="722A45E5"/>
    <w:rsid w:val="723F01E5"/>
    <w:rsid w:val="7249336B"/>
    <w:rsid w:val="7252885E"/>
    <w:rsid w:val="725B2D6D"/>
    <w:rsid w:val="725F444D"/>
    <w:rsid w:val="726837FE"/>
    <w:rsid w:val="726E4E3C"/>
    <w:rsid w:val="726E5832"/>
    <w:rsid w:val="727194E2"/>
    <w:rsid w:val="72757D8A"/>
    <w:rsid w:val="72782D25"/>
    <w:rsid w:val="7285E5DF"/>
    <w:rsid w:val="728EDB7E"/>
    <w:rsid w:val="728F2D50"/>
    <w:rsid w:val="72A578E1"/>
    <w:rsid w:val="72BF1092"/>
    <w:rsid w:val="72C4B7D5"/>
    <w:rsid w:val="72C9AB4F"/>
    <w:rsid w:val="72D23E96"/>
    <w:rsid w:val="72D2C6A8"/>
    <w:rsid w:val="72F2B24D"/>
    <w:rsid w:val="72FBDB8E"/>
    <w:rsid w:val="72FC5E69"/>
    <w:rsid w:val="7304FF52"/>
    <w:rsid w:val="73095B7B"/>
    <w:rsid w:val="730AA728"/>
    <w:rsid w:val="730E5454"/>
    <w:rsid w:val="731A1831"/>
    <w:rsid w:val="73553C5B"/>
    <w:rsid w:val="735F9CE1"/>
    <w:rsid w:val="7364D33C"/>
    <w:rsid w:val="73AF1AB9"/>
    <w:rsid w:val="73AFC66E"/>
    <w:rsid w:val="73C7536A"/>
    <w:rsid w:val="73D2BD70"/>
    <w:rsid w:val="73E3D597"/>
    <w:rsid w:val="7409972A"/>
    <w:rsid w:val="740DE6DD"/>
    <w:rsid w:val="74153779"/>
    <w:rsid w:val="74423B4F"/>
    <w:rsid w:val="745ED0A4"/>
    <w:rsid w:val="746173BD"/>
    <w:rsid w:val="74633096"/>
    <w:rsid w:val="7464BB95"/>
    <w:rsid w:val="746FA25E"/>
    <w:rsid w:val="7475A9F3"/>
    <w:rsid w:val="747949F7"/>
    <w:rsid w:val="747BD249"/>
    <w:rsid w:val="74886C9A"/>
    <w:rsid w:val="74919058"/>
    <w:rsid w:val="749539BE"/>
    <w:rsid w:val="74B222A3"/>
    <w:rsid w:val="74BBCFA2"/>
    <w:rsid w:val="74BC69A4"/>
    <w:rsid w:val="74C81F71"/>
    <w:rsid w:val="74CDB412"/>
    <w:rsid w:val="74D3355D"/>
    <w:rsid w:val="74DC92B7"/>
    <w:rsid w:val="74DD3F5E"/>
    <w:rsid w:val="74DEA1A0"/>
    <w:rsid w:val="74E02BF0"/>
    <w:rsid w:val="74E66B6C"/>
    <w:rsid w:val="74EFBA58"/>
    <w:rsid w:val="74FC7439"/>
    <w:rsid w:val="75171B5D"/>
    <w:rsid w:val="752418A9"/>
    <w:rsid w:val="7524B984"/>
    <w:rsid w:val="7531A42C"/>
    <w:rsid w:val="7537ED48"/>
    <w:rsid w:val="75389CC6"/>
    <w:rsid w:val="7554D004"/>
    <w:rsid w:val="756953D6"/>
    <w:rsid w:val="7571E0AC"/>
    <w:rsid w:val="7576AB08"/>
    <w:rsid w:val="757B4585"/>
    <w:rsid w:val="757D80F4"/>
    <w:rsid w:val="758C6A71"/>
    <w:rsid w:val="758E6E6B"/>
    <w:rsid w:val="758FAE2C"/>
    <w:rsid w:val="75968405"/>
    <w:rsid w:val="7596A6B1"/>
    <w:rsid w:val="759A84AE"/>
    <w:rsid w:val="759E3471"/>
    <w:rsid w:val="75A0CE94"/>
    <w:rsid w:val="75A9ACA6"/>
    <w:rsid w:val="75ADC2FA"/>
    <w:rsid w:val="75AE55CF"/>
    <w:rsid w:val="75B7F5E5"/>
    <w:rsid w:val="75B99859"/>
    <w:rsid w:val="75CEC3BE"/>
    <w:rsid w:val="75D714F0"/>
    <w:rsid w:val="75D966A6"/>
    <w:rsid w:val="75E0C6EB"/>
    <w:rsid w:val="75EB4A45"/>
    <w:rsid w:val="75F7B2F0"/>
    <w:rsid w:val="75FC69F5"/>
    <w:rsid w:val="76012387"/>
    <w:rsid w:val="7618991A"/>
    <w:rsid w:val="761C25EB"/>
    <w:rsid w:val="76322A9C"/>
    <w:rsid w:val="76400765"/>
    <w:rsid w:val="76403796"/>
    <w:rsid w:val="7646A509"/>
    <w:rsid w:val="7646C777"/>
    <w:rsid w:val="76475BAF"/>
    <w:rsid w:val="764BF83C"/>
    <w:rsid w:val="764E443E"/>
    <w:rsid w:val="765C8466"/>
    <w:rsid w:val="7667ED19"/>
    <w:rsid w:val="76713C2B"/>
    <w:rsid w:val="7672EB3B"/>
    <w:rsid w:val="768B3F7D"/>
    <w:rsid w:val="769A5098"/>
    <w:rsid w:val="76AE79BA"/>
    <w:rsid w:val="76C5483D"/>
    <w:rsid w:val="76CA9F84"/>
    <w:rsid w:val="76D3B7BE"/>
    <w:rsid w:val="76D8AF55"/>
    <w:rsid w:val="76DF8632"/>
    <w:rsid w:val="7701B5B8"/>
    <w:rsid w:val="77117F32"/>
    <w:rsid w:val="7715F36A"/>
    <w:rsid w:val="771E0ACB"/>
    <w:rsid w:val="7722D62D"/>
    <w:rsid w:val="7729FCEB"/>
    <w:rsid w:val="772F3176"/>
    <w:rsid w:val="77332800"/>
    <w:rsid w:val="773ABDD8"/>
    <w:rsid w:val="77411CC6"/>
    <w:rsid w:val="7756D511"/>
    <w:rsid w:val="778866C3"/>
    <w:rsid w:val="7789310C"/>
    <w:rsid w:val="77916B76"/>
    <w:rsid w:val="77C91436"/>
    <w:rsid w:val="77CDFD37"/>
    <w:rsid w:val="77D04C8C"/>
    <w:rsid w:val="77D87DC7"/>
    <w:rsid w:val="77F2B35A"/>
    <w:rsid w:val="77FA161A"/>
    <w:rsid w:val="77FC42E8"/>
    <w:rsid w:val="780611CF"/>
    <w:rsid w:val="782762BC"/>
    <w:rsid w:val="782CC5FB"/>
    <w:rsid w:val="78326243"/>
    <w:rsid w:val="7839BFF2"/>
    <w:rsid w:val="783B6916"/>
    <w:rsid w:val="783F175E"/>
    <w:rsid w:val="784B5E63"/>
    <w:rsid w:val="78580DDD"/>
    <w:rsid w:val="785C634B"/>
    <w:rsid w:val="78624018"/>
    <w:rsid w:val="786ACDCC"/>
    <w:rsid w:val="788198B2"/>
    <w:rsid w:val="7881B5C5"/>
    <w:rsid w:val="788C8409"/>
    <w:rsid w:val="788CF6E0"/>
    <w:rsid w:val="788D71AD"/>
    <w:rsid w:val="788E3A37"/>
    <w:rsid w:val="78E73ADF"/>
    <w:rsid w:val="78FCED9F"/>
    <w:rsid w:val="7908DCDC"/>
    <w:rsid w:val="790CBBCD"/>
    <w:rsid w:val="7925222D"/>
    <w:rsid w:val="7943246D"/>
    <w:rsid w:val="794F436C"/>
    <w:rsid w:val="79556F2D"/>
    <w:rsid w:val="7960C99D"/>
    <w:rsid w:val="79613089"/>
    <w:rsid w:val="797263A9"/>
    <w:rsid w:val="7984A986"/>
    <w:rsid w:val="79879A8F"/>
    <w:rsid w:val="7988C307"/>
    <w:rsid w:val="798A2764"/>
    <w:rsid w:val="798F35D6"/>
    <w:rsid w:val="79920189"/>
    <w:rsid w:val="79951A2D"/>
    <w:rsid w:val="799796B8"/>
    <w:rsid w:val="79B65858"/>
    <w:rsid w:val="79BA87B9"/>
    <w:rsid w:val="79C72C83"/>
    <w:rsid w:val="79F30E02"/>
    <w:rsid w:val="79FB1C1F"/>
    <w:rsid w:val="79FE1806"/>
    <w:rsid w:val="7A3694EE"/>
    <w:rsid w:val="7A3B7E7B"/>
    <w:rsid w:val="7A44C5FF"/>
    <w:rsid w:val="7A4FE754"/>
    <w:rsid w:val="7A6457B7"/>
    <w:rsid w:val="7A665BDF"/>
    <w:rsid w:val="7A7E4B59"/>
    <w:rsid w:val="7A85292B"/>
    <w:rsid w:val="7A8D4A55"/>
    <w:rsid w:val="7A976269"/>
    <w:rsid w:val="7A9E1A81"/>
    <w:rsid w:val="7A9F1F7C"/>
    <w:rsid w:val="7AA04CB6"/>
    <w:rsid w:val="7AA28B97"/>
    <w:rsid w:val="7AA2DBA7"/>
    <w:rsid w:val="7ABB340A"/>
    <w:rsid w:val="7ABD5FFB"/>
    <w:rsid w:val="7ACF46E2"/>
    <w:rsid w:val="7AF01139"/>
    <w:rsid w:val="7AFCD16E"/>
    <w:rsid w:val="7B030BD1"/>
    <w:rsid w:val="7B0E4A5F"/>
    <w:rsid w:val="7B2A8B4C"/>
    <w:rsid w:val="7B335810"/>
    <w:rsid w:val="7B396E91"/>
    <w:rsid w:val="7B3B2294"/>
    <w:rsid w:val="7B44AAEC"/>
    <w:rsid w:val="7B453804"/>
    <w:rsid w:val="7B5B63B9"/>
    <w:rsid w:val="7B5C178C"/>
    <w:rsid w:val="7B834B33"/>
    <w:rsid w:val="7B9DAB6D"/>
    <w:rsid w:val="7BAA4780"/>
    <w:rsid w:val="7BB1A2EC"/>
    <w:rsid w:val="7BB6B8CC"/>
    <w:rsid w:val="7BC574C6"/>
    <w:rsid w:val="7BC9144E"/>
    <w:rsid w:val="7BDE3F59"/>
    <w:rsid w:val="7BDE4BFA"/>
    <w:rsid w:val="7BF74078"/>
    <w:rsid w:val="7C022C40"/>
    <w:rsid w:val="7C03E715"/>
    <w:rsid w:val="7C0778B2"/>
    <w:rsid w:val="7C180F1B"/>
    <w:rsid w:val="7C25AEC0"/>
    <w:rsid w:val="7C3B4A72"/>
    <w:rsid w:val="7C3D88C5"/>
    <w:rsid w:val="7C4B8A33"/>
    <w:rsid w:val="7C7E6339"/>
    <w:rsid w:val="7C7F7A9B"/>
    <w:rsid w:val="7C886F5B"/>
    <w:rsid w:val="7C9EFA3E"/>
    <w:rsid w:val="7CA48B1A"/>
    <w:rsid w:val="7CA54242"/>
    <w:rsid w:val="7CBAF508"/>
    <w:rsid w:val="7CC428FE"/>
    <w:rsid w:val="7CCCBAEF"/>
    <w:rsid w:val="7CD46045"/>
    <w:rsid w:val="7CDE69AD"/>
    <w:rsid w:val="7CE13D66"/>
    <w:rsid w:val="7CEBEF2C"/>
    <w:rsid w:val="7CED520B"/>
    <w:rsid w:val="7CFEB380"/>
    <w:rsid w:val="7D0AB384"/>
    <w:rsid w:val="7D0F933C"/>
    <w:rsid w:val="7D13758F"/>
    <w:rsid w:val="7D245885"/>
    <w:rsid w:val="7D259E10"/>
    <w:rsid w:val="7D31C7BF"/>
    <w:rsid w:val="7D370769"/>
    <w:rsid w:val="7D38D882"/>
    <w:rsid w:val="7D3F6305"/>
    <w:rsid w:val="7D44EFE1"/>
    <w:rsid w:val="7D52983E"/>
    <w:rsid w:val="7D70F73C"/>
    <w:rsid w:val="7D71D7AD"/>
    <w:rsid w:val="7D88FFB7"/>
    <w:rsid w:val="7D99D537"/>
    <w:rsid w:val="7D9A333B"/>
    <w:rsid w:val="7D9DF6F5"/>
    <w:rsid w:val="7DA111DA"/>
    <w:rsid w:val="7DA34913"/>
    <w:rsid w:val="7DCF56BC"/>
    <w:rsid w:val="7DE71AA2"/>
    <w:rsid w:val="7DF46CB2"/>
    <w:rsid w:val="7DFEEBD5"/>
    <w:rsid w:val="7E05DDAB"/>
    <w:rsid w:val="7E0FCE93"/>
    <w:rsid w:val="7E1896BA"/>
    <w:rsid w:val="7E1A339A"/>
    <w:rsid w:val="7E1AECCD"/>
    <w:rsid w:val="7E2460AF"/>
    <w:rsid w:val="7E3C42B5"/>
    <w:rsid w:val="7E414D02"/>
    <w:rsid w:val="7E49F095"/>
    <w:rsid w:val="7E62F655"/>
    <w:rsid w:val="7E710F53"/>
    <w:rsid w:val="7E7135A3"/>
    <w:rsid w:val="7E73C95B"/>
    <w:rsid w:val="7E8CA0D8"/>
    <w:rsid w:val="7E9FAE60"/>
    <w:rsid w:val="7EAB639D"/>
    <w:rsid w:val="7EB97651"/>
    <w:rsid w:val="7ED8DB44"/>
    <w:rsid w:val="7F229346"/>
    <w:rsid w:val="7F2FD4B2"/>
    <w:rsid w:val="7F5279A2"/>
    <w:rsid w:val="7F762170"/>
    <w:rsid w:val="7F903D13"/>
    <w:rsid w:val="7FC63526"/>
    <w:rsid w:val="7FDD1D63"/>
    <w:rsid w:val="7FED4FAE"/>
    <w:rsid w:val="7FF252D5"/>
    <w:rsid w:val="7FF5C5D9"/>
    <w:rsid w:val="7FFE574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B713D"/>
  <w15:chartTrackingRefBased/>
  <w15:docId w15:val="{3C325B77-3F59-4F08-9493-2CBD243C5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AB6"/>
  </w:style>
  <w:style w:type="paragraph" w:styleId="Heading1">
    <w:name w:val="heading 1"/>
    <w:basedOn w:val="Normal"/>
    <w:next w:val="Normal"/>
    <w:link w:val="Heading1Char"/>
    <w:uiPriority w:val="9"/>
    <w:qFormat/>
    <w:rsid w:val="4D06C2A4"/>
    <w:pPr>
      <w:keepNext/>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4D06C2A4"/>
    <w:pPr>
      <w:keepNext/>
      <w:spacing w:before="240" w:after="120"/>
      <w:jc w:val="both"/>
      <w:outlineLvl w:val="1"/>
    </w:pPr>
    <w:rPr>
      <w:rFonts w:ascii="Verdana" w:eastAsia="Arial" w:hAnsi="Verdana" w:cs="Times New Roman"/>
      <w:b/>
      <w:bCs/>
      <w:sz w:val="24"/>
      <w:szCs w:val="24"/>
      <w:u w:val="single"/>
      <w:lang w:val="en-US"/>
    </w:rPr>
  </w:style>
  <w:style w:type="paragraph" w:styleId="Heading3">
    <w:name w:val="heading 3"/>
    <w:basedOn w:val="Normal"/>
    <w:next w:val="Normal"/>
    <w:link w:val="Heading3Char"/>
    <w:uiPriority w:val="9"/>
    <w:unhideWhenUsed/>
    <w:qFormat/>
    <w:rsid w:val="00014C45"/>
    <w:pPr>
      <w:keepNext/>
      <w:spacing w:before="40" w:after="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00014C45"/>
    <w:pPr>
      <w:keepNext/>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14C45"/>
    <w:pPr>
      <w:keepNext/>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14C45"/>
    <w:pPr>
      <w:keepNext/>
      <w:spacing w:before="40" w:after="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00014C45"/>
    <w:pPr>
      <w:keepNext/>
      <w:spacing w:before="40" w:after="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00014C45"/>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0014C45"/>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5F9B"/>
    <w:rPr>
      <w:rFonts w:ascii="Verdana" w:eastAsia="Arial" w:hAnsi="Verdana" w:cs="Times New Roman"/>
      <w:b/>
      <w:bCs/>
      <w:sz w:val="24"/>
      <w:szCs w:val="24"/>
      <w:u w:val="single"/>
      <w:lang w:val="en-US"/>
    </w:rPr>
  </w:style>
  <w:style w:type="paragraph" w:customStyle="1" w:styleId="Instructionsberschrift2">
    <w:name w:val="Instructions Überschrift 2"/>
    <w:basedOn w:val="Heading2"/>
    <w:rsid w:val="4D06C2A4"/>
    <w:pPr>
      <w:numPr>
        <w:numId w:val="1"/>
      </w:numPr>
      <w:spacing w:after="240"/>
    </w:pPr>
    <w:rPr>
      <w:rFonts w:cs="Arial"/>
      <w:b w:val="0"/>
      <w:bCs w:val="0"/>
      <w:sz w:val="20"/>
      <w:szCs w:val="20"/>
    </w:rPr>
  </w:style>
  <w:style w:type="paragraph" w:customStyle="1" w:styleId="InstructionsText2">
    <w:name w:val="Instructions Text 2"/>
    <w:basedOn w:val="Normal"/>
    <w:qFormat/>
    <w:rsid w:val="4D06C2A4"/>
    <w:pPr>
      <w:spacing w:after="240"/>
      <w:ind w:left="1353" w:hanging="360"/>
      <w:jc w:val="both"/>
    </w:pPr>
    <w:rPr>
      <w:rFonts w:ascii="Times New Roman" w:eastAsia="Times New Roman" w:hAnsi="Times New Roman" w:cs="Times New Roman"/>
      <w:sz w:val="24"/>
      <w:szCs w:val="24"/>
      <w:lang w:eastAsia="de-DE"/>
    </w:rPr>
  </w:style>
  <w:style w:type="paragraph" w:styleId="BodyText">
    <w:name w:val="Body Text"/>
    <w:basedOn w:val="Normal"/>
    <w:link w:val="BodyTextChar"/>
    <w:rsid w:val="4D06C2A4"/>
    <w:pPr>
      <w:spacing w:after="140"/>
    </w:pPr>
    <w:rPr>
      <w:rFonts w:ascii="Liberation Serif" w:eastAsia="SimSun" w:hAnsi="Liberation Serif" w:cs="Lucida Sans"/>
      <w:sz w:val="24"/>
      <w:szCs w:val="24"/>
      <w:lang w:val="de-DE" w:eastAsia="zh-CN" w:bidi="hi-IN"/>
    </w:rPr>
  </w:style>
  <w:style w:type="character" w:customStyle="1" w:styleId="BodyTextChar">
    <w:name w:val="Body Text Char"/>
    <w:basedOn w:val="DefaultParagraphFont"/>
    <w:link w:val="BodyText"/>
    <w:rsid w:val="001C5F9B"/>
    <w:rPr>
      <w:rFonts w:ascii="Liberation Serif" w:eastAsia="SimSun" w:hAnsi="Liberation Serif" w:cs="Lucida Sans"/>
      <w:sz w:val="24"/>
      <w:szCs w:val="24"/>
      <w:lang w:val="de-DE" w:eastAsia="zh-CN" w:bidi="hi-IN"/>
    </w:rPr>
  </w:style>
  <w:style w:type="paragraph" w:customStyle="1" w:styleId="Tabelleninhalt">
    <w:name w:val="Tabelleninhalt"/>
    <w:basedOn w:val="Normal"/>
    <w:qFormat/>
    <w:rsid w:val="4D06C2A4"/>
    <w:pPr>
      <w:spacing w:after="0"/>
    </w:pPr>
    <w:rPr>
      <w:rFonts w:ascii="Liberation Serif" w:eastAsia="SimSun" w:hAnsi="Liberation Serif" w:cs="Lucida Sans"/>
      <w:sz w:val="24"/>
      <w:szCs w:val="24"/>
      <w:lang w:val="de-DE" w:eastAsia="zh-CN" w:bidi="hi-IN"/>
    </w:rPr>
  </w:style>
  <w:style w:type="character" w:styleId="CommentReference">
    <w:name w:val="annotation reference"/>
    <w:basedOn w:val="DefaultParagraphFont"/>
    <w:uiPriority w:val="99"/>
    <w:semiHidden/>
    <w:unhideWhenUsed/>
    <w:rsid w:val="001C5F9B"/>
    <w:rPr>
      <w:sz w:val="16"/>
      <w:szCs w:val="16"/>
    </w:rPr>
  </w:style>
  <w:style w:type="paragraph" w:styleId="CommentText">
    <w:name w:val="annotation text"/>
    <w:basedOn w:val="Normal"/>
    <w:link w:val="CommentTextChar"/>
    <w:uiPriority w:val="99"/>
    <w:unhideWhenUsed/>
    <w:rsid w:val="4D06C2A4"/>
    <w:pPr>
      <w:spacing w:after="0"/>
    </w:pPr>
    <w:rPr>
      <w:rFonts w:ascii="Liberation Serif" w:eastAsia="SimSun" w:hAnsi="Liberation Serif" w:cs="Mangal"/>
      <w:sz w:val="20"/>
      <w:szCs w:val="20"/>
      <w:lang w:val="de-DE" w:eastAsia="zh-CN" w:bidi="hi-IN"/>
    </w:rPr>
  </w:style>
  <w:style w:type="character" w:customStyle="1" w:styleId="CommentTextChar">
    <w:name w:val="Comment Text Char"/>
    <w:basedOn w:val="DefaultParagraphFont"/>
    <w:link w:val="CommentText"/>
    <w:uiPriority w:val="99"/>
    <w:rsid w:val="001C5F9B"/>
    <w:rPr>
      <w:rFonts w:ascii="Liberation Serif" w:eastAsia="SimSun" w:hAnsi="Liberation Serif" w:cs="Mangal"/>
      <w:sz w:val="20"/>
      <w:szCs w:val="20"/>
      <w:lang w:val="de-DE" w:eastAsia="zh-CN" w:bidi="hi-IN"/>
    </w:rPr>
  </w:style>
  <w:style w:type="paragraph" w:styleId="BalloonText">
    <w:name w:val="Balloon Text"/>
    <w:basedOn w:val="Normal"/>
    <w:link w:val="BalloonTextChar"/>
    <w:uiPriority w:val="99"/>
    <w:semiHidden/>
    <w:unhideWhenUsed/>
    <w:rsid w:val="4D06C2A4"/>
    <w:pPr>
      <w:spacing w:after="0"/>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1C5F9B"/>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4D06C2A4"/>
    <w:pPr>
      <w:spacing w:after="160"/>
    </w:pPr>
    <w:rPr>
      <w:b/>
      <w:bCs/>
      <w:lang w:val="en-GB" w:eastAsia="en-US" w:bidi="ar-SA"/>
    </w:rPr>
  </w:style>
  <w:style w:type="character" w:customStyle="1" w:styleId="CommentSubjectChar">
    <w:name w:val="Comment Subject Char"/>
    <w:basedOn w:val="CommentTextChar"/>
    <w:link w:val="CommentSubject"/>
    <w:uiPriority w:val="99"/>
    <w:semiHidden/>
    <w:rsid w:val="00467FD2"/>
    <w:rPr>
      <w:rFonts w:ascii="Liberation Serif" w:eastAsia="SimSun" w:hAnsi="Liberation Serif" w:cs="Mangal"/>
      <w:b/>
      <w:bCs/>
      <w:sz w:val="20"/>
      <w:szCs w:val="20"/>
      <w:lang w:val="de-DE" w:eastAsia="zh-CN" w:bidi="hi-IN"/>
    </w:rPr>
  </w:style>
  <w:style w:type="table" w:styleId="TableGrid">
    <w:name w:val="Table Grid"/>
    <w:aliases w:val="Tabla CUADROS"/>
    <w:basedOn w:val="TableNormal"/>
    <w:uiPriority w:val="59"/>
    <w:rsid w:val="00B56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70E7"/>
    <w:pPr>
      <w:spacing w:after="0" w:line="240" w:lineRule="auto"/>
    </w:pPr>
  </w:style>
  <w:style w:type="character" w:customStyle="1" w:styleId="Heading1Char">
    <w:name w:val="Heading 1 Char"/>
    <w:basedOn w:val="DefaultParagraphFont"/>
    <w:link w:val="Heading1"/>
    <w:uiPriority w:val="9"/>
    <w:rsid w:val="00EE4F6B"/>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4D06C2A4"/>
    <w:pPr>
      <w:spacing w:after="200"/>
      <w:ind w:left="720"/>
      <w:contextualSpacing/>
    </w:pPr>
    <w:rPr>
      <w:rFonts w:ascii="Times New Roman" w:eastAsiaTheme="minorEastAsia" w:hAnsi="Times New Roman"/>
      <w:sz w:val="24"/>
      <w:szCs w:val="24"/>
    </w:rPr>
  </w:style>
  <w:style w:type="paragraph" w:styleId="TOCHeading">
    <w:name w:val="TOC Heading"/>
    <w:basedOn w:val="Heading1"/>
    <w:next w:val="Normal"/>
    <w:uiPriority w:val="39"/>
    <w:unhideWhenUsed/>
    <w:qFormat/>
    <w:rsid w:val="4D06C2A4"/>
    <w:rPr>
      <w:lang w:val="en-US"/>
    </w:rPr>
  </w:style>
  <w:style w:type="paragraph" w:styleId="TOC2">
    <w:name w:val="toc 2"/>
    <w:basedOn w:val="Normal"/>
    <w:next w:val="Normal"/>
    <w:uiPriority w:val="39"/>
    <w:unhideWhenUsed/>
    <w:rsid w:val="4D06C2A4"/>
    <w:pPr>
      <w:spacing w:after="100"/>
      <w:ind w:left="220"/>
    </w:pPr>
  </w:style>
  <w:style w:type="character" w:styleId="Hyperlink">
    <w:name w:val="Hyperlink"/>
    <w:basedOn w:val="DefaultParagraphFont"/>
    <w:uiPriority w:val="99"/>
    <w:unhideWhenUsed/>
    <w:rsid w:val="00DE0B30"/>
    <w:rPr>
      <w:color w:val="0563C1" w:themeColor="hyperlink"/>
      <w:u w:val="single"/>
    </w:rPr>
  </w:style>
  <w:style w:type="paragraph" w:customStyle="1" w:styleId="body">
    <w:name w:val="body"/>
    <w:qFormat/>
    <w:rsid w:val="000106E6"/>
    <w:pPr>
      <w:spacing w:before="240" w:after="120" w:line="276" w:lineRule="auto"/>
      <w:jc w:val="both"/>
    </w:pPr>
    <w:rPr>
      <w:rFonts w:eastAsiaTheme="minorEastAsia"/>
      <w:szCs w:val="24"/>
      <w:lang w:val="en-US"/>
    </w:rPr>
  </w:style>
  <w:style w:type="character" w:customStyle="1" w:styleId="InstructionsTabelleText">
    <w:name w:val="Instructions Tabelle Text"/>
    <w:rsid w:val="001B08C0"/>
    <w:rPr>
      <w:rFonts w:ascii="Verdana" w:hAnsi="Verdana" w:cs="Times New Roman"/>
      <w:sz w:val="20"/>
    </w:rPr>
  </w:style>
  <w:style w:type="paragraph" w:styleId="Header">
    <w:name w:val="header"/>
    <w:basedOn w:val="Normal"/>
    <w:link w:val="HeaderChar"/>
    <w:uiPriority w:val="99"/>
    <w:unhideWhenUsed/>
    <w:rsid w:val="4D06C2A4"/>
    <w:pPr>
      <w:tabs>
        <w:tab w:val="center" w:pos="4680"/>
        <w:tab w:val="right" w:pos="9360"/>
      </w:tabs>
      <w:spacing w:after="0"/>
    </w:pPr>
  </w:style>
  <w:style w:type="character" w:customStyle="1" w:styleId="HeaderChar">
    <w:name w:val="Header Char"/>
    <w:basedOn w:val="DefaultParagraphFont"/>
    <w:link w:val="Header"/>
    <w:uiPriority w:val="99"/>
    <w:rsid w:val="0076662E"/>
  </w:style>
  <w:style w:type="paragraph" w:styleId="Footer">
    <w:name w:val="footer"/>
    <w:basedOn w:val="Normal"/>
    <w:link w:val="FooterChar"/>
    <w:uiPriority w:val="99"/>
    <w:unhideWhenUsed/>
    <w:rsid w:val="4D06C2A4"/>
    <w:pPr>
      <w:tabs>
        <w:tab w:val="center" w:pos="4680"/>
        <w:tab w:val="right" w:pos="9360"/>
      </w:tabs>
      <w:spacing w:after="0"/>
    </w:pPr>
  </w:style>
  <w:style w:type="character" w:customStyle="1" w:styleId="FooterChar">
    <w:name w:val="Footer Char"/>
    <w:basedOn w:val="DefaultParagraphFont"/>
    <w:link w:val="Footer"/>
    <w:uiPriority w:val="99"/>
    <w:rsid w:val="0076662E"/>
  </w:style>
  <w:style w:type="character" w:customStyle="1" w:styleId="Heading3Char">
    <w:name w:val="Heading 3 Char"/>
    <w:basedOn w:val="DefaultParagraphFont"/>
    <w:link w:val="Heading3"/>
    <w:uiPriority w:val="9"/>
    <w:rsid w:val="00014C45"/>
    <w:rPr>
      <w:rFonts w:asciiTheme="majorHAnsi" w:eastAsiaTheme="majorEastAsia" w:hAnsiTheme="majorHAnsi" w:cstheme="majorBidi"/>
      <w:color w:val="1F4D78"/>
      <w:sz w:val="24"/>
      <w:szCs w:val="24"/>
    </w:rPr>
  </w:style>
  <w:style w:type="character" w:customStyle="1" w:styleId="Heading4Char">
    <w:name w:val="Heading 4 Char"/>
    <w:basedOn w:val="DefaultParagraphFont"/>
    <w:link w:val="Heading4"/>
    <w:uiPriority w:val="9"/>
    <w:rsid w:val="00014C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14C4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14C45"/>
    <w:rPr>
      <w:rFonts w:asciiTheme="majorHAnsi" w:eastAsiaTheme="majorEastAsia" w:hAnsiTheme="majorHAnsi" w:cstheme="majorBidi"/>
      <w:color w:val="1F4D78"/>
    </w:rPr>
  </w:style>
  <w:style w:type="character" w:customStyle="1" w:styleId="Heading7Char">
    <w:name w:val="Heading 7 Char"/>
    <w:basedOn w:val="DefaultParagraphFont"/>
    <w:link w:val="Heading7"/>
    <w:uiPriority w:val="9"/>
    <w:rsid w:val="00014C45"/>
    <w:rPr>
      <w:rFonts w:asciiTheme="majorHAnsi" w:eastAsiaTheme="majorEastAsia" w:hAnsiTheme="majorHAnsi" w:cstheme="majorBidi"/>
      <w:i/>
      <w:iCs/>
      <w:color w:val="1F4D78"/>
    </w:rPr>
  </w:style>
  <w:style w:type="character" w:customStyle="1" w:styleId="Heading8Char">
    <w:name w:val="Heading 8 Char"/>
    <w:basedOn w:val="DefaultParagraphFont"/>
    <w:link w:val="Heading8"/>
    <w:uiPriority w:val="9"/>
    <w:rsid w:val="00014C45"/>
    <w:rPr>
      <w:rFonts w:asciiTheme="majorHAnsi" w:eastAsiaTheme="majorEastAsia" w:hAnsiTheme="majorHAnsi" w:cstheme="majorBidi"/>
      <w:color w:val="272727"/>
      <w:sz w:val="21"/>
      <w:szCs w:val="21"/>
    </w:rPr>
  </w:style>
  <w:style w:type="character" w:customStyle="1" w:styleId="Heading9Char">
    <w:name w:val="Heading 9 Char"/>
    <w:basedOn w:val="DefaultParagraphFont"/>
    <w:link w:val="Heading9"/>
    <w:uiPriority w:val="9"/>
    <w:rsid w:val="00014C45"/>
    <w:rPr>
      <w:rFonts w:asciiTheme="majorHAnsi" w:eastAsiaTheme="majorEastAsia" w:hAnsiTheme="majorHAnsi" w:cstheme="majorBidi"/>
      <w:i/>
      <w:iCs/>
      <w:color w:val="272727"/>
      <w:sz w:val="21"/>
      <w:szCs w:val="21"/>
    </w:rPr>
  </w:style>
  <w:style w:type="paragraph" w:styleId="Title">
    <w:name w:val="Title"/>
    <w:basedOn w:val="Normal"/>
    <w:next w:val="Normal"/>
    <w:link w:val="TitleChar"/>
    <w:uiPriority w:val="10"/>
    <w:qFormat/>
    <w:rsid w:val="00014C45"/>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014C45"/>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00014C45"/>
    <w:rPr>
      <w:rFonts w:eastAsiaTheme="minorEastAsia"/>
      <w:color w:val="5A5A5A"/>
    </w:rPr>
  </w:style>
  <w:style w:type="character" w:customStyle="1" w:styleId="SubtitleChar">
    <w:name w:val="Subtitle Char"/>
    <w:basedOn w:val="DefaultParagraphFont"/>
    <w:link w:val="Subtitle"/>
    <w:uiPriority w:val="11"/>
    <w:rsid w:val="00014C45"/>
    <w:rPr>
      <w:rFonts w:eastAsiaTheme="minorEastAsia"/>
      <w:color w:val="5A5A5A"/>
    </w:rPr>
  </w:style>
  <w:style w:type="paragraph" w:styleId="Quote">
    <w:name w:val="Quote"/>
    <w:basedOn w:val="Normal"/>
    <w:next w:val="Normal"/>
    <w:link w:val="QuoteChar"/>
    <w:uiPriority w:val="29"/>
    <w:qFormat/>
    <w:rsid w:val="00014C4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014C45"/>
    <w:rPr>
      <w:i/>
      <w:iCs/>
      <w:color w:val="404040" w:themeColor="text1" w:themeTint="BF"/>
    </w:rPr>
  </w:style>
  <w:style w:type="paragraph" w:styleId="IntenseQuote">
    <w:name w:val="Intense Quote"/>
    <w:basedOn w:val="Normal"/>
    <w:next w:val="Normal"/>
    <w:link w:val="IntenseQuoteChar"/>
    <w:uiPriority w:val="30"/>
    <w:qFormat/>
    <w:rsid w:val="00014C45"/>
    <w:pP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14C45"/>
    <w:rPr>
      <w:i/>
      <w:iCs/>
      <w:color w:val="5B9BD5" w:themeColor="accent1"/>
    </w:rPr>
  </w:style>
  <w:style w:type="paragraph" w:styleId="TOC1">
    <w:name w:val="toc 1"/>
    <w:basedOn w:val="Normal"/>
    <w:next w:val="Normal"/>
    <w:uiPriority w:val="39"/>
    <w:unhideWhenUsed/>
    <w:rsid w:val="00014C45"/>
    <w:pPr>
      <w:spacing w:after="100"/>
    </w:pPr>
  </w:style>
  <w:style w:type="paragraph" w:styleId="TOC3">
    <w:name w:val="toc 3"/>
    <w:basedOn w:val="Normal"/>
    <w:next w:val="Normal"/>
    <w:uiPriority w:val="39"/>
    <w:unhideWhenUsed/>
    <w:rsid w:val="00014C45"/>
    <w:pPr>
      <w:spacing w:after="100"/>
      <w:ind w:left="440"/>
    </w:pPr>
  </w:style>
  <w:style w:type="paragraph" w:styleId="TOC4">
    <w:name w:val="toc 4"/>
    <w:basedOn w:val="Normal"/>
    <w:next w:val="Normal"/>
    <w:uiPriority w:val="39"/>
    <w:unhideWhenUsed/>
    <w:rsid w:val="00014C45"/>
    <w:pPr>
      <w:spacing w:after="100"/>
      <w:ind w:left="660"/>
    </w:pPr>
  </w:style>
  <w:style w:type="paragraph" w:styleId="TOC5">
    <w:name w:val="toc 5"/>
    <w:basedOn w:val="Normal"/>
    <w:next w:val="Normal"/>
    <w:uiPriority w:val="39"/>
    <w:unhideWhenUsed/>
    <w:rsid w:val="00014C45"/>
    <w:pPr>
      <w:spacing w:after="100"/>
      <w:ind w:left="880"/>
    </w:pPr>
  </w:style>
  <w:style w:type="paragraph" w:styleId="TOC6">
    <w:name w:val="toc 6"/>
    <w:basedOn w:val="Normal"/>
    <w:next w:val="Normal"/>
    <w:uiPriority w:val="39"/>
    <w:unhideWhenUsed/>
    <w:rsid w:val="00014C45"/>
    <w:pPr>
      <w:spacing w:after="100"/>
      <w:ind w:left="1100"/>
    </w:pPr>
  </w:style>
  <w:style w:type="paragraph" w:styleId="TOC7">
    <w:name w:val="toc 7"/>
    <w:basedOn w:val="Normal"/>
    <w:next w:val="Normal"/>
    <w:uiPriority w:val="39"/>
    <w:unhideWhenUsed/>
    <w:rsid w:val="00014C45"/>
    <w:pPr>
      <w:spacing w:after="100"/>
      <w:ind w:left="1320"/>
    </w:pPr>
  </w:style>
  <w:style w:type="paragraph" w:styleId="TOC8">
    <w:name w:val="toc 8"/>
    <w:basedOn w:val="Normal"/>
    <w:next w:val="Normal"/>
    <w:uiPriority w:val="39"/>
    <w:unhideWhenUsed/>
    <w:rsid w:val="00014C45"/>
    <w:pPr>
      <w:spacing w:after="100"/>
      <w:ind w:left="1540"/>
    </w:pPr>
  </w:style>
  <w:style w:type="paragraph" w:styleId="TOC9">
    <w:name w:val="toc 9"/>
    <w:basedOn w:val="Normal"/>
    <w:next w:val="Normal"/>
    <w:uiPriority w:val="39"/>
    <w:unhideWhenUsed/>
    <w:rsid w:val="00014C45"/>
    <w:pPr>
      <w:spacing w:after="100"/>
      <w:ind w:left="1760"/>
    </w:pPr>
  </w:style>
  <w:style w:type="paragraph" w:styleId="EndnoteText">
    <w:name w:val="endnote text"/>
    <w:basedOn w:val="Normal"/>
    <w:link w:val="EndnoteTextChar"/>
    <w:uiPriority w:val="99"/>
    <w:semiHidden/>
    <w:unhideWhenUsed/>
    <w:rsid w:val="00014C45"/>
    <w:pPr>
      <w:spacing w:after="0"/>
    </w:pPr>
    <w:rPr>
      <w:sz w:val="20"/>
      <w:szCs w:val="20"/>
    </w:rPr>
  </w:style>
  <w:style w:type="character" w:customStyle="1" w:styleId="EndnoteTextChar">
    <w:name w:val="Endnote Text Char"/>
    <w:basedOn w:val="DefaultParagraphFont"/>
    <w:link w:val="EndnoteText"/>
    <w:uiPriority w:val="99"/>
    <w:semiHidden/>
    <w:rsid w:val="00014C45"/>
    <w:rPr>
      <w:sz w:val="20"/>
      <w:szCs w:val="20"/>
    </w:rPr>
  </w:style>
  <w:style w:type="paragraph" w:styleId="FootnoteText">
    <w:name w:val="footnote text"/>
    <w:basedOn w:val="Normal"/>
    <w:link w:val="FootnoteTextChar"/>
    <w:uiPriority w:val="99"/>
    <w:semiHidden/>
    <w:unhideWhenUsed/>
    <w:rsid w:val="00014C45"/>
    <w:pPr>
      <w:spacing w:after="0"/>
    </w:pPr>
    <w:rPr>
      <w:sz w:val="20"/>
      <w:szCs w:val="20"/>
    </w:rPr>
  </w:style>
  <w:style w:type="character" w:customStyle="1" w:styleId="FootnoteTextChar">
    <w:name w:val="Footnote Text Char"/>
    <w:basedOn w:val="DefaultParagraphFont"/>
    <w:link w:val="FootnoteText"/>
    <w:uiPriority w:val="99"/>
    <w:semiHidden/>
    <w:rsid w:val="00014C45"/>
    <w:rPr>
      <w:sz w:val="20"/>
      <w:szCs w:val="20"/>
    </w:rPr>
  </w:style>
  <w:style w:type="character" w:styleId="FootnoteReference">
    <w:name w:val="footnote reference"/>
    <w:basedOn w:val="DefaultParagraphFont"/>
    <w:uiPriority w:val="99"/>
    <w:semiHidden/>
    <w:unhideWhenUsed/>
    <w:rsid w:val="008763A4"/>
    <w:rPr>
      <w:vertAlign w:val="superscript"/>
    </w:rPr>
  </w:style>
  <w:style w:type="character" w:styleId="UnresolvedMention">
    <w:name w:val="Unresolved Mention"/>
    <w:basedOn w:val="DefaultParagraphFont"/>
    <w:uiPriority w:val="99"/>
    <w:unhideWhenUsed/>
    <w:rsid w:val="00526D06"/>
    <w:rPr>
      <w:color w:val="605E5C"/>
      <w:shd w:val="clear" w:color="auto" w:fill="E1DFDD"/>
    </w:rPr>
  </w:style>
  <w:style w:type="character" w:styleId="Mention">
    <w:name w:val="Mention"/>
    <w:basedOn w:val="DefaultParagraphFont"/>
    <w:uiPriority w:val="99"/>
    <w:unhideWhenUsed/>
    <w:rsid w:val="00526D06"/>
    <w:rPr>
      <w:color w:val="2B579A"/>
      <w:shd w:val="clear" w:color="auto" w:fill="E1DFDD"/>
    </w:rPr>
  </w:style>
  <w:style w:type="character" w:styleId="PlaceholderText">
    <w:name w:val="Placeholder Text"/>
    <w:basedOn w:val="DefaultParagraphFont"/>
    <w:uiPriority w:val="99"/>
    <w:semiHidden/>
    <w:rsid w:val="002B78ED"/>
    <w:rPr>
      <w:color w:val="808080"/>
    </w:rPr>
  </w:style>
  <w:style w:type="paragraph" w:customStyle="1" w:styleId="Default">
    <w:name w:val="Default"/>
    <w:rsid w:val="00887BC2"/>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5C37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211986">
      <w:bodyDiv w:val="1"/>
      <w:marLeft w:val="0"/>
      <w:marRight w:val="0"/>
      <w:marTop w:val="0"/>
      <w:marBottom w:val="0"/>
      <w:divBdr>
        <w:top w:val="none" w:sz="0" w:space="0" w:color="auto"/>
        <w:left w:val="none" w:sz="0" w:space="0" w:color="auto"/>
        <w:bottom w:val="none" w:sz="0" w:space="0" w:color="auto"/>
        <w:right w:val="none" w:sz="0" w:space="0" w:color="auto"/>
      </w:divBdr>
    </w:div>
    <w:div w:id="965770460">
      <w:bodyDiv w:val="1"/>
      <w:marLeft w:val="0"/>
      <w:marRight w:val="0"/>
      <w:marTop w:val="0"/>
      <w:marBottom w:val="0"/>
      <w:divBdr>
        <w:top w:val="none" w:sz="0" w:space="0" w:color="auto"/>
        <w:left w:val="none" w:sz="0" w:space="0" w:color="auto"/>
        <w:bottom w:val="none" w:sz="0" w:space="0" w:color="auto"/>
        <w:right w:val="none" w:sz="0" w:space="0" w:color="auto"/>
      </w:divBdr>
    </w:div>
    <w:div w:id="1409035757">
      <w:bodyDiv w:val="1"/>
      <w:marLeft w:val="0"/>
      <w:marRight w:val="0"/>
      <w:marTop w:val="0"/>
      <w:marBottom w:val="0"/>
      <w:divBdr>
        <w:top w:val="none" w:sz="0" w:space="0" w:color="auto"/>
        <w:left w:val="none" w:sz="0" w:space="0" w:color="auto"/>
        <w:bottom w:val="none" w:sz="0" w:space="0" w:color="auto"/>
        <w:right w:val="none" w:sz="0" w:space="0" w:color="auto"/>
      </w:divBdr>
    </w:div>
    <w:div w:id="1418672623">
      <w:bodyDiv w:val="1"/>
      <w:marLeft w:val="0"/>
      <w:marRight w:val="0"/>
      <w:marTop w:val="0"/>
      <w:marBottom w:val="0"/>
      <w:divBdr>
        <w:top w:val="none" w:sz="0" w:space="0" w:color="auto"/>
        <w:left w:val="none" w:sz="0" w:space="0" w:color="auto"/>
        <w:bottom w:val="none" w:sz="0" w:space="0" w:color="auto"/>
        <w:right w:val="none" w:sz="0" w:space="0" w:color="auto"/>
      </w:divBdr>
    </w:div>
    <w:div w:id="1619413056">
      <w:bodyDiv w:val="1"/>
      <w:marLeft w:val="0"/>
      <w:marRight w:val="0"/>
      <w:marTop w:val="0"/>
      <w:marBottom w:val="0"/>
      <w:divBdr>
        <w:top w:val="none" w:sz="0" w:space="0" w:color="auto"/>
        <w:left w:val="none" w:sz="0" w:space="0" w:color="auto"/>
        <w:bottom w:val="none" w:sz="0" w:space="0" w:color="auto"/>
        <w:right w:val="none" w:sz="0" w:space="0" w:color="auto"/>
      </w:divBdr>
    </w:div>
    <w:div w:id="1663854712">
      <w:bodyDiv w:val="1"/>
      <w:marLeft w:val="0"/>
      <w:marRight w:val="0"/>
      <w:marTop w:val="0"/>
      <w:marBottom w:val="0"/>
      <w:divBdr>
        <w:top w:val="none" w:sz="0" w:space="0" w:color="auto"/>
        <w:left w:val="none" w:sz="0" w:space="0" w:color="auto"/>
        <w:bottom w:val="none" w:sz="0" w:space="0" w:color="auto"/>
        <w:right w:val="none" w:sz="0" w:space="0" w:color="auto"/>
      </w:divBdr>
    </w:div>
    <w:div w:id="211677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4" ma:contentTypeDescription="Create a new document." ma:contentTypeScope="" ma:versionID="2a2cb4549c6b87511dd225756e2f637d">
  <xsd:schema xmlns:xsd="http://www.w3.org/2001/XMLSchema" xmlns:xs="http://www.w3.org/2001/XMLSchema" xmlns:p="http://schemas.microsoft.com/office/2006/metadata/properties" xmlns:ns2="d520683a-cb21-4d3a-9123-58e4528859ba" targetNamespace="http://schemas.microsoft.com/office/2006/metadata/properties" ma:root="true" ma:fieldsID="74414c996a0bfb3b0126c97c03c0cfd4"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106DB2-25D9-4183-9C30-AD7F0B250A33}">
  <ds:schemaRefs>
    <ds:schemaRef ds:uri="http://schemas.openxmlformats.org/officeDocument/2006/bibliography"/>
  </ds:schemaRefs>
</ds:datastoreItem>
</file>

<file path=customXml/itemProps2.xml><?xml version="1.0" encoding="utf-8"?>
<ds:datastoreItem xmlns:ds="http://schemas.openxmlformats.org/officeDocument/2006/customXml" ds:itemID="{F9844188-3A40-450E-A2E8-6F75F142A1AC}">
  <ds:schemaRefs>
    <ds:schemaRef ds:uri="d520683a-cb21-4d3a-9123-58e4528859ba"/>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2454952-C6F7-43C1-BA73-8261879F4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BEDDF3-03CE-456D-A073-6C8804692AE0}">
  <ds:schemaRefs>
    <ds:schemaRef ds:uri="http://schemas.microsoft.com/sharepoint/v3/contenttype/forms"/>
  </ds:schemaRefs>
</ds:datastoreItem>
</file>

<file path=docMetadata/LabelInfo.xml><?xml version="1.0" encoding="utf-8"?>
<clbl:labelList xmlns:clbl="http://schemas.microsoft.com/office/2020/mipLabelMetadata">
  <clbl:label id="{71689188-9188-43d8-bdb9-0a0de5358646}" enabled="1" method="Privilege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1636</TotalTime>
  <Pages>1</Pages>
  <Words>23246</Words>
  <Characters>132508</Characters>
  <Application>Microsoft Office Word</Application>
  <DocSecurity>0</DocSecurity>
  <Lines>1104</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EBA staff</cp:lastModifiedBy>
  <cp:revision>706</cp:revision>
  <dcterms:created xsi:type="dcterms:W3CDTF">2022-12-15T01:34:00Z</dcterms:created>
  <dcterms:modified xsi:type="dcterms:W3CDTF">2023-03-16T13:54:00Z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y fmtid="{D5CDD505-2E9C-101B-9397-08002B2CF9AE}" pid="3" name="ClassificationContentMarkingHeaderShapeIds">
    <vt:lpwstr>7,8,9</vt:lpwstr>
  </property>
  <property fmtid="{D5CDD505-2E9C-101B-9397-08002B2CF9AE}" pid="4" name="ClassificationContentMarkingHeaderFontProps">
    <vt:lpwstr>#000000,12,Calibri</vt:lpwstr>
  </property>
  <property fmtid="{D5CDD505-2E9C-101B-9397-08002B2CF9AE}" pid="5" name="ClassificationContentMarkingHeaderText">
    <vt:lpwstr>EBA Public</vt:lpwstr>
  </property>
</Properties>
</file>